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7.xml" ContentType="application/vnd.openxmlformats-officedocument.wordprocessingml.header+xml"/>
  <Override PartName="/word/footer1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3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29214C" w14:textId="111B97FE" w:rsidR="00751A23" w:rsidRPr="006249DC" w:rsidRDefault="00E07FCA" w:rsidP="005D4A3F">
      <w:pPr>
        <w:pStyle w:val="Title"/>
      </w:pPr>
      <w:r>
        <w:t>Financial Report on the Australian Aged Care Sector</w:t>
      </w:r>
    </w:p>
    <w:p w14:paraId="176D0515" w14:textId="77777777" w:rsidR="00751A23" w:rsidRDefault="00965EDD" w:rsidP="006249DC">
      <w:pPr>
        <w:pStyle w:val="Subtitle"/>
      </w:pPr>
      <w:r>
        <w:rPr>
          <w:noProof/>
        </w:rPr>
        <w:drawing>
          <wp:anchor distT="0" distB="0" distL="114300" distR="114300" simplePos="0" relativeHeight="251658240" behindDoc="0" locked="0" layoutInCell="1" allowOverlap="1" wp14:anchorId="6117966E" wp14:editId="22960132">
            <wp:simplePos x="0" y="0"/>
            <wp:positionH relativeFrom="column">
              <wp:posOffset>-891540</wp:posOffset>
            </wp:positionH>
            <wp:positionV relativeFrom="page">
              <wp:posOffset>65190614</wp:posOffset>
            </wp:positionV>
            <wp:extent cx="7533640" cy="9721850"/>
            <wp:effectExtent l="0" t="0" r="0" b="0"/>
            <wp:wrapTopAndBottom/>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484" r="484" b="8767"/>
                    <a:stretch/>
                  </pic:blipFill>
                  <pic:spPr bwMode="auto">
                    <a:xfrm>
                      <a:off x="0" y="0"/>
                      <a:ext cx="7533640" cy="972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FCA">
        <w:t>2022-23</w:t>
      </w:r>
    </w:p>
    <w:p w14:paraId="77EF3E57" w14:textId="4EC20108" w:rsidR="00DA5A62" w:rsidRPr="00DA5A62" w:rsidRDefault="00DA5A62" w:rsidP="00DA5A62">
      <w:pPr>
        <w:sectPr w:rsidR="00DA5A62" w:rsidRPr="00DA5A62" w:rsidSect="0081488F">
          <w:headerReference w:type="even" r:id="rId12"/>
          <w:headerReference w:type="default" r:id="rId13"/>
          <w:footerReference w:type="even" r:id="rId14"/>
          <w:footerReference w:type="default" r:id="rId15"/>
          <w:headerReference w:type="first" r:id="rId16"/>
          <w:footerReference w:type="first" r:id="rId17"/>
          <w:type w:val="continuous"/>
          <w:pgSz w:w="11906" w:h="16838"/>
          <w:pgMar w:top="8505" w:right="1418" w:bottom="1418" w:left="1418" w:header="850" w:footer="709" w:gutter="0"/>
          <w:cols w:space="708"/>
          <w:titlePg/>
          <w:docGrid w:linePitch="360"/>
        </w:sectPr>
      </w:pPr>
    </w:p>
    <w:p w14:paraId="303798BA" w14:textId="6EBAD3F6" w:rsidR="006C4E9C" w:rsidRDefault="00A37A17" w:rsidP="00706D0A">
      <w:pPr>
        <w:rPr>
          <w:rFonts w:cs="Arial"/>
          <w:b/>
          <w:kern w:val="28"/>
          <w:sz w:val="60"/>
          <w:szCs w:val="36"/>
        </w:rPr>
      </w:pPr>
      <w:r>
        <w:rPr>
          <w:noProof/>
        </w:rPr>
        <w:lastRenderedPageBreak/>
        <w:drawing>
          <wp:anchor distT="0" distB="0" distL="114300" distR="114300" simplePos="0" relativeHeight="251660296" behindDoc="1" locked="0" layoutInCell="1" allowOverlap="1" wp14:anchorId="0E1D0622" wp14:editId="6700F795">
            <wp:simplePos x="0" y="0"/>
            <wp:positionH relativeFrom="column">
              <wp:posOffset>-933450</wp:posOffset>
            </wp:positionH>
            <wp:positionV relativeFrom="paragraph">
              <wp:posOffset>-1104900</wp:posOffset>
            </wp:positionV>
            <wp:extent cx="7573010" cy="11739880"/>
            <wp:effectExtent l="0" t="0" r="8890" b="0"/>
            <wp:wrapNone/>
            <wp:docPr id="1322519779" name="Picture 1322519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79" name="Picture 1322519779">
                      <a:extLst>
                        <a:ext uri="{C183D7F6-B498-43B3-948B-1728B52AA6E4}">
                          <adec:decorative xmlns:adec="http://schemas.microsoft.com/office/drawing/2017/decorative" val="1"/>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1" r="763"/>
                    <a:stretch/>
                  </pic:blipFill>
                  <pic:spPr bwMode="auto">
                    <a:xfrm>
                      <a:off x="0" y="0"/>
                      <a:ext cx="7573010" cy="11739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4E9C">
        <w:br w:type="page"/>
      </w:r>
    </w:p>
    <w:p w14:paraId="554E8D24" w14:textId="77777777" w:rsidR="000F1C89" w:rsidRDefault="000F1C89" w:rsidP="004437D0">
      <w:pPr>
        <w:pStyle w:val="Heading1"/>
        <w:sectPr w:rsidR="000F1C89" w:rsidSect="00377C6D">
          <w:headerReference w:type="even" r:id="rId19"/>
          <w:headerReference w:type="default" r:id="rId20"/>
          <w:footerReference w:type="default" r:id="rId21"/>
          <w:headerReference w:type="first" r:id="rId22"/>
          <w:pgSz w:w="11906" w:h="16838"/>
          <w:pgMar w:top="1701" w:right="1418" w:bottom="1418" w:left="1418" w:header="709" w:footer="709" w:gutter="0"/>
          <w:cols w:space="708"/>
          <w:docGrid w:linePitch="360"/>
        </w:sectPr>
      </w:pPr>
      <w:bookmarkStart w:id="0" w:name="_Ref160715850"/>
      <w:bookmarkStart w:id="1" w:name="_Ref160715915"/>
      <w:bookmarkStart w:id="2" w:name="_Ref160715925"/>
      <w:bookmarkStart w:id="3" w:name="_Ref160715948"/>
    </w:p>
    <w:p w14:paraId="764BFBF0" w14:textId="77777777" w:rsidR="00DD6906" w:rsidRPr="00333777" w:rsidRDefault="00DD6906" w:rsidP="00706D0A">
      <w:pPr>
        <w:rPr>
          <w:b/>
        </w:rPr>
      </w:pPr>
      <w:r w:rsidRPr="00333777">
        <w:rPr>
          <w:b/>
        </w:rPr>
        <w:t>Contents</w:t>
      </w:r>
      <w:bookmarkEnd w:id="0"/>
      <w:bookmarkEnd w:id="1"/>
      <w:bookmarkEnd w:id="2"/>
      <w:bookmarkEnd w:id="3"/>
    </w:p>
    <w:sdt>
      <w:sdtPr>
        <w:rPr>
          <w:b w:val="0"/>
          <w:bCs/>
          <w:szCs w:val="18"/>
        </w:rPr>
        <w:id w:val="1760107840"/>
        <w:docPartObj>
          <w:docPartGallery w:val="Table of Contents"/>
          <w:docPartUnique/>
        </w:docPartObj>
      </w:sdtPr>
      <w:sdtEndPr/>
      <w:sdtContent>
        <w:p w14:paraId="32652D01" w14:textId="60CEEF20" w:rsidR="006F419C" w:rsidRDefault="00E07FCA">
          <w:pPr>
            <w:pStyle w:val="TOC1"/>
            <w:rPr>
              <w:rFonts w:asciiTheme="minorHAnsi" w:eastAsiaTheme="minorEastAsia" w:hAnsiTheme="minorHAnsi" w:cstheme="minorBidi"/>
              <w:b w:val="0"/>
              <w:noProof/>
              <w:color w:val="auto"/>
              <w:kern w:val="2"/>
              <w:sz w:val="22"/>
              <w:szCs w:val="22"/>
              <w:lang w:eastAsia="en-AU"/>
              <w14:ligatures w14:val="standardContextual"/>
            </w:rPr>
          </w:pPr>
          <w:r>
            <w:fldChar w:fldCharType="begin"/>
          </w:r>
          <w:r>
            <w:instrText xml:space="preserve"> TOC \o "1-3" \h \z \u </w:instrText>
          </w:r>
          <w:r>
            <w:fldChar w:fldCharType="separate"/>
          </w:r>
          <w:hyperlink w:anchor="_Toc173428589" w:history="1">
            <w:r w:rsidR="006F419C" w:rsidRPr="001B6C29">
              <w:rPr>
                <w:rStyle w:val="Hyperlink"/>
                <w:noProof/>
              </w:rPr>
              <w:t>Introduction</w:t>
            </w:r>
            <w:r w:rsidR="006F419C">
              <w:rPr>
                <w:noProof/>
                <w:webHidden/>
              </w:rPr>
              <w:tab/>
            </w:r>
            <w:r w:rsidR="006F419C">
              <w:rPr>
                <w:noProof/>
                <w:webHidden/>
              </w:rPr>
              <w:fldChar w:fldCharType="begin"/>
            </w:r>
            <w:r w:rsidR="006F419C">
              <w:rPr>
                <w:noProof/>
                <w:webHidden/>
              </w:rPr>
              <w:instrText xml:space="preserve"> PAGEREF _Toc173428589 \h </w:instrText>
            </w:r>
            <w:r w:rsidR="006F419C">
              <w:rPr>
                <w:noProof/>
                <w:webHidden/>
              </w:rPr>
            </w:r>
            <w:r w:rsidR="006F419C">
              <w:rPr>
                <w:noProof/>
                <w:webHidden/>
              </w:rPr>
              <w:fldChar w:fldCharType="separate"/>
            </w:r>
            <w:r w:rsidR="001377BE">
              <w:rPr>
                <w:noProof/>
                <w:webHidden/>
              </w:rPr>
              <w:t>5</w:t>
            </w:r>
            <w:r w:rsidR="006F419C">
              <w:rPr>
                <w:noProof/>
                <w:webHidden/>
              </w:rPr>
              <w:fldChar w:fldCharType="end"/>
            </w:r>
          </w:hyperlink>
        </w:p>
        <w:p w14:paraId="6E7C5321" w14:textId="6C59172D"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590" w:history="1">
            <w:r w:rsidR="006F419C" w:rsidRPr="001B6C29">
              <w:rPr>
                <w:rStyle w:val="Hyperlink"/>
                <w:noProof/>
              </w:rPr>
              <w:t>Report summary</w:t>
            </w:r>
            <w:r w:rsidR="006F419C">
              <w:rPr>
                <w:noProof/>
                <w:webHidden/>
              </w:rPr>
              <w:tab/>
            </w:r>
            <w:r w:rsidR="006F419C">
              <w:rPr>
                <w:noProof/>
                <w:webHidden/>
              </w:rPr>
              <w:fldChar w:fldCharType="begin"/>
            </w:r>
            <w:r w:rsidR="006F419C">
              <w:rPr>
                <w:noProof/>
                <w:webHidden/>
              </w:rPr>
              <w:instrText xml:space="preserve"> PAGEREF _Toc173428590 \h </w:instrText>
            </w:r>
            <w:r w:rsidR="006F419C">
              <w:rPr>
                <w:noProof/>
                <w:webHidden/>
              </w:rPr>
            </w:r>
            <w:r w:rsidR="006F419C">
              <w:rPr>
                <w:noProof/>
                <w:webHidden/>
              </w:rPr>
              <w:fldChar w:fldCharType="separate"/>
            </w:r>
            <w:r w:rsidR="001377BE">
              <w:rPr>
                <w:noProof/>
                <w:webHidden/>
              </w:rPr>
              <w:t>7</w:t>
            </w:r>
            <w:r w:rsidR="006F419C">
              <w:rPr>
                <w:noProof/>
                <w:webHidden/>
              </w:rPr>
              <w:fldChar w:fldCharType="end"/>
            </w:r>
          </w:hyperlink>
        </w:p>
        <w:p w14:paraId="328E1C0A" w14:textId="5DD525F9"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591" w:history="1">
            <w:r w:rsidR="006F419C" w:rsidRPr="001B6C29">
              <w:rPr>
                <w:rStyle w:val="Hyperlink"/>
                <w:noProof/>
              </w:rPr>
              <w:t>Summary of findings</w:t>
            </w:r>
            <w:r w:rsidR="006F419C">
              <w:rPr>
                <w:noProof/>
                <w:webHidden/>
              </w:rPr>
              <w:tab/>
            </w:r>
            <w:r w:rsidR="006F419C">
              <w:rPr>
                <w:noProof/>
                <w:webHidden/>
              </w:rPr>
              <w:fldChar w:fldCharType="begin"/>
            </w:r>
            <w:r w:rsidR="006F419C">
              <w:rPr>
                <w:noProof/>
                <w:webHidden/>
              </w:rPr>
              <w:instrText xml:space="preserve"> PAGEREF _Toc173428591 \h </w:instrText>
            </w:r>
            <w:r w:rsidR="006F419C">
              <w:rPr>
                <w:noProof/>
                <w:webHidden/>
              </w:rPr>
            </w:r>
            <w:r w:rsidR="006F419C">
              <w:rPr>
                <w:noProof/>
                <w:webHidden/>
              </w:rPr>
              <w:fldChar w:fldCharType="separate"/>
            </w:r>
            <w:r w:rsidR="001377BE">
              <w:rPr>
                <w:noProof/>
                <w:webHidden/>
              </w:rPr>
              <w:t>10</w:t>
            </w:r>
            <w:r w:rsidR="006F419C">
              <w:rPr>
                <w:noProof/>
                <w:webHidden/>
              </w:rPr>
              <w:fldChar w:fldCharType="end"/>
            </w:r>
          </w:hyperlink>
        </w:p>
        <w:p w14:paraId="10D679A3" w14:textId="12BF9E35"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592" w:history="1">
            <w:r w:rsidR="006F419C" w:rsidRPr="001B6C29">
              <w:rPr>
                <w:rStyle w:val="Hyperlink"/>
                <w:noProof/>
              </w:rPr>
              <w:t>Reforming Australia’s aged care system</w:t>
            </w:r>
            <w:r w:rsidR="006F419C">
              <w:rPr>
                <w:noProof/>
                <w:webHidden/>
              </w:rPr>
              <w:tab/>
            </w:r>
            <w:r w:rsidR="006F419C">
              <w:rPr>
                <w:noProof/>
                <w:webHidden/>
              </w:rPr>
              <w:fldChar w:fldCharType="begin"/>
            </w:r>
            <w:r w:rsidR="006F419C">
              <w:rPr>
                <w:noProof/>
                <w:webHidden/>
              </w:rPr>
              <w:instrText xml:space="preserve"> PAGEREF _Toc173428592 \h </w:instrText>
            </w:r>
            <w:r w:rsidR="006F419C">
              <w:rPr>
                <w:noProof/>
                <w:webHidden/>
              </w:rPr>
            </w:r>
            <w:r w:rsidR="006F419C">
              <w:rPr>
                <w:noProof/>
                <w:webHidden/>
              </w:rPr>
              <w:fldChar w:fldCharType="separate"/>
            </w:r>
            <w:r w:rsidR="001377BE">
              <w:rPr>
                <w:noProof/>
                <w:webHidden/>
              </w:rPr>
              <w:t>17</w:t>
            </w:r>
            <w:r w:rsidR="006F419C">
              <w:rPr>
                <w:noProof/>
                <w:webHidden/>
              </w:rPr>
              <w:fldChar w:fldCharType="end"/>
            </w:r>
          </w:hyperlink>
        </w:p>
        <w:p w14:paraId="0F051911" w14:textId="13C05D9E"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593" w:history="1">
            <w:r w:rsidR="006F419C" w:rsidRPr="001B6C29">
              <w:rPr>
                <w:rStyle w:val="Hyperlink"/>
                <w:noProof/>
              </w:rPr>
              <w:t>1</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Home care</w:t>
            </w:r>
            <w:r w:rsidR="006F419C">
              <w:rPr>
                <w:noProof/>
                <w:webHidden/>
              </w:rPr>
              <w:tab/>
            </w:r>
            <w:r w:rsidR="006F419C">
              <w:rPr>
                <w:noProof/>
                <w:webHidden/>
              </w:rPr>
              <w:fldChar w:fldCharType="begin"/>
            </w:r>
            <w:r w:rsidR="006F419C">
              <w:rPr>
                <w:noProof/>
                <w:webHidden/>
              </w:rPr>
              <w:instrText xml:space="preserve"> PAGEREF _Toc173428593 \h </w:instrText>
            </w:r>
            <w:r w:rsidR="006F419C">
              <w:rPr>
                <w:noProof/>
                <w:webHidden/>
              </w:rPr>
            </w:r>
            <w:r w:rsidR="006F419C">
              <w:rPr>
                <w:noProof/>
                <w:webHidden/>
              </w:rPr>
              <w:fldChar w:fldCharType="separate"/>
            </w:r>
            <w:r w:rsidR="001377BE">
              <w:rPr>
                <w:noProof/>
                <w:webHidden/>
              </w:rPr>
              <w:t>22</w:t>
            </w:r>
            <w:r w:rsidR="006F419C">
              <w:rPr>
                <w:noProof/>
                <w:webHidden/>
              </w:rPr>
              <w:fldChar w:fldCharType="end"/>
            </w:r>
          </w:hyperlink>
        </w:p>
        <w:p w14:paraId="519F5327" w14:textId="492BD2F7"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4" w:history="1">
            <w:r w:rsidR="006F419C" w:rsidRPr="001B6C29">
              <w:rPr>
                <w:rStyle w:val="Hyperlink"/>
              </w:rPr>
              <w:t>1.1</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Recipients</w:t>
            </w:r>
            <w:r w:rsidR="006F419C">
              <w:rPr>
                <w:webHidden/>
              </w:rPr>
              <w:tab/>
            </w:r>
            <w:r w:rsidR="006F419C">
              <w:rPr>
                <w:webHidden/>
              </w:rPr>
              <w:fldChar w:fldCharType="begin"/>
            </w:r>
            <w:r w:rsidR="006F419C">
              <w:rPr>
                <w:webHidden/>
              </w:rPr>
              <w:instrText xml:space="preserve"> PAGEREF _Toc173428594 \h </w:instrText>
            </w:r>
            <w:r w:rsidR="006F419C">
              <w:rPr>
                <w:webHidden/>
              </w:rPr>
            </w:r>
            <w:r w:rsidR="006F419C">
              <w:rPr>
                <w:webHidden/>
              </w:rPr>
              <w:fldChar w:fldCharType="separate"/>
            </w:r>
            <w:r w:rsidR="001377BE">
              <w:rPr>
                <w:webHidden/>
              </w:rPr>
              <w:t>22</w:t>
            </w:r>
            <w:r w:rsidR="006F419C">
              <w:rPr>
                <w:webHidden/>
              </w:rPr>
              <w:fldChar w:fldCharType="end"/>
            </w:r>
          </w:hyperlink>
        </w:p>
        <w:p w14:paraId="6845DEED" w14:textId="61401E06"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5" w:history="1">
            <w:r w:rsidR="006F419C" w:rsidRPr="001B6C29">
              <w:rPr>
                <w:rStyle w:val="Hyperlink"/>
              </w:rPr>
              <w:t>1.2</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Funding</w:t>
            </w:r>
            <w:r w:rsidR="006F419C">
              <w:rPr>
                <w:webHidden/>
              </w:rPr>
              <w:tab/>
            </w:r>
            <w:r w:rsidR="006F419C">
              <w:rPr>
                <w:webHidden/>
              </w:rPr>
              <w:fldChar w:fldCharType="begin"/>
            </w:r>
            <w:r w:rsidR="006F419C">
              <w:rPr>
                <w:webHidden/>
              </w:rPr>
              <w:instrText xml:space="preserve"> PAGEREF _Toc173428595 \h </w:instrText>
            </w:r>
            <w:r w:rsidR="006F419C">
              <w:rPr>
                <w:webHidden/>
              </w:rPr>
            </w:r>
            <w:r w:rsidR="006F419C">
              <w:rPr>
                <w:webHidden/>
              </w:rPr>
              <w:fldChar w:fldCharType="separate"/>
            </w:r>
            <w:r w:rsidR="001377BE">
              <w:rPr>
                <w:webHidden/>
              </w:rPr>
              <w:t>26</w:t>
            </w:r>
            <w:r w:rsidR="006F419C">
              <w:rPr>
                <w:webHidden/>
              </w:rPr>
              <w:fldChar w:fldCharType="end"/>
            </w:r>
          </w:hyperlink>
        </w:p>
        <w:p w14:paraId="5B86092E" w14:textId="10E3D322"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6" w:history="1">
            <w:r w:rsidR="006F419C" w:rsidRPr="001B6C29">
              <w:rPr>
                <w:rStyle w:val="Hyperlink"/>
              </w:rPr>
              <w:t>1.3</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summary</w:t>
            </w:r>
            <w:r w:rsidR="006F419C">
              <w:rPr>
                <w:webHidden/>
              </w:rPr>
              <w:tab/>
            </w:r>
            <w:r w:rsidR="006F419C">
              <w:rPr>
                <w:webHidden/>
              </w:rPr>
              <w:fldChar w:fldCharType="begin"/>
            </w:r>
            <w:r w:rsidR="006F419C">
              <w:rPr>
                <w:webHidden/>
              </w:rPr>
              <w:instrText xml:space="preserve"> PAGEREF _Toc173428596 \h </w:instrText>
            </w:r>
            <w:r w:rsidR="006F419C">
              <w:rPr>
                <w:webHidden/>
              </w:rPr>
            </w:r>
            <w:r w:rsidR="006F419C">
              <w:rPr>
                <w:webHidden/>
              </w:rPr>
              <w:fldChar w:fldCharType="separate"/>
            </w:r>
            <w:r w:rsidR="001377BE">
              <w:rPr>
                <w:webHidden/>
              </w:rPr>
              <w:t>27</w:t>
            </w:r>
            <w:r w:rsidR="006F419C">
              <w:rPr>
                <w:webHidden/>
              </w:rPr>
              <w:fldChar w:fldCharType="end"/>
            </w:r>
          </w:hyperlink>
        </w:p>
        <w:p w14:paraId="401B16CF" w14:textId="7841B71D"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7" w:history="1">
            <w:r w:rsidR="006F419C" w:rsidRPr="001B6C29">
              <w:rPr>
                <w:rStyle w:val="Hyperlink"/>
              </w:rPr>
              <w:t>1.4</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performance – revenue</w:t>
            </w:r>
            <w:r w:rsidR="006F419C">
              <w:rPr>
                <w:webHidden/>
              </w:rPr>
              <w:tab/>
            </w:r>
            <w:r w:rsidR="006F419C">
              <w:rPr>
                <w:webHidden/>
              </w:rPr>
              <w:fldChar w:fldCharType="begin"/>
            </w:r>
            <w:r w:rsidR="006F419C">
              <w:rPr>
                <w:webHidden/>
              </w:rPr>
              <w:instrText xml:space="preserve"> PAGEREF _Toc173428597 \h </w:instrText>
            </w:r>
            <w:r w:rsidR="006F419C">
              <w:rPr>
                <w:webHidden/>
              </w:rPr>
            </w:r>
            <w:r w:rsidR="006F419C">
              <w:rPr>
                <w:webHidden/>
              </w:rPr>
              <w:fldChar w:fldCharType="separate"/>
            </w:r>
            <w:r w:rsidR="001377BE">
              <w:rPr>
                <w:webHidden/>
              </w:rPr>
              <w:t>31</w:t>
            </w:r>
            <w:r w:rsidR="006F419C">
              <w:rPr>
                <w:webHidden/>
              </w:rPr>
              <w:fldChar w:fldCharType="end"/>
            </w:r>
          </w:hyperlink>
        </w:p>
        <w:p w14:paraId="6A46C8A8" w14:textId="7C7348D1"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8" w:history="1">
            <w:r w:rsidR="006F419C" w:rsidRPr="001B6C29">
              <w:rPr>
                <w:rStyle w:val="Hyperlink"/>
              </w:rPr>
              <w:t>1.5</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performance – expenditure</w:t>
            </w:r>
            <w:r w:rsidR="006F419C">
              <w:rPr>
                <w:webHidden/>
              </w:rPr>
              <w:tab/>
            </w:r>
            <w:r w:rsidR="006F419C">
              <w:rPr>
                <w:webHidden/>
              </w:rPr>
              <w:fldChar w:fldCharType="begin"/>
            </w:r>
            <w:r w:rsidR="006F419C">
              <w:rPr>
                <w:webHidden/>
              </w:rPr>
              <w:instrText xml:space="preserve"> PAGEREF _Toc173428598 \h </w:instrText>
            </w:r>
            <w:r w:rsidR="006F419C">
              <w:rPr>
                <w:webHidden/>
              </w:rPr>
            </w:r>
            <w:r w:rsidR="006F419C">
              <w:rPr>
                <w:webHidden/>
              </w:rPr>
              <w:fldChar w:fldCharType="separate"/>
            </w:r>
            <w:r w:rsidR="001377BE">
              <w:rPr>
                <w:webHidden/>
              </w:rPr>
              <w:t>33</w:t>
            </w:r>
            <w:r w:rsidR="006F419C">
              <w:rPr>
                <w:webHidden/>
              </w:rPr>
              <w:fldChar w:fldCharType="end"/>
            </w:r>
          </w:hyperlink>
        </w:p>
        <w:p w14:paraId="388CBD7B" w14:textId="1922B464"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599" w:history="1">
            <w:r w:rsidR="006F419C" w:rsidRPr="001B6C29">
              <w:rPr>
                <w:rStyle w:val="Hyperlink"/>
              </w:rPr>
              <w:t>1.6</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Operating performance</w:t>
            </w:r>
            <w:r w:rsidR="006F419C">
              <w:rPr>
                <w:webHidden/>
              </w:rPr>
              <w:tab/>
            </w:r>
            <w:r w:rsidR="006F419C">
              <w:rPr>
                <w:webHidden/>
              </w:rPr>
              <w:fldChar w:fldCharType="begin"/>
            </w:r>
            <w:r w:rsidR="006F419C">
              <w:rPr>
                <w:webHidden/>
              </w:rPr>
              <w:instrText xml:space="preserve"> PAGEREF _Toc173428599 \h </w:instrText>
            </w:r>
            <w:r w:rsidR="006F419C">
              <w:rPr>
                <w:webHidden/>
              </w:rPr>
            </w:r>
            <w:r w:rsidR="006F419C">
              <w:rPr>
                <w:webHidden/>
              </w:rPr>
              <w:fldChar w:fldCharType="separate"/>
            </w:r>
            <w:r w:rsidR="001377BE">
              <w:rPr>
                <w:webHidden/>
              </w:rPr>
              <w:t>34</w:t>
            </w:r>
            <w:r w:rsidR="006F419C">
              <w:rPr>
                <w:webHidden/>
              </w:rPr>
              <w:fldChar w:fldCharType="end"/>
            </w:r>
          </w:hyperlink>
        </w:p>
        <w:p w14:paraId="0A4DF978" w14:textId="38548C21"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00" w:history="1">
            <w:r w:rsidR="006F419C" w:rsidRPr="001B6C29">
              <w:rPr>
                <w:rStyle w:val="Hyperlink"/>
                <w:noProof/>
              </w:rPr>
              <w:t>2</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Residential care: residents and providers</w:t>
            </w:r>
            <w:r w:rsidR="006F419C">
              <w:rPr>
                <w:noProof/>
                <w:webHidden/>
              </w:rPr>
              <w:tab/>
            </w:r>
            <w:r w:rsidR="006F419C">
              <w:rPr>
                <w:noProof/>
                <w:webHidden/>
              </w:rPr>
              <w:fldChar w:fldCharType="begin"/>
            </w:r>
            <w:r w:rsidR="006F419C">
              <w:rPr>
                <w:noProof/>
                <w:webHidden/>
              </w:rPr>
              <w:instrText xml:space="preserve"> PAGEREF _Toc173428600 \h </w:instrText>
            </w:r>
            <w:r w:rsidR="006F419C">
              <w:rPr>
                <w:noProof/>
                <w:webHidden/>
              </w:rPr>
            </w:r>
            <w:r w:rsidR="006F419C">
              <w:rPr>
                <w:noProof/>
                <w:webHidden/>
              </w:rPr>
              <w:fldChar w:fldCharType="separate"/>
            </w:r>
            <w:r w:rsidR="001377BE">
              <w:rPr>
                <w:noProof/>
                <w:webHidden/>
              </w:rPr>
              <w:t>44</w:t>
            </w:r>
            <w:r w:rsidR="006F419C">
              <w:rPr>
                <w:noProof/>
                <w:webHidden/>
              </w:rPr>
              <w:fldChar w:fldCharType="end"/>
            </w:r>
          </w:hyperlink>
        </w:p>
        <w:p w14:paraId="6C6825A4" w14:textId="2BD72078"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1" w:history="1">
            <w:r w:rsidR="006F419C" w:rsidRPr="001B6C29">
              <w:rPr>
                <w:rStyle w:val="Hyperlink"/>
              </w:rPr>
              <w:t>2.1</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Residents</w:t>
            </w:r>
            <w:r w:rsidR="006F419C">
              <w:rPr>
                <w:webHidden/>
              </w:rPr>
              <w:tab/>
            </w:r>
            <w:r w:rsidR="006F419C">
              <w:rPr>
                <w:webHidden/>
              </w:rPr>
              <w:fldChar w:fldCharType="begin"/>
            </w:r>
            <w:r w:rsidR="006F419C">
              <w:rPr>
                <w:webHidden/>
              </w:rPr>
              <w:instrText xml:space="preserve"> PAGEREF _Toc173428601 \h </w:instrText>
            </w:r>
            <w:r w:rsidR="006F419C">
              <w:rPr>
                <w:webHidden/>
              </w:rPr>
            </w:r>
            <w:r w:rsidR="006F419C">
              <w:rPr>
                <w:webHidden/>
              </w:rPr>
              <w:fldChar w:fldCharType="separate"/>
            </w:r>
            <w:r w:rsidR="001377BE">
              <w:rPr>
                <w:webHidden/>
              </w:rPr>
              <w:t>44</w:t>
            </w:r>
            <w:r w:rsidR="006F419C">
              <w:rPr>
                <w:webHidden/>
              </w:rPr>
              <w:fldChar w:fldCharType="end"/>
            </w:r>
          </w:hyperlink>
        </w:p>
        <w:p w14:paraId="7278F57E" w14:textId="24E7927C"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2" w:history="1">
            <w:r w:rsidR="006F419C" w:rsidRPr="001B6C29">
              <w:rPr>
                <w:rStyle w:val="Hyperlink"/>
              </w:rPr>
              <w:t>2.2</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Providers</w:t>
            </w:r>
            <w:r w:rsidR="006F419C">
              <w:rPr>
                <w:webHidden/>
              </w:rPr>
              <w:tab/>
            </w:r>
            <w:r w:rsidR="006F419C">
              <w:rPr>
                <w:webHidden/>
              </w:rPr>
              <w:fldChar w:fldCharType="begin"/>
            </w:r>
            <w:r w:rsidR="006F419C">
              <w:rPr>
                <w:webHidden/>
              </w:rPr>
              <w:instrText xml:space="preserve"> PAGEREF _Toc173428602 \h </w:instrText>
            </w:r>
            <w:r w:rsidR="006F419C">
              <w:rPr>
                <w:webHidden/>
              </w:rPr>
            </w:r>
            <w:r w:rsidR="006F419C">
              <w:rPr>
                <w:webHidden/>
              </w:rPr>
              <w:fldChar w:fldCharType="separate"/>
            </w:r>
            <w:r w:rsidR="001377BE">
              <w:rPr>
                <w:webHidden/>
              </w:rPr>
              <w:t>53</w:t>
            </w:r>
            <w:r w:rsidR="006F419C">
              <w:rPr>
                <w:webHidden/>
              </w:rPr>
              <w:fldChar w:fldCharType="end"/>
            </w:r>
          </w:hyperlink>
        </w:p>
        <w:p w14:paraId="256ED8CA" w14:textId="7B929047"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03" w:history="1">
            <w:r w:rsidR="006F419C" w:rsidRPr="001B6C29">
              <w:rPr>
                <w:rStyle w:val="Hyperlink"/>
                <w:noProof/>
              </w:rPr>
              <w:t>3</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Residential care: financial performance</w:t>
            </w:r>
            <w:r w:rsidR="006F419C">
              <w:rPr>
                <w:noProof/>
                <w:webHidden/>
              </w:rPr>
              <w:tab/>
            </w:r>
            <w:r w:rsidR="006F419C">
              <w:rPr>
                <w:noProof/>
                <w:webHidden/>
              </w:rPr>
              <w:fldChar w:fldCharType="begin"/>
            </w:r>
            <w:r w:rsidR="006F419C">
              <w:rPr>
                <w:noProof/>
                <w:webHidden/>
              </w:rPr>
              <w:instrText xml:space="preserve"> PAGEREF _Toc173428603 \h </w:instrText>
            </w:r>
            <w:r w:rsidR="006F419C">
              <w:rPr>
                <w:noProof/>
                <w:webHidden/>
              </w:rPr>
            </w:r>
            <w:r w:rsidR="006F419C">
              <w:rPr>
                <w:noProof/>
                <w:webHidden/>
              </w:rPr>
              <w:fldChar w:fldCharType="separate"/>
            </w:r>
            <w:r w:rsidR="001377BE">
              <w:rPr>
                <w:noProof/>
                <w:webHidden/>
              </w:rPr>
              <w:t>57</w:t>
            </w:r>
            <w:r w:rsidR="006F419C">
              <w:rPr>
                <w:noProof/>
                <w:webHidden/>
              </w:rPr>
              <w:fldChar w:fldCharType="end"/>
            </w:r>
          </w:hyperlink>
        </w:p>
        <w:p w14:paraId="287F7428" w14:textId="1B9E3A95"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4" w:history="1">
            <w:r w:rsidR="006F419C" w:rsidRPr="001B6C29">
              <w:rPr>
                <w:rStyle w:val="Hyperlink"/>
              </w:rPr>
              <w:t>3.1</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Operational funding</w:t>
            </w:r>
            <w:r w:rsidR="006F419C">
              <w:rPr>
                <w:webHidden/>
              </w:rPr>
              <w:tab/>
            </w:r>
            <w:r w:rsidR="006F419C">
              <w:rPr>
                <w:webHidden/>
              </w:rPr>
              <w:fldChar w:fldCharType="begin"/>
            </w:r>
            <w:r w:rsidR="006F419C">
              <w:rPr>
                <w:webHidden/>
              </w:rPr>
              <w:instrText xml:space="preserve"> PAGEREF _Toc173428604 \h </w:instrText>
            </w:r>
            <w:r w:rsidR="006F419C">
              <w:rPr>
                <w:webHidden/>
              </w:rPr>
            </w:r>
            <w:r w:rsidR="006F419C">
              <w:rPr>
                <w:webHidden/>
              </w:rPr>
              <w:fldChar w:fldCharType="separate"/>
            </w:r>
            <w:r w:rsidR="001377BE">
              <w:rPr>
                <w:webHidden/>
              </w:rPr>
              <w:t>57</w:t>
            </w:r>
            <w:r w:rsidR="006F419C">
              <w:rPr>
                <w:webHidden/>
              </w:rPr>
              <w:fldChar w:fldCharType="end"/>
            </w:r>
          </w:hyperlink>
        </w:p>
        <w:p w14:paraId="3C97F3E7" w14:textId="703CFDBF"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5" w:history="1">
            <w:r w:rsidR="006F419C" w:rsidRPr="001B6C29">
              <w:rPr>
                <w:rStyle w:val="Hyperlink"/>
              </w:rPr>
              <w:t>3.2</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summary</w:t>
            </w:r>
            <w:r w:rsidR="006F419C">
              <w:rPr>
                <w:webHidden/>
              </w:rPr>
              <w:tab/>
            </w:r>
            <w:r w:rsidR="006F419C">
              <w:rPr>
                <w:webHidden/>
              </w:rPr>
              <w:fldChar w:fldCharType="begin"/>
            </w:r>
            <w:r w:rsidR="006F419C">
              <w:rPr>
                <w:webHidden/>
              </w:rPr>
              <w:instrText xml:space="preserve"> PAGEREF _Toc173428605 \h </w:instrText>
            </w:r>
            <w:r w:rsidR="006F419C">
              <w:rPr>
                <w:webHidden/>
              </w:rPr>
            </w:r>
            <w:r w:rsidR="006F419C">
              <w:rPr>
                <w:webHidden/>
              </w:rPr>
              <w:fldChar w:fldCharType="separate"/>
            </w:r>
            <w:r w:rsidR="001377BE">
              <w:rPr>
                <w:webHidden/>
              </w:rPr>
              <w:t>61</w:t>
            </w:r>
            <w:r w:rsidR="006F419C">
              <w:rPr>
                <w:webHidden/>
              </w:rPr>
              <w:fldChar w:fldCharType="end"/>
            </w:r>
          </w:hyperlink>
        </w:p>
        <w:p w14:paraId="2C74C8CD" w14:textId="0C85A8DA"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6" w:history="1">
            <w:r w:rsidR="006F419C" w:rsidRPr="001B6C29">
              <w:rPr>
                <w:rStyle w:val="Hyperlink"/>
              </w:rPr>
              <w:t>3.3</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performance – revenue</w:t>
            </w:r>
            <w:r w:rsidR="006F419C">
              <w:rPr>
                <w:webHidden/>
              </w:rPr>
              <w:tab/>
            </w:r>
            <w:r w:rsidR="006F419C">
              <w:rPr>
                <w:webHidden/>
              </w:rPr>
              <w:fldChar w:fldCharType="begin"/>
            </w:r>
            <w:r w:rsidR="006F419C">
              <w:rPr>
                <w:webHidden/>
              </w:rPr>
              <w:instrText xml:space="preserve"> PAGEREF _Toc173428606 \h </w:instrText>
            </w:r>
            <w:r w:rsidR="006F419C">
              <w:rPr>
                <w:webHidden/>
              </w:rPr>
            </w:r>
            <w:r w:rsidR="006F419C">
              <w:rPr>
                <w:webHidden/>
              </w:rPr>
              <w:fldChar w:fldCharType="separate"/>
            </w:r>
            <w:r w:rsidR="001377BE">
              <w:rPr>
                <w:webHidden/>
              </w:rPr>
              <w:t>68</w:t>
            </w:r>
            <w:r w:rsidR="006F419C">
              <w:rPr>
                <w:webHidden/>
              </w:rPr>
              <w:fldChar w:fldCharType="end"/>
            </w:r>
          </w:hyperlink>
        </w:p>
        <w:p w14:paraId="174818D2" w14:textId="0ED9B9D1"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7" w:history="1">
            <w:r w:rsidR="006F419C" w:rsidRPr="001B6C29">
              <w:rPr>
                <w:rStyle w:val="Hyperlink"/>
              </w:rPr>
              <w:t>3.4</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Financial performance – expenditure</w:t>
            </w:r>
            <w:r w:rsidR="006F419C">
              <w:rPr>
                <w:webHidden/>
              </w:rPr>
              <w:tab/>
            </w:r>
            <w:r w:rsidR="006F419C">
              <w:rPr>
                <w:webHidden/>
              </w:rPr>
              <w:fldChar w:fldCharType="begin"/>
            </w:r>
            <w:r w:rsidR="006F419C">
              <w:rPr>
                <w:webHidden/>
              </w:rPr>
              <w:instrText xml:space="preserve"> PAGEREF _Toc173428607 \h </w:instrText>
            </w:r>
            <w:r w:rsidR="006F419C">
              <w:rPr>
                <w:webHidden/>
              </w:rPr>
            </w:r>
            <w:r w:rsidR="006F419C">
              <w:rPr>
                <w:webHidden/>
              </w:rPr>
              <w:fldChar w:fldCharType="separate"/>
            </w:r>
            <w:r w:rsidR="001377BE">
              <w:rPr>
                <w:webHidden/>
              </w:rPr>
              <w:t>74</w:t>
            </w:r>
            <w:r w:rsidR="006F419C">
              <w:rPr>
                <w:webHidden/>
              </w:rPr>
              <w:fldChar w:fldCharType="end"/>
            </w:r>
          </w:hyperlink>
        </w:p>
        <w:p w14:paraId="43ECFA8B" w14:textId="7236BDE1"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08" w:history="1">
            <w:r w:rsidR="006F419C" w:rsidRPr="001B6C29">
              <w:rPr>
                <w:rStyle w:val="Hyperlink"/>
                <w:noProof/>
              </w:rPr>
              <w:t>4</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Residential care: balance sheet</w:t>
            </w:r>
            <w:r w:rsidR="006F419C">
              <w:rPr>
                <w:noProof/>
                <w:webHidden/>
              </w:rPr>
              <w:tab/>
            </w:r>
            <w:r w:rsidR="006F419C">
              <w:rPr>
                <w:noProof/>
                <w:webHidden/>
              </w:rPr>
              <w:fldChar w:fldCharType="begin"/>
            </w:r>
            <w:r w:rsidR="006F419C">
              <w:rPr>
                <w:noProof/>
                <w:webHidden/>
              </w:rPr>
              <w:instrText xml:space="preserve"> PAGEREF _Toc173428608 \h </w:instrText>
            </w:r>
            <w:r w:rsidR="006F419C">
              <w:rPr>
                <w:noProof/>
                <w:webHidden/>
              </w:rPr>
            </w:r>
            <w:r w:rsidR="006F419C">
              <w:rPr>
                <w:noProof/>
                <w:webHidden/>
              </w:rPr>
              <w:fldChar w:fldCharType="separate"/>
            </w:r>
            <w:r w:rsidR="001377BE">
              <w:rPr>
                <w:noProof/>
                <w:webHidden/>
              </w:rPr>
              <w:t>90</w:t>
            </w:r>
            <w:r w:rsidR="006F419C">
              <w:rPr>
                <w:noProof/>
                <w:webHidden/>
              </w:rPr>
              <w:fldChar w:fldCharType="end"/>
            </w:r>
          </w:hyperlink>
        </w:p>
        <w:p w14:paraId="7554808F" w14:textId="003938F2"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09" w:history="1">
            <w:r w:rsidR="006F419C" w:rsidRPr="001B6C29">
              <w:rPr>
                <w:rStyle w:val="Hyperlink"/>
              </w:rPr>
              <w:t>4.1</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Balance sheet</w:t>
            </w:r>
            <w:r w:rsidR="006F419C">
              <w:rPr>
                <w:webHidden/>
              </w:rPr>
              <w:tab/>
            </w:r>
            <w:r w:rsidR="006F419C">
              <w:rPr>
                <w:webHidden/>
              </w:rPr>
              <w:fldChar w:fldCharType="begin"/>
            </w:r>
            <w:r w:rsidR="006F419C">
              <w:rPr>
                <w:webHidden/>
              </w:rPr>
              <w:instrText xml:space="preserve"> PAGEREF _Toc173428609 \h </w:instrText>
            </w:r>
            <w:r w:rsidR="006F419C">
              <w:rPr>
                <w:webHidden/>
              </w:rPr>
            </w:r>
            <w:r w:rsidR="006F419C">
              <w:rPr>
                <w:webHidden/>
              </w:rPr>
              <w:fldChar w:fldCharType="separate"/>
            </w:r>
            <w:r w:rsidR="001377BE">
              <w:rPr>
                <w:webHidden/>
              </w:rPr>
              <w:t>91</w:t>
            </w:r>
            <w:r w:rsidR="006F419C">
              <w:rPr>
                <w:webHidden/>
              </w:rPr>
              <w:fldChar w:fldCharType="end"/>
            </w:r>
          </w:hyperlink>
        </w:p>
        <w:p w14:paraId="45D4D487" w14:textId="7272F0E8"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10" w:history="1">
            <w:r w:rsidR="006F419C" w:rsidRPr="001B6C29">
              <w:rPr>
                <w:rStyle w:val="Hyperlink"/>
                <w:noProof/>
              </w:rPr>
              <w:t>5</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Commonwealth Home Support Programme</w:t>
            </w:r>
            <w:r w:rsidR="006F419C">
              <w:rPr>
                <w:noProof/>
                <w:webHidden/>
              </w:rPr>
              <w:tab/>
            </w:r>
            <w:r w:rsidR="006F419C">
              <w:rPr>
                <w:noProof/>
                <w:webHidden/>
              </w:rPr>
              <w:fldChar w:fldCharType="begin"/>
            </w:r>
            <w:r w:rsidR="006F419C">
              <w:rPr>
                <w:noProof/>
                <w:webHidden/>
              </w:rPr>
              <w:instrText xml:space="preserve"> PAGEREF _Toc173428610 \h </w:instrText>
            </w:r>
            <w:r w:rsidR="006F419C">
              <w:rPr>
                <w:noProof/>
                <w:webHidden/>
              </w:rPr>
            </w:r>
            <w:r w:rsidR="006F419C">
              <w:rPr>
                <w:noProof/>
                <w:webHidden/>
              </w:rPr>
              <w:fldChar w:fldCharType="separate"/>
            </w:r>
            <w:r w:rsidR="001377BE">
              <w:rPr>
                <w:noProof/>
                <w:webHidden/>
              </w:rPr>
              <w:t>115</w:t>
            </w:r>
            <w:r w:rsidR="006F419C">
              <w:rPr>
                <w:noProof/>
                <w:webHidden/>
              </w:rPr>
              <w:fldChar w:fldCharType="end"/>
            </w:r>
          </w:hyperlink>
        </w:p>
        <w:p w14:paraId="10EA0C26" w14:textId="579046EE"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11" w:history="1">
            <w:r w:rsidR="006F419C" w:rsidRPr="001B6C29">
              <w:rPr>
                <w:rStyle w:val="Hyperlink"/>
              </w:rPr>
              <w:t>5.1</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Recipients</w:t>
            </w:r>
            <w:r w:rsidR="006F419C">
              <w:rPr>
                <w:webHidden/>
              </w:rPr>
              <w:tab/>
            </w:r>
            <w:r w:rsidR="006F419C">
              <w:rPr>
                <w:webHidden/>
              </w:rPr>
              <w:fldChar w:fldCharType="begin"/>
            </w:r>
            <w:r w:rsidR="006F419C">
              <w:rPr>
                <w:webHidden/>
              </w:rPr>
              <w:instrText xml:space="preserve"> PAGEREF _Toc173428611 \h </w:instrText>
            </w:r>
            <w:r w:rsidR="006F419C">
              <w:rPr>
                <w:webHidden/>
              </w:rPr>
            </w:r>
            <w:r w:rsidR="006F419C">
              <w:rPr>
                <w:webHidden/>
              </w:rPr>
              <w:fldChar w:fldCharType="separate"/>
            </w:r>
            <w:r w:rsidR="001377BE">
              <w:rPr>
                <w:webHidden/>
              </w:rPr>
              <w:t>115</w:t>
            </w:r>
            <w:r w:rsidR="006F419C">
              <w:rPr>
                <w:webHidden/>
              </w:rPr>
              <w:fldChar w:fldCharType="end"/>
            </w:r>
          </w:hyperlink>
        </w:p>
        <w:p w14:paraId="7DE0BDC1" w14:textId="3113B9CE" w:rsidR="006F419C" w:rsidRDefault="00902212">
          <w:pPr>
            <w:pStyle w:val="TOC2"/>
            <w:tabs>
              <w:tab w:val="left" w:pos="720"/>
            </w:tabs>
            <w:rPr>
              <w:rFonts w:asciiTheme="minorHAnsi" w:eastAsiaTheme="minorEastAsia" w:hAnsiTheme="minorHAnsi" w:cstheme="minorBidi"/>
              <w:bCs w:val="0"/>
              <w:color w:val="auto"/>
              <w:kern w:val="2"/>
              <w:sz w:val="22"/>
              <w:szCs w:val="22"/>
              <w:lang w:eastAsia="en-AU"/>
              <w14:ligatures w14:val="standardContextual"/>
            </w:rPr>
          </w:pPr>
          <w:hyperlink w:anchor="_Toc173428612" w:history="1">
            <w:r w:rsidR="006F419C" w:rsidRPr="001B6C29">
              <w:rPr>
                <w:rStyle w:val="Hyperlink"/>
              </w:rPr>
              <w:t>5.2</w:t>
            </w:r>
            <w:r w:rsidR="006F419C">
              <w:rPr>
                <w:rFonts w:asciiTheme="minorHAnsi" w:eastAsiaTheme="minorEastAsia" w:hAnsiTheme="minorHAnsi" w:cstheme="minorBidi"/>
                <w:bCs w:val="0"/>
                <w:color w:val="auto"/>
                <w:kern w:val="2"/>
                <w:sz w:val="22"/>
                <w:szCs w:val="22"/>
                <w:lang w:eastAsia="en-AU"/>
                <w14:ligatures w14:val="standardContextual"/>
              </w:rPr>
              <w:tab/>
            </w:r>
            <w:r w:rsidR="006F419C" w:rsidRPr="001B6C29">
              <w:rPr>
                <w:rStyle w:val="Hyperlink"/>
              </w:rPr>
              <w:t>Providers</w:t>
            </w:r>
            <w:r w:rsidR="006F419C">
              <w:rPr>
                <w:webHidden/>
              </w:rPr>
              <w:tab/>
            </w:r>
            <w:r w:rsidR="006F419C">
              <w:rPr>
                <w:webHidden/>
              </w:rPr>
              <w:fldChar w:fldCharType="begin"/>
            </w:r>
            <w:r w:rsidR="006F419C">
              <w:rPr>
                <w:webHidden/>
              </w:rPr>
              <w:instrText xml:space="preserve"> PAGEREF _Toc173428612 \h </w:instrText>
            </w:r>
            <w:r w:rsidR="006F419C">
              <w:rPr>
                <w:webHidden/>
              </w:rPr>
            </w:r>
            <w:r w:rsidR="006F419C">
              <w:rPr>
                <w:webHidden/>
              </w:rPr>
              <w:fldChar w:fldCharType="separate"/>
            </w:r>
            <w:r w:rsidR="001377BE">
              <w:rPr>
                <w:webHidden/>
              </w:rPr>
              <w:t>116</w:t>
            </w:r>
            <w:r w:rsidR="006F419C">
              <w:rPr>
                <w:webHidden/>
              </w:rPr>
              <w:fldChar w:fldCharType="end"/>
            </w:r>
          </w:hyperlink>
        </w:p>
        <w:p w14:paraId="31DC9EE8" w14:textId="13F453D8"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13" w:history="1">
            <w:r w:rsidR="006F419C" w:rsidRPr="001B6C29">
              <w:rPr>
                <w:rStyle w:val="Hyperlink"/>
                <w:noProof/>
              </w:rPr>
              <w:t>6</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Future demand for aged care</w:t>
            </w:r>
            <w:r w:rsidR="006F419C">
              <w:rPr>
                <w:noProof/>
                <w:webHidden/>
              </w:rPr>
              <w:tab/>
            </w:r>
            <w:r w:rsidR="006F419C">
              <w:rPr>
                <w:noProof/>
                <w:webHidden/>
              </w:rPr>
              <w:fldChar w:fldCharType="begin"/>
            </w:r>
            <w:r w:rsidR="006F419C">
              <w:rPr>
                <w:noProof/>
                <w:webHidden/>
              </w:rPr>
              <w:instrText xml:space="preserve"> PAGEREF _Toc173428613 \h </w:instrText>
            </w:r>
            <w:r w:rsidR="006F419C">
              <w:rPr>
                <w:noProof/>
                <w:webHidden/>
              </w:rPr>
            </w:r>
            <w:r w:rsidR="006F419C">
              <w:rPr>
                <w:noProof/>
                <w:webHidden/>
              </w:rPr>
              <w:fldChar w:fldCharType="separate"/>
            </w:r>
            <w:r w:rsidR="001377BE">
              <w:rPr>
                <w:noProof/>
                <w:webHidden/>
              </w:rPr>
              <w:t>120</w:t>
            </w:r>
            <w:r w:rsidR="006F419C">
              <w:rPr>
                <w:noProof/>
                <w:webHidden/>
              </w:rPr>
              <w:fldChar w:fldCharType="end"/>
            </w:r>
          </w:hyperlink>
        </w:p>
        <w:p w14:paraId="77C9059E" w14:textId="27266B93"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14" w:history="1">
            <w:r w:rsidR="006F419C" w:rsidRPr="001B6C29">
              <w:rPr>
                <w:rStyle w:val="Hyperlink"/>
                <w:noProof/>
              </w:rPr>
              <w:t>7</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Appendices</w:t>
            </w:r>
            <w:r w:rsidR="006F419C">
              <w:rPr>
                <w:noProof/>
                <w:webHidden/>
              </w:rPr>
              <w:tab/>
            </w:r>
            <w:r w:rsidR="006F419C">
              <w:rPr>
                <w:noProof/>
                <w:webHidden/>
              </w:rPr>
              <w:fldChar w:fldCharType="begin"/>
            </w:r>
            <w:r w:rsidR="006F419C">
              <w:rPr>
                <w:noProof/>
                <w:webHidden/>
              </w:rPr>
              <w:instrText xml:space="preserve"> PAGEREF _Toc173428614 \h </w:instrText>
            </w:r>
            <w:r w:rsidR="006F419C">
              <w:rPr>
                <w:noProof/>
                <w:webHidden/>
              </w:rPr>
            </w:r>
            <w:r w:rsidR="006F419C">
              <w:rPr>
                <w:noProof/>
                <w:webHidden/>
              </w:rPr>
              <w:fldChar w:fldCharType="separate"/>
            </w:r>
            <w:r w:rsidR="001377BE">
              <w:rPr>
                <w:noProof/>
                <w:webHidden/>
              </w:rPr>
              <w:t>130</w:t>
            </w:r>
            <w:r w:rsidR="006F419C">
              <w:rPr>
                <w:noProof/>
                <w:webHidden/>
              </w:rPr>
              <w:fldChar w:fldCharType="end"/>
            </w:r>
          </w:hyperlink>
        </w:p>
        <w:p w14:paraId="75E96858" w14:textId="11CCCDA8"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15" w:history="1">
            <w:r w:rsidR="006F419C" w:rsidRPr="001B6C29">
              <w:rPr>
                <w:rStyle w:val="Hyperlink"/>
                <w:noProof/>
              </w:rPr>
              <w:t>8</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Glossary</w:t>
            </w:r>
            <w:r w:rsidR="006F419C">
              <w:rPr>
                <w:noProof/>
                <w:webHidden/>
              </w:rPr>
              <w:tab/>
            </w:r>
            <w:r w:rsidR="006F419C">
              <w:rPr>
                <w:noProof/>
                <w:webHidden/>
              </w:rPr>
              <w:fldChar w:fldCharType="begin"/>
            </w:r>
            <w:r w:rsidR="006F419C">
              <w:rPr>
                <w:noProof/>
                <w:webHidden/>
              </w:rPr>
              <w:instrText xml:space="preserve"> PAGEREF _Toc173428615 \h </w:instrText>
            </w:r>
            <w:r w:rsidR="006F419C">
              <w:rPr>
                <w:noProof/>
                <w:webHidden/>
              </w:rPr>
            </w:r>
            <w:r w:rsidR="006F419C">
              <w:rPr>
                <w:noProof/>
                <w:webHidden/>
              </w:rPr>
              <w:fldChar w:fldCharType="separate"/>
            </w:r>
            <w:r w:rsidR="001377BE">
              <w:rPr>
                <w:noProof/>
                <w:webHidden/>
              </w:rPr>
              <w:t>153</w:t>
            </w:r>
            <w:r w:rsidR="006F419C">
              <w:rPr>
                <w:noProof/>
                <w:webHidden/>
              </w:rPr>
              <w:fldChar w:fldCharType="end"/>
            </w:r>
          </w:hyperlink>
        </w:p>
        <w:p w14:paraId="1654F22E" w14:textId="3A1A2170" w:rsidR="006F419C" w:rsidRDefault="00902212">
          <w:pPr>
            <w:pStyle w:val="TOC1"/>
            <w:rPr>
              <w:rFonts w:asciiTheme="minorHAnsi" w:eastAsiaTheme="minorEastAsia" w:hAnsiTheme="minorHAnsi" w:cstheme="minorBidi"/>
              <w:b w:val="0"/>
              <w:noProof/>
              <w:color w:val="auto"/>
              <w:kern w:val="2"/>
              <w:sz w:val="22"/>
              <w:szCs w:val="22"/>
              <w:lang w:eastAsia="en-AU"/>
              <w14:ligatures w14:val="standardContextual"/>
            </w:rPr>
          </w:pPr>
          <w:hyperlink w:anchor="_Toc173428616" w:history="1">
            <w:r w:rsidR="006F419C" w:rsidRPr="001B6C29">
              <w:rPr>
                <w:rStyle w:val="Hyperlink"/>
                <w:noProof/>
              </w:rPr>
              <w:t>9</w:t>
            </w:r>
            <w:r w:rsidR="006F419C">
              <w:rPr>
                <w:rFonts w:asciiTheme="minorHAnsi" w:eastAsiaTheme="minorEastAsia" w:hAnsiTheme="minorHAnsi" w:cstheme="minorBidi"/>
                <w:b w:val="0"/>
                <w:noProof/>
                <w:color w:val="auto"/>
                <w:kern w:val="2"/>
                <w:sz w:val="22"/>
                <w:szCs w:val="22"/>
                <w:lang w:eastAsia="en-AU"/>
                <w14:ligatures w14:val="standardContextual"/>
              </w:rPr>
              <w:tab/>
            </w:r>
            <w:r w:rsidR="006F419C" w:rsidRPr="001B6C29">
              <w:rPr>
                <w:rStyle w:val="Hyperlink"/>
                <w:noProof/>
              </w:rPr>
              <w:t>Charts, tables and figures index</w:t>
            </w:r>
            <w:r w:rsidR="006F419C">
              <w:rPr>
                <w:noProof/>
                <w:webHidden/>
              </w:rPr>
              <w:tab/>
            </w:r>
            <w:r w:rsidR="006F419C">
              <w:rPr>
                <w:noProof/>
                <w:webHidden/>
              </w:rPr>
              <w:fldChar w:fldCharType="begin"/>
            </w:r>
            <w:r w:rsidR="006F419C">
              <w:rPr>
                <w:noProof/>
                <w:webHidden/>
              </w:rPr>
              <w:instrText xml:space="preserve"> PAGEREF _Toc173428616 \h </w:instrText>
            </w:r>
            <w:r w:rsidR="006F419C">
              <w:rPr>
                <w:noProof/>
                <w:webHidden/>
              </w:rPr>
            </w:r>
            <w:r w:rsidR="006F419C">
              <w:rPr>
                <w:noProof/>
                <w:webHidden/>
              </w:rPr>
              <w:fldChar w:fldCharType="separate"/>
            </w:r>
            <w:r w:rsidR="001377BE">
              <w:rPr>
                <w:noProof/>
                <w:webHidden/>
              </w:rPr>
              <w:t>159</w:t>
            </w:r>
            <w:r w:rsidR="006F419C">
              <w:rPr>
                <w:noProof/>
                <w:webHidden/>
              </w:rPr>
              <w:fldChar w:fldCharType="end"/>
            </w:r>
          </w:hyperlink>
        </w:p>
        <w:p w14:paraId="78100B3E" w14:textId="77777777" w:rsidR="006F4F12" w:rsidRDefault="00E07FCA" w:rsidP="00706D0A">
          <w:r>
            <w:rPr>
              <w:b/>
              <w:noProof/>
            </w:rPr>
            <w:fldChar w:fldCharType="end"/>
          </w:r>
        </w:p>
      </w:sdtContent>
    </w:sdt>
    <w:p w14:paraId="18634CC9" w14:textId="76F38A5D" w:rsidR="005E2953" w:rsidRDefault="005E2953" w:rsidP="00706D0A">
      <w:r>
        <w:br w:type="page"/>
      </w:r>
    </w:p>
    <w:p w14:paraId="7A2D551E" w14:textId="00872B27" w:rsidR="00E07FCA" w:rsidRDefault="00E07FCA" w:rsidP="004E771D">
      <w:pPr>
        <w:pStyle w:val="Heading1"/>
        <w:numPr>
          <w:ilvl w:val="0"/>
          <w:numId w:val="0"/>
        </w:numPr>
        <w:ind w:left="432" w:hanging="432"/>
      </w:pPr>
      <w:bookmarkStart w:id="4" w:name="_Toc173428589"/>
      <w:r>
        <w:t>Introduction</w:t>
      </w:r>
      <w:bookmarkEnd w:id="4"/>
    </w:p>
    <w:p w14:paraId="337E2784" w14:textId="2B7FFEB4" w:rsidR="00E07FCA" w:rsidRPr="009F4CA9" w:rsidRDefault="00E07FCA" w:rsidP="00706D0A">
      <w:pPr>
        <w:pStyle w:val="PullOut"/>
      </w:pPr>
      <w:r w:rsidRPr="009F4CA9">
        <w:t xml:space="preserve">The Department of Health and Aged Care </w:t>
      </w:r>
      <w:r w:rsidR="006D031D">
        <w:t xml:space="preserve">(the department) </w:t>
      </w:r>
      <w:r w:rsidRPr="009F4CA9">
        <w:t xml:space="preserve">has prepared the Financial Report on the Australian Aged Care Sector </w:t>
      </w:r>
      <w:r w:rsidR="008863C2" w:rsidRPr="009F4CA9">
        <w:t xml:space="preserve">2022-23 </w:t>
      </w:r>
      <w:r w:rsidRPr="009F4CA9">
        <w:t>to share data and analysis on the financial performance of the sector.</w:t>
      </w:r>
    </w:p>
    <w:p w14:paraId="2B1E6D34" w14:textId="374FC4BD" w:rsidR="006B737F" w:rsidRPr="009F4CA9" w:rsidRDefault="006B737F" w:rsidP="00706D0A">
      <w:r w:rsidRPr="009F4CA9">
        <w:t>This report covers home care (including the Commonwealth Home Support Programme) and residential aged care.</w:t>
      </w:r>
      <w:r w:rsidR="00A91697">
        <w:rPr>
          <w:rStyle w:val="FootnoteReference"/>
        </w:rPr>
        <w:footnoteReference w:id="2"/>
      </w:r>
    </w:p>
    <w:p w14:paraId="49502082" w14:textId="18B35CB4" w:rsidR="006B737F" w:rsidRPr="009F4CA9" w:rsidRDefault="006B737F" w:rsidP="00706D0A">
      <w:r w:rsidRPr="009F4CA9">
        <w:t xml:space="preserve">The Financial Report on the Australian Aged Care Sector (FRAACS) is based on providers’ performance for the </w:t>
      </w:r>
      <w:r w:rsidR="00D76855" w:rsidRPr="009F4CA9">
        <w:t>2022-23</w:t>
      </w:r>
      <w:r w:rsidRPr="009F4CA9">
        <w:t xml:space="preserve"> financial year and shows relevant comparisons from previous years.</w:t>
      </w:r>
    </w:p>
    <w:p w14:paraId="21FBF30B" w14:textId="7D982673" w:rsidR="006B737F" w:rsidRPr="009F4CA9" w:rsidRDefault="006B737F" w:rsidP="00706D0A">
      <w:pPr>
        <w:rPr>
          <w:rStyle w:val="Strong"/>
        </w:rPr>
      </w:pPr>
      <w:r w:rsidRPr="009F4CA9">
        <w:rPr>
          <w:rStyle w:val="Strong"/>
        </w:rPr>
        <w:t>The objective of th</w:t>
      </w:r>
      <w:r w:rsidR="008A371D">
        <w:rPr>
          <w:rStyle w:val="Strong"/>
        </w:rPr>
        <w:t>e</w:t>
      </w:r>
      <w:r w:rsidRPr="009F4CA9">
        <w:rPr>
          <w:rStyle w:val="Strong"/>
        </w:rPr>
        <w:t xml:space="preserve"> report is to increase aged care sector</w:t>
      </w:r>
      <w:r w:rsidR="008A371D" w:rsidRPr="008A371D">
        <w:rPr>
          <w:rStyle w:val="Strong"/>
        </w:rPr>
        <w:t xml:space="preserve"> </w:t>
      </w:r>
      <w:r w:rsidR="008A371D" w:rsidRPr="009F4CA9">
        <w:rPr>
          <w:rStyle w:val="Strong"/>
        </w:rPr>
        <w:t>transparency</w:t>
      </w:r>
      <w:r w:rsidRPr="009F4CA9">
        <w:rPr>
          <w:rStyle w:val="Strong"/>
        </w:rPr>
        <w:t xml:space="preserve"> </w:t>
      </w:r>
      <w:r w:rsidR="00634CE3">
        <w:rPr>
          <w:rStyle w:val="Strong"/>
        </w:rPr>
        <w:t xml:space="preserve">and provide an overview of the </w:t>
      </w:r>
      <w:r w:rsidR="008A371D">
        <w:rPr>
          <w:rStyle w:val="Strong"/>
        </w:rPr>
        <w:t>sector’s</w:t>
      </w:r>
      <w:r w:rsidR="00634CE3">
        <w:rPr>
          <w:rStyle w:val="Strong"/>
        </w:rPr>
        <w:t xml:space="preserve"> financial performance</w:t>
      </w:r>
      <w:r w:rsidR="00706737">
        <w:rPr>
          <w:rStyle w:val="Strong"/>
        </w:rPr>
        <w:t xml:space="preserve">. </w:t>
      </w:r>
    </w:p>
    <w:p w14:paraId="59A7C257" w14:textId="77777777" w:rsidR="006B737F" w:rsidRPr="009F4CA9" w:rsidRDefault="006B737F" w:rsidP="00706D0A">
      <w:pPr>
        <w:rPr>
          <w:b/>
        </w:rPr>
      </w:pPr>
      <w:r w:rsidRPr="009F4CA9">
        <w:rPr>
          <w:rStyle w:val="Strong"/>
        </w:rPr>
        <w:t>Aged care service providers can also use the report to compare their own financial performance with sector-level results.</w:t>
      </w:r>
      <w:r w:rsidRPr="009F4CA9">
        <w:rPr>
          <w:b/>
        </w:rPr>
        <w:t xml:space="preserve"> </w:t>
      </w:r>
    </w:p>
    <w:p w14:paraId="13D7592D" w14:textId="2D928955" w:rsidR="006B737F" w:rsidRPr="009F4CA9" w:rsidRDefault="008A371D" w:rsidP="00706D0A">
      <w:r>
        <w:t>F</w:t>
      </w:r>
      <w:r w:rsidR="006B737F" w:rsidRPr="009F4CA9">
        <w:t>inancial information submitted by providers through the Aged Care Financial Report (ACFR)</w:t>
      </w:r>
      <w:r w:rsidR="00073A60">
        <w:t xml:space="preserve"> is used to produce</w:t>
      </w:r>
      <w:r w:rsidR="006B737F" w:rsidRPr="009F4CA9">
        <w:t xml:space="preserve"> the </w:t>
      </w:r>
      <w:r w:rsidR="00073A60">
        <w:t>report.</w:t>
      </w:r>
      <w:r w:rsidR="006B737F" w:rsidRPr="009F4CA9">
        <w:t xml:space="preserve"> </w:t>
      </w:r>
      <w:r w:rsidR="00073A60">
        <w:t>T</w:t>
      </w:r>
      <w:r w:rsidR="006B737F" w:rsidRPr="009F4CA9">
        <w:t xml:space="preserve">he FRAACS </w:t>
      </w:r>
      <w:r w:rsidR="003B6187">
        <w:t>is</w:t>
      </w:r>
      <w:r w:rsidR="006B737F" w:rsidRPr="009F4CA9">
        <w:t xml:space="preserve"> </w:t>
      </w:r>
      <w:r w:rsidR="00026E9F">
        <w:t>the</w:t>
      </w:r>
      <w:r w:rsidR="006B737F" w:rsidRPr="009F4CA9">
        <w:t xml:space="preserve"> annual record of the aged care sector’s financial performance.</w:t>
      </w:r>
      <w:r w:rsidR="00AA5E77">
        <w:t xml:space="preserve"> </w:t>
      </w:r>
      <w:r w:rsidR="004F4C3A">
        <w:t xml:space="preserve">There </w:t>
      </w:r>
      <w:r w:rsidR="086A3B91">
        <w:t>we</w:t>
      </w:r>
      <w:r w:rsidR="00226AB2">
        <w:t xml:space="preserve">re </w:t>
      </w:r>
      <w:r w:rsidR="004F4C3A">
        <w:t xml:space="preserve">846 home care providers </w:t>
      </w:r>
      <w:r w:rsidR="00226AB2">
        <w:t xml:space="preserve">and </w:t>
      </w:r>
      <w:r>
        <w:br/>
      </w:r>
      <w:r w:rsidR="00CA4008">
        <w:t xml:space="preserve">768 residential aged care providers </w:t>
      </w:r>
      <w:r w:rsidR="001B6FAC">
        <w:t>that reported through the ACFR</w:t>
      </w:r>
      <w:r w:rsidR="4BAF6EDD">
        <w:t>,</w:t>
      </w:r>
      <w:r w:rsidR="001B6FAC">
        <w:t xml:space="preserve"> </w:t>
      </w:r>
      <w:r w:rsidR="65951E77">
        <w:t>n</w:t>
      </w:r>
      <w:r w:rsidR="00A0472A">
        <w:t>oting some providers deliver both home care and residential aged care and are include</w:t>
      </w:r>
      <w:r w:rsidR="0636620E">
        <w:t>d</w:t>
      </w:r>
      <w:r w:rsidR="00A0472A">
        <w:t xml:space="preserve"> in both figures</w:t>
      </w:r>
      <w:r w:rsidR="00A32BEC">
        <w:rPr>
          <w:rStyle w:val="FootnoteReference"/>
        </w:rPr>
        <w:footnoteReference w:id="3"/>
      </w:r>
      <w:r w:rsidR="00A0472A">
        <w:t xml:space="preserve">. </w:t>
      </w:r>
      <w:r w:rsidR="001B6FAC">
        <w:t xml:space="preserve"> </w:t>
      </w:r>
    </w:p>
    <w:p w14:paraId="4784D775" w14:textId="7EFED28E" w:rsidR="006B737F" w:rsidRPr="009F4CA9" w:rsidRDefault="00E9013A" w:rsidP="00706D0A">
      <w:r>
        <w:t>The report</w:t>
      </w:r>
      <w:r w:rsidRPr="009F4CA9">
        <w:t xml:space="preserve"> </w:t>
      </w:r>
      <w:r w:rsidR="006B737F" w:rsidRPr="009F4CA9">
        <w:t>complements other transparency measures implemented by the department</w:t>
      </w:r>
      <w:r w:rsidR="002770E7">
        <w:t xml:space="preserve"> to help older people, their families and carers to make informed care decisions</w:t>
      </w:r>
      <w:r w:rsidR="006B737F" w:rsidRPr="009F4CA9">
        <w:t>, including:</w:t>
      </w:r>
    </w:p>
    <w:p w14:paraId="0CC40B39" w14:textId="2DF7050E" w:rsidR="007128ED" w:rsidRDefault="003F1868" w:rsidP="007128ED">
      <w:pPr>
        <w:pStyle w:val="ListBullet"/>
      </w:pPr>
      <w:r>
        <w:t>S</w:t>
      </w:r>
      <w:r w:rsidR="009F4960">
        <w:t xml:space="preserve">ervice-level </w:t>
      </w:r>
      <w:r w:rsidR="007128ED">
        <w:t>financ</w:t>
      </w:r>
      <w:r w:rsidR="00E9013A">
        <w:t>e</w:t>
      </w:r>
      <w:r w:rsidR="007128ED">
        <w:t xml:space="preserve"> and operations </w:t>
      </w:r>
      <w:r w:rsidR="00E9013A">
        <w:t xml:space="preserve">information </w:t>
      </w:r>
      <w:r w:rsidR="007128ED">
        <w:t xml:space="preserve">on My Aged Care </w:t>
      </w:r>
      <w:r w:rsidR="00AC3A13">
        <w:t xml:space="preserve">via </w:t>
      </w:r>
      <w:r w:rsidR="6507F67B">
        <w:t>the</w:t>
      </w:r>
      <w:r w:rsidR="157268C6">
        <w:t xml:space="preserve"> </w:t>
      </w:r>
      <w:r w:rsidR="00AC3A13">
        <w:t xml:space="preserve">Find a Provider tool. </w:t>
      </w:r>
      <w:r w:rsidR="009F4960">
        <w:t>This</w:t>
      </w:r>
      <w:r w:rsidR="00702E60">
        <w:t xml:space="preserve"> includes</w:t>
      </w:r>
      <w:r w:rsidR="009F4960">
        <w:t xml:space="preserve"> </w:t>
      </w:r>
      <w:r w:rsidR="007128ED">
        <w:t>income, expenditure and profits or losses for residential and home care providers at regular intervals</w:t>
      </w:r>
      <w:r w:rsidR="00702E60">
        <w:t xml:space="preserve">. </w:t>
      </w:r>
    </w:p>
    <w:p w14:paraId="4E4A819D" w14:textId="687A4D0E" w:rsidR="006B737F" w:rsidRPr="009A0389" w:rsidRDefault="006B737F" w:rsidP="00706D0A">
      <w:pPr>
        <w:pStyle w:val="ListBullet"/>
      </w:pPr>
      <w:r w:rsidRPr="009A0389">
        <w:t>Quarterly Financial Snapshots (QFS) on the financial performance of the aged care sector</w:t>
      </w:r>
      <w:r w:rsidR="00004873">
        <w:rPr>
          <w:rStyle w:val="FootnoteReference"/>
        </w:rPr>
        <w:footnoteReference w:id="4"/>
      </w:r>
      <w:r w:rsidRPr="009A0389">
        <w:t>.</w:t>
      </w:r>
    </w:p>
    <w:p w14:paraId="1B5B4346" w14:textId="2CBE96FD" w:rsidR="006B737F" w:rsidRPr="00206602" w:rsidRDefault="0023085B" w:rsidP="00706D0A">
      <w:pPr>
        <w:pStyle w:val="ListBullet"/>
      </w:pPr>
      <w:r>
        <w:t xml:space="preserve">Regularly updated </w:t>
      </w:r>
      <w:r w:rsidR="006B737F" w:rsidRPr="00206602">
        <w:t xml:space="preserve">Star </w:t>
      </w:r>
      <w:r w:rsidR="00B832DA">
        <w:t>R</w:t>
      </w:r>
      <w:r w:rsidR="006B737F" w:rsidRPr="00206602">
        <w:t xml:space="preserve">atings for </w:t>
      </w:r>
      <w:r>
        <w:t>each</w:t>
      </w:r>
      <w:r w:rsidR="006B737F" w:rsidRPr="00206602">
        <w:t xml:space="preserve"> residential aged care </w:t>
      </w:r>
      <w:r>
        <w:t>home.</w:t>
      </w:r>
    </w:p>
    <w:p w14:paraId="173082BD" w14:textId="58A38BCB" w:rsidR="006B737F" w:rsidRPr="00206602" w:rsidRDefault="009A0389" w:rsidP="00706D0A">
      <w:pPr>
        <w:pStyle w:val="ListBullet"/>
      </w:pPr>
      <w:r w:rsidRPr="00206602">
        <w:t>Ongoing</w:t>
      </w:r>
      <w:r w:rsidR="006B737F" w:rsidRPr="00206602">
        <w:t xml:space="preserve"> quarterly food and nutrition reporting details trends and analysis on food and nutrition expenditure in residential care.</w:t>
      </w:r>
    </w:p>
    <w:p w14:paraId="3B1449E1" w14:textId="57524CBA" w:rsidR="006B737F" w:rsidRDefault="007B1858" w:rsidP="00706D0A">
      <w:pPr>
        <w:pStyle w:val="ListBullet"/>
      </w:pPr>
      <w:r>
        <w:t>N</w:t>
      </w:r>
      <w:r w:rsidR="006B737F" w:rsidRPr="00206602">
        <w:t>on-</w:t>
      </w:r>
      <w:r w:rsidR="00AF4F56">
        <w:t>g</w:t>
      </w:r>
      <w:r w:rsidR="00AF4F56" w:rsidRPr="00206602">
        <w:t xml:space="preserve">overnment </w:t>
      </w:r>
      <w:r w:rsidR="006B737F" w:rsidRPr="00206602">
        <w:t xml:space="preserve">residential providers </w:t>
      </w:r>
      <w:r w:rsidR="000824F2">
        <w:t>publish</w:t>
      </w:r>
      <w:r w:rsidR="00AC1BA8">
        <w:t xml:space="preserve"> a</w:t>
      </w:r>
      <w:r w:rsidR="006B737F" w:rsidRPr="00206602">
        <w:t xml:space="preserve"> General Purpose Financial Report (GPFR) within </w:t>
      </w:r>
      <w:r w:rsidR="3E0CB920">
        <w:t>five</w:t>
      </w:r>
      <w:r w:rsidR="006B737F" w:rsidRPr="00206602">
        <w:t xml:space="preserve"> months of the end of the provider's financial year.</w:t>
      </w:r>
    </w:p>
    <w:p w14:paraId="1C3D9A5C" w14:textId="300F9D05" w:rsidR="00345469" w:rsidRPr="00206602" w:rsidRDefault="00AC1BA8" w:rsidP="000E12C1">
      <w:pPr>
        <w:pStyle w:val="ListBullet"/>
      </w:pPr>
      <w:r>
        <w:t xml:space="preserve">The care minutes </w:t>
      </w:r>
      <w:r w:rsidR="00B519BE">
        <w:t xml:space="preserve">quarterly </w:t>
      </w:r>
      <w:r w:rsidR="00345469" w:rsidRPr="00345469">
        <w:t xml:space="preserve">dashboard </w:t>
      </w:r>
      <w:r w:rsidR="003A179E">
        <w:t xml:space="preserve">shows </w:t>
      </w:r>
      <w:r w:rsidR="00345469" w:rsidRPr="00345469">
        <w:t xml:space="preserve">high level information on </w:t>
      </w:r>
      <w:r w:rsidR="00E07FB8">
        <w:t xml:space="preserve">the </w:t>
      </w:r>
      <w:r w:rsidR="00345469" w:rsidRPr="00345469">
        <w:t xml:space="preserve">care </w:t>
      </w:r>
      <w:r w:rsidR="000824F2">
        <w:t>time provided</w:t>
      </w:r>
      <w:r w:rsidR="000824F2" w:rsidRPr="00345469">
        <w:t xml:space="preserve"> </w:t>
      </w:r>
      <w:r w:rsidR="00345469" w:rsidRPr="00345469">
        <w:t>in residential aged care.</w:t>
      </w:r>
    </w:p>
    <w:p w14:paraId="4911E173" w14:textId="616E8D0D" w:rsidR="00054CC9" w:rsidRPr="00204428" w:rsidRDefault="009406C6" w:rsidP="00206602">
      <w:r>
        <w:t>To</w:t>
      </w:r>
      <w:r w:rsidR="00780C0F">
        <w:t xml:space="preserve"> </w:t>
      </w:r>
      <w:r w:rsidR="005C4048">
        <w:t xml:space="preserve">further </w:t>
      </w:r>
      <w:r w:rsidR="002646BF">
        <w:t>build</w:t>
      </w:r>
      <w:r w:rsidR="005C4048">
        <w:t xml:space="preserve"> </w:t>
      </w:r>
      <w:r w:rsidR="00012D83">
        <w:t>on</w:t>
      </w:r>
      <w:r w:rsidR="005C4048">
        <w:t xml:space="preserve"> the transparency and accountability </w:t>
      </w:r>
      <w:r w:rsidR="00012D83">
        <w:t>initiatives</w:t>
      </w:r>
      <w:r w:rsidR="006B737F" w:rsidRPr="00206602">
        <w:t xml:space="preserve">, </w:t>
      </w:r>
      <w:r w:rsidR="00206602">
        <w:t xml:space="preserve">the department </w:t>
      </w:r>
      <w:r w:rsidR="00474DF8">
        <w:t>published</w:t>
      </w:r>
      <w:r w:rsidR="00206602">
        <w:t xml:space="preserve"> the</w:t>
      </w:r>
      <w:r w:rsidR="007F7F9B" w:rsidRPr="00206602">
        <w:t xml:space="preserve"> </w:t>
      </w:r>
      <w:hyperlink r:id="rId23">
        <w:r w:rsidR="007F7F9B" w:rsidRPr="76D614F4">
          <w:rPr>
            <w:rStyle w:val="Hyperlink"/>
          </w:rPr>
          <w:t>Aged Care Data and Digital Strategy</w:t>
        </w:r>
        <w:r w:rsidR="004C1FE1" w:rsidRPr="76D614F4">
          <w:rPr>
            <w:rStyle w:val="Hyperlink"/>
          </w:rPr>
          <w:t xml:space="preserve"> </w:t>
        </w:r>
        <w:r w:rsidR="00250734" w:rsidRPr="76D614F4">
          <w:rPr>
            <w:rStyle w:val="Hyperlink"/>
          </w:rPr>
          <w:t xml:space="preserve">(the Strategy) </w:t>
        </w:r>
        <w:r w:rsidR="00372C89" w:rsidRPr="76D614F4">
          <w:rPr>
            <w:rStyle w:val="Hyperlink"/>
          </w:rPr>
          <w:t>2024-29</w:t>
        </w:r>
      </w:hyperlink>
      <w:r w:rsidR="00372C89">
        <w:t xml:space="preserve"> </w:t>
      </w:r>
      <w:r w:rsidR="004C1FE1">
        <w:t xml:space="preserve">in </w:t>
      </w:r>
      <w:r w:rsidR="00372C89">
        <w:t xml:space="preserve">July </w:t>
      </w:r>
      <w:r w:rsidR="004C1FE1">
        <w:t>2024</w:t>
      </w:r>
      <w:r w:rsidR="00265076">
        <w:t xml:space="preserve"> with </w:t>
      </w:r>
      <w:r w:rsidR="6FDC55FC">
        <w:t>t</w:t>
      </w:r>
      <w:r w:rsidR="00211E12">
        <w:t xml:space="preserve">he </w:t>
      </w:r>
      <w:r w:rsidR="00C0009B">
        <w:t>A</w:t>
      </w:r>
      <w:r w:rsidR="003343CB">
        <w:t xml:space="preserve">ction </w:t>
      </w:r>
      <w:r w:rsidR="00C0009B">
        <w:t>P</w:t>
      </w:r>
      <w:r w:rsidR="003343CB">
        <w:t>lan</w:t>
      </w:r>
      <w:r w:rsidR="00D10A0C">
        <w:t xml:space="preserve"> (the Plan)</w:t>
      </w:r>
      <w:r w:rsidR="003343CB">
        <w:t xml:space="preserve"> </w:t>
      </w:r>
      <w:r w:rsidR="00250734">
        <w:t>underpinning how the department will deliver the Strategy.</w:t>
      </w:r>
      <w:r w:rsidR="007F7F9B" w:rsidRPr="00206602">
        <w:t xml:space="preserve"> </w:t>
      </w:r>
      <w:r w:rsidR="00143D87">
        <w:t xml:space="preserve">The strategy </w:t>
      </w:r>
      <w:r w:rsidR="0019544E">
        <w:t xml:space="preserve">and the </w:t>
      </w:r>
      <w:r w:rsidR="00B3378E">
        <w:t>P</w:t>
      </w:r>
      <w:r w:rsidR="0019544E">
        <w:t xml:space="preserve">lan </w:t>
      </w:r>
      <w:r w:rsidR="001152D7">
        <w:t>outline</w:t>
      </w:r>
      <w:r w:rsidR="00143D87">
        <w:t xml:space="preserve"> the </w:t>
      </w:r>
      <w:r w:rsidR="001152D7">
        <w:t>government’s approach</w:t>
      </w:r>
      <w:r w:rsidR="00CF17CF">
        <w:t xml:space="preserve"> to </w:t>
      </w:r>
      <w:r w:rsidR="00A46B49">
        <w:t xml:space="preserve">encouraging innovation and </w:t>
      </w:r>
      <w:r w:rsidR="006F775F">
        <w:t xml:space="preserve">harnessing the power of data and digital </w:t>
      </w:r>
      <w:r w:rsidR="00B3378E">
        <w:t>capability</w:t>
      </w:r>
      <w:r w:rsidR="006F775F">
        <w:t xml:space="preserve"> </w:t>
      </w:r>
      <w:r w:rsidR="00A12315">
        <w:t xml:space="preserve">to improve </w:t>
      </w:r>
      <w:r w:rsidR="00DE3E27">
        <w:t>care and wellbeing for older people.</w:t>
      </w:r>
      <w:r w:rsidR="00CF17CF">
        <w:t xml:space="preserve"> </w:t>
      </w:r>
      <w:r w:rsidR="007F7F9B" w:rsidRPr="00206602">
        <w:t xml:space="preserve">The strategy </w:t>
      </w:r>
      <w:r w:rsidR="00174053">
        <w:t xml:space="preserve">enables a </w:t>
      </w:r>
      <w:r w:rsidR="00A80F70">
        <w:t>digitally connected aged care system that</w:t>
      </w:r>
      <w:r w:rsidR="00171B90">
        <w:t xml:space="preserve"> </w:t>
      </w:r>
      <w:r w:rsidR="00C70F24">
        <w:t xml:space="preserve">focuses on the needs of older people and </w:t>
      </w:r>
      <w:r w:rsidR="00171B90">
        <w:t xml:space="preserve">empowers </w:t>
      </w:r>
      <w:r w:rsidR="00C70F24">
        <w:t xml:space="preserve">them </w:t>
      </w:r>
      <w:r w:rsidR="0035394C">
        <w:t>and their support networks</w:t>
      </w:r>
      <w:r w:rsidR="00DF6CA2">
        <w:t xml:space="preserve"> </w:t>
      </w:r>
      <w:r w:rsidR="00171B90">
        <w:t xml:space="preserve">and </w:t>
      </w:r>
      <w:r w:rsidR="00B82EDD">
        <w:t>grows the sector’s digital capability</w:t>
      </w:r>
      <w:r w:rsidR="002767BA">
        <w:t xml:space="preserve">. </w:t>
      </w:r>
      <w:r w:rsidR="00FF20C0">
        <w:t xml:space="preserve"> </w:t>
      </w:r>
    </w:p>
    <w:p w14:paraId="532B38FA" w14:textId="436428CD" w:rsidR="00DF2B39" w:rsidRDefault="00DF2B39" w:rsidP="00D86E49">
      <w:pPr>
        <w:spacing w:before="360"/>
      </w:pPr>
      <w:r>
        <w:t xml:space="preserve">The </w:t>
      </w:r>
      <w:r w:rsidR="003208FC">
        <w:t xml:space="preserve">FRAACS </w:t>
      </w:r>
      <w:r>
        <w:t xml:space="preserve">data sources and methodology </w:t>
      </w:r>
      <w:r w:rsidR="0053716E">
        <w:t xml:space="preserve">are </w:t>
      </w:r>
      <w:r>
        <w:t xml:space="preserve">available in Appendix A. </w:t>
      </w:r>
    </w:p>
    <w:p w14:paraId="5124FDAF" w14:textId="1909060E" w:rsidR="00FC4DB3" w:rsidRDefault="00FC4DB3">
      <w:pPr>
        <w:spacing w:before="0" w:after="0" w:line="240" w:lineRule="auto"/>
      </w:pPr>
      <w:r>
        <w:br w:type="page"/>
      </w:r>
    </w:p>
    <w:p w14:paraId="786177AE" w14:textId="271FB590" w:rsidR="00FC4DB3" w:rsidRDefault="00FC4DB3" w:rsidP="004E771D">
      <w:pPr>
        <w:pStyle w:val="Heading1"/>
        <w:numPr>
          <w:ilvl w:val="0"/>
          <w:numId w:val="0"/>
        </w:numPr>
        <w:ind w:left="432" w:hanging="432"/>
      </w:pPr>
      <w:bookmarkStart w:id="5" w:name="_Toc173428590"/>
      <w:r>
        <w:t xml:space="preserve">Report </w:t>
      </w:r>
      <w:r w:rsidR="00E312B9">
        <w:t>s</w:t>
      </w:r>
      <w:r w:rsidR="00E312B9" w:rsidRPr="00DA6C78">
        <w:t>ummary</w:t>
      </w:r>
      <w:bookmarkEnd w:id="5"/>
    </w:p>
    <w:p w14:paraId="255BB7E8" w14:textId="75FD8652" w:rsidR="005C3C6C" w:rsidRPr="005C3C6C" w:rsidRDefault="00263FD6" w:rsidP="00053DCB">
      <w:r>
        <w:rPr>
          <w:noProof/>
          <w:sz w:val="16"/>
          <w:szCs w:val="16"/>
        </w:rPr>
        <w:drawing>
          <wp:inline distT="0" distB="0" distL="0" distR="0" wp14:anchorId="1A16FA77" wp14:editId="7D2C2BB7">
            <wp:extent cx="5759450" cy="8053399"/>
            <wp:effectExtent l="0" t="0" r="0" b="0"/>
            <wp:docPr id="13" name="Picture 13" descr="The infographic in the report summary shows an overview of the aged sector in Australia for 2022-23. The total amount of recipients in CHSP was 816,123 in 2022-23. The total recipients in home care was 258,318 at 30 June 2023, and the total amount of residents in residential care was 193,242 at 30 June 2023. The total number of providers in CHSP was 1334, home care was 923 and residential care was 76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infographic in the report summary shows an overview of the aged sector in Australia for 2022-23. The total amount of recipients in CHSP was 816,123 in 2022-23. The total recipients in home care was 258,318 at 30 June 2023, and the total amount of residents in residential care was 193,242 at 30 June 2023. The total number of providers in CHSP was 1334, home care was 923 and residential care was 764.&#10;"/>
                    <pic:cNvPicPr/>
                  </pic:nvPicPr>
                  <pic:blipFill rotWithShape="1">
                    <a:blip r:embed="rId24" cstate="print">
                      <a:extLst>
                        <a:ext uri="{28A0092B-C50C-407E-A947-70E740481C1C}">
                          <a14:useLocalDpi xmlns:a14="http://schemas.microsoft.com/office/drawing/2010/main" val="0"/>
                        </a:ext>
                      </a:extLst>
                    </a:blip>
                    <a:srcRect l="11356" t="10367" r="11136" b="13009"/>
                    <a:stretch/>
                  </pic:blipFill>
                  <pic:spPr bwMode="auto">
                    <a:xfrm>
                      <a:off x="0" y="0"/>
                      <a:ext cx="5759450" cy="8053399"/>
                    </a:xfrm>
                    <a:prstGeom prst="rect">
                      <a:avLst/>
                    </a:prstGeom>
                    <a:ln>
                      <a:noFill/>
                    </a:ln>
                    <a:extLst>
                      <a:ext uri="{53640926-AAD7-44D8-BBD7-CCE9431645EC}">
                        <a14:shadowObscured xmlns:a14="http://schemas.microsoft.com/office/drawing/2010/main"/>
                      </a:ext>
                    </a:extLst>
                  </pic:spPr>
                </pic:pic>
              </a:graphicData>
            </a:graphic>
          </wp:inline>
        </w:drawing>
      </w:r>
    </w:p>
    <w:p w14:paraId="06207A17" w14:textId="1E16AB3D" w:rsidR="00FC4DB3" w:rsidRDefault="00E96CEA" w:rsidP="00FC4DB3">
      <w:pPr>
        <w:rPr>
          <w:rFonts w:cs="Arial"/>
          <w:b/>
          <w:kern w:val="28"/>
          <w:sz w:val="60"/>
          <w:szCs w:val="36"/>
        </w:rPr>
      </w:pPr>
      <w:r>
        <w:rPr>
          <w:rFonts w:cs="Arial"/>
          <w:b/>
          <w:noProof/>
          <w:kern w:val="28"/>
          <w:sz w:val="60"/>
          <w:szCs w:val="36"/>
        </w:rPr>
        <w:drawing>
          <wp:inline distT="0" distB="0" distL="0" distR="0" wp14:anchorId="66B3F7AF" wp14:editId="4A50E87E">
            <wp:extent cx="5849314" cy="7228495"/>
            <wp:effectExtent l="0" t="0" r="0" b="0"/>
            <wp:docPr id="1465481039" name="Picture 1465481039" descr="The infographic in the report summary shows an overview of the aged sector in Australia for 2022-23. The residential care minutes for registered nurses was 34.5 per resident per day, for enrolled nurses it was 14.6 per resident per day, and personal care workers was 139.6 care minutes per resident per day. The total care minutes for residential care was 188.6 minutes per resident per day. Total Government funding has increased from $19.9 billion in 2018-19 to $28.0 billion in 2022-23. Funding for residential care accounted for 57.5% of Australian Government funding for aged care. Home care accounted for 20% and Home support accounted for 13.2%, the rest of aged care funding was allocated to flexible aged care and other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9" name="Picture 1465481039" descr="The infographic in the report summary shows an overview of the aged sector in Australia for 2022-23. The residential care minutes for registered nurses was 34.5 per resident per day, for enrolled nurses it was 14.6 per resident per day, and personal care workers was 139.6 care minutes per resident per day. The total care minutes for residential care was 188.6 minutes per resident per day. Total Government funding has increased from $19.9 billion in 2018-19 to $28.0 billion in 2022-23. Funding for residential care accounted for 57.5% of Australian Government funding for aged care. Home care accounted for 20% and Home support accounted for 13.2%, the rest of aged care funding was allocated to flexible aged care and other aged care."/>
                    <pic:cNvPicPr/>
                  </pic:nvPicPr>
                  <pic:blipFill rotWithShape="1">
                    <a:blip r:embed="rId25" cstate="print">
                      <a:extLst>
                        <a:ext uri="{28A0092B-C50C-407E-A947-70E740481C1C}">
                          <a14:useLocalDpi xmlns:a14="http://schemas.microsoft.com/office/drawing/2010/main" val="0"/>
                        </a:ext>
                      </a:extLst>
                    </a:blip>
                    <a:srcRect l="11002" t="9988" r="10486" b="21417"/>
                    <a:stretch/>
                  </pic:blipFill>
                  <pic:spPr bwMode="auto">
                    <a:xfrm>
                      <a:off x="0" y="0"/>
                      <a:ext cx="5889942" cy="7278703"/>
                    </a:xfrm>
                    <a:prstGeom prst="rect">
                      <a:avLst/>
                    </a:prstGeom>
                    <a:ln>
                      <a:noFill/>
                    </a:ln>
                    <a:extLst>
                      <a:ext uri="{53640926-AAD7-44D8-BBD7-CCE9431645EC}">
                        <a14:shadowObscured xmlns:a14="http://schemas.microsoft.com/office/drawing/2010/main"/>
                      </a:ext>
                    </a:extLst>
                  </pic:spPr>
                </pic:pic>
              </a:graphicData>
            </a:graphic>
          </wp:inline>
        </w:drawing>
      </w:r>
    </w:p>
    <w:p w14:paraId="491C3554" w14:textId="265A3192" w:rsidR="007D6305" w:rsidRDefault="007D6305" w:rsidP="007D6305">
      <w:pPr>
        <w:spacing w:before="0" w:after="0" w:line="240" w:lineRule="auto"/>
        <w:jc w:val="both"/>
        <w:rPr>
          <w:noProof/>
        </w:rPr>
      </w:pPr>
      <w:r>
        <w:rPr>
          <w:noProof/>
        </w:rPr>
        <w:br w:type="page"/>
      </w:r>
    </w:p>
    <w:p w14:paraId="39579F91" w14:textId="5B453829" w:rsidR="000A3824" w:rsidRDefault="00AF2AF8">
      <w:pPr>
        <w:spacing w:before="0" w:after="0" w:line="240" w:lineRule="auto"/>
        <w:rPr>
          <w:noProof/>
        </w:rPr>
      </w:pPr>
      <w:r>
        <w:rPr>
          <w:noProof/>
        </w:rPr>
        <w:drawing>
          <wp:inline distT="0" distB="0" distL="0" distR="0" wp14:anchorId="09885982" wp14:editId="17704D44">
            <wp:extent cx="5776663" cy="6824950"/>
            <wp:effectExtent l="0" t="0" r="0" b="0"/>
            <wp:docPr id="1465481041" name="Picture 1465481041" descr="The infographic in the report summary shows an overview of the aged sector in Australia for 2022-23. The total Australian Government funding for CHSP was $2.92 billion, $5.62 billion for home care, and $16.05 billion for residential care. The average EBIDTA per recipient per year for home care was $1,007 and the average EBITDA per resident per year for residential care was $2,764. There was 68% of profitable providers in home care sector and 43% of profitable providers in residential care s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1" name="Picture 1465481041" descr="The infographic in the report summary shows an overview of the aged sector in Australia for 2022-23. The total Australian Government funding for CHSP was $2.92 billion, $5.62 billion for home care, and $16.05 billion for residential care. The average EBIDTA per recipient per year for home care was $1,007 and the average EBITDA per resident per year for residential care was $2,764. There was 68% of profitable providers in home care sector and 43% of profitable providers in residential care sector."/>
                    <pic:cNvPicPr/>
                  </pic:nvPicPr>
                  <pic:blipFill rotWithShape="1">
                    <a:blip r:embed="rId26" cstate="print">
                      <a:extLst>
                        <a:ext uri="{28A0092B-C50C-407E-A947-70E740481C1C}">
                          <a14:useLocalDpi xmlns:a14="http://schemas.microsoft.com/office/drawing/2010/main" val="0"/>
                        </a:ext>
                      </a:extLst>
                    </a:blip>
                    <a:srcRect l="10877" t="10164" r="11116" b="24678"/>
                    <a:stretch/>
                  </pic:blipFill>
                  <pic:spPr bwMode="auto">
                    <a:xfrm>
                      <a:off x="0" y="0"/>
                      <a:ext cx="5792882" cy="6844113"/>
                    </a:xfrm>
                    <a:prstGeom prst="rect">
                      <a:avLst/>
                    </a:prstGeom>
                    <a:ln>
                      <a:noFill/>
                    </a:ln>
                    <a:extLst>
                      <a:ext uri="{53640926-AAD7-44D8-BBD7-CCE9431645EC}">
                        <a14:shadowObscured xmlns:a14="http://schemas.microsoft.com/office/drawing/2010/main"/>
                      </a:ext>
                    </a:extLst>
                  </pic:spPr>
                </pic:pic>
              </a:graphicData>
            </a:graphic>
          </wp:inline>
        </w:drawing>
      </w:r>
      <w:r w:rsidR="000A3824">
        <w:rPr>
          <w:noProof/>
        </w:rPr>
        <w:br w:type="page"/>
      </w:r>
    </w:p>
    <w:p w14:paraId="78D70978" w14:textId="4666071A" w:rsidR="00124767" w:rsidRPr="00E262DE" w:rsidRDefault="00124767" w:rsidP="004E771D">
      <w:pPr>
        <w:pStyle w:val="Heading1"/>
        <w:numPr>
          <w:ilvl w:val="0"/>
          <w:numId w:val="0"/>
        </w:numPr>
        <w:ind w:left="432" w:hanging="432"/>
      </w:pPr>
      <w:bookmarkStart w:id="6" w:name="_Toc173428591"/>
      <w:r w:rsidRPr="00E262DE">
        <w:t>Summary of findings</w:t>
      </w:r>
      <w:bookmarkEnd w:id="6"/>
    </w:p>
    <w:p w14:paraId="72B8A6E0" w14:textId="74FC25E3" w:rsidR="00124767" w:rsidRPr="00E54AE3" w:rsidRDefault="00124767" w:rsidP="00E54AE3">
      <w:pPr>
        <w:rPr>
          <w:bCs w:val="0"/>
          <w:sz w:val="36"/>
          <w:szCs w:val="36"/>
        </w:rPr>
      </w:pPr>
      <w:r w:rsidRPr="00206602">
        <w:rPr>
          <w:b/>
          <w:bCs w:val="0"/>
          <w:sz w:val="36"/>
          <w:szCs w:val="36"/>
        </w:rPr>
        <w:t>Residential aged care</w:t>
      </w:r>
    </w:p>
    <w:p w14:paraId="2D5BBD2C" w14:textId="48D3A4BB" w:rsidR="00977352" w:rsidRPr="00EA4F1A" w:rsidRDefault="00977352" w:rsidP="00977352">
      <w:pPr>
        <w:rPr>
          <w:b/>
          <w:bCs w:val="0"/>
        </w:rPr>
      </w:pPr>
      <w:r w:rsidRPr="00EA4F1A">
        <w:rPr>
          <w:b/>
          <w:bCs w:val="0"/>
        </w:rPr>
        <w:t>The overall financial position of the residential aged care sector improved in 2022-23</w:t>
      </w:r>
      <w:r w:rsidR="00027F09">
        <w:rPr>
          <w:b/>
          <w:bCs w:val="0"/>
        </w:rPr>
        <w:t xml:space="preserve"> by</w:t>
      </w:r>
      <w:r w:rsidR="00C65669">
        <w:rPr>
          <w:b/>
          <w:bCs w:val="0"/>
        </w:rPr>
        <w:t xml:space="preserve"> $</w:t>
      </w:r>
      <w:r w:rsidR="00FF6183">
        <w:rPr>
          <w:b/>
          <w:bCs w:val="0"/>
        </w:rPr>
        <w:t xml:space="preserve">527 </w:t>
      </w:r>
      <w:r w:rsidR="00C65669">
        <w:rPr>
          <w:b/>
          <w:bCs w:val="0"/>
        </w:rPr>
        <w:t>million, up</w:t>
      </w:r>
      <w:r w:rsidR="00027F09">
        <w:rPr>
          <w:b/>
          <w:bCs w:val="0"/>
        </w:rPr>
        <w:t xml:space="preserve"> </w:t>
      </w:r>
      <w:r w:rsidR="005A458A">
        <w:rPr>
          <w:b/>
          <w:bCs w:val="0"/>
        </w:rPr>
        <w:t>23</w:t>
      </w:r>
      <w:r w:rsidR="00027F09">
        <w:rPr>
          <w:b/>
          <w:bCs w:val="0"/>
        </w:rPr>
        <w:t>%</w:t>
      </w:r>
      <w:r w:rsidR="0026213E">
        <w:rPr>
          <w:b/>
          <w:bCs w:val="0"/>
        </w:rPr>
        <w:t xml:space="preserve"> from </w:t>
      </w:r>
      <w:r w:rsidR="00460E90">
        <w:rPr>
          <w:b/>
          <w:bCs w:val="0"/>
        </w:rPr>
        <w:t>2021-22</w:t>
      </w:r>
      <w:r w:rsidRPr="00EA4F1A">
        <w:rPr>
          <w:b/>
          <w:bCs w:val="0"/>
        </w:rPr>
        <w:t>.</w:t>
      </w:r>
      <w:r>
        <w:rPr>
          <w:b/>
          <w:bCs w:val="0"/>
        </w:rPr>
        <w:t xml:space="preserve"> </w:t>
      </w:r>
      <w:r w:rsidRPr="00EA4F1A">
        <w:rPr>
          <w:b/>
          <w:bCs w:val="0"/>
        </w:rPr>
        <w:t>While</w:t>
      </w:r>
      <w:r w:rsidR="003E6A0C">
        <w:rPr>
          <w:b/>
          <w:bCs w:val="0"/>
        </w:rPr>
        <w:t xml:space="preserve"> this is </w:t>
      </w:r>
      <w:r w:rsidR="0057704E">
        <w:rPr>
          <w:b/>
          <w:bCs w:val="0"/>
        </w:rPr>
        <w:t>an improvement on the</w:t>
      </w:r>
      <w:r w:rsidRPr="00EA4F1A">
        <w:rPr>
          <w:b/>
          <w:bCs w:val="0"/>
        </w:rPr>
        <w:t xml:space="preserve"> sector financial position</w:t>
      </w:r>
      <w:r w:rsidR="0057704E">
        <w:rPr>
          <w:b/>
          <w:bCs w:val="0"/>
        </w:rPr>
        <w:t>,</w:t>
      </w:r>
      <w:r w:rsidRPr="00EA4F1A">
        <w:rPr>
          <w:b/>
          <w:bCs w:val="0"/>
        </w:rPr>
        <w:t xml:space="preserve"> the residential aged care sector is still operating at a loss. </w:t>
      </w:r>
    </w:p>
    <w:p w14:paraId="337512E2" w14:textId="6C9196F9" w:rsidR="00977352" w:rsidRDefault="00977352" w:rsidP="00977352">
      <w:r>
        <w:t xml:space="preserve">Increased revenue through the introduction of </w:t>
      </w:r>
      <w:r w:rsidR="002A13C3">
        <w:t xml:space="preserve">the </w:t>
      </w:r>
      <w:r w:rsidR="002A13C3" w:rsidRPr="002A13C3">
        <w:t>Australian National Aged Care Classification (AN-ACC) funding model</w:t>
      </w:r>
      <w:r w:rsidR="002A13C3">
        <w:t xml:space="preserve"> </w:t>
      </w:r>
      <w:r>
        <w:t>from 1 October 2022, and the increase</w:t>
      </w:r>
      <w:r w:rsidR="00EC2268">
        <w:t>d</w:t>
      </w:r>
      <w:r w:rsidR="00081825" w:rsidDel="00EC2268">
        <w:t xml:space="preserve"> </w:t>
      </w:r>
      <w:r w:rsidR="005269B5">
        <w:t xml:space="preserve">realisation of COVID-19 grants </w:t>
      </w:r>
      <w:r>
        <w:t xml:space="preserve">revenue were key drivers in the improved result.  </w:t>
      </w:r>
    </w:p>
    <w:p w14:paraId="2D623009" w14:textId="1A80B5C5" w:rsidR="00977352" w:rsidRDefault="00977352" w:rsidP="00977352">
      <w:r>
        <w:t>Key results include:</w:t>
      </w:r>
    </w:p>
    <w:p w14:paraId="2AD98B22" w14:textId="0D8D20BC" w:rsidR="00977352" w:rsidRDefault="00977352" w:rsidP="00CD1E1B">
      <w:pPr>
        <w:pStyle w:val="ListParagraph"/>
        <w:numPr>
          <w:ilvl w:val="0"/>
          <w:numId w:val="16"/>
        </w:numPr>
      </w:pPr>
      <w:r>
        <w:t>T</w:t>
      </w:r>
      <w:r w:rsidRPr="0087650A">
        <w:t>he overall net position improved from negative $2</w:t>
      </w:r>
      <w:r>
        <w:t>.3</w:t>
      </w:r>
      <w:r w:rsidRPr="0087650A">
        <w:t xml:space="preserve"> </w:t>
      </w:r>
      <w:r>
        <w:t>b</w:t>
      </w:r>
      <w:r w:rsidRPr="0087650A">
        <w:t>illion in 2021-22 to negative $1</w:t>
      </w:r>
      <w:r>
        <w:t>.7 billion</w:t>
      </w:r>
      <w:r w:rsidRPr="0087650A">
        <w:t xml:space="preserve"> in 2022-23.</w:t>
      </w:r>
      <w:r>
        <w:t xml:space="preserve"> This equates to a loss of $25.31 per resident per day.</w:t>
      </w:r>
    </w:p>
    <w:p w14:paraId="76BB643A" w14:textId="5750DFC8" w:rsidR="00977352" w:rsidRDefault="00977352" w:rsidP="00CD1E1B">
      <w:pPr>
        <w:pStyle w:val="ListParagraph"/>
        <w:numPr>
          <w:ilvl w:val="0"/>
          <w:numId w:val="16"/>
        </w:numPr>
      </w:pPr>
      <w:r>
        <w:t xml:space="preserve">Average EBITDA increased from negative $46 </w:t>
      </w:r>
      <w:r w:rsidR="00C35B24">
        <w:t>per resident per year</w:t>
      </w:r>
      <w:r>
        <w:t xml:space="preserve"> in </w:t>
      </w:r>
      <w:r>
        <w:br/>
        <w:t>2021-22 to $2,764 in 2022-23.</w:t>
      </w:r>
    </w:p>
    <w:p w14:paraId="0E00ECD9" w14:textId="77777777" w:rsidR="00977352" w:rsidDel="004737DB" w:rsidRDefault="00977352" w:rsidP="00CD1E1B">
      <w:pPr>
        <w:pStyle w:val="ListParagraph"/>
        <w:numPr>
          <w:ilvl w:val="0"/>
          <w:numId w:val="16"/>
        </w:numPr>
      </w:pPr>
      <w:r>
        <w:t xml:space="preserve">The proportion of profitable providers was 43% in 2022-23, up from 31% in 2021-22. </w:t>
      </w:r>
    </w:p>
    <w:p w14:paraId="548B0A56" w14:textId="2C664A17" w:rsidR="00977352" w:rsidRPr="00AD71E0" w:rsidRDefault="00977352" w:rsidP="00CD1E1B">
      <w:pPr>
        <w:pStyle w:val="ListParagraph"/>
        <w:numPr>
          <w:ilvl w:val="0"/>
          <w:numId w:val="16"/>
        </w:numPr>
      </w:pPr>
      <w:r w:rsidRPr="00AD71E0">
        <w:t>The total average care minutes</w:t>
      </w:r>
      <w:r w:rsidR="009B6D86">
        <w:t xml:space="preserve"> collected in the ACFR</w:t>
      </w:r>
      <w:r w:rsidRPr="00AD71E0">
        <w:t xml:space="preserve"> for providers</w:t>
      </w:r>
      <w:r>
        <w:t xml:space="preserve"> </w:t>
      </w:r>
      <w:r w:rsidRPr="00AD71E0">
        <w:t xml:space="preserve">was </w:t>
      </w:r>
      <w:r>
        <w:br/>
        <w:t>188.6</w:t>
      </w:r>
      <w:r w:rsidRPr="00AD71E0">
        <w:t xml:space="preserve"> minutes </w:t>
      </w:r>
      <w:r w:rsidR="00653729">
        <w:t>per resident per day</w:t>
      </w:r>
      <w:r w:rsidRPr="00AD71E0">
        <w:t xml:space="preserve"> in 202</w:t>
      </w:r>
      <w:r>
        <w:t>2-23</w:t>
      </w:r>
      <w:r w:rsidRPr="00AD71E0">
        <w:t xml:space="preserve">, up </w:t>
      </w:r>
      <w:r w:rsidR="74D73394">
        <w:t xml:space="preserve">7.2 minutes </w:t>
      </w:r>
      <w:r>
        <w:t>from</w:t>
      </w:r>
      <w:r w:rsidRPr="00AD71E0">
        <w:t xml:space="preserve"> </w:t>
      </w:r>
      <w:r>
        <w:br/>
      </w:r>
      <w:r w:rsidRPr="00AD71E0">
        <w:t>18</w:t>
      </w:r>
      <w:r>
        <w:t>1.4</w:t>
      </w:r>
      <w:r w:rsidRPr="00AD71E0">
        <w:t xml:space="preserve"> minutes </w:t>
      </w:r>
      <w:r w:rsidR="00653729">
        <w:t xml:space="preserve">per resident per day </w:t>
      </w:r>
      <w:r w:rsidRPr="00AD71E0">
        <w:t>in 202</w:t>
      </w:r>
      <w:r>
        <w:t>1-22.</w:t>
      </w:r>
      <w:r w:rsidRPr="00AD71E0">
        <w:t xml:space="preserve"> </w:t>
      </w:r>
    </w:p>
    <w:p w14:paraId="75186659" w14:textId="258E4BA4" w:rsidR="00977352" w:rsidRDefault="00977352" w:rsidP="00CD1E1B">
      <w:pPr>
        <w:pStyle w:val="ListParagraph"/>
        <w:numPr>
          <w:ilvl w:val="0"/>
          <w:numId w:val="16"/>
        </w:numPr>
      </w:pPr>
      <w:r>
        <w:t xml:space="preserve">Total </w:t>
      </w:r>
      <w:r w:rsidR="00DF735F">
        <w:t>refundable accommodation deposits</w:t>
      </w:r>
      <w:r w:rsidR="00022EC7">
        <w:t>/contributions</w:t>
      </w:r>
      <w:r>
        <w:t xml:space="preserve"> </w:t>
      </w:r>
      <w:r w:rsidR="00DF735F">
        <w:t>(</w:t>
      </w:r>
      <w:r>
        <w:t>RAD</w:t>
      </w:r>
      <w:r w:rsidR="00022EC7">
        <w:t>/RAC</w:t>
      </w:r>
      <w:r>
        <w:t>s</w:t>
      </w:r>
      <w:r w:rsidR="00DF735F">
        <w:t>)</w:t>
      </w:r>
      <w:r>
        <w:t xml:space="preserve"> held in the sector increased by $2.6 billion to $38.1 billion. </w:t>
      </w:r>
    </w:p>
    <w:p w14:paraId="18D01879" w14:textId="5B05F072" w:rsidR="004C4E9F" w:rsidRPr="00F33FDD" w:rsidRDefault="003C008A" w:rsidP="00CD1E1B">
      <w:pPr>
        <w:pStyle w:val="ListParagraph"/>
        <w:numPr>
          <w:ilvl w:val="0"/>
          <w:numId w:val="16"/>
        </w:numPr>
      </w:pPr>
      <w:r w:rsidRPr="00F33FDD">
        <w:t xml:space="preserve">The EBITDA margin </w:t>
      </w:r>
      <w:r w:rsidR="00A6796B" w:rsidRPr="00F33FDD">
        <w:t>increased</w:t>
      </w:r>
      <w:r w:rsidR="00F33FDD" w:rsidRPr="00F33FDD">
        <w:t xml:space="preserve"> from 0.0% in 2021-22 to 2.1% in 2022-23.</w:t>
      </w:r>
    </w:p>
    <w:p w14:paraId="2C21879F" w14:textId="5A74CF6E" w:rsidR="0056367E" w:rsidRDefault="00CE4675" w:rsidP="00077191">
      <w:r>
        <w:t xml:space="preserve">The </w:t>
      </w:r>
      <w:r w:rsidR="00C73FCD">
        <w:t>residential</w:t>
      </w:r>
      <w:r>
        <w:t xml:space="preserve"> </w:t>
      </w:r>
      <w:r w:rsidR="00857260">
        <w:t xml:space="preserve">net profit before tax </w:t>
      </w:r>
      <w:r w:rsidR="001D35BD">
        <w:t xml:space="preserve">(NPBT) </w:t>
      </w:r>
      <w:r w:rsidR="00857260">
        <w:t>position</w:t>
      </w:r>
      <w:r w:rsidR="00A83565">
        <w:t xml:space="preserve"> improved by </w:t>
      </w:r>
      <w:r w:rsidR="0037316D">
        <w:t>$527 million</w:t>
      </w:r>
      <w:r w:rsidR="00C73FCD">
        <w:t xml:space="preserve"> from 2021-22</w:t>
      </w:r>
      <w:r w:rsidR="00D0242A">
        <w:t>, however</w:t>
      </w:r>
      <w:r w:rsidR="007670BA">
        <w:t xml:space="preserve"> the</w:t>
      </w:r>
      <w:r w:rsidR="00FF0DE1">
        <w:t xml:space="preserve"> sector </w:t>
      </w:r>
      <w:r w:rsidR="002E14AA">
        <w:t xml:space="preserve">operated at a loss of </w:t>
      </w:r>
      <w:r w:rsidR="00C679CB">
        <w:t>$1.7 billion in 2022-23</w:t>
      </w:r>
      <w:r w:rsidR="00E01E67">
        <w:t xml:space="preserve"> </w:t>
      </w:r>
      <w:r w:rsidR="00790F7A">
        <w:t>equating</w:t>
      </w:r>
      <w:r w:rsidR="007A09D6">
        <w:t xml:space="preserve"> to an average net loss per resident per day of $25.3</w:t>
      </w:r>
      <w:r w:rsidR="009E7CF9">
        <w:t>1.</w:t>
      </w:r>
      <w:r w:rsidR="007C2A99">
        <w:t xml:space="preserve"> </w:t>
      </w:r>
      <w:r w:rsidR="009A00B3">
        <w:t xml:space="preserve">Due to the removal of the </w:t>
      </w:r>
      <w:r w:rsidR="00C51595">
        <w:t>Aged Care</w:t>
      </w:r>
      <w:r w:rsidR="009D6FCB">
        <w:t xml:space="preserve"> Approvals Round (ACAR) </w:t>
      </w:r>
      <w:r w:rsidR="009D6FCB" w:rsidRPr="00D35705">
        <w:t xml:space="preserve">from </w:t>
      </w:r>
      <w:r w:rsidR="00FA130C" w:rsidRPr="00C434CC">
        <w:t>2021-22</w:t>
      </w:r>
      <w:r w:rsidR="009D6FCB" w:rsidRPr="00D35705">
        <w:t>,</w:t>
      </w:r>
      <w:r w:rsidR="009D6FCB">
        <w:t xml:space="preserve"> </w:t>
      </w:r>
      <w:r w:rsidR="002B5A15">
        <w:t xml:space="preserve">providers </w:t>
      </w:r>
      <w:r w:rsidR="009B40B6">
        <w:t xml:space="preserve">have been </w:t>
      </w:r>
      <w:r w:rsidR="002B5A15">
        <w:t>readjust</w:t>
      </w:r>
      <w:r w:rsidR="009B40B6">
        <w:t>ing</w:t>
      </w:r>
      <w:r w:rsidR="002B5A15">
        <w:t xml:space="preserve"> the treatment of bed licences as intangible assets, which ha</w:t>
      </w:r>
      <w:r w:rsidR="009B40B6">
        <w:t xml:space="preserve">d an impact </w:t>
      </w:r>
      <w:r w:rsidR="00D83A24">
        <w:t>on their balance sheet and overall financial result.</w:t>
      </w:r>
      <w:r w:rsidR="00C51595">
        <w:t xml:space="preserve"> </w:t>
      </w:r>
      <w:r w:rsidR="004C7DA7" w:rsidRPr="004576B0">
        <w:t xml:space="preserve">Of the $1.7 billion </w:t>
      </w:r>
      <w:r w:rsidR="0061066C">
        <w:t xml:space="preserve">overall net </w:t>
      </w:r>
      <w:r w:rsidR="004C7DA7" w:rsidRPr="004576B0">
        <w:t>loss,</w:t>
      </w:r>
      <w:r w:rsidR="000A5A2A">
        <w:t xml:space="preserve"> </w:t>
      </w:r>
      <w:r w:rsidR="004C7DA7" w:rsidRPr="004576B0">
        <w:t>$766 million ($</w:t>
      </w:r>
      <w:r w:rsidR="004C7DA7">
        <w:t xml:space="preserve">11.16 </w:t>
      </w:r>
      <w:r w:rsidR="004C7DA7" w:rsidRPr="004576B0">
        <w:t xml:space="preserve">per resident per day) can be attributed to bed licence amortisation. </w:t>
      </w:r>
      <w:r w:rsidR="00E01124">
        <w:t>A total of $997 million in bed licences as intangible assets is remaining to be amortised as expenses in the next financial year</w:t>
      </w:r>
      <w:r w:rsidR="00666D64">
        <w:t>.</w:t>
      </w:r>
    </w:p>
    <w:p w14:paraId="26ACD86F" w14:textId="77777777" w:rsidR="00300781" w:rsidRDefault="00300781" w:rsidP="007821BC">
      <w:pPr>
        <w:rPr>
          <w:b/>
          <w:bCs w:val="0"/>
        </w:rPr>
      </w:pPr>
      <w:r w:rsidRPr="00300781">
        <w:rPr>
          <w:b/>
          <w:bCs w:val="0"/>
        </w:rPr>
        <w:t xml:space="preserve">While care is fully funded, accommodation continued to operate at a loss. It will be vital for providers to ensure they are appropriately pricing and earning a return from accommodation to improve profitability while increasing care minutes rather than cross subsidising from funding provided for care. </w:t>
      </w:r>
    </w:p>
    <w:p w14:paraId="6304555E" w14:textId="7F0D8025" w:rsidR="007821BC" w:rsidRPr="00EA2E8F" w:rsidRDefault="004C7DA7" w:rsidP="007821BC">
      <w:pPr>
        <w:rPr>
          <w:color w:val="FF0000"/>
        </w:rPr>
      </w:pPr>
      <w:r w:rsidRPr="004576B0">
        <w:t>While the operating result for care and COVID-19 related revenue and expenses improved, other categories like accommodation, administration and non-recurrent items continued to operate at a loss.</w:t>
      </w:r>
      <w:r>
        <w:t xml:space="preserve"> </w:t>
      </w:r>
      <w:r w:rsidR="00CB18B0">
        <w:t>In 2022-23</w:t>
      </w:r>
      <w:r w:rsidR="005C1ED1">
        <w:t xml:space="preserve">, the </w:t>
      </w:r>
      <w:r w:rsidR="00CA6A43">
        <w:t>average care result per resident per day was $28.</w:t>
      </w:r>
      <w:r w:rsidR="00E077CB">
        <w:t>10</w:t>
      </w:r>
      <w:r w:rsidR="00CA6A43">
        <w:t xml:space="preserve"> at the sector level</w:t>
      </w:r>
      <w:r w:rsidR="00085900">
        <w:t xml:space="preserve">. This is an increase of $8.90 per resident per day from 2021-22. </w:t>
      </w:r>
      <w:r w:rsidR="007821BC">
        <w:t>In comparison, residential providers continued to make a loss on accommodation, with providers reporting negative $1.</w:t>
      </w:r>
      <w:r w:rsidR="00C24758">
        <w:t>20</w:t>
      </w:r>
      <w:r w:rsidR="007821BC">
        <w:t xml:space="preserve"> per resident per day. This result does not include expenses of $11.16 per resident per day in bed license amortisation, which was previously reported in the accommodation category in FRAACS 2021-22, but is now reported in non-recurrent expenses. The change in categorisation aligns with how providers report bed license amortisation in the ACFR</w:t>
      </w:r>
      <w:r w:rsidR="006F4F12">
        <w:t>.</w:t>
      </w:r>
    </w:p>
    <w:p w14:paraId="1D568736" w14:textId="2D681226" w:rsidR="00F64AE0" w:rsidRDefault="00F64AE0" w:rsidP="00F64AE0">
      <w:r>
        <w:t xml:space="preserve">In 2022-23, total </w:t>
      </w:r>
      <w:r w:rsidR="0070208F">
        <w:t>residential sector</w:t>
      </w:r>
      <w:r>
        <w:t xml:space="preserve"> revenue was $24.2 billion, up from $22.1 billion in 2021-22. The $2.2 billion increase </w:t>
      </w:r>
      <w:r w:rsidR="45806B29">
        <w:t>is</w:t>
      </w:r>
      <w:r>
        <w:t xml:space="preserve"> mostly attributed to the introduction of </w:t>
      </w:r>
      <w:r w:rsidR="00C83E80">
        <w:br/>
      </w:r>
      <w:r>
        <w:t>AN-ACC</w:t>
      </w:r>
      <w:r w:rsidR="00624D90">
        <w:t xml:space="preserve"> on 1 October 2022</w:t>
      </w:r>
      <w:r>
        <w:t>. The new funding model provides more equitable care funding to providers that better matches resident funding with the costs of delivering care</w:t>
      </w:r>
      <w:r w:rsidR="0028102F">
        <w:t>,</w:t>
      </w:r>
      <w:r>
        <w:t xml:space="preserve"> enabling a more efficient, </w:t>
      </w:r>
      <w:r w:rsidR="008C57FE">
        <w:t>transparent,</w:t>
      </w:r>
      <w:r>
        <w:t xml:space="preserve"> and sustainable system. </w:t>
      </w:r>
      <w:r w:rsidR="003524C5">
        <w:t xml:space="preserve">In addition, </w:t>
      </w:r>
      <w:r>
        <w:t xml:space="preserve">COVID-19 revenue increased in 2022-23 by $208.6 million, to a sector total of </w:t>
      </w:r>
      <w:r>
        <w:br/>
        <w:t>$514.7 million</w:t>
      </w:r>
      <w:r w:rsidR="00271E74">
        <w:t xml:space="preserve"> in 2022-23</w:t>
      </w:r>
      <w:r>
        <w:t>.</w:t>
      </w:r>
    </w:p>
    <w:p w14:paraId="295BD771" w14:textId="5BE0EA3E" w:rsidR="00EE7D5E" w:rsidRDefault="00EE7D5E" w:rsidP="00EE7D5E">
      <w:r>
        <w:t>C</w:t>
      </w:r>
      <w:r w:rsidRPr="00077191">
        <w:t xml:space="preserve">are related revenue ($15.3 billion) formed the majority (63%) of total revenue earned by residential care providers (an increase of </w:t>
      </w:r>
      <w:r>
        <w:t>$</w:t>
      </w:r>
      <w:r w:rsidRPr="00077191">
        <w:t>1.7 billion</w:t>
      </w:r>
      <w:r>
        <w:t xml:space="preserve"> driven by the introduction of AN-ACC</w:t>
      </w:r>
      <w:r w:rsidRPr="00077191">
        <w:t xml:space="preserve">). </w:t>
      </w:r>
    </w:p>
    <w:p w14:paraId="05BFA57D" w14:textId="6E1CD42A" w:rsidR="00077191" w:rsidRDefault="008E2306" w:rsidP="008E2306">
      <w:r>
        <w:t>Total expenditure in 2022-23 for residential care providers was $26.0 billion, up 7% from $24.3 billion in 2021-22.</w:t>
      </w:r>
      <w:r w:rsidR="00523671" w:rsidRPr="00523671">
        <w:t xml:space="preserve"> </w:t>
      </w:r>
    </w:p>
    <w:p w14:paraId="67800437" w14:textId="371DE731" w:rsidR="001A173A" w:rsidRPr="00BC5EE1" w:rsidRDefault="0062665D" w:rsidP="00782556">
      <w:pPr>
        <w:rPr>
          <w:b/>
        </w:rPr>
      </w:pPr>
      <w:r w:rsidRPr="00BC5EE1">
        <w:rPr>
          <w:b/>
        </w:rPr>
        <w:t xml:space="preserve">EBITDA per resident increased for for-profit and not-for-profit providers. </w:t>
      </w:r>
    </w:p>
    <w:p w14:paraId="293612C0" w14:textId="328895AC" w:rsidR="0062665D" w:rsidRDefault="00EE086F" w:rsidP="00782556">
      <w:r>
        <w:t xml:space="preserve">For-profit providers increased their EBITDA from </w:t>
      </w:r>
      <w:r w:rsidR="000748B8">
        <w:t>$2,920 per resident per year to $3</w:t>
      </w:r>
      <w:r w:rsidR="001825E6">
        <w:t xml:space="preserve">,268 </w:t>
      </w:r>
      <w:r w:rsidR="20C2EBD6">
        <w:t>i</w:t>
      </w:r>
      <w:r w:rsidR="00E41F54" w:rsidRPr="00E41F54">
        <w:t>n 2022-23</w:t>
      </w:r>
      <w:r w:rsidR="001825E6">
        <w:t xml:space="preserve">. </w:t>
      </w:r>
      <w:r w:rsidR="00E41F54" w:rsidRPr="00E41F54">
        <w:t>Not-for-profit providers significantly increased their EBITDA result</w:t>
      </w:r>
      <w:r w:rsidR="001825E6">
        <w:t xml:space="preserve"> </w:t>
      </w:r>
      <w:r w:rsidR="00E41F54" w:rsidRPr="00E41F54">
        <w:t>from negative $1,294 in 2021-22 to $3,620</w:t>
      </w:r>
      <w:r w:rsidR="001825E6">
        <w:t xml:space="preserve"> </w:t>
      </w:r>
      <w:r w:rsidR="00E41F54" w:rsidRPr="00E41F54">
        <w:t>in 2022-23.</w:t>
      </w:r>
    </w:p>
    <w:p w14:paraId="150839E0" w14:textId="6919FD9A" w:rsidR="000233EF" w:rsidRPr="00BC5EE1" w:rsidRDefault="000233EF" w:rsidP="000233EF">
      <w:pPr>
        <w:rPr>
          <w:b/>
        </w:rPr>
      </w:pPr>
      <w:r w:rsidRPr="00BC5EE1">
        <w:rPr>
          <w:b/>
        </w:rPr>
        <w:t xml:space="preserve">Employee expenses were $16.8 billion in 2022-23, up from $15.9 billion in </w:t>
      </w:r>
      <w:r>
        <w:br/>
      </w:r>
      <w:r w:rsidRPr="00BC5EE1">
        <w:rPr>
          <w:b/>
        </w:rPr>
        <w:t xml:space="preserve">2021-22. </w:t>
      </w:r>
    </w:p>
    <w:p w14:paraId="1253C9F7" w14:textId="3FA15530" w:rsidR="00931783" w:rsidRDefault="00931783" w:rsidP="001A173A">
      <w:r>
        <w:t>The increase</w:t>
      </w:r>
      <w:r w:rsidR="00C7410E">
        <w:t xml:space="preserve"> </w:t>
      </w:r>
      <w:r>
        <w:t xml:space="preserve">is likely attributed to increased spending on care labour by providers working towards their mandatory care minute targets, which came into effect on </w:t>
      </w:r>
      <w:r>
        <w:br/>
        <w:t>1 October 2023. In addition, providers may also</w:t>
      </w:r>
      <w:r w:rsidR="009839AD">
        <w:t xml:space="preserve"> have</w:t>
      </w:r>
      <w:r>
        <w:t xml:space="preserve"> be</w:t>
      </w:r>
      <w:r w:rsidR="009839AD">
        <w:t>en</w:t>
      </w:r>
      <w:r>
        <w:t xml:space="preserve"> spending more money on care labour in preparation for the 24/7 registered nurse care requirement, which came into effect on 1 July 2023.</w:t>
      </w:r>
    </w:p>
    <w:p w14:paraId="584E7B64" w14:textId="16198F35" w:rsidR="00687D3B" w:rsidRDefault="008829D6" w:rsidP="001A173A">
      <w:r>
        <w:t>Employee expenses are</w:t>
      </w:r>
      <w:r w:rsidR="00687D3B">
        <w:t xml:space="preserve"> expected to increase again in 2023-24 with the introduction of the Fair Work Commission’s (FWC) decision for </w:t>
      </w:r>
      <w:r w:rsidR="00BE781D">
        <w:t xml:space="preserve">an interim increase of 15% to minimum award wages for registered nurses, enrolled nurses and personal care workers/assistants in nursing in the Aged Care Work Value case from 30 June 2023, and Annual Wage Review increases of 5.75% from 1 July 2023. </w:t>
      </w:r>
    </w:p>
    <w:p w14:paraId="469E9C28" w14:textId="49406F7D" w:rsidR="0025249D" w:rsidRDefault="00422AA3" w:rsidP="001A173A">
      <w:r w:rsidRPr="00702ACA">
        <w:rPr>
          <w:b/>
        </w:rPr>
        <w:t xml:space="preserve">Not-for-profit providers improved their </w:t>
      </w:r>
      <w:r w:rsidR="002C29E0">
        <w:rPr>
          <w:b/>
          <w:bCs w:val="0"/>
        </w:rPr>
        <w:t xml:space="preserve">NPBT </w:t>
      </w:r>
      <w:r w:rsidRPr="00702ACA">
        <w:rPr>
          <w:b/>
        </w:rPr>
        <w:t>result by more than double in comparison to the 2021-22 result.</w:t>
      </w:r>
      <w:r w:rsidRPr="00422AA3">
        <w:t xml:space="preserve"> </w:t>
      </w:r>
    </w:p>
    <w:p w14:paraId="5EE4B410" w14:textId="6517466F" w:rsidR="007470C2" w:rsidRDefault="007470C2" w:rsidP="007470C2">
      <w:r w:rsidRPr="00422AA3">
        <w:t>The</w:t>
      </w:r>
      <w:r>
        <w:t xml:space="preserve"> 2022-23 result </w:t>
      </w:r>
      <w:r w:rsidRPr="00422AA3">
        <w:t>for not-for-profit providers was negative $</w:t>
      </w:r>
      <w:r>
        <w:t>15.60</w:t>
      </w:r>
      <w:r w:rsidR="0094280A">
        <w:t xml:space="preserve"> per resident per day</w:t>
      </w:r>
      <w:r>
        <w:t xml:space="preserve">, up from </w:t>
      </w:r>
      <w:r w:rsidRPr="00422AA3">
        <w:t>negative $</w:t>
      </w:r>
      <w:r>
        <w:t>32.68 in 2021-22</w:t>
      </w:r>
      <w:r w:rsidRPr="00767232">
        <w:t>.</w:t>
      </w:r>
      <w:r w:rsidRPr="00422AA3">
        <w:t xml:space="preserve"> The </w:t>
      </w:r>
      <w:r w:rsidR="00FF5F85">
        <w:t>result</w:t>
      </w:r>
      <w:r w:rsidRPr="00422AA3">
        <w:t xml:space="preserve"> for for-profit providers</w:t>
      </w:r>
      <w:r>
        <w:t xml:space="preserve"> </w:t>
      </w:r>
      <w:r w:rsidR="00FF5F85">
        <w:t xml:space="preserve">decreased </w:t>
      </w:r>
      <w:r>
        <w:t xml:space="preserve">to </w:t>
      </w:r>
      <w:r w:rsidRPr="00422AA3">
        <w:t>negative $</w:t>
      </w:r>
      <w:r>
        <w:t>34.69</w:t>
      </w:r>
      <w:r w:rsidRPr="00422AA3">
        <w:t xml:space="preserve"> </w:t>
      </w:r>
      <w:r w:rsidR="00473026">
        <w:t>per resident per day</w:t>
      </w:r>
      <w:r w:rsidRPr="00422AA3">
        <w:t xml:space="preserve"> in 202</w:t>
      </w:r>
      <w:r>
        <w:t xml:space="preserve">2-23, </w:t>
      </w:r>
      <w:r w:rsidR="00657137">
        <w:t>down</w:t>
      </w:r>
      <w:r>
        <w:t xml:space="preserve"> from</w:t>
      </w:r>
      <w:r w:rsidRPr="00422AA3">
        <w:t xml:space="preserve"> negative $3</w:t>
      </w:r>
      <w:r>
        <w:t>0.26</w:t>
      </w:r>
      <w:r w:rsidRPr="00422AA3">
        <w:t xml:space="preserve"> in 202</w:t>
      </w:r>
      <w:r>
        <w:t>1-22</w:t>
      </w:r>
      <w:r w:rsidRPr="00422AA3">
        <w:t xml:space="preserve">. </w:t>
      </w:r>
      <w:r>
        <w:t>This is partly due to not-for-profit providers having less bed license amortisation expense</w:t>
      </w:r>
      <w:r w:rsidR="00B61E9A">
        <w:t>s</w:t>
      </w:r>
      <w:r>
        <w:t xml:space="preserve"> than for-profit providers. </w:t>
      </w:r>
    </w:p>
    <w:p w14:paraId="7183E035" w14:textId="77777777" w:rsidR="004112BE" w:rsidRDefault="00833284" w:rsidP="001A173A">
      <w:r w:rsidRPr="00702ACA">
        <w:rPr>
          <w:b/>
        </w:rPr>
        <w:t>The COVID-19 result in 2022-23 increased to $0.81 per resident per day, up from negative $6.37 per resident per day in 2021-22.</w:t>
      </w:r>
      <w:r w:rsidRPr="00833284">
        <w:t xml:space="preserve"> </w:t>
      </w:r>
    </w:p>
    <w:p w14:paraId="7DCBE49A" w14:textId="543C38DE" w:rsidR="006F60B5" w:rsidRDefault="00053027" w:rsidP="001A173A">
      <w:r>
        <w:t xml:space="preserve">In 2022-23, </w:t>
      </w:r>
      <w:r w:rsidR="00DB4DBD">
        <w:t>provider-reported</w:t>
      </w:r>
      <w:r w:rsidR="00833284" w:rsidRPr="00833284">
        <w:t xml:space="preserve"> COVID-19 expenditure </w:t>
      </w:r>
      <w:r>
        <w:t>was</w:t>
      </w:r>
      <w:r w:rsidR="008166ED">
        <w:t xml:space="preserve"> $6.69</w:t>
      </w:r>
      <w:r w:rsidR="00DB4DBD">
        <w:t xml:space="preserve"> per resident per day</w:t>
      </w:r>
      <w:r w:rsidR="008166ED">
        <w:t xml:space="preserve">, compared to $10.83 </w:t>
      </w:r>
      <w:r w:rsidR="00833284" w:rsidRPr="00833284">
        <w:t>in 2021-22</w:t>
      </w:r>
      <w:r w:rsidR="008166ED">
        <w:t>.</w:t>
      </w:r>
      <w:r w:rsidR="00033659">
        <w:t xml:space="preserve"> </w:t>
      </w:r>
      <w:r w:rsidR="00B86BAD">
        <w:t xml:space="preserve">Providers received </w:t>
      </w:r>
      <w:r w:rsidR="00313494">
        <w:t>$7.50 per resident per day in COVID-grants and subsidies in 2022-23, compared t</w:t>
      </w:r>
      <w:r w:rsidR="00954CCB">
        <w:t>o $4.46 in 2021-22.</w:t>
      </w:r>
      <w:r w:rsidR="00500983">
        <w:t xml:space="preserve"> </w:t>
      </w:r>
      <w:r w:rsidR="00033659">
        <w:t>Some of the funding received in 2022-23</w:t>
      </w:r>
      <w:r w:rsidR="002F4E75">
        <w:t xml:space="preserve"> was for COVID-19 expenses </w:t>
      </w:r>
      <w:r w:rsidR="009D4AAE">
        <w:t>incurred in 2021-22</w:t>
      </w:r>
      <w:r w:rsidR="006C0712">
        <w:t xml:space="preserve">, </w:t>
      </w:r>
      <w:r w:rsidR="000E6589">
        <w:t xml:space="preserve">which has </w:t>
      </w:r>
      <w:r w:rsidR="00833284" w:rsidRPr="00833284">
        <w:t>resulted in a positive result for the COVID-19 category.  </w:t>
      </w:r>
    </w:p>
    <w:p w14:paraId="77A67AE0" w14:textId="2A9FA8E4" w:rsidR="006E131B" w:rsidRPr="001E20AE" w:rsidRDefault="00B21272" w:rsidP="006E131B">
      <w:pPr>
        <w:rPr>
          <w:b/>
          <w:bCs w:val="0"/>
        </w:rPr>
      </w:pPr>
      <w:r>
        <w:rPr>
          <w:b/>
          <w:bCs w:val="0"/>
        </w:rPr>
        <w:t xml:space="preserve">The sector </w:t>
      </w:r>
      <w:r w:rsidR="00903C4E" w:rsidRPr="001E20AE">
        <w:rPr>
          <w:b/>
          <w:bCs w:val="0"/>
        </w:rPr>
        <w:t xml:space="preserve">had total assets of $57.4 billion at 30 June 2023, an increase of </w:t>
      </w:r>
      <w:r>
        <w:br/>
      </w:r>
      <w:r w:rsidR="00903C4E" w:rsidRPr="001E20AE">
        <w:rPr>
          <w:b/>
          <w:bCs w:val="0"/>
        </w:rPr>
        <w:t xml:space="preserve">$817 million on the total assets at 30 June 2022. </w:t>
      </w:r>
      <w:r w:rsidR="00801307" w:rsidRPr="001E20AE">
        <w:rPr>
          <w:b/>
          <w:bCs w:val="0"/>
        </w:rPr>
        <w:t xml:space="preserve">The </w:t>
      </w:r>
      <w:r w:rsidR="00801307">
        <w:rPr>
          <w:b/>
          <w:bCs w:val="0"/>
        </w:rPr>
        <w:t xml:space="preserve">net worth/equity for the </w:t>
      </w:r>
      <w:r w:rsidR="00801307" w:rsidRPr="001E20AE">
        <w:rPr>
          <w:b/>
          <w:bCs w:val="0"/>
        </w:rPr>
        <w:t xml:space="preserve">sector </w:t>
      </w:r>
      <w:r w:rsidR="00801307">
        <w:rPr>
          <w:b/>
          <w:bCs w:val="0"/>
        </w:rPr>
        <w:t>was down by $2.4 billion, from $8.3 billion in 2021-22 to $5.9 billion in 2022-23.</w:t>
      </w:r>
    </w:p>
    <w:p w14:paraId="48C4D8DD" w14:textId="1A6F2AB7" w:rsidR="002740A4" w:rsidRDefault="00903C4E" w:rsidP="006E131B">
      <w:r>
        <w:t xml:space="preserve">RADs held </w:t>
      </w:r>
      <w:r w:rsidR="005D3B1C">
        <w:t>by</w:t>
      </w:r>
      <w:r>
        <w:t xml:space="preserve"> the sector </w:t>
      </w:r>
      <w:r w:rsidR="001A7686">
        <w:t xml:space="preserve">were </w:t>
      </w:r>
      <w:r>
        <w:t xml:space="preserve">$38.1 billion </w:t>
      </w:r>
      <w:r w:rsidR="001A7686">
        <w:t xml:space="preserve">in 2022-23, </w:t>
      </w:r>
      <w:r>
        <w:t>up by $2.6 billion</w:t>
      </w:r>
      <w:r w:rsidR="001A7686">
        <w:t xml:space="preserve"> from </w:t>
      </w:r>
      <w:r w:rsidR="00A9799D">
        <w:br/>
      </w:r>
      <w:r w:rsidR="001A7686">
        <w:t>2021-22.</w:t>
      </w:r>
      <w:r w:rsidR="00C950CF">
        <w:t xml:space="preserve"> </w:t>
      </w:r>
      <w:r w:rsidR="00C10435">
        <w:t>This</w:t>
      </w:r>
      <w:r w:rsidR="00C950CF">
        <w:t xml:space="preserve"> </w:t>
      </w:r>
      <w:r w:rsidR="00C10435">
        <w:t>includes</w:t>
      </w:r>
      <w:r w:rsidR="00C950CF">
        <w:t xml:space="preserve"> RAD receivables of $977 million, </w:t>
      </w:r>
      <w:r w:rsidR="005C1CEB">
        <w:t xml:space="preserve">which covers </w:t>
      </w:r>
      <w:r w:rsidR="00C950CF">
        <w:t xml:space="preserve">RADs which were expected in 2022-23 but were not received. Net worth/equity was down by </w:t>
      </w:r>
      <w:r w:rsidR="00AF57E1">
        <w:br/>
      </w:r>
      <w:r w:rsidR="00C950CF">
        <w:t>$2.4 billion, from $8.3 billion in 2021-22 to $5.9 billion in 2022-23</w:t>
      </w:r>
      <w:r w:rsidR="0025797F">
        <w:t xml:space="preserve"> w</w:t>
      </w:r>
      <w:r w:rsidR="00C950CF">
        <w:t xml:space="preserve">hich was primarily because of the </w:t>
      </w:r>
      <w:r w:rsidR="05BF4CC7">
        <w:t xml:space="preserve">$2.6 billion </w:t>
      </w:r>
      <w:r w:rsidR="00C950CF">
        <w:t>increase in RADS</w:t>
      </w:r>
      <w:r w:rsidR="00586788">
        <w:t xml:space="preserve"> liabilities</w:t>
      </w:r>
      <w:r w:rsidR="00C950CF">
        <w:t xml:space="preserve">. </w:t>
      </w:r>
    </w:p>
    <w:p w14:paraId="0E6EA32E" w14:textId="77777777" w:rsidR="00F57915" w:rsidRPr="00702ACA" w:rsidRDefault="00F57915" w:rsidP="00F57915">
      <w:pPr>
        <w:rPr>
          <w:b/>
        </w:rPr>
      </w:pPr>
      <w:r w:rsidRPr="00702ACA">
        <w:rPr>
          <w:b/>
        </w:rPr>
        <w:t xml:space="preserve">For-profit providers reported net worth/equity of negative $377 million in 2022-23. </w:t>
      </w:r>
    </w:p>
    <w:p w14:paraId="4576D52E" w14:textId="487D9656" w:rsidR="00F57915" w:rsidRDefault="00F57915" w:rsidP="00F57915">
      <w:pPr>
        <w:rPr>
          <w:rStyle w:val="normaltextrun"/>
          <w:rFonts w:eastAsiaTheme="majorEastAsia" w:cs="Arial"/>
          <w:shd w:val="clear" w:color="auto" w:fill="FFFFFF"/>
        </w:rPr>
      </w:pPr>
      <w:r>
        <w:t xml:space="preserve">A combination of reduced assets and increased liabilities resulted in </w:t>
      </w:r>
      <w:r w:rsidR="002321C1">
        <w:t xml:space="preserve">a </w:t>
      </w:r>
      <w:r>
        <w:t xml:space="preserve">negative net worth/equity for for-profit providers, </w:t>
      </w:r>
      <w:r w:rsidR="00AE552C">
        <w:t xml:space="preserve">of </w:t>
      </w:r>
      <w:r>
        <w:t>negative 1.5%. For-prof</w:t>
      </w:r>
      <w:r w:rsidRPr="00BA0B41">
        <w:t>it providers also reported increased current liabilities</w:t>
      </w:r>
      <w:r w:rsidR="008A3DD0">
        <w:t xml:space="preserve"> </w:t>
      </w:r>
      <w:r w:rsidRPr="00BA0B41">
        <w:t>including bank borrowings, related party loans, lease liabilities and employee provisions, while their total assets decreased by $4</w:t>
      </w:r>
      <w:r w:rsidR="00B22B85">
        <w:t>60</w:t>
      </w:r>
      <w:r w:rsidRPr="00BA0B41">
        <w:t xml:space="preserve"> million. </w:t>
      </w:r>
      <w:r>
        <w:t>In addition</w:t>
      </w:r>
      <w:r w:rsidRPr="00BA0B41">
        <w:rPr>
          <w:rFonts w:eastAsiaTheme="majorEastAsia"/>
        </w:rPr>
        <w:t xml:space="preserve">, for-profit providers </w:t>
      </w:r>
      <w:r w:rsidRPr="00171BEB">
        <w:rPr>
          <w:rFonts w:eastAsiaTheme="majorEastAsia"/>
        </w:rPr>
        <w:t xml:space="preserve">decreased their non-current assets by </w:t>
      </w:r>
      <w:r w:rsidR="00AF3470">
        <w:rPr>
          <w:rFonts w:eastAsiaTheme="majorEastAsia"/>
        </w:rPr>
        <w:t>$565</w:t>
      </w:r>
      <w:r w:rsidRPr="00171BEB">
        <w:rPr>
          <w:rFonts w:eastAsiaTheme="majorEastAsia"/>
        </w:rPr>
        <w:t xml:space="preserve"> </w:t>
      </w:r>
      <w:r w:rsidRPr="00171BEB">
        <w:t xml:space="preserve">million </w:t>
      </w:r>
      <w:r w:rsidRPr="00171BEB">
        <w:rPr>
          <w:rFonts w:eastAsiaTheme="majorEastAsia"/>
        </w:rPr>
        <w:t>through the reduction in bed licenses</w:t>
      </w:r>
      <w:r w:rsidRPr="00171BEB">
        <w:rPr>
          <w:rStyle w:val="normaltextrun"/>
          <w:rFonts w:eastAsiaTheme="majorEastAsia" w:cs="Arial"/>
          <w:shd w:val="clear" w:color="auto" w:fill="FFFFFF"/>
        </w:rPr>
        <w:t>.</w:t>
      </w:r>
    </w:p>
    <w:p w14:paraId="5C5FCB05" w14:textId="77777777" w:rsidR="0074090E" w:rsidRDefault="0074090E" w:rsidP="0074090E">
      <w:r w:rsidRPr="00702ACA">
        <w:rPr>
          <w:b/>
        </w:rPr>
        <w:t xml:space="preserve">Residents are increasingly choosing </w:t>
      </w:r>
      <w:r>
        <w:rPr>
          <w:b/>
        </w:rPr>
        <w:t>RAD/RACs</w:t>
      </w:r>
      <w:r w:rsidRPr="00702ACA">
        <w:rPr>
          <w:b/>
        </w:rPr>
        <w:t xml:space="preserve"> </w:t>
      </w:r>
      <w:r w:rsidRPr="00702ACA">
        <w:rPr>
          <w:b/>
          <w:bCs w:val="0"/>
        </w:rPr>
        <w:t>to pay for their accommodation.</w:t>
      </w:r>
      <w:r>
        <w:t xml:space="preserve"> </w:t>
      </w:r>
    </w:p>
    <w:p w14:paraId="7454D644" w14:textId="06D1890B" w:rsidR="00206F1B" w:rsidDel="00AC265C" w:rsidRDefault="0074090E" w:rsidP="0074090E">
      <w:r>
        <w:t xml:space="preserve">The proportion of residents choosing RAD/RACs for their accommodation payment method was 34% in 2022-23, up from 31% in 2021-22. </w:t>
      </w:r>
      <w:r w:rsidR="00486A9A">
        <w:t>Similarly</w:t>
      </w:r>
      <w:r>
        <w:t xml:space="preserve">, the proportion of residents choosing Daily Accommodation Payment (DAP)/Daily Accommodation Contribution (DAC) dropped from 48% in 2021-22 to 45% in 2022-23. This change in preference is due to the Maximum Permissible Interest Rate increasing rapidly since June 2022, making DAPs significantly higher and less attractive in 2022-23. </w:t>
      </w:r>
      <w:r w:rsidR="00ED1074">
        <w:t xml:space="preserve">Over the same period, </w:t>
      </w:r>
      <w:r w:rsidR="00B60C7C">
        <w:t>the average value of RAD</w:t>
      </w:r>
      <w:r w:rsidR="006A0767">
        <w:t xml:space="preserve">s </w:t>
      </w:r>
      <w:r w:rsidR="008432C1">
        <w:t>held by providers has</w:t>
      </w:r>
      <w:r w:rsidR="00B60C7C">
        <w:t xml:space="preserve"> increased from $350,000 in 2021-22 to $366,000 in 2022-23. </w:t>
      </w:r>
      <w:r>
        <w:t>The $2.6 billion increase in total RADs held across the sector is attributable to the increased preference of RAD/RACs as accommodation payment.</w:t>
      </w:r>
      <w:r w:rsidR="00517A3A">
        <w:t xml:space="preserve"> </w:t>
      </w:r>
    </w:p>
    <w:p w14:paraId="2585B071" w14:textId="77777777" w:rsidR="00B03F93" w:rsidRPr="00C37F09" w:rsidRDefault="00B03F93" w:rsidP="00B03F93">
      <w:pPr>
        <w:rPr>
          <w:rStyle w:val="normaltextrun"/>
          <w:rFonts w:eastAsiaTheme="majorEastAsia" w:cs="Arial"/>
          <w:b/>
          <w:bCs w:val="0"/>
          <w:color w:val="D13438"/>
          <w:u w:val="single"/>
          <w:shd w:val="clear" w:color="auto" w:fill="FFFFFF"/>
        </w:rPr>
      </w:pPr>
      <w:r>
        <w:rPr>
          <w:rStyle w:val="normaltextrun"/>
          <w:rFonts w:eastAsiaTheme="majorEastAsia" w:cs="Arial"/>
          <w:b/>
          <w:bCs w:val="0"/>
          <w:shd w:val="clear" w:color="auto" w:fill="FFFFFF"/>
        </w:rPr>
        <w:t>Results in this report differ to the QFS quarter 4 2022-23 results due to end of year adjustments.</w:t>
      </w:r>
    </w:p>
    <w:p w14:paraId="14CEB4B2" w14:textId="44A836E9" w:rsidR="00B03F93" w:rsidRDefault="00B03F93" w:rsidP="00B03F93">
      <w:r>
        <w:t xml:space="preserve">Residential aged care providers reported a quarter 4 2022-23 year-to-date net loss before tax of $924.0 million in the QFS. The annual result reported in this </w:t>
      </w:r>
      <w:r>
        <w:br/>
        <w:t xml:space="preserve">2022-23 FRAACS was significantly different compared to the QFS quarter 4 2022-23 position. This is because </w:t>
      </w:r>
      <w:r w:rsidRPr="00932E3C">
        <w:t xml:space="preserve">ACFR data </w:t>
      </w:r>
      <w:r>
        <w:t xml:space="preserve">(reported in </w:t>
      </w:r>
      <w:r w:rsidRPr="00932E3C">
        <w:t>FRAACS</w:t>
      </w:r>
      <w:r>
        <w:t xml:space="preserve">) is </w:t>
      </w:r>
      <w:r w:rsidRPr="00932E3C">
        <w:t xml:space="preserve">reported after all end of year adjustments have been made. </w:t>
      </w:r>
      <w:r>
        <w:t>Quarterly Financial Report (</w:t>
      </w:r>
      <w:r w:rsidRPr="00932E3C">
        <w:t>QFR</w:t>
      </w:r>
      <w:r>
        <w:t>) data for the QFS</w:t>
      </w:r>
      <w:r w:rsidRPr="00932E3C">
        <w:t xml:space="preserve"> is prepared predominantly using data from management accounts</w:t>
      </w:r>
      <w:r>
        <w:t xml:space="preserve"> which are unaudited (but approved by the provider’s Board). </w:t>
      </w:r>
      <w:r w:rsidRPr="00932E3C">
        <w:t xml:space="preserve"> </w:t>
      </w:r>
    </w:p>
    <w:p w14:paraId="58F6DBBE" w14:textId="77777777" w:rsidR="00B03F93" w:rsidRDefault="00B03F93" w:rsidP="00B03F93">
      <w:r w:rsidRPr="00162D4D">
        <w:t>Using management accounts to inform the QFS provides a timely snapshot of the sector to support the ongoing monitoring and transparency of the sector's financial performance. The end of financial year position reported in the FRAACS captures the audited position, which takes additional time to generate but provides a fuller picture.</w:t>
      </w:r>
    </w:p>
    <w:p w14:paraId="3EE1F377" w14:textId="77777777" w:rsidR="00EA6359" w:rsidRDefault="00EA6359" w:rsidP="00E54AE3">
      <w:pPr>
        <w:rPr>
          <w:b/>
          <w:bCs w:val="0"/>
          <w:sz w:val="36"/>
          <w:szCs w:val="36"/>
        </w:rPr>
      </w:pPr>
    </w:p>
    <w:p w14:paraId="4F65CDE7" w14:textId="7F035BB4" w:rsidR="00CF205E" w:rsidRPr="00E54AE3" w:rsidRDefault="00CF205E" w:rsidP="00E54AE3">
      <w:pPr>
        <w:rPr>
          <w:bCs w:val="0"/>
          <w:sz w:val="36"/>
          <w:szCs w:val="36"/>
        </w:rPr>
      </w:pPr>
      <w:r w:rsidRPr="00E54AE3">
        <w:rPr>
          <w:b/>
          <w:bCs w:val="0"/>
          <w:sz w:val="36"/>
          <w:szCs w:val="36"/>
        </w:rPr>
        <w:t>Home care</w:t>
      </w:r>
    </w:p>
    <w:p w14:paraId="41E12A55" w14:textId="783FD6AA" w:rsidR="000C749F" w:rsidRDefault="00A277EE" w:rsidP="000C749F">
      <w:r>
        <w:rPr>
          <w:b/>
          <w:bCs w:val="0"/>
        </w:rPr>
        <w:t>T</w:t>
      </w:r>
      <w:r w:rsidR="00887AAE">
        <w:rPr>
          <w:b/>
          <w:bCs w:val="0"/>
        </w:rPr>
        <w:t>he</w:t>
      </w:r>
      <w:r w:rsidR="000C749F" w:rsidRPr="000C749F">
        <w:rPr>
          <w:b/>
          <w:bCs w:val="0"/>
        </w:rPr>
        <w:t xml:space="preserve"> Home Care </w:t>
      </w:r>
      <w:r w:rsidR="0018724F" w:rsidRPr="000C749F">
        <w:rPr>
          <w:b/>
        </w:rPr>
        <w:t>sector continue</w:t>
      </w:r>
      <w:r w:rsidR="0018724F">
        <w:rPr>
          <w:b/>
        </w:rPr>
        <w:t>s</w:t>
      </w:r>
      <w:r w:rsidR="0018724F" w:rsidRPr="000C749F">
        <w:rPr>
          <w:b/>
        </w:rPr>
        <w:t xml:space="preserve"> to be profitable</w:t>
      </w:r>
      <w:r>
        <w:rPr>
          <w:b/>
        </w:rPr>
        <w:t xml:space="preserve"> with a </w:t>
      </w:r>
      <w:r w:rsidR="003E0567">
        <w:rPr>
          <w:b/>
        </w:rPr>
        <w:t xml:space="preserve">NPBT </w:t>
      </w:r>
      <w:r>
        <w:rPr>
          <w:b/>
        </w:rPr>
        <w:t xml:space="preserve">result of </w:t>
      </w:r>
      <w:r>
        <w:br/>
      </w:r>
      <w:r>
        <w:rPr>
          <w:b/>
        </w:rPr>
        <w:t>$2.17 per recipient per</w:t>
      </w:r>
      <w:r w:rsidR="003E0567">
        <w:rPr>
          <w:b/>
        </w:rPr>
        <w:t xml:space="preserve"> day.</w:t>
      </w:r>
      <w:r w:rsidR="007A6481">
        <w:rPr>
          <w:b/>
        </w:rPr>
        <w:t xml:space="preserve"> While</w:t>
      </w:r>
      <w:r w:rsidR="007A6481">
        <w:rPr>
          <w:b/>
          <w:bCs w:val="0"/>
        </w:rPr>
        <w:t xml:space="preserve"> the sector remains profitable, the NPBT result has</w:t>
      </w:r>
      <w:r w:rsidR="00887AAE">
        <w:rPr>
          <w:b/>
          <w:bCs w:val="0"/>
        </w:rPr>
        <w:t xml:space="preserve"> </w:t>
      </w:r>
      <w:r w:rsidR="00C404EB">
        <w:rPr>
          <w:b/>
          <w:bCs w:val="0"/>
        </w:rPr>
        <w:t>decreased compared to 2021-22</w:t>
      </w:r>
      <w:r w:rsidR="00C404EB">
        <w:t>.</w:t>
      </w:r>
    </w:p>
    <w:p w14:paraId="7621D0B3" w14:textId="77777777" w:rsidR="000C749F" w:rsidRDefault="000C749F" w:rsidP="000C749F">
      <w:r>
        <w:t xml:space="preserve">Key results include: </w:t>
      </w:r>
    </w:p>
    <w:p w14:paraId="72CD1A2A" w14:textId="255E911C" w:rsidR="009A7873" w:rsidRDefault="009E46D0" w:rsidP="00EA6359">
      <w:pPr>
        <w:pStyle w:val="ListParagraph"/>
        <w:numPr>
          <w:ilvl w:val="0"/>
          <w:numId w:val="29"/>
        </w:numPr>
        <w:spacing w:after="0"/>
      </w:pPr>
      <w:r>
        <w:t>Home Care providers returned</w:t>
      </w:r>
      <w:r w:rsidR="002A4070">
        <w:t xml:space="preserve"> </w:t>
      </w:r>
      <w:r w:rsidR="00FE397E">
        <w:t>a</w:t>
      </w:r>
      <w:r w:rsidR="002A4070">
        <w:t xml:space="preserve"> </w:t>
      </w:r>
      <w:r w:rsidR="0018724F" w:rsidRPr="0018724F">
        <w:t>NPBT</w:t>
      </w:r>
      <w:r w:rsidR="0018724F">
        <w:t xml:space="preserve"> result of $2.17 per recipient per day</w:t>
      </w:r>
      <w:r w:rsidR="00881922">
        <w:t xml:space="preserve"> in 2022-23</w:t>
      </w:r>
      <w:r w:rsidR="007D0BE4">
        <w:t xml:space="preserve"> (down</w:t>
      </w:r>
      <w:r w:rsidR="00637F0E">
        <w:t xml:space="preserve"> from </w:t>
      </w:r>
      <w:r w:rsidR="0033649C">
        <w:t>$2.7</w:t>
      </w:r>
      <w:r w:rsidR="0099479D">
        <w:t>8</w:t>
      </w:r>
      <w:r w:rsidR="0033649C">
        <w:t xml:space="preserve"> in 2021-22</w:t>
      </w:r>
      <w:r w:rsidR="00001B5B">
        <w:t xml:space="preserve">). </w:t>
      </w:r>
    </w:p>
    <w:p w14:paraId="625AD070" w14:textId="644A21FC" w:rsidR="00D13BB0" w:rsidRDefault="00D13BB0" w:rsidP="00EA6359">
      <w:pPr>
        <w:pStyle w:val="ListParagraph"/>
        <w:numPr>
          <w:ilvl w:val="0"/>
          <w:numId w:val="29"/>
        </w:numPr>
        <w:spacing w:before="0" w:after="120"/>
      </w:pPr>
      <w:r>
        <w:t>Average</w:t>
      </w:r>
      <w:r w:rsidRPr="00356A69">
        <w:t xml:space="preserve"> EBITDA </w:t>
      </w:r>
      <w:r w:rsidRPr="00462CDF">
        <w:t xml:space="preserve">decreased from $1,232 </w:t>
      </w:r>
      <w:r>
        <w:t xml:space="preserve">per recipient per day </w:t>
      </w:r>
      <w:r w:rsidRPr="00462CDF">
        <w:t>in 2021-22</w:t>
      </w:r>
      <w:r>
        <w:t xml:space="preserve"> </w:t>
      </w:r>
      <w:r w:rsidRPr="00462CDF">
        <w:t>to $1,007</w:t>
      </w:r>
      <w:r>
        <w:t xml:space="preserve"> in 2022-23.</w:t>
      </w:r>
    </w:p>
    <w:p w14:paraId="316EA39A" w14:textId="0CE05C35" w:rsidR="005A6BBA" w:rsidRDefault="00E24A9E" w:rsidP="00EA6359">
      <w:pPr>
        <w:pStyle w:val="ListParagraph"/>
        <w:numPr>
          <w:ilvl w:val="0"/>
          <w:numId w:val="29"/>
        </w:numPr>
        <w:spacing w:after="120"/>
      </w:pPr>
      <w:r>
        <w:t>68</w:t>
      </w:r>
      <w:r w:rsidR="00142165">
        <w:t>%</w:t>
      </w:r>
      <w:r w:rsidR="00171BEB">
        <w:t xml:space="preserve"> </w:t>
      </w:r>
      <w:r w:rsidR="00F66486">
        <w:t xml:space="preserve">of </w:t>
      </w:r>
      <w:r w:rsidR="00C404EB">
        <w:t>home care</w:t>
      </w:r>
      <w:r w:rsidR="00637F0E" w:rsidRPr="00637F0E">
        <w:t xml:space="preserve"> providers </w:t>
      </w:r>
      <w:r w:rsidR="00F66486">
        <w:t xml:space="preserve">were profitable in 2022-23. This is a decline from </w:t>
      </w:r>
      <w:r w:rsidR="00DF6ECF" w:rsidRPr="00686A19">
        <w:t>69</w:t>
      </w:r>
      <w:r w:rsidR="00F812E4" w:rsidRPr="00686A19">
        <w:t>% in 202</w:t>
      </w:r>
      <w:r w:rsidR="000E6AFD" w:rsidRPr="00686A19">
        <w:t>1</w:t>
      </w:r>
      <w:r w:rsidR="00F812E4" w:rsidRPr="00686A19">
        <w:t>-2</w:t>
      </w:r>
      <w:r w:rsidR="000E6AFD" w:rsidRPr="00686A19">
        <w:t>2</w:t>
      </w:r>
      <w:r w:rsidR="00F66486">
        <w:t xml:space="preserve"> and 74% in 2020-21. </w:t>
      </w:r>
    </w:p>
    <w:p w14:paraId="2179C8EB" w14:textId="0FB13368" w:rsidR="00C811A2" w:rsidRDefault="00C811A2" w:rsidP="00EA6359">
      <w:pPr>
        <w:pStyle w:val="ListParagraph"/>
        <w:numPr>
          <w:ilvl w:val="0"/>
          <w:numId w:val="29"/>
        </w:numPr>
        <w:spacing w:after="0"/>
      </w:pPr>
      <w:r w:rsidRPr="00A95F52">
        <w:t xml:space="preserve">In 2022-23, </w:t>
      </w:r>
      <w:r w:rsidR="000B24DB">
        <w:t xml:space="preserve">sector profitability </w:t>
      </w:r>
      <w:r w:rsidRPr="00A95F52">
        <w:t xml:space="preserve">was impacted because the increase in </w:t>
      </w:r>
      <w:r w:rsidR="000B24DB" w:rsidRPr="00A95F52">
        <w:t>revenue ($1.71</w:t>
      </w:r>
      <w:r w:rsidR="00534EF5" w:rsidRPr="00D12D84">
        <w:t xml:space="preserve"> per resident per day</w:t>
      </w:r>
      <w:r w:rsidR="000B24DB" w:rsidRPr="00A95F52">
        <w:t>)</w:t>
      </w:r>
      <w:r w:rsidR="000B24DB">
        <w:t xml:space="preserve"> was not proportionate to the increase in </w:t>
      </w:r>
      <w:r w:rsidRPr="00A95F52">
        <w:t>expenses ($2.31</w:t>
      </w:r>
      <w:r w:rsidR="00534EF5" w:rsidRPr="00D12D84">
        <w:t xml:space="preserve"> per resident per day</w:t>
      </w:r>
      <w:r w:rsidRPr="00A95F52">
        <w:t>)</w:t>
      </w:r>
      <w:r w:rsidR="000B24DB">
        <w:t>.</w:t>
      </w:r>
    </w:p>
    <w:p w14:paraId="59C26C73" w14:textId="2F4A7B93" w:rsidR="00D12D84" w:rsidRPr="00D12D84" w:rsidRDefault="00D12D84" w:rsidP="00EA6359">
      <w:pPr>
        <w:pStyle w:val="ListParagraph"/>
        <w:numPr>
          <w:ilvl w:val="0"/>
          <w:numId w:val="29"/>
        </w:numPr>
        <w:spacing w:before="0" w:after="120"/>
      </w:pPr>
      <w:r w:rsidRPr="00D12D84">
        <w:t>The EBITDA margin for all provider</w:t>
      </w:r>
      <w:r>
        <w:t xml:space="preserve"> types</w:t>
      </w:r>
      <w:r w:rsidRPr="00D12D84">
        <w:t xml:space="preserve"> in 2022-23 was 4.1%, a decrease of 1 percentage point on the prior year. </w:t>
      </w:r>
    </w:p>
    <w:p w14:paraId="20A23F8C" w14:textId="2D524C11" w:rsidR="00450782" w:rsidRDefault="00450782" w:rsidP="009747EB">
      <w:pPr>
        <w:rPr>
          <w:b/>
          <w:bCs w:val="0"/>
        </w:rPr>
      </w:pPr>
      <w:r>
        <w:t>Home</w:t>
      </w:r>
      <w:r w:rsidRPr="00932E3C">
        <w:t xml:space="preserve"> care providers reported a</w:t>
      </w:r>
      <w:r>
        <w:t xml:space="preserve"> year-to-date </w:t>
      </w:r>
      <w:r w:rsidR="1E2679CD">
        <w:t>NPBT</w:t>
      </w:r>
      <w:r w:rsidRPr="00932E3C">
        <w:t xml:space="preserve"> of $</w:t>
      </w:r>
      <w:r>
        <w:t>320.4</w:t>
      </w:r>
      <w:r w:rsidRPr="00932E3C">
        <w:t xml:space="preserve"> million in the </w:t>
      </w:r>
      <w:r>
        <w:t>QFS quarter 4 2022-23.</w:t>
      </w:r>
      <w:r w:rsidRPr="00932E3C">
        <w:t xml:space="preserve"> </w:t>
      </w:r>
      <w:r>
        <w:t>As outlined above, i</w:t>
      </w:r>
      <w:r w:rsidRPr="00932E3C">
        <w:t xml:space="preserve">t </w:t>
      </w:r>
      <w:r>
        <w:t>was</w:t>
      </w:r>
      <w:r w:rsidRPr="00932E3C">
        <w:t xml:space="preserve"> expected that the 2022-23 FRAACS result </w:t>
      </w:r>
      <w:r>
        <w:t xml:space="preserve">would </w:t>
      </w:r>
      <w:r w:rsidRPr="00932E3C">
        <w:t>differ from the year-to-date QFS</w:t>
      </w:r>
      <w:r>
        <w:t xml:space="preserve"> quarter 4 2022-23</w:t>
      </w:r>
      <w:r w:rsidRPr="00932E3C">
        <w:t xml:space="preserve"> position </w:t>
      </w:r>
      <w:r>
        <w:t>due to</w:t>
      </w:r>
      <w:r w:rsidRPr="00932E3C">
        <w:t xml:space="preserve"> </w:t>
      </w:r>
      <w:r w:rsidRPr="009503DC">
        <w:t>end of year expenses</w:t>
      </w:r>
      <w:r w:rsidRPr="00932E3C">
        <w:t xml:space="preserve"> </w:t>
      </w:r>
      <w:r>
        <w:t xml:space="preserve">that </w:t>
      </w:r>
      <w:r w:rsidRPr="00932E3C">
        <w:t xml:space="preserve">may not have been </w:t>
      </w:r>
      <w:r w:rsidRPr="009503DC">
        <w:t>posted</w:t>
      </w:r>
      <w:r w:rsidRPr="00932E3C">
        <w:t xml:space="preserve"> at the time providers submitted their QFR</w:t>
      </w:r>
      <w:r>
        <w:t>.</w:t>
      </w:r>
      <w:r w:rsidRPr="009503DC">
        <w:t xml:space="preserve"> The ACFR is due</w:t>
      </w:r>
      <w:r>
        <w:t xml:space="preserve"> </w:t>
      </w:r>
      <w:r w:rsidR="4EA70DAE">
        <w:t>almost</w:t>
      </w:r>
      <w:r w:rsidRPr="009503DC">
        <w:t xml:space="preserve"> 3 months after the QFR </w:t>
      </w:r>
      <w:r>
        <w:t xml:space="preserve">quarter </w:t>
      </w:r>
      <w:r w:rsidRPr="009503DC">
        <w:t>4 due date.</w:t>
      </w:r>
      <w:r w:rsidRPr="00845C28">
        <w:t xml:space="preserve"> </w:t>
      </w:r>
    </w:p>
    <w:p w14:paraId="00E21922" w14:textId="16AC7E77" w:rsidR="009747EB" w:rsidRPr="009747EB" w:rsidRDefault="00AA2579" w:rsidP="009747EB">
      <w:pPr>
        <w:rPr>
          <w:b/>
          <w:bCs w:val="0"/>
        </w:rPr>
      </w:pPr>
      <w:r>
        <w:rPr>
          <w:b/>
          <w:bCs w:val="0"/>
        </w:rPr>
        <w:t xml:space="preserve">EBITDA </w:t>
      </w:r>
      <w:r w:rsidR="00BB4D78">
        <w:rPr>
          <w:b/>
          <w:bCs w:val="0"/>
        </w:rPr>
        <w:t xml:space="preserve">results vary </w:t>
      </w:r>
      <w:r>
        <w:rPr>
          <w:b/>
          <w:bCs w:val="0"/>
        </w:rPr>
        <w:t xml:space="preserve">across the </w:t>
      </w:r>
      <w:r w:rsidR="006E6992">
        <w:rPr>
          <w:b/>
          <w:bCs w:val="0"/>
        </w:rPr>
        <w:t xml:space="preserve">home care </w:t>
      </w:r>
      <w:r>
        <w:rPr>
          <w:b/>
          <w:bCs w:val="0"/>
        </w:rPr>
        <w:t>sector, with t</w:t>
      </w:r>
      <w:r w:rsidR="00763BA4" w:rsidRPr="00763BA4">
        <w:rPr>
          <w:b/>
          <w:bCs w:val="0"/>
        </w:rPr>
        <w:t xml:space="preserve">he top performing </w:t>
      </w:r>
      <w:r w:rsidR="00BB4D78">
        <w:rPr>
          <w:b/>
          <w:bCs w:val="0"/>
        </w:rPr>
        <w:t>quartile</w:t>
      </w:r>
      <w:r w:rsidR="00763BA4" w:rsidRPr="00763BA4">
        <w:rPr>
          <w:b/>
          <w:bCs w:val="0"/>
        </w:rPr>
        <w:t xml:space="preserve"> of providers </w:t>
      </w:r>
      <w:r w:rsidR="007E2313">
        <w:rPr>
          <w:b/>
          <w:bCs w:val="0"/>
        </w:rPr>
        <w:t>continu</w:t>
      </w:r>
      <w:r w:rsidR="00285D7E">
        <w:rPr>
          <w:b/>
          <w:bCs w:val="0"/>
        </w:rPr>
        <w:t>ing</w:t>
      </w:r>
      <w:r w:rsidR="007E2313">
        <w:rPr>
          <w:b/>
          <w:bCs w:val="0"/>
        </w:rPr>
        <w:t xml:space="preserve"> to trend up</w:t>
      </w:r>
      <w:r w:rsidR="00285D7E">
        <w:rPr>
          <w:b/>
          <w:bCs w:val="0"/>
        </w:rPr>
        <w:t>wards</w:t>
      </w:r>
      <w:r w:rsidR="007E2313">
        <w:rPr>
          <w:b/>
          <w:bCs w:val="0"/>
        </w:rPr>
        <w:t>, while</w:t>
      </w:r>
      <w:r w:rsidR="00763BA4" w:rsidRPr="00763BA4">
        <w:rPr>
          <w:b/>
          <w:bCs w:val="0"/>
        </w:rPr>
        <w:t xml:space="preserve"> the </w:t>
      </w:r>
      <w:r w:rsidR="007E2313">
        <w:rPr>
          <w:b/>
          <w:bCs w:val="0"/>
        </w:rPr>
        <w:t xml:space="preserve">bottom performing </w:t>
      </w:r>
      <w:r w:rsidR="00BB4D78">
        <w:rPr>
          <w:b/>
          <w:bCs w:val="0"/>
        </w:rPr>
        <w:t>quartile</w:t>
      </w:r>
      <w:r w:rsidR="00763BA4" w:rsidRPr="00763BA4">
        <w:rPr>
          <w:b/>
          <w:bCs w:val="0"/>
        </w:rPr>
        <w:t xml:space="preserve"> of providers </w:t>
      </w:r>
      <w:r w:rsidR="007E2313">
        <w:rPr>
          <w:b/>
          <w:bCs w:val="0"/>
        </w:rPr>
        <w:t>continues to trend down</w:t>
      </w:r>
      <w:r w:rsidR="00285D7E">
        <w:rPr>
          <w:b/>
          <w:bCs w:val="0"/>
        </w:rPr>
        <w:t>ward</w:t>
      </w:r>
      <w:r w:rsidR="00A619C7">
        <w:rPr>
          <w:b/>
          <w:bCs w:val="0"/>
        </w:rPr>
        <w:t>.</w:t>
      </w:r>
      <w:r w:rsidR="00E56652">
        <w:rPr>
          <w:b/>
          <w:bCs w:val="0"/>
        </w:rPr>
        <w:t xml:space="preserve"> </w:t>
      </w:r>
    </w:p>
    <w:p w14:paraId="405C5B47" w14:textId="7D7DE3CF" w:rsidR="00431E95" w:rsidRDefault="00CC6D63" w:rsidP="002E7271">
      <w:pPr>
        <w:spacing w:after="120"/>
      </w:pPr>
      <w:r>
        <w:t>The</w:t>
      </w:r>
      <w:r w:rsidR="00CC2938">
        <w:t xml:space="preserve"> top </w:t>
      </w:r>
      <w:r w:rsidR="00BB4D78">
        <w:t>quartile</w:t>
      </w:r>
      <w:r w:rsidR="00CC2938">
        <w:t xml:space="preserve"> of</w:t>
      </w:r>
      <w:r w:rsidR="00431E95">
        <w:t xml:space="preserve"> providers recorded an</w:t>
      </w:r>
      <w:r w:rsidR="00600C27">
        <w:t xml:space="preserve"> ave</w:t>
      </w:r>
      <w:r>
        <w:t xml:space="preserve">rage EBITDA of $5,565 per recipient per </w:t>
      </w:r>
      <w:r w:rsidR="00F21BB3">
        <w:t>year</w:t>
      </w:r>
      <w:r w:rsidR="00794934">
        <w:t xml:space="preserve"> up from </w:t>
      </w:r>
      <w:r w:rsidR="006C0931">
        <w:t>$5,119</w:t>
      </w:r>
      <w:r w:rsidR="00794934">
        <w:t xml:space="preserve"> in 2021-22</w:t>
      </w:r>
      <w:r w:rsidR="00BB4D78">
        <w:t>. This is more</w:t>
      </w:r>
      <w:r w:rsidR="00431E95">
        <w:t xml:space="preserve"> than double the average EBITDA of the next</w:t>
      </w:r>
      <w:r>
        <w:t xml:space="preserve"> top </w:t>
      </w:r>
      <w:r w:rsidR="00CF572D">
        <w:t>quartile</w:t>
      </w:r>
      <w:r>
        <w:t xml:space="preserve"> of providers </w:t>
      </w:r>
      <w:r w:rsidR="00431E95">
        <w:t>($2,043).</w:t>
      </w:r>
    </w:p>
    <w:p w14:paraId="2A723349" w14:textId="5D9A4155" w:rsidR="00F86393" w:rsidRDefault="002E7271" w:rsidP="002E7271">
      <w:pPr>
        <w:spacing w:after="120"/>
      </w:pPr>
      <w:r>
        <w:t xml:space="preserve">In contrast, </w:t>
      </w:r>
      <w:r w:rsidR="005F5635">
        <w:t>providers</w:t>
      </w:r>
      <w:r w:rsidR="008B794A">
        <w:t xml:space="preserve"> in the bottom quartile</w:t>
      </w:r>
      <w:r w:rsidR="005F5635">
        <w:t xml:space="preserve"> </w:t>
      </w:r>
      <w:r w:rsidR="00CF572D">
        <w:t xml:space="preserve">recorded an average EBITDA result of negative $3,263 (down from negative $2,573 in 2021-22). This group of providers </w:t>
      </w:r>
      <w:r w:rsidR="005F5635">
        <w:t>have recorded a negative</w:t>
      </w:r>
      <w:r w:rsidR="00CF572D">
        <w:t>,</w:t>
      </w:r>
      <w:r w:rsidR="008B794A">
        <w:t xml:space="preserve"> and declining</w:t>
      </w:r>
      <w:r w:rsidR="00CF572D">
        <w:t>,</w:t>
      </w:r>
      <w:r w:rsidR="005F5635">
        <w:t xml:space="preserve"> EBITDA result </w:t>
      </w:r>
      <w:r w:rsidR="00947BC0">
        <w:t xml:space="preserve">each year since 2019-20. </w:t>
      </w:r>
      <w:r w:rsidR="00BB4D78">
        <w:t>Th</w:t>
      </w:r>
      <w:r w:rsidR="004A0B96">
        <w:t xml:space="preserve">is </w:t>
      </w:r>
      <w:r w:rsidR="00BB4D78">
        <w:t xml:space="preserve">was the only quartile </w:t>
      </w:r>
      <w:r w:rsidR="004A0B96">
        <w:t xml:space="preserve">of providers </w:t>
      </w:r>
      <w:r w:rsidR="00BB4D78">
        <w:t>to record a decline in average EBITDA in 2022-23.</w:t>
      </w:r>
      <w:r w:rsidR="00BD0367" w:rsidRPr="00BD0367">
        <w:t xml:space="preserve"> </w:t>
      </w:r>
      <w:r w:rsidR="00BD0367">
        <w:t xml:space="preserve">Further, the substantial decline in the EBITDA result for the bottom quartile was the </w:t>
      </w:r>
      <w:r w:rsidR="00ED394F">
        <w:t xml:space="preserve">main </w:t>
      </w:r>
      <w:r w:rsidR="00BD0367">
        <w:t xml:space="preserve">contributing factor </w:t>
      </w:r>
      <w:r w:rsidR="00ED394F">
        <w:t xml:space="preserve">for </w:t>
      </w:r>
      <w:r w:rsidR="00BD0367">
        <w:t>overall decrease in average EBITDA for home care, down from $1,232 per recipient per day in 2021-22</w:t>
      </w:r>
      <w:r w:rsidR="001A5D9F">
        <w:t xml:space="preserve"> </w:t>
      </w:r>
      <w:r w:rsidR="00BD0367">
        <w:t>to $1,007 per recipient per day in 2022-23.</w:t>
      </w:r>
    </w:p>
    <w:p w14:paraId="569A0B53" w14:textId="04A95210" w:rsidR="00964473" w:rsidRDefault="001D16D7" w:rsidP="00A11B49">
      <w:pPr>
        <w:rPr>
          <w:b/>
          <w:bCs w:val="0"/>
        </w:rPr>
      </w:pPr>
      <w:r w:rsidRPr="001D16D7">
        <w:rPr>
          <w:b/>
          <w:bCs w:val="0"/>
        </w:rPr>
        <w:t>Increases in administration and support expenses may also be impacting profits</w:t>
      </w:r>
      <w:r w:rsidR="00B450AD">
        <w:rPr>
          <w:b/>
          <w:bCs w:val="0"/>
        </w:rPr>
        <w:t xml:space="preserve">. </w:t>
      </w:r>
    </w:p>
    <w:p w14:paraId="6669FD0B" w14:textId="4EECA9E2" w:rsidR="00C02014" w:rsidRDefault="00CE3623" w:rsidP="00A11B49">
      <w:r>
        <w:t xml:space="preserve">Exclusive of package management and care management </w:t>
      </w:r>
      <w:r w:rsidR="004442A3">
        <w:t>costs, t</w:t>
      </w:r>
      <w:r w:rsidR="008C19C7">
        <w:t xml:space="preserve">here has been a 58% increase in </w:t>
      </w:r>
      <w:r w:rsidR="00C02014">
        <w:t xml:space="preserve">administration and support expenses </w:t>
      </w:r>
      <w:r w:rsidR="009A792C">
        <w:t xml:space="preserve">for home care providers </w:t>
      </w:r>
      <w:r w:rsidR="00C02014">
        <w:t xml:space="preserve">in the </w:t>
      </w:r>
      <w:r w:rsidR="00AC1A4B">
        <w:t>2</w:t>
      </w:r>
      <w:r w:rsidR="00C02014">
        <w:t xml:space="preserve"> years </w:t>
      </w:r>
      <w:r w:rsidR="0083064A">
        <w:t>to 30 June 2023</w:t>
      </w:r>
      <w:r w:rsidR="00C02014">
        <w:t>. As a proportion of total expenses, a</w:t>
      </w:r>
      <w:r w:rsidR="00A11B49">
        <w:t xml:space="preserve">dministration and support </w:t>
      </w:r>
      <w:r w:rsidR="008C19C7">
        <w:t>has increased</w:t>
      </w:r>
      <w:r w:rsidR="00C02014">
        <w:t xml:space="preserve"> from 15% in 2020-21 to 23% in 2022-23.</w:t>
      </w:r>
      <w:r w:rsidR="00996DBB">
        <w:t xml:space="preserve"> While </w:t>
      </w:r>
      <w:r w:rsidR="00FC0BFD">
        <w:t>most</w:t>
      </w:r>
      <w:r w:rsidR="00996DBB">
        <w:t xml:space="preserve"> of the increase</w:t>
      </w:r>
      <w:r w:rsidR="003A3FCE">
        <w:t xml:space="preserve"> </w:t>
      </w:r>
      <w:r w:rsidR="00996DBB">
        <w:t xml:space="preserve">occurred in 2021-22, administration and support expenses increased </w:t>
      </w:r>
      <w:r w:rsidR="004833BF">
        <w:t>9</w:t>
      </w:r>
      <w:r w:rsidR="00996DBB">
        <w:t>% in 2022-23 (up from $</w:t>
      </w:r>
      <w:r w:rsidR="00C30560">
        <w:t>9.37</w:t>
      </w:r>
      <w:r w:rsidR="00996DBB">
        <w:t xml:space="preserve"> </w:t>
      </w:r>
      <w:r w:rsidR="00773B3A">
        <w:t>per recipient per day</w:t>
      </w:r>
      <w:r w:rsidR="00996DBB">
        <w:t xml:space="preserve"> </w:t>
      </w:r>
      <w:r w:rsidR="008D1EB9">
        <w:t xml:space="preserve">in </w:t>
      </w:r>
      <w:r w:rsidR="00C30560">
        <w:t>2020</w:t>
      </w:r>
      <w:r w:rsidR="008D1EB9">
        <w:t>-</w:t>
      </w:r>
      <w:r w:rsidR="00C30560">
        <w:t xml:space="preserve">21 </w:t>
      </w:r>
      <w:r w:rsidR="00996DBB">
        <w:t>to $14.78</w:t>
      </w:r>
      <w:r w:rsidR="00C014B2">
        <w:t xml:space="preserve"> in 2022-23</w:t>
      </w:r>
      <w:r w:rsidR="00996DBB">
        <w:t xml:space="preserve">). </w:t>
      </w:r>
    </w:p>
    <w:p w14:paraId="77458A72" w14:textId="4B28AB18" w:rsidR="003F057C" w:rsidRDefault="00806D69" w:rsidP="00A11B49">
      <w:r>
        <w:t>T</w:t>
      </w:r>
      <w:r w:rsidR="007E16C2">
        <w:t xml:space="preserve">here </w:t>
      </w:r>
      <w:r w:rsidR="009D65AF">
        <w:t xml:space="preserve">has been a change in the type of </w:t>
      </w:r>
      <w:r w:rsidR="006F0DD1">
        <w:t>direct care service expenses incurred by the sector</w:t>
      </w:r>
      <w:r w:rsidR="00996DBB">
        <w:t xml:space="preserve">. </w:t>
      </w:r>
      <w:r w:rsidR="00A125D6">
        <w:t>Since 2018-19</w:t>
      </w:r>
      <w:r w:rsidR="00777D32">
        <w:t xml:space="preserve">, </w:t>
      </w:r>
      <w:r w:rsidR="00777D32" w:rsidRPr="00777D32">
        <w:t>external direct care services</w:t>
      </w:r>
      <w:r w:rsidR="00BB24C3">
        <w:t xml:space="preserve"> </w:t>
      </w:r>
      <w:r w:rsidR="00CA37F2">
        <w:t>have</w:t>
      </w:r>
      <w:r w:rsidR="00BB24C3">
        <w:t xml:space="preserve"> increased</w:t>
      </w:r>
      <w:r w:rsidR="00777D32" w:rsidRPr="00777D32">
        <w:t xml:space="preserve">, </w:t>
      </w:r>
      <w:r w:rsidR="00A125D6">
        <w:t xml:space="preserve">while </w:t>
      </w:r>
      <w:r w:rsidR="00DC6FF9">
        <w:t>internal</w:t>
      </w:r>
      <w:r w:rsidR="00777D32" w:rsidRPr="00777D32">
        <w:t xml:space="preserve"> direct care services</w:t>
      </w:r>
      <w:r w:rsidR="00DC6FF9">
        <w:t xml:space="preserve"> expenses declined. In 2022-23, external direct care services represented a greater proportion of total expenses </w:t>
      </w:r>
      <w:r w:rsidR="00D32BDF">
        <w:t>(32%)</w:t>
      </w:r>
      <w:r w:rsidR="00DC6FF9">
        <w:t xml:space="preserve"> than internal direct care services</w:t>
      </w:r>
      <w:r w:rsidR="00D32BDF">
        <w:t xml:space="preserve"> (30%)</w:t>
      </w:r>
      <w:r w:rsidR="00B47C82">
        <w:t xml:space="preserve"> suggesting</w:t>
      </w:r>
      <w:r w:rsidR="00CA37F2">
        <w:t xml:space="preserve"> providers are</w:t>
      </w:r>
      <w:r w:rsidR="00E53FBE">
        <w:t xml:space="preserve"> utilis</w:t>
      </w:r>
      <w:r w:rsidR="5D92A8FE">
        <w:t>ing</w:t>
      </w:r>
      <w:r w:rsidR="00E53FBE">
        <w:t xml:space="preserve"> sub-contractors </w:t>
      </w:r>
      <w:r w:rsidR="3F1AC1CA">
        <w:t xml:space="preserve">more </w:t>
      </w:r>
      <w:r w:rsidR="00E53FBE">
        <w:t xml:space="preserve">which often </w:t>
      </w:r>
      <w:r w:rsidR="00DD7419">
        <w:t xml:space="preserve">incur higher costs. </w:t>
      </w:r>
    </w:p>
    <w:p w14:paraId="3CA6C81F" w14:textId="78ED4AC4" w:rsidR="00E31948" w:rsidRDefault="00B333E5" w:rsidP="00E31948">
      <w:r>
        <w:rPr>
          <w:b/>
          <w:bCs w:val="0"/>
        </w:rPr>
        <w:t xml:space="preserve">Government expenditure has increased, </w:t>
      </w:r>
      <w:r w:rsidR="000C6FD5">
        <w:rPr>
          <w:b/>
          <w:bCs w:val="0"/>
        </w:rPr>
        <w:t xml:space="preserve">and </w:t>
      </w:r>
      <w:r w:rsidR="00FD2355">
        <w:rPr>
          <w:b/>
          <w:bCs w:val="0"/>
        </w:rPr>
        <w:t xml:space="preserve">past and future reforms are expected to contribute to more efficient and effective </w:t>
      </w:r>
      <w:r w:rsidR="00264740">
        <w:rPr>
          <w:b/>
          <w:bCs w:val="0"/>
        </w:rPr>
        <w:t>in-home care.</w:t>
      </w:r>
      <w:r w:rsidR="00FD2355">
        <w:rPr>
          <w:b/>
          <w:bCs w:val="0"/>
        </w:rPr>
        <w:t xml:space="preserve"> </w:t>
      </w:r>
    </w:p>
    <w:p w14:paraId="65582FCA" w14:textId="6DA46DB1" w:rsidR="00E31948" w:rsidRDefault="00A03B5D" w:rsidP="00E31948">
      <w:r w:rsidRPr="00CA6AFD">
        <w:t xml:space="preserve">Australian Government expenditure </w:t>
      </w:r>
      <w:r>
        <w:t xml:space="preserve">on home care </w:t>
      </w:r>
      <w:r w:rsidRPr="00CA6AFD">
        <w:t>increased</w:t>
      </w:r>
      <w:r w:rsidR="002E62EB">
        <w:t xml:space="preserve"> 27%</w:t>
      </w:r>
      <w:r>
        <w:t xml:space="preserve">, up from </w:t>
      </w:r>
      <w:r w:rsidRPr="004F21C9">
        <w:t>$4.4 billion in 2021-22</w:t>
      </w:r>
      <w:r>
        <w:t xml:space="preserve"> to $5.6 billion in 2022-23. </w:t>
      </w:r>
      <w:r w:rsidR="007614BD">
        <w:t>This has led to</w:t>
      </w:r>
      <w:r>
        <w:t xml:space="preserve"> </w:t>
      </w:r>
      <w:r w:rsidR="00E31948" w:rsidRPr="00CA6AFD" w:rsidDel="00A03B5D">
        <w:t>a</w:t>
      </w:r>
      <w:r w:rsidR="00E31948" w:rsidRPr="00CA6AFD">
        <w:t xml:space="preserve"> 20% increase in the number of people accessing home care packages during 2022-23 (</w:t>
      </w:r>
      <w:r>
        <w:t>up</w:t>
      </w:r>
      <w:r w:rsidR="00E31948" w:rsidRPr="00CA6AFD" w:rsidDel="00A03B5D">
        <w:t xml:space="preserve"> </w:t>
      </w:r>
      <w:r w:rsidR="00E31948" w:rsidRPr="00CA6AFD">
        <w:t xml:space="preserve">42,631 recipients </w:t>
      </w:r>
      <w:r w:rsidR="00E31948">
        <w:t>from</w:t>
      </w:r>
      <w:r w:rsidR="00E31948" w:rsidRPr="00CA6AFD">
        <w:t xml:space="preserve"> 2021-22). </w:t>
      </w:r>
      <w:r w:rsidR="00E31948">
        <w:t>The rise</w:t>
      </w:r>
      <w:r w:rsidR="00E31948" w:rsidRPr="004F21C9">
        <w:t xml:space="preserve"> in Government expenditure</w:t>
      </w:r>
      <w:r w:rsidR="00E31948">
        <w:t xml:space="preserve"> </w:t>
      </w:r>
      <w:r w:rsidR="001A3E8E">
        <w:t>responds to</w:t>
      </w:r>
      <w:r w:rsidR="006D4F90">
        <w:t xml:space="preserve"> the growing </w:t>
      </w:r>
      <w:r w:rsidR="001A3E8E">
        <w:t>preference</w:t>
      </w:r>
      <w:r w:rsidR="006D4F90">
        <w:t xml:space="preserve"> </w:t>
      </w:r>
      <w:r w:rsidR="004B79C9">
        <w:t xml:space="preserve">for </w:t>
      </w:r>
      <w:r w:rsidR="00DB575A">
        <w:t>in-home care</w:t>
      </w:r>
      <w:r w:rsidR="00F73DB1">
        <w:t>.</w:t>
      </w:r>
    </w:p>
    <w:p w14:paraId="4A5C04E9" w14:textId="7B1B4E11" w:rsidR="00CB6AE6" w:rsidRDefault="00A23040" w:rsidP="00E31948">
      <w:r>
        <w:t xml:space="preserve">In addition to increased Government expenditure, </w:t>
      </w:r>
      <w:r w:rsidR="008B6E6D">
        <w:t>there was a $0.48 billion increase in unspent funds in Home Care Accounts in 2022-23</w:t>
      </w:r>
      <w:r w:rsidR="00047FAE">
        <w:t xml:space="preserve">. Provider </w:t>
      </w:r>
      <w:r w:rsidR="008B6E6D">
        <w:t xml:space="preserve">held unspent funds reduced by $0.36 billion. </w:t>
      </w:r>
      <w:r>
        <w:t xml:space="preserve">This reduction reflects changes implemented on </w:t>
      </w:r>
      <w:r w:rsidR="005D7B64">
        <w:br/>
      </w:r>
      <w:r>
        <w:t xml:space="preserve">1 September 2021 whereby unspent funds no longer accrue with providers, but instead accrue in a care recipient’s Home Care Account managed by Services Australia. While many providers still hold unspent funds on behalf of care recipients from before 1 September 2021, these funds will be used to meet care recipient needs and will either reduce over time or be returned to the Australian Government on exit. </w:t>
      </w:r>
    </w:p>
    <w:p w14:paraId="28D731CA" w14:textId="23B8EC33" w:rsidR="003A24F2" w:rsidRDefault="00047FAE" w:rsidP="00420647">
      <w:r>
        <w:t>In addition</w:t>
      </w:r>
      <w:r w:rsidR="000A2610">
        <w:t xml:space="preserve"> </w:t>
      </w:r>
      <w:r w:rsidR="00B706A7">
        <w:t>to these changes</w:t>
      </w:r>
      <w:r>
        <w:t xml:space="preserve">, </w:t>
      </w:r>
      <w:r w:rsidR="00CB6AE6">
        <w:t>the new Support at Home (</w:t>
      </w:r>
      <w:proofErr w:type="spellStart"/>
      <w:r w:rsidR="00CB6AE6">
        <w:t>SaH</w:t>
      </w:r>
      <w:proofErr w:type="spellEnd"/>
      <w:r w:rsidR="00CB6AE6">
        <w:t xml:space="preserve">) program </w:t>
      </w:r>
      <w:r w:rsidR="005E1DBE">
        <w:t>will give p</w:t>
      </w:r>
      <w:r w:rsidR="00E01381">
        <w:t>eople</w:t>
      </w:r>
      <w:r w:rsidR="00CB6AE6">
        <w:t xml:space="preserve"> access to safe and high</w:t>
      </w:r>
      <w:r w:rsidR="00881A47">
        <w:t>-</w:t>
      </w:r>
      <w:r w:rsidR="00CB6AE6">
        <w:t xml:space="preserve">quality </w:t>
      </w:r>
      <w:r w:rsidR="000A2610">
        <w:t xml:space="preserve">in-home aged care </w:t>
      </w:r>
      <w:r w:rsidR="00CB6AE6">
        <w:t xml:space="preserve">services. </w:t>
      </w:r>
      <w:proofErr w:type="spellStart"/>
      <w:r w:rsidR="00CB6AE6">
        <w:t>SaH</w:t>
      </w:r>
      <w:proofErr w:type="spellEnd"/>
      <w:r w:rsidR="00CB6AE6">
        <w:t xml:space="preserve"> will be a more efficient and effective program</w:t>
      </w:r>
      <w:r w:rsidR="00952FF7">
        <w:t xml:space="preserve">, with fair and transparent fees funding delivery of high-quality care. </w:t>
      </w:r>
      <w:proofErr w:type="spellStart"/>
      <w:r w:rsidR="00952FF7">
        <w:t>SaH</w:t>
      </w:r>
      <w:proofErr w:type="spellEnd"/>
      <w:r w:rsidR="00952FF7">
        <w:t xml:space="preserve"> will </w:t>
      </w:r>
      <w:r w:rsidR="004C0873">
        <w:t xml:space="preserve">replace the </w:t>
      </w:r>
      <w:r w:rsidR="00022EC7">
        <w:t>Home Care Packages (</w:t>
      </w:r>
      <w:r w:rsidR="004C0873">
        <w:t>HCP</w:t>
      </w:r>
      <w:r w:rsidR="00022EC7">
        <w:t>)</w:t>
      </w:r>
      <w:r w:rsidR="004C0873">
        <w:t xml:space="preserve"> and Short-Term Restorative Care </w:t>
      </w:r>
      <w:r w:rsidR="00BB4F43">
        <w:t>(STRC)</w:t>
      </w:r>
      <w:r w:rsidR="004C0873">
        <w:t xml:space="preserve"> programs from 1 July 2025 and Commonwealth Home Support Program</w:t>
      </w:r>
      <w:r w:rsidR="007F30FF">
        <w:t>me</w:t>
      </w:r>
      <w:r w:rsidR="004C0873">
        <w:t xml:space="preserve"> </w:t>
      </w:r>
      <w:r w:rsidR="00D2626C">
        <w:t xml:space="preserve">(CHSP) </w:t>
      </w:r>
      <w:r w:rsidR="004C0873">
        <w:t xml:space="preserve">no </w:t>
      </w:r>
      <w:r w:rsidR="0076463A">
        <w:t>earlier</w:t>
      </w:r>
      <w:r w:rsidR="004C0873">
        <w:t xml:space="preserve"> than 1 July</w:t>
      </w:r>
      <w:r w:rsidR="003A24F2">
        <w:t xml:space="preserve"> </w:t>
      </w:r>
      <w:r w:rsidR="004C0873">
        <w:t>2027</w:t>
      </w:r>
      <w:r w:rsidR="00952FF7">
        <w:t>.</w:t>
      </w:r>
      <w:r w:rsidR="003A24F2">
        <w:t xml:space="preserve"> </w:t>
      </w:r>
    </w:p>
    <w:p w14:paraId="6E296D64" w14:textId="5E48C5C0" w:rsidR="00CF205E" w:rsidRPr="00420647" w:rsidRDefault="00CF205E" w:rsidP="00420647">
      <w:pPr>
        <w:rPr>
          <w:bCs w:val="0"/>
          <w:sz w:val="36"/>
          <w:szCs w:val="36"/>
        </w:rPr>
      </w:pPr>
      <w:r w:rsidRPr="00420647">
        <w:rPr>
          <w:b/>
          <w:bCs w:val="0"/>
          <w:sz w:val="36"/>
          <w:szCs w:val="36"/>
        </w:rPr>
        <w:t>C</w:t>
      </w:r>
      <w:r w:rsidR="00C344F6" w:rsidRPr="00420647">
        <w:rPr>
          <w:b/>
          <w:bCs w:val="0"/>
          <w:sz w:val="36"/>
          <w:szCs w:val="36"/>
        </w:rPr>
        <w:t>ommonwealth Home Support Programme</w:t>
      </w:r>
    </w:p>
    <w:p w14:paraId="72B666C7" w14:textId="5A413C9F" w:rsidR="0068509F" w:rsidRDefault="004F06B9" w:rsidP="0068509F">
      <w:r>
        <w:t xml:space="preserve">Australian Government funding for CHSP </w:t>
      </w:r>
      <w:r w:rsidR="00B779EB">
        <w:t xml:space="preserve">increased from $2.9 billion in 2021-22 to $3.0 billion in 2022-23. </w:t>
      </w:r>
      <w:r w:rsidR="00B60C88">
        <w:t>Although funding has increased, the number of CHSP recipients declined</w:t>
      </w:r>
      <w:r w:rsidR="00AC1A14">
        <w:t xml:space="preserve"> to</w:t>
      </w:r>
      <w:r w:rsidR="00B60C88">
        <w:t xml:space="preserve"> 816,132 in 2022-23, down from 818,228 in 2021-22. </w:t>
      </w:r>
      <w:r w:rsidR="1B83B867">
        <w:t>T</w:t>
      </w:r>
      <w:r w:rsidR="00A75B79">
        <w:t xml:space="preserve">he number of CHSP providers continued to decline </w:t>
      </w:r>
      <w:r w:rsidR="0012546D">
        <w:t>to</w:t>
      </w:r>
      <w:r w:rsidR="00A75B79">
        <w:t xml:space="preserve"> 1,334 </w:t>
      </w:r>
      <w:r w:rsidR="00DF31D4">
        <w:t>CHSP providers in 2022-23, down</w:t>
      </w:r>
      <w:r w:rsidR="00F7655A">
        <w:t xml:space="preserve"> </w:t>
      </w:r>
      <w:r w:rsidR="00A86B97">
        <w:t xml:space="preserve">73 providers </w:t>
      </w:r>
      <w:r w:rsidR="68978772">
        <w:t>from</w:t>
      </w:r>
      <w:r w:rsidR="00A86B97">
        <w:t xml:space="preserve"> 2021-22. </w:t>
      </w:r>
    </w:p>
    <w:p w14:paraId="4638F76B" w14:textId="616D7586" w:rsidR="00A86B97" w:rsidRDefault="002E1382" w:rsidP="0068509F">
      <w:r w:rsidRPr="00C7247E">
        <w:t>CHSP providers are not required to complete the ACFR</w:t>
      </w:r>
      <w:r w:rsidR="001B60D0">
        <w:t xml:space="preserve"> so</w:t>
      </w:r>
      <w:r w:rsidRPr="00C7247E">
        <w:t xml:space="preserve"> the </w:t>
      </w:r>
      <w:r>
        <w:t xml:space="preserve">FRAACS does not report on </w:t>
      </w:r>
      <w:r w:rsidRPr="00C7247E">
        <w:t>financial summaries</w:t>
      </w:r>
      <w:r w:rsidR="00D93C48">
        <w:t xml:space="preserve"> or provide narrative</w:t>
      </w:r>
      <w:r w:rsidRPr="00C7247E">
        <w:t xml:space="preserve"> on the financial performance of CHSP providers. The information included in </w:t>
      </w:r>
      <w:r>
        <w:t>this report</w:t>
      </w:r>
      <w:r w:rsidRPr="00C7247E">
        <w:t xml:space="preserve"> supports monitoring the CHSP market in the lead up to new payment arrangements in 2027 through the </w:t>
      </w:r>
      <w:proofErr w:type="spellStart"/>
      <w:r w:rsidRPr="00C7247E">
        <w:t>SaH</w:t>
      </w:r>
      <w:proofErr w:type="spellEnd"/>
      <w:r w:rsidRPr="00C7247E">
        <w:t xml:space="preserve"> program. </w:t>
      </w:r>
    </w:p>
    <w:p w14:paraId="39CAE093" w14:textId="1E69ABEB" w:rsidR="0068509F" w:rsidRDefault="0068509F" w:rsidP="00420647">
      <w:pPr>
        <w:rPr>
          <w:b/>
          <w:sz w:val="36"/>
          <w:szCs w:val="36"/>
        </w:rPr>
      </w:pPr>
      <w:r w:rsidRPr="00420647">
        <w:rPr>
          <w:b/>
          <w:bCs w:val="0"/>
          <w:sz w:val="36"/>
          <w:szCs w:val="36"/>
        </w:rPr>
        <w:t>Future demand</w:t>
      </w:r>
    </w:p>
    <w:p w14:paraId="25D7A27E" w14:textId="4DE00DBA" w:rsidR="0068509F" w:rsidRDefault="006420CE" w:rsidP="0068509F">
      <w:pPr>
        <w:rPr>
          <w:rStyle w:val="normaltextrun"/>
          <w:rFonts w:cs="Arial"/>
          <w:color w:val="1E1545"/>
          <w:shd w:val="clear" w:color="auto" w:fill="FFFFFF"/>
        </w:rPr>
      </w:pPr>
      <w:r>
        <w:t xml:space="preserve">Demand for aged care services is complex and dependent on a range of demographic, service needs and economic factors. </w:t>
      </w:r>
      <w:r w:rsidR="00390029">
        <w:rPr>
          <w:rStyle w:val="normaltextrun"/>
          <w:rFonts w:cs="Arial"/>
          <w:color w:val="1E1545"/>
          <w:shd w:val="clear" w:color="auto" w:fill="FFFFFF"/>
        </w:rPr>
        <w:t xml:space="preserve">In its final report, the </w:t>
      </w:r>
      <w:r w:rsidR="00F21BB3">
        <w:rPr>
          <w:rStyle w:val="normaltextrun"/>
          <w:rFonts w:cs="Arial"/>
          <w:color w:val="1E1545"/>
          <w:shd w:val="clear" w:color="auto" w:fill="FFFFFF"/>
        </w:rPr>
        <w:t>Aged Care</w:t>
      </w:r>
      <w:r w:rsidR="00390029">
        <w:rPr>
          <w:rStyle w:val="normaltextrun"/>
          <w:rFonts w:cs="Arial"/>
          <w:color w:val="1E1545"/>
          <w:shd w:val="clear" w:color="auto" w:fill="FFFFFF"/>
        </w:rPr>
        <w:t xml:space="preserve"> Taskforce </w:t>
      </w:r>
      <w:r w:rsidR="00F21BB3">
        <w:rPr>
          <w:rStyle w:val="normaltextrun"/>
          <w:rFonts w:cs="Arial"/>
          <w:color w:val="1E1545"/>
          <w:shd w:val="clear" w:color="auto" w:fill="FFFFFF"/>
        </w:rPr>
        <w:t>(</w:t>
      </w:r>
      <w:r w:rsidR="004A4B71">
        <w:rPr>
          <w:rStyle w:val="normaltextrun"/>
          <w:rFonts w:cs="Arial"/>
          <w:color w:val="1E1545"/>
          <w:shd w:val="clear" w:color="auto" w:fill="FFFFFF"/>
        </w:rPr>
        <w:t xml:space="preserve">the </w:t>
      </w:r>
      <w:r w:rsidR="00F21BB3">
        <w:rPr>
          <w:rStyle w:val="normaltextrun"/>
          <w:rFonts w:cs="Arial"/>
          <w:color w:val="1E1545"/>
          <w:shd w:val="clear" w:color="auto" w:fill="FFFFFF"/>
        </w:rPr>
        <w:t>Taskforce)</w:t>
      </w:r>
      <w:r w:rsidR="00390029">
        <w:rPr>
          <w:rStyle w:val="normaltextrun"/>
          <w:rFonts w:cs="Arial"/>
          <w:color w:val="1E1545"/>
          <w:shd w:val="clear" w:color="auto" w:fill="FFFFFF"/>
        </w:rPr>
        <w:t xml:space="preserve"> noted ‘Australia’s aged care needs are increasing as the population ages, and expectations of quality improvements are high.’ It went on to say</w:t>
      </w:r>
      <w:r w:rsidR="00A93269">
        <w:rPr>
          <w:rStyle w:val="normaltextrun"/>
          <w:rFonts w:cs="Arial"/>
          <w:color w:val="1E1545"/>
          <w:shd w:val="clear" w:color="auto" w:fill="FFFFFF"/>
        </w:rPr>
        <w:t>,</w:t>
      </w:r>
      <w:r w:rsidR="00390029">
        <w:rPr>
          <w:rStyle w:val="normaltextrun"/>
          <w:rFonts w:cs="Arial"/>
          <w:color w:val="1E1545"/>
          <w:shd w:val="clear" w:color="auto" w:fill="FFFFFF"/>
        </w:rPr>
        <w:t xml:space="preserve"> ‘with more people living longer and requiring a range of care in their later years, services will need to continue to expand and improve.’ </w:t>
      </w:r>
    </w:p>
    <w:p w14:paraId="6F7996C7" w14:textId="60E07C32" w:rsidR="00390029" w:rsidRDefault="00390029" w:rsidP="0068509F">
      <w:pPr>
        <w:rPr>
          <w:rStyle w:val="normaltextrun"/>
          <w:rFonts w:cs="Arial"/>
          <w:color w:val="1E1545"/>
          <w:shd w:val="clear" w:color="auto" w:fill="FFFFFF"/>
        </w:rPr>
      </w:pPr>
      <w:r>
        <w:rPr>
          <w:rStyle w:val="normaltextrun"/>
          <w:rFonts w:cs="Arial"/>
          <w:color w:val="1E1545"/>
          <w:shd w:val="clear" w:color="auto" w:fill="FFFFFF"/>
        </w:rPr>
        <w:t xml:space="preserve">The </w:t>
      </w:r>
      <w:r w:rsidR="006617A4">
        <w:rPr>
          <w:rStyle w:val="normaltextrun"/>
          <w:rFonts w:cs="Arial"/>
          <w:color w:val="1E1545"/>
          <w:shd w:val="clear" w:color="auto" w:fill="FFFFFF"/>
        </w:rPr>
        <w:t xml:space="preserve">number of people aged </w:t>
      </w:r>
      <w:r w:rsidR="00820638">
        <w:rPr>
          <w:rStyle w:val="normaltextrun"/>
          <w:rFonts w:cs="Arial"/>
          <w:color w:val="1E1545"/>
          <w:shd w:val="clear" w:color="auto" w:fill="FFFFFF"/>
        </w:rPr>
        <w:t xml:space="preserve">70 years and over </w:t>
      </w:r>
      <w:r w:rsidR="000B05EC">
        <w:rPr>
          <w:rStyle w:val="normaltextrun"/>
          <w:rFonts w:cs="Arial"/>
          <w:color w:val="1E1545"/>
          <w:shd w:val="clear" w:color="auto" w:fill="FFFFFF"/>
        </w:rPr>
        <w:t xml:space="preserve">in Australia will increase by around </w:t>
      </w:r>
      <w:r>
        <w:br/>
      </w:r>
      <w:r w:rsidR="000B05EC">
        <w:rPr>
          <w:rStyle w:val="normaltextrun"/>
          <w:rFonts w:cs="Arial"/>
          <w:color w:val="1E1545"/>
          <w:shd w:val="clear" w:color="auto" w:fill="FFFFFF"/>
        </w:rPr>
        <w:t>1 million people each decade</w:t>
      </w:r>
      <w:r w:rsidR="006617A4">
        <w:rPr>
          <w:rStyle w:val="normaltextrun"/>
          <w:rFonts w:cs="Arial"/>
          <w:color w:val="1E1545"/>
          <w:shd w:val="clear" w:color="auto" w:fill="FFFFFF"/>
        </w:rPr>
        <w:t>. The number of people aged</w:t>
      </w:r>
      <w:r w:rsidR="00193D73">
        <w:rPr>
          <w:rStyle w:val="normaltextrun"/>
          <w:rFonts w:cs="Arial"/>
          <w:color w:val="1E1545"/>
          <w:shd w:val="clear" w:color="auto" w:fill="FFFFFF"/>
        </w:rPr>
        <w:t xml:space="preserve"> </w:t>
      </w:r>
      <w:r w:rsidR="008244B9">
        <w:rPr>
          <w:rStyle w:val="normaltextrun"/>
          <w:rFonts w:cs="Arial"/>
          <w:color w:val="1E1545"/>
          <w:shd w:val="clear" w:color="auto" w:fill="FFFFFF"/>
        </w:rPr>
        <w:t xml:space="preserve">85 years and over </w:t>
      </w:r>
      <w:r w:rsidR="006617A4">
        <w:rPr>
          <w:rStyle w:val="normaltextrun"/>
          <w:rFonts w:cs="Arial"/>
          <w:color w:val="1E1545"/>
          <w:shd w:val="clear" w:color="auto" w:fill="FFFFFF"/>
        </w:rPr>
        <w:t xml:space="preserve">is expected to </w:t>
      </w:r>
      <w:r w:rsidR="000D1107">
        <w:rPr>
          <w:rStyle w:val="normaltextrun"/>
          <w:rFonts w:cs="Arial"/>
          <w:color w:val="1E1545"/>
          <w:shd w:val="clear" w:color="auto" w:fill="FFFFFF"/>
        </w:rPr>
        <w:t>more than doubl</w:t>
      </w:r>
      <w:r w:rsidR="006617A4">
        <w:rPr>
          <w:rStyle w:val="normaltextrun"/>
          <w:rFonts w:cs="Arial"/>
          <w:color w:val="1E1545"/>
          <w:shd w:val="clear" w:color="auto" w:fill="FFFFFF"/>
        </w:rPr>
        <w:t>e</w:t>
      </w:r>
      <w:r w:rsidR="000D1107">
        <w:rPr>
          <w:rStyle w:val="normaltextrun"/>
          <w:rFonts w:cs="Arial"/>
          <w:color w:val="1E1545"/>
          <w:shd w:val="clear" w:color="auto" w:fill="FFFFFF"/>
        </w:rPr>
        <w:t xml:space="preserve"> from 565,000 in 2023 to just over 1.3 million people by 2043. </w:t>
      </w:r>
    </w:p>
    <w:p w14:paraId="0E25AAB0" w14:textId="0FB6184C" w:rsidR="00421A73" w:rsidRDefault="00AA4F6E" w:rsidP="00706D0A">
      <w:pPr>
        <w:rPr>
          <w:rStyle w:val="normaltextrun"/>
          <w:rFonts w:cs="Arial"/>
          <w:color w:val="1E1545"/>
          <w:shd w:val="clear" w:color="auto" w:fill="FFFFFF"/>
        </w:rPr>
      </w:pPr>
      <w:r>
        <w:rPr>
          <w:rStyle w:val="normaltextrun"/>
          <w:rFonts w:cs="Arial"/>
          <w:color w:val="1E1545"/>
          <w:shd w:val="clear" w:color="auto" w:fill="FFFFFF"/>
        </w:rPr>
        <w:t xml:space="preserve">Residential care </w:t>
      </w:r>
      <w:r w:rsidR="006617A4">
        <w:rPr>
          <w:rStyle w:val="normaltextrun"/>
          <w:rFonts w:cs="Arial"/>
          <w:color w:val="1E1545"/>
          <w:shd w:val="clear" w:color="auto" w:fill="FFFFFF"/>
        </w:rPr>
        <w:t xml:space="preserve">use </w:t>
      </w:r>
      <w:r w:rsidR="00433EAF">
        <w:rPr>
          <w:rStyle w:val="normaltextrun"/>
          <w:rFonts w:cs="Arial"/>
          <w:color w:val="1E1545"/>
          <w:shd w:val="clear" w:color="auto" w:fill="FFFFFF"/>
        </w:rPr>
        <w:t xml:space="preserve">has </w:t>
      </w:r>
      <w:r>
        <w:rPr>
          <w:rStyle w:val="normaltextrun"/>
          <w:rFonts w:cs="Arial"/>
          <w:color w:val="1E1545"/>
          <w:shd w:val="clear" w:color="auto" w:fill="FFFFFF"/>
        </w:rPr>
        <w:t xml:space="preserve">declined across all age groups for the past 20 years, reflecting the ability for older </w:t>
      </w:r>
      <w:r w:rsidR="003B1ECB">
        <w:rPr>
          <w:rStyle w:val="normaltextrun"/>
          <w:rFonts w:cs="Arial"/>
          <w:color w:val="1E1545"/>
          <w:shd w:val="clear" w:color="auto" w:fill="FFFFFF"/>
        </w:rPr>
        <w:t xml:space="preserve">people </w:t>
      </w:r>
      <w:r>
        <w:rPr>
          <w:rStyle w:val="normaltextrun"/>
          <w:rFonts w:cs="Arial"/>
          <w:color w:val="1E1545"/>
          <w:shd w:val="clear" w:color="auto" w:fill="FFFFFF"/>
        </w:rPr>
        <w:t xml:space="preserve">to access more home </w:t>
      </w:r>
      <w:r w:rsidR="00687934">
        <w:rPr>
          <w:rStyle w:val="normaltextrun"/>
          <w:rFonts w:cs="Arial"/>
          <w:color w:val="1E1545"/>
          <w:shd w:val="clear" w:color="auto" w:fill="FFFFFF"/>
        </w:rPr>
        <w:t>care.</w:t>
      </w:r>
      <w:r w:rsidR="00A6708B">
        <w:rPr>
          <w:rStyle w:val="normaltextrun"/>
          <w:rFonts w:cs="Arial"/>
          <w:color w:val="1E1545"/>
          <w:shd w:val="clear" w:color="auto" w:fill="FFFFFF"/>
        </w:rPr>
        <w:t xml:space="preserve"> </w:t>
      </w:r>
      <w:r w:rsidR="003B1ECB">
        <w:rPr>
          <w:rStyle w:val="normaltextrun"/>
          <w:rFonts w:cs="Arial"/>
          <w:color w:val="1E1545"/>
          <w:shd w:val="clear" w:color="auto" w:fill="FFFFFF"/>
        </w:rPr>
        <w:t>Use</w:t>
      </w:r>
      <w:r w:rsidR="00A6708B">
        <w:rPr>
          <w:rStyle w:val="normaltextrun"/>
          <w:rFonts w:cs="Arial"/>
          <w:color w:val="1E1545"/>
          <w:shd w:val="clear" w:color="auto" w:fill="FFFFFF"/>
        </w:rPr>
        <w:t xml:space="preserve"> of home care has more than doubled across all age groups for both male</w:t>
      </w:r>
      <w:r w:rsidR="009F2212">
        <w:rPr>
          <w:rStyle w:val="normaltextrun"/>
          <w:rFonts w:cs="Arial"/>
          <w:color w:val="1E1545"/>
          <w:shd w:val="clear" w:color="auto" w:fill="FFFFFF"/>
        </w:rPr>
        <w:t>s</w:t>
      </w:r>
      <w:r w:rsidR="00A6708B">
        <w:rPr>
          <w:rStyle w:val="normaltextrun"/>
          <w:rFonts w:cs="Arial"/>
          <w:color w:val="1E1545"/>
          <w:shd w:val="clear" w:color="auto" w:fill="FFFFFF"/>
        </w:rPr>
        <w:t xml:space="preserve"> and females since 2003.</w:t>
      </w:r>
    </w:p>
    <w:p w14:paraId="20D18CD4" w14:textId="153F65F0" w:rsidR="006D4762" w:rsidRDefault="006D4762" w:rsidP="00706D0A">
      <w:pPr>
        <w:rPr>
          <w:rStyle w:val="normaltextrun"/>
          <w:rFonts w:cs="Arial"/>
          <w:color w:val="1E1545"/>
          <w:shd w:val="clear" w:color="auto" w:fill="FFFFFF"/>
        </w:rPr>
      </w:pPr>
      <w:r>
        <w:rPr>
          <w:rStyle w:val="normaltextrun"/>
          <w:rFonts w:cs="Arial"/>
          <w:color w:val="1E1545"/>
          <w:shd w:val="clear" w:color="auto" w:fill="FFFFFF"/>
        </w:rPr>
        <w:t xml:space="preserve">Although </w:t>
      </w:r>
      <w:r w:rsidR="00E673E5">
        <w:rPr>
          <w:rStyle w:val="normaltextrun"/>
          <w:rFonts w:cs="Arial"/>
          <w:color w:val="1E1545"/>
          <w:shd w:val="clear" w:color="auto" w:fill="FFFFFF"/>
        </w:rPr>
        <w:t xml:space="preserve">the </w:t>
      </w:r>
      <w:r w:rsidR="00543E4C">
        <w:rPr>
          <w:rStyle w:val="normaltextrun"/>
          <w:rFonts w:cs="Arial"/>
          <w:color w:val="1E1545"/>
          <w:shd w:val="clear" w:color="auto" w:fill="FFFFFF"/>
        </w:rPr>
        <w:t>residential care use has declined across all aged groups proportion</w:t>
      </w:r>
      <w:r w:rsidR="000C4967">
        <w:rPr>
          <w:rStyle w:val="normaltextrun"/>
          <w:rFonts w:cs="Arial"/>
          <w:color w:val="1E1545"/>
          <w:shd w:val="clear" w:color="auto" w:fill="FFFFFF"/>
        </w:rPr>
        <w:t>ate to home</w:t>
      </w:r>
      <w:r w:rsidR="00E45FDC">
        <w:rPr>
          <w:rStyle w:val="normaltextrun"/>
          <w:rFonts w:cs="Arial"/>
          <w:color w:val="1E1545"/>
          <w:shd w:val="clear" w:color="auto" w:fill="FFFFFF"/>
        </w:rPr>
        <w:t xml:space="preserve"> care </w:t>
      </w:r>
      <w:r w:rsidR="00FF44A4">
        <w:rPr>
          <w:rStyle w:val="normaltextrun"/>
          <w:rFonts w:cs="Arial"/>
          <w:color w:val="1E1545"/>
          <w:shd w:val="clear" w:color="auto" w:fill="FFFFFF"/>
        </w:rPr>
        <w:t>usage</w:t>
      </w:r>
      <w:r w:rsidR="00E45FDC">
        <w:rPr>
          <w:rStyle w:val="normaltextrun"/>
          <w:rFonts w:cs="Arial"/>
          <w:color w:val="1E1545"/>
          <w:shd w:val="clear" w:color="auto" w:fill="FFFFFF"/>
        </w:rPr>
        <w:t xml:space="preserve">, the demand for residential care continues to increase as the </w:t>
      </w:r>
      <w:r w:rsidR="00FF44A4">
        <w:rPr>
          <w:rStyle w:val="normaltextrun"/>
          <w:rFonts w:cs="Arial"/>
          <w:color w:val="1E1545"/>
          <w:shd w:val="clear" w:color="auto" w:fill="FFFFFF"/>
        </w:rPr>
        <w:t>ageing population grows. The projected demand for residential aged care</w:t>
      </w:r>
      <w:r w:rsidR="007172ED">
        <w:rPr>
          <w:rStyle w:val="normaltextrun"/>
          <w:rFonts w:cs="Arial"/>
          <w:color w:val="1E1545"/>
          <w:shd w:val="clear" w:color="auto" w:fill="FFFFFF"/>
        </w:rPr>
        <w:t xml:space="preserve"> </w:t>
      </w:r>
      <w:r w:rsidR="00221376">
        <w:rPr>
          <w:rStyle w:val="normaltextrun"/>
          <w:rFonts w:cs="Arial"/>
          <w:color w:val="1E1545"/>
          <w:shd w:val="clear" w:color="auto" w:fill="FFFFFF"/>
        </w:rPr>
        <w:t xml:space="preserve">is expected to double over the next 20 years. </w:t>
      </w:r>
      <w:r w:rsidR="000C289F" w:rsidRPr="002471C5">
        <w:t>Over the 20 year projection</w:t>
      </w:r>
      <w:r w:rsidR="000C289F">
        <w:t xml:space="preserve"> for residential aged care</w:t>
      </w:r>
      <w:r w:rsidR="000C289F" w:rsidRPr="002471C5">
        <w:t>, the average year</w:t>
      </w:r>
      <w:r w:rsidR="000C289F">
        <w:t>-</w:t>
      </w:r>
      <w:r w:rsidR="000C289F" w:rsidRPr="002471C5">
        <w:t>on</w:t>
      </w:r>
      <w:r w:rsidR="000C289F">
        <w:t>-</w:t>
      </w:r>
      <w:r w:rsidR="000C289F" w:rsidRPr="002471C5">
        <w:t xml:space="preserve">year increase is approximately </w:t>
      </w:r>
      <w:r w:rsidR="000C289F">
        <w:t>9,900</w:t>
      </w:r>
      <w:r w:rsidR="000C289F" w:rsidRPr="002471C5">
        <w:t xml:space="preserve"> new re</w:t>
      </w:r>
      <w:r w:rsidR="000C289F">
        <w:t>sidents</w:t>
      </w:r>
      <w:r w:rsidR="00A93CD5">
        <w:t xml:space="preserve"> and reaches </w:t>
      </w:r>
      <w:r w:rsidR="00DB522B">
        <w:t>almost 400,000</w:t>
      </w:r>
      <w:r w:rsidR="000C289F" w:rsidRPr="002471C5">
        <w:t xml:space="preserve"> </w:t>
      </w:r>
      <w:r w:rsidR="007B4909">
        <w:t xml:space="preserve">individuals </w:t>
      </w:r>
      <w:r w:rsidR="007B4909">
        <w:rPr>
          <w:rStyle w:val="normaltextrun"/>
          <w:rFonts w:cs="Arial"/>
          <w:color w:val="1E1545"/>
          <w:shd w:val="clear" w:color="auto" w:fill="FFFFFF"/>
        </w:rPr>
        <w:t>by</w:t>
      </w:r>
      <w:r w:rsidR="000F58E2">
        <w:rPr>
          <w:rStyle w:val="normaltextrun"/>
          <w:rFonts w:cs="Arial"/>
          <w:color w:val="1E1545"/>
          <w:shd w:val="clear" w:color="auto" w:fill="FFFFFF"/>
        </w:rPr>
        <w:t xml:space="preserve"> 2043. </w:t>
      </w:r>
      <w:r w:rsidR="00524EC4" w:rsidRPr="002471C5">
        <w:t xml:space="preserve">Over the </w:t>
      </w:r>
      <w:r w:rsidR="007B4909" w:rsidRPr="002471C5">
        <w:t>20</w:t>
      </w:r>
      <w:r w:rsidR="007B4909">
        <w:t xml:space="preserve"> </w:t>
      </w:r>
      <w:r w:rsidR="007B4909" w:rsidRPr="002471C5">
        <w:t>year</w:t>
      </w:r>
      <w:r w:rsidR="00524EC4" w:rsidRPr="002471C5">
        <w:t xml:space="preserve"> projection</w:t>
      </w:r>
      <w:r w:rsidR="000C289F">
        <w:t xml:space="preserve"> for home care</w:t>
      </w:r>
      <w:r w:rsidR="00524EC4" w:rsidRPr="002471C5">
        <w:t>, the average year</w:t>
      </w:r>
      <w:r w:rsidR="00524EC4">
        <w:t>-</w:t>
      </w:r>
      <w:r w:rsidR="00524EC4" w:rsidRPr="002471C5">
        <w:t>on</w:t>
      </w:r>
      <w:r w:rsidR="00524EC4">
        <w:t>-</w:t>
      </w:r>
      <w:r w:rsidR="00524EC4" w:rsidRPr="002471C5">
        <w:t xml:space="preserve">year increase is approximately 32,000 new recipients </w:t>
      </w:r>
      <w:r w:rsidR="00524EC4">
        <w:t xml:space="preserve">(or 44,000 new recipients per year if latent demand is included) </w:t>
      </w:r>
      <w:r w:rsidR="00524EC4" w:rsidRPr="002471C5">
        <w:t xml:space="preserve">and reaches </w:t>
      </w:r>
      <w:r w:rsidR="00524EC4">
        <w:t>over 1.7</w:t>
      </w:r>
      <w:r w:rsidR="00524EC4" w:rsidRPr="002471C5">
        <w:t xml:space="preserve"> million individuals by 2043.</w:t>
      </w:r>
    </w:p>
    <w:p w14:paraId="15424548" w14:textId="77777777" w:rsidR="003513C3" w:rsidRDefault="00D24858" w:rsidP="00706D0A">
      <w:pPr>
        <w:rPr>
          <w:rStyle w:val="normaltextrun"/>
          <w:rFonts w:cs="Arial"/>
          <w:color w:val="1E1545"/>
          <w:shd w:val="clear" w:color="auto" w:fill="FFFFFF"/>
        </w:rPr>
      </w:pPr>
      <w:r>
        <w:rPr>
          <w:rStyle w:val="normaltextrun"/>
          <w:rFonts w:cs="Arial"/>
          <w:color w:val="1E1545"/>
          <w:shd w:val="clear" w:color="auto" w:fill="FFFFFF"/>
        </w:rPr>
        <w:t xml:space="preserve">The department is continuing to expand its market analysis and monitoring capabilities to ensure that demand data and other market intelligence on the aged care sector can be shared with aged care providers and other relevant stakeholders. This will ensure aged care providers are able to use up to date analysis on the current and potential future state of the aged care market to inform business and investment decisions. </w:t>
      </w:r>
    </w:p>
    <w:p w14:paraId="2F1EAF52" w14:textId="4646629F" w:rsidR="00CF205E" w:rsidRDefault="00CF205E" w:rsidP="00706D0A">
      <w:r>
        <w:br w:type="page"/>
      </w:r>
    </w:p>
    <w:p w14:paraId="117592C4" w14:textId="6C88038C" w:rsidR="00CF205E" w:rsidRPr="00DA6C78" w:rsidRDefault="00CF205E" w:rsidP="004E771D">
      <w:pPr>
        <w:pStyle w:val="Heading1"/>
        <w:numPr>
          <w:ilvl w:val="0"/>
          <w:numId w:val="0"/>
        </w:numPr>
      </w:pPr>
      <w:bookmarkStart w:id="7" w:name="_Toc173428592"/>
      <w:r w:rsidRPr="00DA6C78">
        <w:t>Reforming Australia’s aged</w:t>
      </w:r>
      <w:r w:rsidR="00141F98">
        <w:t xml:space="preserve"> </w:t>
      </w:r>
      <w:r w:rsidRPr="00DA6C78">
        <w:t>care system</w:t>
      </w:r>
      <w:bookmarkEnd w:id="7"/>
    </w:p>
    <w:p w14:paraId="668C2EF6" w14:textId="77777777" w:rsidR="00734EC8" w:rsidRDefault="00734EC8" w:rsidP="00734EC8">
      <w:r>
        <w:t xml:space="preserve">In 2022-23, the financial performance of the residential care sector improved for the first time since 2016-17. </w:t>
      </w:r>
    </w:p>
    <w:p w14:paraId="2AF27154" w14:textId="2EB8D1B0" w:rsidR="00734EC8" w:rsidRDefault="00734EC8" w:rsidP="00734EC8">
      <w:r>
        <w:t xml:space="preserve">The residential aged care sector’s net position improved to negative $1.7 billion in 2022-23, up from negative $2.3 billion in 2021-22. The AN-ACC funding model was introduced on 1 October 2022 and had a significant impact on the $527 million improved net position of the sector. The department will continue to monitor sector performance through the ACFR and QFR, and will publish this information in the FRAACS and QFS. </w:t>
      </w:r>
    </w:p>
    <w:p w14:paraId="31F274D0" w14:textId="0B1C676E" w:rsidR="00734EC8" w:rsidRDefault="00734EC8" w:rsidP="00734EC8">
      <w:r>
        <w:t xml:space="preserve">The Australian Government is continuing to reform </w:t>
      </w:r>
      <w:r w:rsidR="003D18F4">
        <w:t xml:space="preserve">aged care </w:t>
      </w:r>
      <w:r>
        <w:t>through initiatives aimed at driving structural change, improving financial sustainability, and increasing transparency</w:t>
      </w:r>
      <w:r w:rsidR="00E81CEB">
        <w:t xml:space="preserve"> and accountability</w:t>
      </w:r>
      <w:r>
        <w:t xml:space="preserve">. </w:t>
      </w:r>
    </w:p>
    <w:p w14:paraId="3D782C79" w14:textId="5432B5FD" w:rsidR="00734EC8" w:rsidRPr="00084E1F" w:rsidRDefault="008B58E4" w:rsidP="00734EC8">
      <w:r>
        <w:t>Key</w:t>
      </w:r>
      <w:r w:rsidR="00734EC8">
        <w:t xml:space="preserve"> reforms</w:t>
      </w:r>
      <w:r w:rsidR="003E5E27">
        <w:t xml:space="preserve"> and </w:t>
      </w:r>
      <w:r w:rsidR="003C1F62">
        <w:t>initiatives</w:t>
      </w:r>
      <w:r w:rsidR="00734EC8">
        <w:t xml:space="preserve"> implemented in 2022-23</w:t>
      </w:r>
      <w:r w:rsidR="00442FCD">
        <w:t xml:space="preserve"> relevant t</w:t>
      </w:r>
      <w:r w:rsidR="001F6E84">
        <w:t>o this report</w:t>
      </w:r>
      <w:r w:rsidR="00291FB6">
        <w:t xml:space="preserve"> are outlined below</w:t>
      </w:r>
      <w:r w:rsidR="003C1F62">
        <w:t xml:space="preserve">. </w:t>
      </w:r>
      <w:r>
        <w:t>Reforms</w:t>
      </w:r>
      <w:r w:rsidR="00900F20">
        <w:t xml:space="preserve"> introduced in 2023-24 and</w:t>
      </w:r>
      <w:r w:rsidR="00734EC8">
        <w:t xml:space="preserve"> those announced as part of the $2.2 billion aged care package in the 2024-25 Budget </w:t>
      </w:r>
      <w:r w:rsidR="006429C6">
        <w:t xml:space="preserve">have </w:t>
      </w:r>
      <w:r w:rsidR="00436780">
        <w:t xml:space="preserve">also </w:t>
      </w:r>
      <w:r w:rsidR="006429C6">
        <w:t xml:space="preserve">been included to highlight the </w:t>
      </w:r>
      <w:r w:rsidR="00436780">
        <w:t>initiatives</w:t>
      </w:r>
      <w:r w:rsidR="006429C6">
        <w:t xml:space="preserve"> </w:t>
      </w:r>
      <w:r w:rsidR="00F5315D">
        <w:t>that will have an impact on future FRAACS</w:t>
      </w:r>
      <w:r w:rsidR="00C568FD">
        <w:t xml:space="preserve"> reports. </w:t>
      </w:r>
      <w:r w:rsidR="001F6E84" w:rsidDel="001F6E84">
        <w:t xml:space="preserve"> </w:t>
      </w:r>
    </w:p>
    <w:p w14:paraId="4F02D2CC" w14:textId="7D98B331" w:rsidR="009531DE" w:rsidRPr="000F012F" w:rsidRDefault="00981B98" w:rsidP="000F012F">
      <w:pPr>
        <w:rPr>
          <w:b/>
        </w:rPr>
      </w:pPr>
      <w:r w:rsidRPr="000F012F">
        <w:rPr>
          <w:b/>
        </w:rPr>
        <w:t>Increased care funding</w:t>
      </w:r>
      <w:r w:rsidR="0053291A">
        <w:rPr>
          <w:b/>
        </w:rPr>
        <w:t xml:space="preserve"> </w:t>
      </w:r>
    </w:p>
    <w:p w14:paraId="5FDE0F43" w14:textId="00A22311" w:rsidR="00734EC8" w:rsidRDefault="00734EC8" w:rsidP="00931216">
      <w:pPr>
        <w:pStyle w:val="ListParagraph"/>
        <w:numPr>
          <w:ilvl w:val="0"/>
          <w:numId w:val="12"/>
        </w:numPr>
      </w:pPr>
      <w:r>
        <w:t>In 2022-23, care funding for residential and home care increased by 20% (up $2.9 billion)</w:t>
      </w:r>
      <w:r w:rsidR="007D52BC">
        <w:t xml:space="preserve"> which had a positive impact on the </w:t>
      </w:r>
      <w:r w:rsidR="00BE286C">
        <w:t>sector in</w:t>
      </w:r>
      <w:r w:rsidR="007D52BC">
        <w:t xml:space="preserve"> 2022-23</w:t>
      </w:r>
      <w:r>
        <w:t>.</w:t>
      </w:r>
    </w:p>
    <w:p w14:paraId="64FC5AEC" w14:textId="3A63F736" w:rsidR="00734EC8" w:rsidRDefault="00734EC8" w:rsidP="00931216">
      <w:pPr>
        <w:pStyle w:val="ListParagraph"/>
        <w:numPr>
          <w:ilvl w:val="0"/>
          <w:numId w:val="12"/>
        </w:numPr>
      </w:pPr>
      <w:r>
        <w:t xml:space="preserve">The AN-ACC funding model was introduced on 1 October 2022, increasing funding for residential aged care in line with the cost of delivering care. </w:t>
      </w:r>
      <w:r w:rsidRPr="00204D15">
        <w:t>T</w:t>
      </w:r>
      <w:r>
        <w:t xml:space="preserve">he Independent Health and Aged Care Pricing Authority (IHACPA) </w:t>
      </w:r>
      <w:r w:rsidRPr="00204D15">
        <w:t>prov</w:t>
      </w:r>
      <w:r>
        <w:t>i</w:t>
      </w:r>
      <w:r w:rsidRPr="00204D15">
        <w:t>de</w:t>
      </w:r>
      <w:r>
        <w:t xml:space="preserve">s </w:t>
      </w:r>
      <w:r w:rsidRPr="00204D15">
        <w:t>annual adv</w:t>
      </w:r>
      <w:r>
        <w:t>ic</w:t>
      </w:r>
      <w:r w:rsidRPr="00204D15">
        <w:t xml:space="preserve">e </w:t>
      </w:r>
      <w:r>
        <w:t xml:space="preserve">to the Government </w:t>
      </w:r>
      <w:r w:rsidRPr="00204D15">
        <w:t>on the AN-ACC fund</w:t>
      </w:r>
      <w:r>
        <w:t>i</w:t>
      </w:r>
      <w:r w:rsidRPr="00204D15">
        <w:t>ng model</w:t>
      </w:r>
      <w:r>
        <w:t>.</w:t>
      </w:r>
    </w:p>
    <w:p w14:paraId="1E36BC1F" w14:textId="389E78D7" w:rsidR="00A16141" w:rsidRDefault="00443507" w:rsidP="00931216">
      <w:pPr>
        <w:pStyle w:val="ListParagraph"/>
        <w:numPr>
          <w:ilvl w:val="0"/>
          <w:numId w:val="12"/>
        </w:numPr>
      </w:pPr>
      <w:r>
        <w:t>On 1 July 2023,</w:t>
      </w:r>
      <w:r w:rsidR="00294853">
        <w:t xml:space="preserve"> </w:t>
      </w:r>
      <w:r w:rsidR="00A5128C" w:rsidRPr="006940B5">
        <w:t xml:space="preserve">the average AN-ACC funding per resident per day </w:t>
      </w:r>
      <w:r w:rsidR="00A5128C">
        <w:t xml:space="preserve">increased </w:t>
      </w:r>
      <w:r w:rsidR="00A5128C" w:rsidRPr="006940B5">
        <w:t>by approximately 17% from $223 to $260</w:t>
      </w:r>
      <w:r>
        <w:t xml:space="preserve">. </w:t>
      </w:r>
      <w:r w:rsidR="021F5C04">
        <w:t>A</w:t>
      </w:r>
      <w:r w:rsidR="00D732D8">
        <w:t xml:space="preserve"> new $10.80 hotel</w:t>
      </w:r>
      <w:r w:rsidR="00411A60">
        <w:t>l</w:t>
      </w:r>
      <w:r w:rsidR="00D732D8">
        <w:t xml:space="preserve">ing supplement was </w:t>
      </w:r>
      <w:r w:rsidR="0E524933">
        <w:t xml:space="preserve">also </w:t>
      </w:r>
      <w:r w:rsidR="00D732D8">
        <w:t>introduced</w:t>
      </w:r>
      <w:r>
        <w:t xml:space="preserve"> to </w:t>
      </w:r>
      <w:r w:rsidR="00411A60">
        <w:t xml:space="preserve">help meet hotelling costs. </w:t>
      </w:r>
      <w:r w:rsidR="00C86820">
        <w:t>AN-ACC price</w:t>
      </w:r>
      <w:r w:rsidR="00E93DFC">
        <w:t xml:space="preserve"> adjustments are</w:t>
      </w:r>
      <w:r w:rsidR="00C86820">
        <w:t xml:space="preserve"> reviewed annu</w:t>
      </w:r>
      <w:r w:rsidR="00143A11">
        <w:t>ally</w:t>
      </w:r>
      <w:r w:rsidR="001501AA">
        <w:t>. Th</w:t>
      </w:r>
      <w:r w:rsidR="00E93DFC">
        <w:t xml:space="preserve">e next AN-ACC price will be announced in </w:t>
      </w:r>
      <w:r>
        <w:br/>
      </w:r>
      <w:r w:rsidR="00E93DFC">
        <w:t>August 2024</w:t>
      </w:r>
      <w:r w:rsidR="001501AA">
        <w:t>,</w:t>
      </w:r>
      <w:r w:rsidR="004509C3">
        <w:t xml:space="preserve"> which will impact the funding received </w:t>
      </w:r>
      <w:r w:rsidR="001D2CB1">
        <w:t xml:space="preserve">by </w:t>
      </w:r>
      <w:r w:rsidR="004509C3">
        <w:t xml:space="preserve">providers in 2024-25. </w:t>
      </w:r>
    </w:p>
    <w:p w14:paraId="40390AEB" w14:textId="0212C959" w:rsidR="00734EC8" w:rsidRDefault="003D7665" w:rsidP="00931216">
      <w:pPr>
        <w:pStyle w:val="ListParagraph"/>
        <w:numPr>
          <w:ilvl w:val="0"/>
          <w:numId w:val="12"/>
        </w:numPr>
      </w:pPr>
      <w:r>
        <w:t>In 2022-23</w:t>
      </w:r>
      <w:r w:rsidR="00AA03DD">
        <w:t xml:space="preserve">, </w:t>
      </w:r>
      <w:r>
        <w:t xml:space="preserve">the Australian Government committed </w:t>
      </w:r>
      <w:r w:rsidRPr="002253B4">
        <w:t>$1.023 billion in financial support</w:t>
      </w:r>
      <w:r>
        <w:t xml:space="preserve"> </w:t>
      </w:r>
      <w:r w:rsidR="00332BD6">
        <w:t>for</w:t>
      </w:r>
      <w:r>
        <w:t xml:space="preserve"> </w:t>
      </w:r>
      <w:r w:rsidRPr="002253B4">
        <w:t>COVID-19 Aged Care Support Program Extension Grant</w:t>
      </w:r>
      <w:r>
        <w:t>.</w:t>
      </w:r>
      <w:r w:rsidR="006F22CE">
        <w:t xml:space="preserve"> The</w:t>
      </w:r>
      <w:r w:rsidR="00734EC8" w:rsidRPr="002253B4">
        <w:t xml:space="preserve"> department approved approximately $</w:t>
      </w:r>
      <w:r w:rsidR="00734EC8">
        <w:t>430</w:t>
      </w:r>
      <w:r w:rsidR="00734EC8" w:rsidRPr="002253B4">
        <w:t xml:space="preserve"> million in reimbursements to providers for the COVID-19 Aged Care Support Program Extension </w:t>
      </w:r>
      <w:r w:rsidR="00734EC8">
        <w:t>G</w:t>
      </w:r>
      <w:r w:rsidR="00734EC8" w:rsidRPr="002253B4">
        <w:t>rant</w:t>
      </w:r>
      <w:r w:rsidR="00E26783">
        <w:t xml:space="preserve"> in 2022-23</w:t>
      </w:r>
      <w:r w:rsidR="00734EC8" w:rsidRPr="002253B4">
        <w:t>.</w:t>
      </w:r>
    </w:p>
    <w:p w14:paraId="3AFD62FA" w14:textId="1A0B4070" w:rsidR="00734EC8" w:rsidRPr="0094006F" w:rsidRDefault="00734EC8" w:rsidP="00931216">
      <w:pPr>
        <w:pStyle w:val="ListParagraph"/>
        <w:numPr>
          <w:ilvl w:val="0"/>
          <w:numId w:val="12"/>
        </w:numPr>
      </w:pPr>
      <w:r w:rsidRPr="0094006F">
        <w:t>In February 2024, a new Aged Care Outbreak Management Supplement was introduced, and will help ensure the sector maintains high levels of infection prevention and control capability as it resumes business as usual post the COVID-19 pandemic</w:t>
      </w:r>
      <w:r w:rsidR="00D31B71">
        <w:t>.</w:t>
      </w:r>
      <w:r w:rsidR="00955641">
        <w:t xml:space="preserve"> The supplement will assist</w:t>
      </w:r>
      <w:r w:rsidR="00E74D19">
        <w:t xml:space="preserve"> providers manag</w:t>
      </w:r>
      <w:r w:rsidR="15DDBAB8">
        <w:t>e</w:t>
      </w:r>
      <w:r w:rsidR="00E74D19">
        <w:t xml:space="preserve"> costs associated with outbreaks. </w:t>
      </w:r>
    </w:p>
    <w:p w14:paraId="1B0889A4" w14:textId="44053C97" w:rsidR="00734EC8" w:rsidRPr="0046023E" w:rsidRDefault="00734EC8" w:rsidP="00734EC8">
      <w:pPr>
        <w:rPr>
          <w:b/>
        </w:rPr>
      </w:pPr>
      <w:r w:rsidRPr="0046023E">
        <w:rPr>
          <w:b/>
        </w:rPr>
        <w:t>Better wages for aged care workers</w:t>
      </w:r>
      <w:r w:rsidR="007D3F71">
        <w:rPr>
          <w:b/>
        </w:rPr>
        <w:t xml:space="preserve"> </w:t>
      </w:r>
      <w:r w:rsidR="0053291A">
        <w:rPr>
          <w:b/>
        </w:rPr>
        <w:t>from 30 June 2023</w:t>
      </w:r>
    </w:p>
    <w:p w14:paraId="74629C1F" w14:textId="0438E5A9" w:rsidR="00525689" w:rsidRDefault="00734EC8" w:rsidP="00931216">
      <w:pPr>
        <w:pStyle w:val="ListParagraph"/>
        <w:numPr>
          <w:ilvl w:val="0"/>
          <w:numId w:val="11"/>
        </w:numPr>
      </w:pPr>
      <w:r w:rsidRPr="00082DD1">
        <w:t>In the 2023-24 Budget, $11.</w:t>
      </w:r>
      <w:r w:rsidR="009F6B46">
        <w:t>3</w:t>
      </w:r>
      <w:r w:rsidRPr="00082DD1">
        <w:t xml:space="preserve"> billion </w:t>
      </w:r>
      <w:r w:rsidR="00C853D4">
        <w:t>in funding</w:t>
      </w:r>
      <w:r w:rsidR="00601DD8">
        <w:t xml:space="preserve"> over 4 years</w:t>
      </w:r>
      <w:r w:rsidR="00C853D4">
        <w:t xml:space="preserve"> </w:t>
      </w:r>
      <w:r w:rsidRPr="00082DD1">
        <w:t xml:space="preserve">was included for providers to pass on the wage increase following the FWC’s decision for an interim 15% minimum award wage increase from 30 June 2023. </w:t>
      </w:r>
      <w:r w:rsidR="00270D4C" w:rsidRPr="00E96777">
        <w:t>The</w:t>
      </w:r>
      <w:r w:rsidR="009720F3">
        <w:t xml:space="preserve"> 17%</w:t>
      </w:r>
      <w:r w:rsidR="00270D4C" w:rsidRPr="00E96777">
        <w:t xml:space="preserve"> uplift </w:t>
      </w:r>
      <w:r w:rsidR="001501AA">
        <w:t xml:space="preserve">in average </w:t>
      </w:r>
      <w:r w:rsidR="009720F3">
        <w:t xml:space="preserve">AN-ACC </w:t>
      </w:r>
      <w:r w:rsidR="00270D4C" w:rsidRPr="00E96777">
        <w:t xml:space="preserve">funding per resident per day </w:t>
      </w:r>
      <w:r w:rsidR="00CF4601">
        <w:t xml:space="preserve">contributed to funding this important reform. </w:t>
      </w:r>
      <w:r w:rsidRPr="00082DD1">
        <w:t xml:space="preserve">This investment will help build and sustain a valued aged care workforce. </w:t>
      </w:r>
    </w:p>
    <w:p w14:paraId="31950DB4" w14:textId="5FEA3D63" w:rsidR="00734EC8" w:rsidRPr="00082DD1" w:rsidRDefault="00734EC8" w:rsidP="00931216">
      <w:pPr>
        <w:pStyle w:val="ListParagraph"/>
        <w:numPr>
          <w:ilvl w:val="0"/>
          <w:numId w:val="11"/>
        </w:numPr>
      </w:pPr>
      <w:r w:rsidRPr="00082DD1">
        <w:t xml:space="preserve">The announcement </w:t>
      </w:r>
      <w:r w:rsidR="001B5E43">
        <w:t>of $11.</w:t>
      </w:r>
      <w:r w:rsidR="009F6B46">
        <w:t>3</w:t>
      </w:r>
      <w:r w:rsidR="001B5E43">
        <w:t xml:space="preserve"> billion outlined above</w:t>
      </w:r>
      <w:r w:rsidR="00574DBD">
        <w:t xml:space="preserve"> </w:t>
      </w:r>
      <w:r w:rsidRPr="00082DD1">
        <w:t xml:space="preserve">includes a HCP subsidy rate increase of 11.9% for home care recipients to support payment of better wages for aged care workers and annual program indexation. </w:t>
      </w:r>
    </w:p>
    <w:p w14:paraId="3E3B83EA" w14:textId="3AF63B0B" w:rsidR="00734EC8" w:rsidRPr="00082DD1" w:rsidRDefault="00734EC8" w:rsidP="00931216">
      <w:pPr>
        <w:pStyle w:val="ListParagraph"/>
        <w:numPr>
          <w:ilvl w:val="0"/>
          <w:numId w:val="11"/>
        </w:numPr>
        <w:spacing w:after="120"/>
      </w:pPr>
      <w:r w:rsidRPr="00082DD1">
        <w:t xml:space="preserve">From 1 December 2023, an additional </w:t>
      </w:r>
      <w:r w:rsidR="003A017B">
        <w:t xml:space="preserve">investment of </w:t>
      </w:r>
      <w:r w:rsidRPr="00082DD1">
        <w:t>$2</w:t>
      </w:r>
      <w:r w:rsidR="00DF6279">
        <w:t>.2</w:t>
      </w:r>
      <w:r w:rsidR="003A017B">
        <w:t xml:space="preserve"> </w:t>
      </w:r>
      <w:r w:rsidRPr="00082DD1">
        <w:t>billion</w:t>
      </w:r>
      <w:r w:rsidR="00696E12" w:rsidRPr="00696E12">
        <w:t xml:space="preserve"> (over 4 years from 2023–24)</w:t>
      </w:r>
      <w:r w:rsidRPr="00082DD1">
        <w:t xml:space="preserve"> was </w:t>
      </w:r>
      <w:r w:rsidR="0053291A">
        <w:t>announced</w:t>
      </w:r>
      <w:r w:rsidR="00B96A06">
        <w:t xml:space="preserve"> </w:t>
      </w:r>
      <w:r w:rsidRPr="00082DD1">
        <w:t xml:space="preserve">to support residential aged care providers to fund the FWC’s Annual Wage Review decision, which increased the award wage by 5.75%. This funding includes $2.2 billion in AN-ACC funding and $21.5 million in </w:t>
      </w:r>
      <w:r w:rsidR="005B0B39" w:rsidRPr="00082DD1">
        <w:t>registered nurse</w:t>
      </w:r>
      <w:r w:rsidRPr="00082DD1">
        <w:t xml:space="preserve"> supplements.</w:t>
      </w:r>
    </w:p>
    <w:p w14:paraId="0C407377" w14:textId="6C14F5DC" w:rsidR="00734EC8" w:rsidRPr="00082DD1" w:rsidRDefault="00734EC8" w:rsidP="00931216">
      <w:pPr>
        <w:pStyle w:val="ListParagraph"/>
        <w:numPr>
          <w:ilvl w:val="0"/>
          <w:numId w:val="11"/>
        </w:numPr>
        <w:spacing w:after="120"/>
        <w:rPr>
          <w:rStyle w:val="eop"/>
        </w:rPr>
      </w:pPr>
      <w:r w:rsidRPr="00082DD1">
        <w:rPr>
          <w:rStyle w:val="normaltextrun"/>
          <w:rFonts w:cs="Arial"/>
          <w:color w:val="1E1545"/>
          <w:shd w:val="clear" w:color="auto" w:fill="FFFFFF"/>
        </w:rPr>
        <w:t>The FWC’s decision in Stage 3 of the Aged Care Work Value Case will further increase minimum wages for many workers. When implemented, these increases will have an impact on workforce expenses</w:t>
      </w:r>
      <w:r w:rsidR="00B96A06">
        <w:rPr>
          <w:rStyle w:val="normaltextrun"/>
          <w:rFonts w:cs="Arial"/>
          <w:color w:val="1E1545"/>
          <w:shd w:val="clear" w:color="auto" w:fill="FFFFFF"/>
        </w:rPr>
        <w:t xml:space="preserve"> in future FRAACS reports</w:t>
      </w:r>
      <w:r w:rsidRPr="00082DD1">
        <w:rPr>
          <w:rStyle w:val="normaltextrun"/>
          <w:rFonts w:cs="Arial"/>
          <w:color w:val="1E1545"/>
          <w:shd w:val="clear" w:color="auto" w:fill="FFFFFF"/>
        </w:rPr>
        <w:t>. The Australian Government will consider its funding and implementation approach to this decision once the operative date and phasing arrangements have been determined by the FWC.</w:t>
      </w:r>
      <w:r w:rsidRPr="00082DD1">
        <w:rPr>
          <w:rStyle w:val="eop"/>
          <w:rFonts w:cs="Arial"/>
          <w:color w:val="1E1545"/>
          <w:shd w:val="clear" w:color="auto" w:fill="FFFFFF"/>
        </w:rPr>
        <w:t> </w:t>
      </w:r>
    </w:p>
    <w:p w14:paraId="1F9A4C56" w14:textId="77777777" w:rsidR="00734EC8" w:rsidRPr="00082DD1" w:rsidRDefault="00734EC8" w:rsidP="00931216">
      <w:pPr>
        <w:pStyle w:val="ListParagraph"/>
        <w:numPr>
          <w:ilvl w:val="0"/>
          <w:numId w:val="11"/>
        </w:numPr>
        <w:spacing w:after="120"/>
      </w:pPr>
      <w:r w:rsidRPr="00082DD1">
        <w:t xml:space="preserve">The 2024-25 Budget included $88.4 million over 4 years to continue to attract and retain the aged care workforce. </w:t>
      </w:r>
    </w:p>
    <w:p w14:paraId="7D6F4A3E" w14:textId="77777777" w:rsidR="00734EC8" w:rsidRDefault="00734EC8" w:rsidP="00734EC8">
      <w:pPr>
        <w:rPr>
          <w:b/>
        </w:rPr>
      </w:pPr>
      <w:r w:rsidRPr="00766268">
        <w:rPr>
          <w:b/>
        </w:rPr>
        <w:t xml:space="preserve">Improving quality of care </w:t>
      </w:r>
    </w:p>
    <w:p w14:paraId="13DA011F" w14:textId="77777777" w:rsidR="00447DC1" w:rsidRPr="004A50E7" w:rsidRDefault="00447DC1" w:rsidP="00931216">
      <w:pPr>
        <w:pStyle w:val="ListParagraph"/>
        <w:numPr>
          <w:ilvl w:val="0"/>
          <w:numId w:val="13"/>
        </w:numPr>
      </w:pPr>
      <w:r w:rsidRPr="004A50E7">
        <w:t xml:space="preserve">From 1 January 2023, HCP care management prices were capped at 20% of the package level, and package management prices were capped at 15%. This reduces excessive administration and management charges and ensures more funds are available to meet the needs of care recipients. </w:t>
      </w:r>
    </w:p>
    <w:p w14:paraId="318025E9" w14:textId="1E5245F2" w:rsidR="00734EC8" w:rsidRPr="008A1ED5" w:rsidRDefault="00734EC8" w:rsidP="008A1ED5">
      <w:pPr>
        <w:pStyle w:val="ListParagraph"/>
        <w:numPr>
          <w:ilvl w:val="0"/>
          <w:numId w:val="13"/>
        </w:numPr>
        <w:rPr>
          <w:b/>
          <w:bCs w:val="0"/>
        </w:rPr>
      </w:pPr>
      <w:r w:rsidRPr="00696E12">
        <w:t>From 1 October 2023, providers have been required to meet mandatory care minute targets. The sector average target was set at</w:t>
      </w:r>
      <w:r w:rsidR="1E0163C9" w:rsidRPr="00696E12">
        <w:t xml:space="preserve"> </w:t>
      </w:r>
      <w:r w:rsidRPr="00696E12">
        <w:t xml:space="preserve">200 minutes per resident per day, including minimum of 40 minutes of registered nurse time per day. </w:t>
      </w:r>
      <w:r w:rsidR="00792247">
        <w:t xml:space="preserve">The costs associated </w:t>
      </w:r>
      <w:r w:rsidR="00FE1262">
        <w:t>with meeting mandatory</w:t>
      </w:r>
      <w:r w:rsidR="00F349D0">
        <w:t xml:space="preserve"> care minute</w:t>
      </w:r>
      <w:r w:rsidR="00FE1262">
        <w:t xml:space="preserve"> targets are fully </w:t>
      </w:r>
      <w:r w:rsidR="00FE1262" w:rsidRPr="00FD2A1D">
        <w:t>funded through AN-ACC</w:t>
      </w:r>
      <w:r w:rsidR="00C44B6E" w:rsidRPr="00FD2A1D">
        <w:t xml:space="preserve">. </w:t>
      </w:r>
    </w:p>
    <w:p w14:paraId="1C3B1903" w14:textId="5C1D573D" w:rsidR="00734EC8" w:rsidRPr="00FD2A1D" w:rsidRDefault="00734EC8" w:rsidP="00931216">
      <w:pPr>
        <w:pStyle w:val="ListParagraph"/>
        <w:numPr>
          <w:ilvl w:val="0"/>
          <w:numId w:val="13"/>
        </w:numPr>
        <w:rPr>
          <w:b/>
          <w:bCs w:val="0"/>
        </w:rPr>
      </w:pPr>
      <w:r w:rsidRPr="00FD2A1D">
        <w:t>From 1 October 2024, the responsibility for delivering care minutes will increase to a sector-wide average of 215 care minutes per resident per day, including 44 minutes of direct registered nurse care. Providers will also have the flexibility to meet up to 10% of their service-level registered nurse targets with care time provided by enrolled nurses. For example, a service with a registered nurse target of 44 minutes, up to 4.4 enrolled nurse minutes may be counted towards the registered nurse target.</w:t>
      </w:r>
      <w:r w:rsidR="005A498D" w:rsidRPr="00E96777">
        <w:t xml:space="preserve"> This reform</w:t>
      </w:r>
      <w:r w:rsidR="00E14C01" w:rsidRPr="00E96777">
        <w:t xml:space="preserve"> will be funded through an increase in AN</w:t>
      </w:r>
      <w:r w:rsidR="00576434" w:rsidRPr="00E96777">
        <w:t xml:space="preserve">-ACC </w:t>
      </w:r>
      <w:r w:rsidR="1E96D228">
        <w:t>funding</w:t>
      </w:r>
      <w:r w:rsidR="00576434" w:rsidRPr="00E96777">
        <w:t xml:space="preserve">. </w:t>
      </w:r>
    </w:p>
    <w:p w14:paraId="223B58DD" w14:textId="77777777" w:rsidR="00734EC8" w:rsidRPr="00FD2A1D" w:rsidRDefault="00734EC8" w:rsidP="00931216">
      <w:pPr>
        <w:pStyle w:val="ListParagraph"/>
        <w:numPr>
          <w:ilvl w:val="0"/>
          <w:numId w:val="13"/>
        </w:numPr>
      </w:pPr>
      <w:r w:rsidRPr="00FD2A1D">
        <w:t xml:space="preserve">From 1 July 2023, the 24/7 registered nurse responsibility commenced to reduce the risk of resident harm by ensuring qualified and experienced care staff are always available to identify and address potential risks. </w:t>
      </w:r>
    </w:p>
    <w:p w14:paraId="59CCE8C8" w14:textId="01DA5AE6" w:rsidR="00734EC8" w:rsidRPr="00FD2A1D" w:rsidRDefault="00734EC8" w:rsidP="00931216">
      <w:pPr>
        <w:pStyle w:val="ListParagraph"/>
        <w:numPr>
          <w:ilvl w:val="0"/>
          <w:numId w:val="13"/>
        </w:numPr>
      </w:pPr>
      <w:r w:rsidRPr="00FD2A1D">
        <w:t>From 1 July 2023, approved residential aged care providers may be eligible for the 24/7 supplement</w:t>
      </w:r>
      <w:r w:rsidR="000F33DC" w:rsidRPr="00FD2A1D">
        <w:t xml:space="preserve"> registered nurse supplement</w:t>
      </w:r>
      <w:r w:rsidRPr="00FD2A1D">
        <w:t xml:space="preserve">. The 24/7 registered nurse supplement helps approved providers to employ extra registered nurses to be on-site and on duty 24 hours a day, 7 days a week at residential care facilities. </w:t>
      </w:r>
    </w:p>
    <w:p w14:paraId="35F02CB7" w14:textId="3E3FF1DA" w:rsidR="00734EC8" w:rsidRPr="00063694" w:rsidRDefault="00734EC8" w:rsidP="00734EC8">
      <w:pPr>
        <w:rPr>
          <w:b/>
        </w:rPr>
      </w:pPr>
      <w:r>
        <w:rPr>
          <w:b/>
        </w:rPr>
        <w:t xml:space="preserve">Supporting more Australians to access home care than ever before </w:t>
      </w:r>
    </w:p>
    <w:p w14:paraId="59F0385A" w14:textId="1BA91F2C" w:rsidR="00734EC8" w:rsidRPr="00FD2A1D" w:rsidRDefault="00734EC8" w:rsidP="00CD1E1B">
      <w:pPr>
        <w:pStyle w:val="ListParagraph"/>
        <w:numPr>
          <w:ilvl w:val="0"/>
          <w:numId w:val="23"/>
        </w:numPr>
      </w:pPr>
      <w:r w:rsidRPr="00FD2A1D">
        <w:t xml:space="preserve">Throughout 2023-24, an additional 9,500 HCPs </w:t>
      </w:r>
      <w:r w:rsidR="7ACADF96">
        <w:t>were</w:t>
      </w:r>
      <w:r w:rsidRPr="00FD2A1D">
        <w:t xml:space="preserve"> released to meet the growing preference for older people to remain in their own home.</w:t>
      </w:r>
    </w:p>
    <w:p w14:paraId="6FAEC6A9" w14:textId="66533ECE" w:rsidR="00734EC8" w:rsidRPr="00FD2A1D" w:rsidRDefault="00734EC8" w:rsidP="00CD1E1B">
      <w:pPr>
        <w:pStyle w:val="ListParagraph"/>
        <w:numPr>
          <w:ilvl w:val="0"/>
          <w:numId w:val="23"/>
        </w:numPr>
        <w:rPr>
          <w:b/>
        </w:rPr>
      </w:pPr>
      <w:r w:rsidRPr="00FD2A1D">
        <w:t xml:space="preserve">The 2024-25 Budget included $531.4 million for an extra 24,100 HCPs to support more </w:t>
      </w:r>
      <w:r w:rsidR="00A42F4D" w:rsidRPr="00FD2A1D">
        <w:t xml:space="preserve">older people </w:t>
      </w:r>
      <w:r w:rsidRPr="00FD2A1D">
        <w:t>to access home care.</w:t>
      </w:r>
      <w:r w:rsidR="00C35CEB" w:rsidRPr="00FD2A1D">
        <w:t xml:space="preserve"> </w:t>
      </w:r>
      <w:r w:rsidRPr="00FD2A1D">
        <w:t xml:space="preserve">From 1 July 2025, the new </w:t>
      </w:r>
      <w:proofErr w:type="spellStart"/>
      <w:r w:rsidRPr="00FD2A1D">
        <w:t>SaH</w:t>
      </w:r>
      <w:proofErr w:type="spellEnd"/>
      <w:r w:rsidRPr="00FD2A1D">
        <w:t xml:space="preserve"> program will replace the HCP and STRC programs. </w:t>
      </w:r>
      <w:proofErr w:type="spellStart"/>
      <w:r w:rsidRPr="00FD2A1D">
        <w:t>SaH</w:t>
      </w:r>
      <w:proofErr w:type="spellEnd"/>
      <w:r w:rsidRPr="00FD2A1D">
        <w:t xml:space="preserve"> will replace CHSP no earlier than 1 July 2027. The new </w:t>
      </w:r>
      <w:proofErr w:type="spellStart"/>
      <w:r w:rsidRPr="00FD2A1D">
        <w:t>SaH</w:t>
      </w:r>
      <w:proofErr w:type="spellEnd"/>
      <w:r w:rsidRPr="00FD2A1D">
        <w:t xml:space="preserve"> program will enable older people to have better access to services, equipment and home modifications to help them remain healthy, active and socially connected to their community. </w:t>
      </w:r>
    </w:p>
    <w:p w14:paraId="1F0825CD" w14:textId="37C3E06C" w:rsidR="00734EC8" w:rsidRPr="00064556" w:rsidRDefault="00734EC8" w:rsidP="00734EC8">
      <w:r>
        <w:rPr>
          <w:b/>
        </w:rPr>
        <w:t>Initiatives for r</w:t>
      </w:r>
      <w:r w:rsidRPr="00064556">
        <w:rPr>
          <w:b/>
        </w:rPr>
        <w:t>ural and remote</w:t>
      </w:r>
      <w:r>
        <w:rPr>
          <w:b/>
        </w:rPr>
        <w:t xml:space="preserve"> areas</w:t>
      </w:r>
      <w:r w:rsidRPr="00064556">
        <w:rPr>
          <w:b/>
        </w:rPr>
        <w:t>, and older First Nations people</w:t>
      </w:r>
    </w:p>
    <w:p w14:paraId="169EEC3D" w14:textId="4CEE85F3" w:rsidR="00734EC8" w:rsidRPr="00064556" w:rsidRDefault="00734EC8" w:rsidP="00734EC8">
      <w:r w:rsidRPr="00064556">
        <w:t xml:space="preserve">Improving the lives of older </w:t>
      </w:r>
      <w:r w:rsidR="00710CAA">
        <w:t>people</w:t>
      </w:r>
      <w:r w:rsidR="00710CAA" w:rsidRPr="00064556">
        <w:t xml:space="preserve"> </w:t>
      </w:r>
      <w:r w:rsidRPr="00064556">
        <w:t>living in rural and remote areas and First Nations peoples receiving care remains a priority for the Australian Government. </w:t>
      </w:r>
      <w:r>
        <w:t>Key initiatives include:</w:t>
      </w:r>
      <w:r w:rsidRPr="00064556">
        <w:t>  </w:t>
      </w:r>
    </w:p>
    <w:p w14:paraId="30FB9494" w14:textId="1212BCE2" w:rsidR="00B65869" w:rsidRPr="00763A9F" w:rsidRDefault="00B65869" w:rsidP="00931216">
      <w:pPr>
        <w:pStyle w:val="ListParagraph"/>
        <w:numPr>
          <w:ilvl w:val="0"/>
          <w:numId w:val="11"/>
        </w:numPr>
      </w:pPr>
      <w:r>
        <w:t xml:space="preserve">In 2022-23, $247 million in funding </w:t>
      </w:r>
      <w:r w:rsidR="7200A978">
        <w:t>was</w:t>
      </w:r>
      <w:r>
        <w:t xml:space="preserve"> allocated to Multi-Purpose Services (MPS), increasing to approximately $300 million per year thereafter. </w:t>
      </w:r>
      <w:r w:rsidR="6F286225">
        <w:t>MPS</w:t>
      </w:r>
      <w:r>
        <w:t xml:space="preserve"> provide integrated health and aged care services in </w:t>
      </w:r>
      <w:r w:rsidRPr="00763A9F">
        <w:t xml:space="preserve">rural and remote locations. </w:t>
      </w:r>
    </w:p>
    <w:p w14:paraId="69D98D91" w14:textId="75597855" w:rsidR="00734EC8" w:rsidRPr="00763A9F" w:rsidRDefault="237D0A63" w:rsidP="00931216">
      <w:pPr>
        <w:pStyle w:val="ListParagraph"/>
        <w:numPr>
          <w:ilvl w:val="0"/>
          <w:numId w:val="11"/>
        </w:numPr>
        <w:rPr>
          <w:rStyle w:val="Hyperlink"/>
          <w:color w:val="auto"/>
          <w:u w:val="none"/>
        </w:rPr>
      </w:pPr>
      <w:r w:rsidRPr="00763A9F">
        <w:t>Since</w:t>
      </w:r>
      <w:r w:rsidR="00FF748E" w:rsidRPr="00763A9F">
        <w:t xml:space="preserve"> </w:t>
      </w:r>
      <w:r w:rsidR="00734EC8" w:rsidRPr="00763A9F">
        <w:t xml:space="preserve">1 July 2023, additional care funding </w:t>
      </w:r>
      <w:r w:rsidR="5AC6A7C8" w:rsidRPr="00763A9F">
        <w:t xml:space="preserve">has </w:t>
      </w:r>
      <w:r w:rsidR="00734EC8" w:rsidRPr="00763A9F">
        <w:t>be</w:t>
      </w:r>
      <w:r w:rsidR="0B2644FC" w:rsidRPr="00763A9F">
        <w:t>en</w:t>
      </w:r>
      <w:r w:rsidR="00734EC8" w:rsidRPr="00763A9F">
        <w:t xml:space="preserve"> provided to rural and remote services, and specialised Aboriginal and Torres Strait Islander services through AN-ACC </w:t>
      </w:r>
      <w:r w:rsidR="7810C983">
        <w:t xml:space="preserve">funding </w:t>
      </w:r>
      <w:r w:rsidR="00734EC8">
        <w:t>increases</w:t>
      </w:r>
      <w:r w:rsidR="00734EC8" w:rsidRPr="00763A9F">
        <w:t xml:space="preserve">, recognising the additional cost requirements. A detailed list of funding provided through AN-ACC from 1 July 2023 is available here: </w:t>
      </w:r>
      <w:hyperlink r:id="rId27">
        <w:r w:rsidR="00734EC8" w:rsidRPr="00763A9F">
          <w:rPr>
            <w:rStyle w:val="Hyperlink"/>
          </w:rPr>
          <w:t>AN-ACC and hotelling supplement funding comparisons</w:t>
        </w:r>
        <w:r w:rsidR="006620C1" w:rsidRPr="6E9C5146">
          <w:rPr>
            <w:rStyle w:val="Hyperlink"/>
            <w:color w:val="auto"/>
            <w:u w:val="none"/>
          </w:rPr>
          <w:t>.</w:t>
        </w:r>
      </w:hyperlink>
    </w:p>
    <w:p w14:paraId="5A18D05C" w14:textId="7B9A179D" w:rsidR="00734EC8" w:rsidRPr="00763A9F" w:rsidRDefault="00734EC8" w:rsidP="00931216">
      <w:pPr>
        <w:pStyle w:val="ListParagraph"/>
        <w:numPr>
          <w:ilvl w:val="0"/>
          <w:numId w:val="11"/>
        </w:numPr>
      </w:pPr>
      <w:r w:rsidRPr="00763A9F">
        <w:t>The</w:t>
      </w:r>
      <w:r w:rsidR="00C52A98" w:rsidRPr="00763A9F">
        <w:t xml:space="preserve"> </w:t>
      </w:r>
      <w:hyperlink r:id="rId28" w:history="1">
        <w:r w:rsidR="00C52A98" w:rsidRPr="00385C81">
          <w:rPr>
            <w:rStyle w:val="Hyperlink"/>
          </w:rPr>
          <w:t>National Aboriginal and Torres Strait Islander Flexible Aged Care</w:t>
        </w:r>
        <w:r w:rsidRPr="00385C81">
          <w:rPr>
            <w:rStyle w:val="Hyperlink"/>
          </w:rPr>
          <w:t xml:space="preserve"> </w:t>
        </w:r>
        <w:r w:rsidR="00C52A98" w:rsidRPr="00385C81">
          <w:rPr>
            <w:rStyle w:val="Hyperlink"/>
          </w:rPr>
          <w:t>(</w:t>
        </w:r>
        <w:r w:rsidRPr="00385C81">
          <w:rPr>
            <w:rStyle w:val="Hyperlink"/>
          </w:rPr>
          <w:t>NATSIFAC</w:t>
        </w:r>
        <w:r w:rsidR="00C52A98" w:rsidRPr="00385C81">
          <w:rPr>
            <w:rStyle w:val="Hyperlink"/>
          </w:rPr>
          <w:t>)</w:t>
        </w:r>
        <w:r w:rsidRPr="00385C81">
          <w:rPr>
            <w:rStyle w:val="Hyperlink"/>
          </w:rPr>
          <w:t xml:space="preserve"> </w:t>
        </w:r>
        <w:r w:rsidR="000E76FD" w:rsidRPr="00385C81">
          <w:rPr>
            <w:rStyle w:val="Hyperlink"/>
          </w:rPr>
          <w:t>p</w:t>
        </w:r>
        <w:r w:rsidRPr="00385C81">
          <w:rPr>
            <w:rStyle w:val="Hyperlink"/>
          </w:rPr>
          <w:t>rogram</w:t>
        </w:r>
      </w:hyperlink>
      <w:r w:rsidRPr="00763A9F">
        <w:t xml:space="preserve"> continues to be funded by the Australian Government, providing approximately $115 million per year on average to provide culturally appropriate aged care to older First Nations people to </w:t>
      </w:r>
      <w:r>
        <w:t>meet</w:t>
      </w:r>
      <w:r w:rsidRPr="00763A9F">
        <w:t xml:space="preserve"> their needs and allow them to remain close to home and community. </w:t>
      </w:r>
    </w:p>
    <w:p w14:paraId="04FE4DB7" w14:textId="5CBDA013" w:rsidR="00734EC8" w:rsidRPr="00763A9F" w:rsidRDefault="00734EC8" w:rsidP="00931216">
      <w:pPr>
        <w:pStyle w:val="ListParagraph"/>
        <w:numPr>
          <w:ilvl w:val="0"/>
          <w:numId w:val="11"/>
        </w:numPr>
      </w:pPr>
      <w:r w:rsidRPr="00763A9F">
        <w:t xml:space="preserve">The 2023-24 Budget allocated $1.7 million in funding to establish an interim </w:t>
      </w:r>
      <w:hyperlink r:id="rId29">
        <w:r w:rsidRPr="00763A9F">
          <w:rPr>
            <w:rStyle w:val="Hyperlink"/>
          </w:rPr>
          <w:t>First Nations Aged Care Commissioner</w:t>
        </w:r>
      </w:hyperlink>
      <w:r w:rsidRPr="00763A9F">
        <w:t xml:space="preserve"> to encourage culturally safe aged care for First Nations people across Australia.</w:t>
      </w:r>
    </w:p>
    <w:p w14:paraId="0A5846E3" w14:textId="259029D6" w:rsidR="00734EC8" w:rsidRPr="00763A9F" w:rsidRDefault="00FA62D3" w:rsidP="00931216">
      <w:pPr>
        <w:pStyle w:val="ListParagraph"/>
        <w:numPr>
          <w:ilvl w:val="0"/>
          <w:numId w:val="11"/>
        </w:numPr>
      </w:pPr>
      <w:r w:rsidRPr="00763A9F">
        <w:t xml:space="preserve">Up to </w:t>
      </w:r>
      <w:r w:rsidR="00734EC8" w:rsidRPr="00763A9F">
        <w:t>$605.7 million in funding has been made available</w:t>
      </w:r>
      <w:r w:rsidR="00A465D4" w:rsidRPr="00763A9F">
        <w:t xml:space="preserve"> until 30 June 2027</w:t>
      </w:r>
      <w:r w:rsidR="00734EC8" w:rsidRPr="00763A9F">
        <w:t xml:space="preserve"> for the Aged Care Capital Assistance Program (AC</w:t>
      </w:r>
      <w:r w:rsidR="68380A24" w:rsidRPr="00763A9F">
        <w:t>C</w:t>
      </w:r>
      <w:r w:rsidR="00734EC8" w:rsidRPr="00763A9F">
        <w:t>AP) to support the construction, upgrade, and expansion of aged care services and new staff accommodation in thin market settings. From 2027-28, at least $161 million will be made available each year on an ongoing basis for AC</w:t>
      </w:r>
      <w:r w:rsidR="754B331A" w:rsidRPr="00763A9F">
        <w:t>C</w:t>
      </w:r>
      <w:r w:rsidR="00734EC8" w:rsidRPr="00763A9F">
        <w:t xml:space="preserve">AP.  </w:t>
      </w:r>
    </w:p>
    <w:p w14:paraId="77A42B7B" w14:textId="7517AB83" w:rsidR="00CE2776" w:rsidRDefault="004D504F" w:rsidP="00706D0A">
      <w:pPr>
        <w:rPr>
          <w:rStyle w:val="Hyperlink"/>
        </w:rPr>
      </w:pPr>
      <w:r>
        <w:t xml:space="preserve">For more information on the 2024-25 Budget </w:t>
      </w:r>
      <w:r w:rsidR="00B41A4A">
        <w:t xml:space="preserve">please visit: </w:t>
      </w:r>
      <w:hyperlink r:id="rId30" w:history="1">
        <w:r w:rsidR="00682902">
          <w:rPr>
            <w:rStyle w:val="Hyperlink"/>
          </w:rPr>
          <w:t>Budget 2024–</w:t>
        </w:r>
        <w:r w:rsidR="00682902">
          <w:rPr>
            <w:rStyle w:val="Hyperlink"/>
            <w:rFonts w:ascii="Tahoma" w:hAnsi="Tahoma" w:cs="Tahoma"/>
          </w:rPr>
          <w:t>⁠</w:t>
        </w:r>
        <w:r w:rsidR="00682902">
          <w:rPr>
            <w:rStyle w:val="Hyperlink"/>
          </w:rPr>
          <w:t>25: Quality aged care | Australian Government Department of Health and Aged Care</w:t>
        </w:r>
      </w:hyperlink>
    </w:p>
    <w:p w14:paraId="65EACA9E" w14:textId="77777777" w:rsidR="00441803" w:rsidRDefault="00441803">
      <w:pPr>
        <w:spacing w:before="0" w:after="0" w:line="240" w:lineRule="auto"/>
        <w:sectPr w:rsidR="00441803" w:rsidSect="006B7D78">
          <w:headerReference w:type="even" r:id="rId31"/>
          <w:headerReference w:type="default" r:id="rId32"/>
          <w:footerReference w:type="default" r:id="rId33"/>
          <w:headerReference w:type="first" r:id="rId34"/>
          <w:type w:val="continuous"/>
          <w:pgSz w:w="11906" w:h="16838"/>
          <w:pgMar w:top="1701" w:right="1418" w:bottom="1418" w:left="1418" w:header="709" w:footer="709" w:gutter="0"/>
          <w:cols w:space="708"/>
          <w:docGrid w:linePitch="360"/>
        </w:sectPr>
      </w:pPr>
    </w:p>
    <w:p w14:paraId="02619BE2" w14:textId="1D9E4E8B" w:rsidR="001E7E4B" w:rsidRDefault="001E7E4B">
      <w:pPr>
        <w:spacing w:before="0" w:after="0" w:line="240" w:lineRule="auto"/>
      </w:pPr>
      <w:r>
        <w:br w:type="page"/>
      </w:r>
    </w:p>
    <w:p w14:paraId="07CF28DC" w14:textId="2FEC822F" w:rsidR="00976764" w:rsidRPr="00CF205E" w:rsidRDefault="007141D9" w:rsidP="00706D0A">
      <w:r>
        <w:rPr>
          <w:noProof/>
        </w:rPr>
        <w:drawing>
          <wp:anchor distT="0" distB="0" distL="114300" distR="114300" simplePos="0" relativeHeight="251658242" behindDoc="0" locked="0" layoutInCell="1" allowOverlap="1" wp14:anchorId="6344881F" wp14:editId="60B8EBEF">
            <wp:simplePos x="0" y="0"/>
            <wp:positionH relativeFrom="column">
              <wp:posOffset>-887730</wp:posOffset>
            </wp:positionH>
            <wp:positionV relativeFrom="page">
              <wp:posOffset>6350</wp:posOffset>
            </wp:positionV>
            <wp:extent cx="7548245" cy="9779000"/>
            <wp:effectExtent l="0" t="0" r="0" b="0"/>
            <wp:wrapTopAndBottom/>
            <wp:docPr id="30" name="Picture 30" descr="The infographic at the beginning of Chapter 1 titled home care, shows a summary of home care for 2022-23. The total number of home care recipients was 258,374 at 30 June 2023, an increase of 19.76% from the previous year. The were 923 home care providers in 2022-23, which was an increase of 7 providers from 2021-22. The Australian Government contributed $5.62 billion in funding to home care, an increase of 27.73% on the previous year. The average EBITDA for home care in 2022-23 was $1,007 per recipient per year, a decrease of 18.26% on the 2021-22. The average NPBT result in 2022-23 for home care was $792 per recipient per year, a decrease of 21.82% on 2021-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infographic at the beginning of Chapter 1 titled home care, shows a summary of home care for 2022-23. The total number of home care recipients was 258,374 at 30 June 2023, an increase of 19.76% from the previous year. The were 923 home care providers in 2022-23, which was an increase of 7 providers from 2021-22. The Australian Government contributed $5.62 billion in funding to home care, an increase of 27.73% on the previous year. The average EBITDA for home care in 2022-23 was $1,007 per recipient per year, a decrease of 18.26% on the 2021-22. The average NPBT result in 2022-23 for home care was $792 per recipient per year, a decrease of 21.82% on 2021-22.&#10;"/>
                    <pic:cNvPicPr/>
                  </pic:nvPicPr>
                  <pic:blipFill rotWithShape="1">
                    <a:blip r:embed="rId35" cstate="print">
                      <a:extLst>
                        <a:ext uri="{28A0092B-C50C-407E-A947-70E740481C1C}">
                          <a14:useLocalDpi xmlns:a14="http://schemas.microsoft.com/office/drawing/2010/main" val="0"/>
                        </a:ext>
                      </a:extLst>
                    </a:blip>
                    <a:srcRect b="8410"/>
                    <a:stretch/>
                  </pic:blipFill>
                  <pic:spPr bwMode="auto">
                    <a:xfrm>
                      <a:off x="0" y="0"/>
                      <a:ext cx="7548245" cy="977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6764" w:rsidRPr="00CF205E">
        <w:tab/>
      </w:r>
    </w:p>
    <w:p w14:paraId="75C35618" w14:textId="742ABC1D" w:rsidR="004437D0" w:rsidRPr="003F50C8" w:rsidRDefault="004437D0" w:rsidP="00ED7372">
      <w:pPr>
        <w:pStyle w:val="Heading1"/>
      </w:pPr>
      <w:bookmarkStart w:id="8" w:name="_Toc173428593"/>
      <w:bookmarkStart w:id="9" w:name="_Ref160715995"/>
      <w:r w:rsidRPr="003F50C8">
        <w:t>Home care</w:t>
      </w:r>
      <w:bookmarkEnd w:id="8"/>
    </w:p>
    <w:p w14:paraId="776FF78E" w14:textId="19908DB8" w:rsidR="00BA0E08" w:rsidRDefault="00BA0E08" w:rsidP="00706D0A">
      <w:pPr>
        <w:rPr>
          <w:rStyle w:val="Strong"/>
        </w:rPr>
      </w:pPr>
      <w:r w:rsidRPr="00BA0E08">
        <w:rPr>
          <w:rStyle w:val="Strong"/>
        </w:rPr>
        <w:t xml:space="preserve">The Home Care Packages Program </w:t>
      </w:r>
    </w:p>
    <w:bookmarkEnd w:id="9"/>
    <w:p w14:paraId="06E5BBAC" w14:textId="26FB1F7A" w:rsidR="00BA0E08" w:rsidRPr="00F83F06" w:rsidRDefault="00BA0E08" w:rsidP="00706D0A">
      <w:r w:rsidRPr="00F83F06">
        <w:t xml:space="preserve">Home care packages allow recipients to access a range of services and equipment which assists them to live independently in the community. </w:t>
      </w:r>
    </w:p>
    <w:p w14:paraId="365D60CB" w14:textId="08F8A103" w:rsidR="00BA0E08" w:rsidRPr="00F83F06" w:rsidRDefault="00BA0E08" w:rsidP="00706D0A">
      <w:r w:rsidRPr="00F83F06">
        <w:t>To obtain access to a home care package, individuals are first assessed by an independent Aged Care Assessment Team (ACAT) which determines eligibility for a package and the level of the package. Once assessed as eligible for home care, an individual can elect to opt into the National Priority System (NPS). They are then offered a home care package when one becomes available. A person’s place in the NPS is based on their date of approval and priority as assessed by an ACAT.</w:t>
      </w:r>
    </w:p>
    <w:p w14:paraId="4EC94CD0" w14:textId="4D165C76" w:rsidR="00CF79D3" w:rsidRDefault="00BA0E08" w:rsidP="007F5F9D">
      <w:r w:rsidRPr="007F5F9D">
        <w:t xml:space="preserve">The number of available home care packages continues to increase as older </w:t>
      </w:r>
      <w:r w:rsidR="008F0610">
        <w:t>people</w:t>
      </w:r>
      <w:r w:rsidRPr="007F5F9D">
        <w:t xml:space="preserve"> increasingly prefer to remain in their home for longer. A new Support at Home </w:t>
      </w:r>
      <w:r w:rsidR="007F5F9D" w:rsidRPr="007F5F9D">
        <w:t>(</w:t>
      </w:r>
      <w:proofErr w:type="spellStart"/>
      <w:r w:rsidR="007F5F9D" w:rsidRPr="007F5F9D">
        <w:t>SaH</w:t>
      </w:r>
      <w:proofErr w:type="spellEnd"/>
      <w:r w:rsidR="007F5F9D" w:rsidRPr="007F5F9D">
        <w:t>) p</w:t>
      </w:r>
      <w:r w:rsidRPr="007F5F9D">
        <w:t xml:space="preserve">rogram will commence 1 July 2025 and </w:t>
      </w:r>
      <w:r w:rsidR="00CF79D3" w:rsidRPr="007F5F9D">
        <w:t>will replace the</w:t>
      </w:r>
      <w:r w:rsidR="00B76E02" w:rsidRPr="007F5F9D">
        <w:t xml:space="preserve"> Home Care Packages (HCP)</w:t>
      </w:r>
      <w:r w:rsidR="007F5F9D" w:rsidRPr="007F5F9D">
        <w:t xml:space="preserve"> </w:t>
      </w:r>
      <w:r w:rsidR="5792575A">
        <w:t>P</w:t>
      </w:r>
      <w:r w:rsidR="007F5F9D">
        <w:t>rogram</w:t>
      </w:r>
      <w:r w:rsidR="000A62D3" w:rsidRPr="007F5F9D">
        <w:t xml:space="preserve"> and the Short-Term Restorative Care (STRC) programme.</w:t>
      </w:r>
      <w:r w:rsidR="00552B3B" w:rsidRPr="007F5F9D">
        <w:t xml:space="preserve"> </w:t>
      </w:r>
      <w:r w:rsidR="007F5F9D" w:rsidRPr="007F5F9D">
        <w:t xml:space="preserve">The new </w:t>
      </w:r>
      <w:proofErr w:type="spellStart"/>
      <w:r w:rsidR="007F5F9D" w:rsidRPr="007F5F9D">
        <w:t>SaH</w:t>
      </w:r>
      <w:proofErr w:type="spellEnd"/>
      <w:r w:rsidR="007F5F9D" w:rsidRPr="007F5F9D">
        <w:t xml:space="preserve"> program will ensure in-home aged care is simple to access and understand and gives people access to safe and high-quality services. </w:t>
      </w:r>
      <w:proofErr w:type="spellStart"/>
      <w:r w:rsidR="007F5F9D" w:rsidRPr="007F5F9D">
        <w:t>SaH</w:t>
      </w:r>
      <w:proofErr w:type="spellEnd"/>
      <w:r w:rsidR="007F5F9D" w:rsidRPr="007F5F9D">
        <w:t xml:space="preserve"> will be a more efficient and effective program that give</w:t>
      </w:r>
      <w:r w:rsidR="007F5F9D" w:rsidRPr="007F5F9D" w:rsidDel="00101484">
        <w:t>s</w:t>
      </w:r>
      <w:r w:rsidR="007F5F9D" w:rsidRPr="007F5F9D">
        <w:t xml:space="preserve"> people more choice and control in determining their services, and fair and transparent fees will fund delivery of high-quality care</w:t>
      </w:r>
      <w:r w:rsidRPr="007F5F9D">
        <w:t>.</w:t>
      </w:r>
    </w:p>
    <w:p w14:paraId="0A24FCA2" w14:textId="5338F6ED" w:rsidR="00BA0E08" w:rsidRDefault="00BA0E08" w:rsidP="000B4318">
      <w:pPr>
        <w:pStyle w:val="Heading2"/>
      </w:pPr>
      <w:bookmarkStart w:id="10" w:name="_Toc173428594"/>
      <w:r>
        <w:t>Recipients</w:t>
      </w:r>
      <w:bookmarkEnd w:id="10"/>
    </w:p>
    <w:p w14:paraId="0CDD428C" w14:textId="6DDFC975" w:rsidR="00BA0E08" w:rsidRPr="009F5020" w:rsidRDefault="00BA0E08" w:rsidP="00706D0A">
      <w:r>
        <w:fldChar w:fldCharType="begin"/>
      </w:r>
      <w:r>
        <w:instrText xml:space="preserve"> REF _Ref160716931 \h </w:instrText>
      </w:r>
      <w:r>
        <w:fldChar w:fldCharType="separate"/>
      </w:r>
      <w:r w:rsidR="001377BE" w:rsidRPr="00B71B27">
        <w:t xml:space="preserve">Table </w:t>
      </w:r>
      <w:r w:rsidR="001377BE">
        <w:rPr>
          <w:noProof/>
        </w:rPr>
        <w:t>1</w:t>
      </w:r>
      <w:r w:rsidR="001377BE">
        <w:t>.</w:t>
      </w:r>
      <w:r w:rsidR="001377BE">
        <w:rPr>
          <w:noProof/>
        </w:rPr>
        <w:t>1</w:t>
      </w:r>
      <w:r>
        <w:fldChar w:fldCharType="end"/>
      </w:r>
      <w:r>
        <w:t xml:space="preserve"> </w:t>
      </w:r>
      <w:r w:rsidRPr="009F5020">
        <w:t xml:space="preserve">shows the increase in overall home care recipient numbers for the past 5 years. </w:t>
      </w:r>
      <w:r w:rsidR="009F5020">
        <w:t>A</w:t>
      </w:r>
      <w:r w:rsidRPr="009F5020">
        <w:t>t 30 June 202</w:t>
      </w:r>
      <w:r w:rsidR="009F5020">
        <w:t>3</w:t>
      </w:r>
      <w:r w:rsidRPr="009F5020">
        <w:t>, there were 2</w:t>
      </w:r>
      <w:r w:rsidR="009F5020">
        <w:t>58,374</w:t>
      </w:r>
      <w:r w:rsidRPr="009F5020">
        <w:t xml:space="preserve"> recipients </w:t>
      </w:r>
      <w:r w:rsidR="00BC594F">
        <w:t>with</w:t>
      </w:r>
      <w:r w:rsidRPr="009F5020">
        <w:t xml:space="preserve"> a package, up from </w:t>
      </w:r>
      <w:r w:rsidR="009F5020">
        <w:t>215,</w:t>
      </w:r>
      <w:r w:rsidR="005A35CB">
        <w:t>743</w:t>
      </w:r>
      <w:r w:rsidRPr="009F5020">
        <w:t xml:space="preserve"> at 30 June 202</w:t>
      </w:r>
      <w:r w:rsidR="005A35CB">
        <w:t>2</w:t>
      </w:r>
      <w:r w:rsidRPr="009F5020">
        <w:t>. This number has more than doubled since 30 June 2019.</w:t>
      </w:r>
    </w:p>
    <w:p w14:paraId="4DABEEB8" w14:textId="71E5517A" w:rsidR="00BA0E08" w:rsidRPr="00BA0E08" w:rsidRDefault="007A2C8D" w:rsidP="00706D0A">
      <w:r>
        <w:t>At 30 June</w:t>
      </w:r>
      <w:r w:rsidR="00424A19">
        <w:t xml:space="preserve"> 2023, l</w:t>
      </w:r>
      <w:r w:rsidR="00BA0E08" w:rsidRPr="009F5020">
        <w:t>evel 2 had the highest proportion of packages allocated (4</w:t>
      </w:r>
      <w:r w:rsidR="002748A8">
        <w:t>0%</w:t>
      </w:r>
      <w:r w:rsidR="00BA0E08" w:rsidRPr="009F5020">
        <w:t>), followed by level 3 (3</w:t>
      </w:r>
      <w:r w:rsidR="00864F82">
        <w:t>4</w:t>
      </w:r>
      <w:r w:rsidR="00F87144">
        <w:t>%</w:t>
      </w:r>
      <w:r w:rsidR="00BA0E08" w:rsidRPr="009F5020">
        <w:t>), level 4 (2</w:t>
      </w:r>
      <w:r w:rsidR="00F87144">
        <w:t>1%</w:t>
      </w:r>
      <w:r w:rsidR="00BA0E08" w:rsidRPr="009F5020">
        <w:t>) and level 1 (5</w:t>
      </w:r>
      <w:r w:rsidR="00F87144">
        <w:t>%</w:t>
      </w:r>
      <w:r w:rsidR="00BA0E08" w:rsidRPr="009F5020">
        <w:t>).</w:t>
      </w:r>
    </w:p>
    <w:p w14:paraId="4A2F22B6" w14:textId="0ADCF5C3" w:rsidR="00B71B27" w:rsidRPr="00BA0E08" w:rsidRDefault="00B71B27" w:rsidP="00706D0A">
      <w:pPr>
        <w:pStyle w:val="TableTitle"/>
        <w:rPr>
          <w:lang w:eastAsia="zh-CN" w:bidi="th-TH"/>
        </w:rPr>
      </w:pPr>
      <w:bookmarkStart w:id="11" w:name="_Ref160716931"/>
      <w:bookmarkStart w:id="12" w:name="_Toc173428872"/>
      <w:r w:rsidRPr="00B71B27">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w:t>
      </w:r>
      <w:r w:rsidR="00AE19AA">
        <w:rPr>
          <w:noProof/>
        </w:rPr>
        <w:fldChar w:fldCharType="end"/>
      </w:r>
      <w:bookmarkEnd w:id="11"/>
      <w:r w:rsidRPr="00B71B27">
        <w:t xml:space="preserve">: </w:t>
      </w:r>
      <w:r w:rsidR="00BA0E08">
        <w:t>H</w:t>
      </w:r>
      <w:r w:rsidRPr="00B71B27">
        <w:t xml:space="preserve">ome </w:t>
      </w:r>
      <w:r w:rsidR="00BA0E08">
        <w:t>Care Recipients in a package at 30 June 2019 to June 2023</w:t>
      </w:r>
      <w:bookmarkEnd w:id="12"/>
    </w:p>
    <w:tbl>
      <w:tblPr>
        <w:tblStyle w:val="DepartmentofHealthtable"/>
        <w:tblW w:w="9072" w:type="dxa"/>
        <w:tblLook w:val="05A0" w:firstRow="1" w:lastRow="0" w:firstColumn="1" w:lastColumn="1" w:noHBand="0" w:noVBand="1"/>
      </w:tblPr>
      <w:tblGrid>
        <w:gridCol w:w="1989"/>
        <w:gridCol w:w="1425"/>
        <w:gridCol w:w="1427"/>
        <w:gridCol w:w="1427"/>
        <w:gridCol w:w="1427"/>
        <w:gridCol w:w="1377"/>
      </w:tblGrid>
      <w:tr w:rsidR="00BA0E08" w:rsidRPr="00727E8E" w14:paraId="1A51A377" w14:textId="77777777" w:rsidTr="00810150">
        <w:trPr>
          <w:cnfStyle w:val="100000000000" w:firstRow="1" w:lastRow="0" w:firstColumn="0" w:lastColumn="0" w:oddVBand="0" w:evenVBand="0" w:oddHBand="0" w:evenHBand="0" w:firstRowFirstColumn="0" w:firstRowLastColumn="0" w:lastRowFirstColumn="0" w:lastRowLastColumn="0"/>
          <w:trHeight w:val="298"/>
        </w:trPr>
        <w:tc>
          <w:tcPr>
            <w:tcW w:w="1989" w:type="dxa"/>
            <w:hideMark/>
          </w:tcPr>
          <w:p w14:paraId="72FD7581" w14:textId="77777777" w:rsidR="00BA0E08" w:rsidRPr="00420154" w:rsidRDefault="00BA0E08" w:rsidP="00706D0A">
            <w:pPr>
              <w:pStyle w:val="TableHeaderWhite"/>
              <w:rPr>
                <w:lang w:eastAsia="en-AU"/>
              </w:rPr>
            </w:pPr>
            <w:r w:rsidRPr="00420154">
              <w:rPr>
                <w:lang w:eastAsia="en-AU"/>
              </w:rPr>
              <w:t> </w:t>
            </w:r>
          </w:p>
        </w:tc>
        <w:tc>
          <w:tcPr>
            <w:tcW w:w="1425" w:type="dxa"/>
            <w:hideMark/>
          </w:tcPr>
          <w:p w14:paraId="0091D5EC" w14:textId="0F9ACBE4" w:rsidR="00BA0E08" w:rsidRPr="00420154" w:rsidRDefault="00BA0E08" w:rsidP="00706D0A">
            <w:pPr>
              <w:pStyle w:val="TableHeaderWhite"/>
              <w:rPr>
                <w:lang w:eastAsia="en-AU"/>
              </w:rPr>
            </w:pPr>
            <w:r w:rsidRPr="00420154">
              <w:rPr>
                <w:lang w:eastAsia="en-AU"/>
              </w:rPr>
              <w:t>30-Jun-19</w:t>
            </w:r>
          </w:p>
        </w:tc>
        <w:tc>
          <w:tcPr>
            <w:tcW w:w="1427" w:type="dxa"/>
            <w:hideMark/>
          </w:tcPr>
          <w:p w14:paraId="75C85C2E" w14:textId="4707C64F" w:rsidR="00BA0E08" w:rsidRPr="00420154" w:rsidRDefault="00BA0E08" w:rsidP="00706D0A">
            <w:pPr>
              <w:pStyle w:val="TableHeaderWhite"/>
              <w:rPr>
                <w:lang w:eastAsia="en-AU"/>
              </w:rPr>
            </w:pPr>
            <w:r w:rsidRPr="00420154">
              <w:rPr>
                <w:lang w:eastAsia="en-AU"/>
              </w:rPr>
              <w:t>30-Jun-20</w:t>
            </w:r>
          </w:p>
        </w:tc>
        <w:tc>
          <w:tcPr>
            <w:tcW w:w="1427" w:type="dxa"/>
            <w:hideMark/>
          </w:tcPr>
          <w:p w14:paraId="22853950" w14:textId="0C97242C" w:rsidR="00BA0E08" w:rsidRPr="00420154" w:rsidRDefault="00BA0E08" w:rsidP="00706D0A">
            <w:pPr>
              <w:pStyle w:val="TableHeaderWhite"/>
              <w:rPr>
                <w:lang w:eastAsia="en-AU"/>
              </w:rPr>
            </w:pPr>
            <w:r w:rsidRPr="00420154">
              <w:rPr>
                <w:lang w:eastAsia="en-AU"/>
              </w:rPr>
              <w:t>30-Jun-21</w:t>
            </w:r>
          </w:p>
        </w:tc>
        <w:tc>
          <w:tcPr>
            <w:tcW w:w="1427" w:type="dxa"/>
            <w:hideMark/>
          </w:tcPr>
          <w:p w14:paraId="6BF486F4" w14:textId="229062E5" w:rsidR="00BA0E08" w:rsidRPr="00420154" w:rsidRDefault="00BA0E08" w:rsidP="00706D0A">
            <w:pPr>
              <w:pStyle w:val="TableHeaderWhite"/>
              <w:rPr>
                <w:lang w:eastAsia="en-AU"/>
              </w:rPr>
            </w:pPr>
            <w:r w:rsidRPr="00420154">
              <w:rPr>
                <w:lang w:eastAsia="en-AU"/>
              </w:rPr>
              <w:t>30-Jun-22</w:t>
            </w:r>
          </w:p>
        </w:tc>
        <w:tc>
          <w:tcPr>
            <w:tcW w:w="1377" w:type="dxa"/>
            <w:hideMark/>
          </w:tcPr>
          <w:p w14:paraId="1EEA3721" w14:textId="7FD94BC7" w:rsidR="00BA0E08" w:rsidRPr="00420154" w:rsidRDefault="00BA0E08" w:rsidP="00706D0A">
            <w:pPr>
              <w:pStyle w:val="TableHeaderWhite"/>
              <w:rPr>
                <w:lang w:eastAsia="en-AU"/>
              </w:rPr>
            </w:pPr>
            <w:r w:rsidRPr="00420154">
              <w:rPr>
                <w:lang w:eastAsia="en-AU"/>
              </w:rPr>
              <w:t>30-Jun-23</w:t>
            </w:r>
          </w:p>
        </w:tc>
      </w:tr>
      <w:tr w:rsidR="00E7256A" w:rsidRPr="00727E8E" w14:paraId="26635EDB" w14:textId="77777777" w:rsidTr="00810150">
        <w:trPr>
          <w:trHeight w:val="313"/>
        </w:trPr>
        <w:tc>
          <w:tcPr>
            <w:tcW w:w="1989" w:type="dxa"/>
            <w:shd w:val="clear" w:color="auto" w:fill="D8DBDB" w:themeFill="background1" w:themeFillShade="E6"/>
            <w:hideMark/>
          </w:tcPr>
          <w:p w14:paraId="48F8C1BB" w14:textId="77777777" w:rsidR="00E7256A" w:rsidRPr="00420154" w:rsidRDefault="00E7256A" w:rsidP="00706D0A">
            <w:pPr>
              <w:pStyle w:val="TableParagraphbold"/>
            </w:pPr>
            <w:r w:rsidRPr="00420154">
              <w:t>Total Recipients</w:t>
            </w:r>
          </w:p>
        </w:tc>
        <w:tc>
          <w:tcPr>
            <w:tcW w:w="1425" w:type="dxa"/>
            <w:shd w:val="clear" w:color="auto" w:fill="D8DBDB" w:themeFill="background1" w:themeFillShade="E6"/>
            <w:vAlign w:val="top"/>
            <w:hideMark/>
          </w:tcPr>
          <w:p w14:paraId="0A2CF0F0" w14:textId="2B6E23C5" w:rsidR="00E7256A" w:rsidRPr="00420154" w:rsidRDefault="00E7256A" w:rsidP="00706D0A">
            <w:pPr>
              <w:pStyle w:val="TableParagraphbold"/>
            </w:pPr>
            <w:r w:rsidRPr="00420154">
              <w:t xml:space="preserve">106,707 </w:t>
            </w:r>
          </w:p>
        </w:tc>
        <w:tc>
          <w:tcPr>
            <w:tcW w:w="1427" w:type="dxa"/>
            <w:shd w:val="clear" w:color="auto" w:fill="D8DBDB" w:themeFill="background1" w:themeFillShade="E6"/>
            <w:vAlign w:val="top"/>
            <w:hideMark/>
          </w:tcPr>
          <w:p w14:paraId="7923DE08" w14:textId="477301E8" w:rsidR="00E7256A" w:rsidRPr="00420154" w:rsidRDefault="00E7256A" w:rsidP="00706D0A">
            <w:pPr>
              <w:pStyle w:val="TableParagraphbold"/>
            </w:pPr>
            <w:r w:rsidRPr="00420154">
              <w:t xml:space="preserve">142,436 </w:t>
            </w:r>
          </w:p>
        </w:tc>
        <w:tc>
          <w:tcPr>
            <w:tcW w:w="1427" w:type="dxa"/>
            <w:shd w:val="clear" w:color="auto" w:fill="D8DBDB" w:themeFill="background1" w:themeFillShade="E6"/>
            <w:vAlign w:val="top"/>
            <w:hideMark/>
          </w:tcPr>
          <w:p w14:paraId="7009D79B" w14:textId="4AACFF06" w:rsidR="00E7256A" w:rsidRPr="00420154" w:rsidRDefault="00E7256A" w:rsidP="00706D0A">
            <w:pPr>
              <w:pStyle w:val="TableParagraphbold"/>
            </w:pPr>
            <w:r w:rsidRPr="00420154">
              <w:t xml:space="preserve">176,105 </w:t>
            </w:r>
          </w:p>
        </w:tc>
        <w:tc>
          <w:tcPr>
            <w:tcW w:w="1427" w:type="dxa"/>
            <w:shd w:val="clear" w:color="auto" w:fill="D8DBDB" w:themeFill="background1" w:themeFillShade="E6"/>
            <w:vAlign w:val="top"/>
            <w:hideMark/>
          </w:tcPr>
          <w:p w14:paraId="44A15B81" w14:textId="13A693DF" w:rsidR="00E7256A" w:rsidRPr="00420154" w:rsidRDefault="00E7256A" w:rsidP="00706D0A">
            <w:pPr>
              <w:pStyle w:val="TableParagraphbold"/>
            </w:pPr>
            <w:r w:rsidRPr="00420154">
              <w:t xml:space="preserve">215,743 </w:t>
            </w:r>
          </w:p>
        </w:tc>
        <w:tc>
          <w:tcPr>
            <w:tcW w:w="1377" w:type="dxa"/>
            <w:shd w:val="clear" w:color="auto" w:fill="D8DBDB" w:themeFill="background1" w:themeFillShade="E6"/>
            <w:vAlign w:val="top"/>
            <w:hideMark/>
          </w:tcPr>
          <w:p w14:paraId="7D4049FD" w14:textId="6B2E80DA" w:rsidR="00E7256A" w:rsidRPr="00420154" w:rsidRDefault="00E7256A" w:rsidP="00706D0A">
            <w:pPr>
              <w:pStyle w:val="TableParagraphbold"/>
            </w:pPr>
            <w:r w:rsidRPr="00420154">
              <w:t xml:space="preserve">258,374 </w:t>
            </w:r>
          </w:p>
        </w:tc>
      </w:tr>
      <w:tr w:rsidR="00E7256A" w:rsidRPr="00727E8E" w14:paraId="38C229EE" w14:textId="77777777" w:rsidTr="00810150">
        <w:trPr>
          <w:trHeight w:val="313"/>
        </w:trPr>
        <w:tc>
          <w:tcPr>
            <w:tcW w:w="1989" w:type="dxa"/>
            <w:hideMark/>
          </w:tcPr>
          <w:p w14:paraId="4D3AB96C" w14:textId="77777777" w:rsidR="00E7256A" w:rsidRPr="00420154" w:rsidRDefault="00E7256A" w:rsidP="00E7256A">
            <w:pPr>
              <w:pStyle w:val="TableofAuthorities"/>
              <w:rPr>
                <w:rFonts w:cs="Arial"/>
                <w:sz w:val="20"/>
                <w:szCs w:val="20"/>
              </w:rPr>
            </w:pPr>
            <w:r w:rsidRPr="00420154">
              <w:rPr>
                <w:rFonts w:cs="Arial"/>
                <w:sz w:val="20"/>
                <w:szCs w:val="20"/>
              </w:rPr>
              <w:t>CALD Recipients</w:t>
            </w:r>
          </w:p>
        </w:tc>
        <w:tc>
          <w:tcPr>
            <w:tcW w:w="1425" w:type="dxa"/>
            <w:vAlign w:val="top"/>
            <w:hideMark/>
          </w:tcPr>
          <w:p w14:paraId="60E8311C" w14:textId="3C6E4CF1" w:rsidR="00E7256A" w:rsidRPr="00420154" w:rsidRDefault="00E7256A" w:rsidP="00E7256A">
            <w:pPr>
              <w:pStyle w:val="TableofAuthorities"/>
              <w:rPr>
                <w:rFonts w:cs="Arial"/>
                <w:sz w:val="20"/>
                <w:szCs w:val="20"/>
              </w:rPr>
            </w:pPr>
            <w:r w:rsidRPr="00420154">
              <w:rPr>
                <w:rFonts w:cs="Arial"/>
                <w:sz w:val="20"/>
                <w:szCs w:val="20"/>
              </w:rPr>
              <w:t xml:space="preserve">27,427 </w:t>
            </w:r>
          </w:p>
        </w:tc>
        <w:tc>
          <w:tcPr>
            <w:tcW w:w="1427" w:type="dxa"/>
            <w:vAlign w:val="top"/>
            <w:hideMark/>
          </w:tcPr>
          <w:p w14:paraId="46B0E6F3" w14:textId="55ACB058" w:rsidR="00E7256A" w:rsidRPr="00420154" w:rsidRDefault="00E7256A" w:rsidP="00E7256A">
            <w:pPr>
              <w:pStyle w:val="TableofAuthorities"/>
              <w:rPr>
                <w:rFonts w:cs="Arial"/>
                <w:sz w:val="20"/>
                <w:szCs w:val="20"/>
              </w:rPr>
            </w:pPr>
            <w:r w:rsidRPr="00420154">
              <w:rPr>
                <w:rFonts w:cs="Arial"/>
                <w:sz w:val="20"/>
                <w:szCs w:val="20"/>
              </w:rPr>
              <w:t xml:space="preserve">38,740 </w:t>
            </w:r>
          </w:p>
        </w:tc>
        <w:tc>
          <w:tcPr>
            <w:tcW w:w="1427" w:type="dxa"/>
            <w:vAlign w:val="top"/>
            <w:hideMark/>
          </w:tcPr>
          <w:p w14:paraId="0B98C1B6" w14:textId="64354398" w:rsidR="00E7256A" w:rsidRPr="00420154" w:rsidRDefault="00E7256A" w:rsidP="00E7256A">
            <w:pPr>
              <w:pStyle w:val="TableofAuthorities"/>
              <w:rPr>
                <w:rFonts w:cs="Arial"/>
                <w:sz w:val="20"/>
                <w:szCs w:val="20"/>
              </w:rPr>
            </w:pPr>
            <w:r w:rsidRPr="00420154">
              <w:rPr>
                <w:rFonts w:cs="Arial"/>
                <w:sz w:val="20"/>
                <w:szCs w:val="20"/>
              </w:rPr>
              <w:t xml:space="preserve">50,767 </w:t>
            </w:r>
          </w:p>
        </w:tc>
        <w:tc>
          <w:tcPr>
            <w:tcW w:w="1427" w:type="dxa"/>
            <w:vAlign w:val="top"/>
            <w:hideMark/>
          </w:tcPr>
          <w:p w14:paraId="7E4C16E4" w14:textId="3ED5E19F" w:rsidR="00E7256A" w:rsidRPr="00420154" w:rsidRDefault="00E7256A" w:rsidP="00E7256A">
            <w:pPr>
              <w:pStyle w:val="TableofAuthorities"/>
              <w:rPr>
                <w:rFonts w:cs="Arial"/>
                <w:sz w:val="20"/>
                <w:szCs w:val="20"/>
              </w:rPr>
            </w:pPr>
            <w:r w:rsidRPr="00420154">
              <w:rPr>
                <w:rFonts w:cs="Arial"/>
                <w:sz w:val="20"/>
                <w:szCs w:val="20"/>
              </w:rPr>
              <w:t xml:space="preserve">64,192 </w:t>
            </w:r>
          </w:p>
        </w:tc>
        <w:tc>
          <w:tcPr>
            <w:tcW w:w="1377" w:type="dxa"/>
            <w:vAlign w:val="top"/>
            <w:hideMark/>
          </w:tcPr>
          <w:p w14:paraId="48171660" w14:textId="03CAF7A8" w:rsidR="00E7256A" w:rsidRPr="00420154" w:rsidRDefault="00E7256A" w:rsidP="00E7256A">
            <w:pPr>
              <w:pStyle w:val="TableofAuthorities"/>
              <w:rPr>
                <w:rFonts w:cs="Arial"/>
                <w:sz w:val="20"/>
                <w:szCs w:val="20"/>
              </w:rPr>
            </w:pPr>
            <w:r w:rsidRPr="00420154">
              <w:rPr>
                <w:rFonts w:cs="Arial"/>
                <w:sz w:val="20"/>
                <w:szCs w:val="20"/>
              </w:rPr>
              <w:t xml:space="preserve">78,536 </w:t>
            </w:r>
          </w:p>
        </w:tc>
      </w:tr>
      <w:tr w:rsidR="00E7256A" w:rsidRPr="00727E8E" w14:paraId="6EC628A4" w14:textId="77777777" w:rsidTr="00810150">
        <w:trPr>
          <w:trHeight w:val="293"/>
        </w:trPr>
        <w:tc>
          <w:tcPr>
            <w:tcW w:w="1989" w:type="dxa"/>
            <w:hideMark/>
          </w:tcPr>
          <w:p w14:paraId="0BCF6D20" w14:textId="65EC36E9" w:rsidR="00E7256A" w:rsidRPr="00420154" w:rsidRDefault="00E7256A" w:rsidP="00E7256A">
            <w:pPr>
              <w:pStyle w:val="TableofAuthorities"/>
              <w:rPr>
                <w:rFonts w:cs="Arial"/>
                <w:sz w:val="20"/>
                <w:szCs w:val="20"/>
              </w:rPr>
            </w:pPr>
            <w:r w:rsidRPr="00420154">
              <w:rPr>
                <w:rFonts w:cs="Arial"/>
                <w:sz w:val="20"/>
                <w:szCs w:val="20"/>
              </w:rPr>
              <w:t xml:space="preserve">First Nations </w:t>
            </w:r>
            <w:r w:rsidR="00212FCA">
              <w:rPr>
                <w:rFonts w:cs="Arial"/>
                <w:sz w:val="20"/>
                <w:szCs w:val="20"/>
              </w:rPr>
              <w:t>people</w:t>
            </w:r>
            <w:r w:rsidR="00212FCA" w:rsidRPr="00420154">
              <w:rPr>
                <w:rFonts w:cs="Arial"/>
                <w:sz w:val="20"/>
                <w:szCs w:val="20"/>
              </w:rPr>
              <w:t xml:space="preserve"> </w:t>
            </w:r>
          </w:p>
        </w:tc>
        <w:tc>
          <w:tcPr>
            <w:tcW w:w="1425" w:type="dxa"/>
            <w:vAlign w:val="top"/>
            <w:hideMark/>
          </w:tcPr>
          <w:p w14:paraId="2F9A1A0D" w14:textId="349FC777" w:rsidR="00E7256A" w:rsidRPr="00420154" w:rsidRDefault="00E7256A" w:rsidP="00E7256A">
            <w:pPr>
              <w:pStyle w:val="TableofAuthorities"/>
              <w:rPr>
                <w:rFonts w:cs="Arial"/>
                <w:sz w:val="20"/>
                <w:szCs w:val="20"/>
              </w:rPr>
            </w:pPr>
            <w:r w:rsidRPr="00420154">
              <w:rPr>
                <w:rFonts w:cs="Arial"/>
                <w:sz w:val="20"/>
                <w:szCs w:val="20"/>
              </w:rPr>
              <w:t xml:space="preserve">3,280 </w:t>
            </w:r>
          </w:p>
        </w:tc>
        <w:tc>
          <w:tcPr>
            <w:tcW w:w="1427" w:type="dxa"/>
            <w:vAlign w:val="top"/>
            <w:hideMark/>
          </w:tcPr>
          <w:p w14:paraId="45E62BC1" w14:textId="43A4552D" w:rsidR="00E7256A" w:rsidRPr="00420154" w:rsidRDefault="00E7256A" w:rsidP="00E7256A">
            <w:pPr>
              <w:pStyle w:val="TableofAuthorities"/>
              <w:rPr>
                <w:rFonts w:cs="Arial"/>
                <w:sz w:val="20"/>
                <w:szCs w:val="20"/>
              </w:rPr>
            </w:pPr>
            <w:r w:rsidRPr="00420154">
              <w:rPr>
                <w:rFonts w:cs="Arial"/>
                <w:sz w:val="20"/>
                <w:szCs w:val="20"/>
              </w:rPr>
              <w:t xml:space="preserve">3,417 </w:t>
            </w:r>
          </w:p>
        </w:tc>
        <w:tc>
          <w:tcPr>
            <w:tcW w:w="1427" w:type="dxa"/>
            <w:vAlign w:val="top"/>
            <w:hideMark/>
          </w:tcPr>
          <w:p w14:paraId="2A296C72" w14:textId="344D6F51" w:rsidR="00E7256A" w:rsidRPr="00420154" w:rsidRDefault="00E7256A" w:rsidP="00E7256A">
            <w:pPr>
              <w:pStyle w:val="TableofAuthorities"/>
              <w:rPr>
                <w:rFonts w:cs="Arial"/>
                <w:sz w:val="20"/>
                <w:szCs w:val="20"/>
              </w:rPr>
            </w:pPr>
            <w:r w:rsidRPr="00420154">
              <w:rPr>
                <w:rFonts w:cs="Arial"/>
                <w:sz w:val="20"/>
                <w:szCs w:val="20"/>
              </w:rPr>
              <w:t xml:space="preserve">3,734 </w:t>
            </w:r>
          </w:p>
        </w:tc>
        <w:tc>
          <w:tcPr>
            <w:tcW w:w="1427" w:type="dxa"/>
            <w:vAlign w:val="top"/>
            <w:hideMark/>
          </w:tcPr>
          <w:p w14:paraId="12322962" w14:textId="33A66754" w:rsidR="00E7256A" w:rsidRPr="00420154" w:rsidRDefault="00E7256A" w:rsidP="00E7256A">
            <w:pPr>
              <w:pStyle w:val="TableofAuthorities"/>
              <w:rPr>
                <w:rFonts w:cs="Arial"/>
                <w:sz w:val="20"/>
                <w:szCs w:val="20"/>
              </w:rPr>
            </w:pPr>
            <w:r w:rsidRPr="00420154">
              <w:rPr>
                <w:rFonts w:cs="Arial"/>
                <w:sz w:val="20"/>
                <w:szCs w:val="20"/>
              </w:rPr>
              <w:t xml:space="preserve">5,773 </w:t>
            </w:r>
          </w:p>
        </w:tc>
        <w:tc>
          <w:tcPr>
            <w:tcW w:w="1377" w:type="dxa"/>
            <w:vAlign w:val="top"/>
            <w:hideMark/>
          </w:tcPr>
          <w:p w14:paraId="296A5185" w14:textId="77292C14" w:rsidR="00E7256A" w:rsidRPr="00420154" w:rsidRDefault="00E7256A" w:rsidP="00E7256A">
            <w:pPr>
              <w:pStyle w:val="TableofAuthorities"/>
              <w:rPr>
                <w:rFonts w:cs="Arial"/>
                <w:sz w:val="20"/>
                <w:szCs w:val="20"/>
              </w:rPr>
            </w:pPr>
            <w:r w:rsidRPr="00420154">
              <w:rPr>
                <w:rFonts w:cs="Arial"/>
                <w:sz w:val="20"/>
                <w:szCs w:val="20"/>
              </w:rPr>
              <w:t xml:space="preserve">7,879 </w:t>
            </w:r>
          </w:p>
        </w:tc>
      </w:tr>
      <w:tr w:rsidR="00E7256A" w:rsidRPr="00727E8E" w14:paraId="67C6566F" w14:textId="77777777" w:rsidTr="00810150">
        <w:trPr>
          <w:trHeight w:val="313"/>
        </w:trPr>
        <w:tc>
          <w:tcPr>
            <w:tcW w:w="1989" w:type="dxa"/>
            <w:shd w:val="clear" w:color="auto" w:fill="D8DBDB" w:themeFill="background1" w:themeFillShade="E6"/>
            <w:hideMark/>
          </w:tcPr>
          <w:p w14:paraId="431206CD" w14:textId="77777777" w:rsidR="00E7256A" w:rsidRPr="00420154" w:rsidRDefault="00E7256A" w:rsidP="00706D0A">
            <w:pPr>
              <w:pStyle w:val="TableParagraphbold"/>
            </w:pPr>
            <w:r w:rsidRPr="00420154">
              <w:t>By Level</w:t>
            </w:r>
          </w:p>
        </w:tc>
        <w:tc>
          <w:tcPr>
            <w:tcW w:w="1425" w:type="dxa"/>
            <w:shd w:val="clear" w:color="auto" w:fill="D8DBDB" w:themeFill="background1" w:themeFillShade="E6"/>
            <w:vAlign w:val="top"/>
            <w:hideMark/>
          </w:tcPr>
          <w:p w14:paraId="259BBD9E" w14:textId="018CE871" w:rsidR="00E7256A" w:rsidRPr="00420154" w:rsidRDefault="00E7256A" w:rsidP="00706D0A">
            <w:pPr>
              <w:pStyle w:val="TableParagraphbold"/>
            </w:pPr>
          </w:p>
        </w:tc>
        <w:tc>
          <w:tcPr>
            <w:tcW w:w="1427" w:type="dxa"/>
            <w:shd w:val="clear" w:color="auto" w:fill="D8DBDB" w:themeFill="background1" w:themeFillShade="E6"/>
            <w:vAlign w:val="top"/>
            <w:hideMark/>
          </w:tcPr>
          <w:p w14:paraId="62C61363" w14:textId="15BDDD31" w:rsidR="00E7256A" w:rsidRPr="00420154" w:rsidRDefault="00E7256A" w:rsidP="00706D0A">
            <w:pPr>
              <w:pStyle w:val="TableParagraphbold"/>
            </w:pPr>
          </w:p>
        </w:tc>
        <w:tc>
          <w:tcPr>
            <w:tcW w:w="1427" w:type="dxa"/>
            <w:shd w:val="clear" w:color="auto" w:fill="D8DBDB" w:themeFill="background1" w:themeFillShade="E6"/>
            <w:vAlign w:val="top"/>
            <w:hideMark/>
          </w:tcPr>
          <w:p w14:paraId="63E2B79F" w14:textId="2FDB65BD" w:rsidR="00E7256A" w:rsidRPr="00420154" w:rsidRDefault="00E7256A" w:rsidP="00706D0A">
            <w:pPr>
              <w:pStyle w:val="TableParagraphbold"/>
            </w:pPr>
          </w:p>
        </w:tc>
        <w:tc>
          <w:tcPr>
            <w:tcW w:w="1427" w:type="dxa"/>
            <w:shd w:val="clear" w:color="auto" w:fill="D8DBDB" w:themeFill="background1" w:themeFillShade="E6"/>
            <w:vAlign w:val="top"/>
            <w:hideMark/>
          </w:tcPr>
          <w:p w14:paraId="0BAB35DE" w14:textId="0EDAC6D6" w:rsidR="00E7256A" w:rsidRPr="00420154" w:rsidRDefault="00E7256A" w:rsidP="00706D0A">
            <w:pPr>
              <w:pStyle w:val="TableParagraphbold"/>
            </w:pPr>
          </w:p>
        </w:tc>
        <w:tc>
          <w:tcPr>
            <w:tcW w:w="1377" w:type="dxa"/>
            <w:shd w:val="clear" w:color="auto" w:fill="D8DBDB" w:themeFill="background1" w:themeFillShade="E6"/>
            <w:vAlign w:val="top"/>
            <w:hideMark/>
          </w:tcPr>
          <w:p w14:paraId="423E36BA" w14:textId="7A0AC04A" w:rsidR="00E7256A" w:rsidRPr="00420154" w:rsidRDefault="00E7256A" w:rsidP="00706D0A">
            <w:pPr>
              <w:pStyle w:val="TableParagraphbold"/>
            </w:pPr>
          </w:p>
        </w:tc>
      </w:tr>
      <w:tr w:rsidR="00E7256A" w:rsidRPr="00727E8E" w14:paraId="47E2F805" w14:textId="77777777" w:rsidTr="00810150">
        <w:trPr>
          <w:trHeight w:val="313"/>
        </w:trPr>
        <w:tc>
          <w:tcPr>
            <w:tcW w:w="1989" w:type="dxa"/>
            <w:hideMark/>
          </w:tcPr>
          <w:p w14:paraId="3EEECA7F" w14:textId="77777777" w:rsidR="00E7256A" w:rsidRPr="00420154" w:rsidRDefault="00E7256A" w:rsidP="00E7256A">
            <w:pPr>
              <w:pStyle w:val="TableofAuthorities"/>
              <w:rPr>
                <w:rFonts w:cs="Arial"/>
                <w:sz w:val="20"/>
                <w:szCs w:val="20"/>
              </w:rPr>
            </w:pPr>
            <w:r w:rsidRPr="00420154">
              <w:rPr>
                <w:rFonts w:cs="Arial"/>
                <w:sz w:val="20"/>
                <w:szCs w:val="20"/>
              </w:rPr>
              <w:t>Level 1</w:t>
            </w:r>
          </w:p>
        </w:tc>
        <w:tc>
          <w:tcPr>
            <w:tcW w:w="1425" w:type="dxa"/>
            <w:vAlign w:val="top"/>
            <w:hideMark/>
          </w:tcPr>
          <w:p w14:paraId="69DB52BC" w14:textId="0852C9E1" w:rsidR="00E7256A" w:rsidRPr="00420154" w:rsidRDefault="00E7256A" w:rsidP="00E7256A">
            <w:pPr>
              <w:pStyle w:val="TableofAuthorities"/>
              <w:rPr>
                <w:rFonts w:cs="Arial"/>
                <w:sz w:val="20"/>
                <w:szCs w:val="20"/>
              </w:rPr>
            </w:pPr>
            <w:r w:rsidRPr="00420154">
              <w:rPr>
                <w:rFonts w:cs="Arial"/>
                <w:sz w:val="20"/>
                <w:szCs w:val="20"/>
              </w:rPr>
              <w:t xml:space="preserve">8,516 </w:t>
            </w:r>
          </w:p>
        </w:tc>
        <w:tc>
          <w:tcPr>
            <w:tcW w:w="1427" w:type="dxa"/>
            <w:vAlign w:val="top"/>
            <w:hideMark/>
          </w:tcPr>
          <w:p w14:paraId="1E01E604" w14:textId="7E389424" w:rsidR="00E7256A" w:rsidRPr="00420154" w:rsidRDefault="00E7256A" w:rsidP="00E7256A">
            <w:pPr>
              <w:pStyle w:val="TableofAuthorities"/>
              <w:rPr>
                <w:rFonts w:cs="Arial"/>
                <w:sz w:val="20"/>
                <w:szCs w:val="20"/>
              </w:rPr>
            </w:pPr>
            <w:r w:rsidRPr="00420154">
              <w:rPr>
                <w:rFonts w:cs="Arial"/>
                <w:sz w:val="20"/>
                <w:szCs w:val="20"/>
              </w:rPr>
              <w:t xml:space="preserve">16,418 </w:t>
            </w:r>
          </w:p>
        </w:tc>
        <w:tc>
          <w:tcPr>
            <w:tcW w:w="1427" w:type="dxa"/>
            <w:vAlign w:val="top"/>
            <w:hideMark/>
          </w:tcPr>
          <w:p w14:paraId="49E1FAA0" w14:textId="742D26AA" w:rsidR="00E7256A" w:rsidRPr="00420154" w:rsidRDefault="00E7256A" w:rsidP="00E7256A">
            <w:pPr>
              <w:pStyle w:val="TableofAuthorities"/>
              <w:rPr>
                <w:rFonts w:cs="Arial"/>
                <w:sz w:val="20"/>
                <w:szCs w:val="20"/>
              </w:rPr>
            </w:pPr>
            <w:r w:rsidRPr="00420154">
              <w:rPr>
                <w:rFonts w:cs="Arial"/>
                <w:sz w:val="20"/>
                <w:szCs w:val="20"/>
              </w:rPr>
              <w:t xml:space="preserve">17,405 </w:t>
            </w:r>
          </w:p>
        </w:tc>
        <w:tc>
          <w:tcPr>
            <w:tcW w:w="1427" w:type="dxa"/>
            <w:vAlign w:val="top"/>
            <w:hideMark/>
          </w:tcPr>
          <w:p w14:paraId="7D58976D" w14:textId="11F938D8" w:rsidR="00E7256A" w:rsidRPr="00420154" w:rsidRDefault="00E7256A" w:rsidP="00E7256A">
            <w:pPr>
              <w:pStyle w:val="TableofAuthorities"/>
              <w:rPr>
                <w:rFonts w:cs="Arial"/>
                <w:sz w:val="20"/>
                <w:szCs w:val="20"/>
              </w:rPr>
            </w:pPr>
            <w:r w:rsidRPr="00420154">
              <w:rPr>
                <w:rFonts w:cs="Arial"/>
                <w:sz w:val="20"/>
                <w:szCs w:val="20"/>
              </w:rPr>
              <w:t xml:space="preserve">11,677 </w:t>
            </w:r>
          </w:p>
        </w:tc>
        <w:tc>
          <w:tcPr>
            <w:tcW w:w="1377" w:type="dxa"/>
            <w:vAlign w:val="top"/>
            <w:hideMark/>
          </w:tcPr>
          <w:p w14:paraId="4AB61F7E" w14:textId="0D047E23" w:rsidR="00E7256A" w:rsidRPr="00420154" w:rsidRDefault="00E7256A" w:rsidP="00E7256A">
            <w:pPr>
              <w:pStyle w:val="TableofAuthorities"/>
              <w:rPr>
                <w:rFonts w:cs="Arial"/>
                <w:sz w:val="20"/>
                <w:szCs w:val="20"/>
              </w:rPr>
            </w:pPr>
            <w:r w:rsidRPr="00420154">
              <w:rPr>
                <w:rFonts w:cs="Arial"/>
                <w:sz w:val="20"/>
                <w:szCs w:val="20"/>
              </w:rPr>
              <w:t xml:space="preserve">13,439 </w:t>
            </w:r>
          </w:p>
        </w:tc>
      </w:tr>
      <w:tr w:rsidR="00E7256A" w:rsidRPr="00727E8E" w14:paraId="723E120D" w14:textId="77777777" w:rsidTr="00810150">
        <w:trPr>
          <w:trHeight w:val="313"/>
        </w:trPr>
        <w:tc>
          <w:tcPr>
            <w:tcW w:w="1989" w:type="dxa"/>
            <w:hideMark/>
          </w:tcPr>
          <w:p w14:paraId="6951AA16" w14:textId="77777777" w:rsidR="00E7256A" w:rsidRPr="00420154" w:rsidRDefault="00E7256A" w:rsidP="00E7256A">
            <w:pPr>
              <w:pStyle w:val="TableofAuthorities"/>
              <w:rPr>
                <w:rFonts w:cs="Arial"/>
                <w:sz w:val="20"/>
                <w:szCs w:val="20"/>
              </w:rPr>
            </w:pPr>
            <w:r w:rsidRPr="00420154">
              <w:rPr>
                <w:rFonts w:cs="Arial"/>
                <w:sz w:val="20"/>
                <w:szCs w:val="20"/>
              </w:rPr>
              <w:t>Level 2</w:t>
            </w:r>
          </w:p>
        </w:tc>
        <w:tc>
          <w:tcPr>
            <w:tcW w:w="1425" w:type="dxa"/>
            <w:vAlign w:val="top"/>
            <w:hideMark/>
          </w:tcPr>
          <w:p w14:paraId="7CF6F8C3" w14:textId="270EF618" w:rsidR="00E7256A" w:rsidRPr="00420154" w:rsidRDefault="00E7256A" w:rsidP="00E7256A">
            <w:pPr>
              <w:pStyle w:val="TableofAuthorities"/>
              <w:rPr>
                <w:rFonts w:cs="Arial"/>
                <w:sz w:val="20"/>
                <w:szCs w:val="20"/>
              </w:rPr>
            </w:pPr>
            <w:r w:rsidRPr="00420154">
              <w:rPr>
                <w:rFonts w:cs="Arial"/>
                <w:sz w:val="20"/>
                <w:szCs w:val="20"/>
              </w:rPr>
              <w:t xml:space="preserve">47,734 </w:t>
            </w:r>
          </w:p>
        </w:tc>
        <w:tc>
          <w:tcPr>
            <w:tcW w:w="1427" w:type="dxa"/>
            <w:vAlign w:val="top"/>
            <w:hideMark/>
          </w:tcPr>
          <w:p w14:paraId="29B24AD3" w14:textId="1EB8BCCA" w:rsidR="00E7256A" w:rsidRPr="00420154" w:rsidRDefault="00E7256A" w:rsidP="00E7256A">
            <w:pPr>
              <w:pStyle w:val="TableofAuthorities"/>
              <w:rPr>
                <w:rFonts w:cs="Arial"/>
                <w:sz w:val="20"/>
                <w:szCs w:val="20"/>
              </w:rPr>
            </w:pPr>
            <w:r w:rsidRPr="00420154">
              <w:rPr>
                <w:rFonts w:cs="Arial"/>
                <w:sz w:val="20"/>
                <w:szCs w:val="20"/>
              </w:rPr>
              <w:t xml:space="preserve">58,842 </w:t>
            </w:r>
          </w:p>
        </w:tc>
        <w:tc>
          <w:tcPr>
            <w:tcW w:w="1427" w:type="dxa"/>
            <w:vAlign w:val="top"/>
            <w:hideMark/>
          </w:tcPr>
          <w:p w14:paraId="37ED4F67" w14:textId="22E9E125" w:rsidR="00E7256A" w:rsidRPr="00420154" w:rsidRDefault="00E7256A" w:rsidP="00E7256A">
            <w:pPr>
              <w:pStyle w:val="TableofAuthorities"/>
              <w:rPr>
                <w:rFonts w:cs="Arial"/>
                <w:sz w:val="20"/>
                <w:szCs w:val="20"/>
              </w:rPr>
            </w:pPr>
            <w:r w:rsidRPr="00420154">
              <w:rPr>
                <w:rFonts w:cs="Arial"/>
                <w:sz w:val="20"/>
                <w:szCs w:val="20"/>
              </w:rPr>
              <w:t xml:space="preserve">71,020 </w:t>
            </w:r>
          </w:p>
        </w:tc>
        <w:tc>
          <w:tcPr>
            <w:tcW w:w="1427" w:type="dxa"/>
            <w:vAlign w:val="top"/>
            <w:hideMark/>
          </w:tcPr>
          <w:p w14:paraId="260BF896" w14:textId="1BCE6082" w:rsidR="00E7256A" w:rsidRPr="00420154" w:rsidRDefault="00E7256A" w:rsidP="00E7256A">
            <w:pPr>
              <w:pStyle w:val="TableofAuthorities"/>
              <w:rPr>
                <w:rFonts w:cs="Arial"/>
                <w:sz w:val="20"/>
                <w:szCs w:val="20"/>
              </w:rPr>
            </w:pPr>
            <w:r w:rsidRPr="00420154">
              <w:rPr>
                <w:rFonts w:cs="Arial"/>
                <w:sz w:val="20"/>
                <w:szCs w:val="20"/>
              </w:rPr>
              <w:t xml:space="preserve">88,993 </w:t>
            </w:r>
          </w:p>
        </w:tc>
        <w:tc>
          <w:tcPr>
            <w:tcW w:w="1377" w:type="dxa"/>
            <w:vAlign w:val="top"/>
            <w:hideMark/>
          </w:tcPr>
          <w:p w14:paraId="344C67FD" w14:textId="1119CF99" w:rsidR="00E7256A" w:rsidRPr="00420154" w:rsidRDefault="00E7256A" w:rsidP="00E7256A">
            <w:pPr>
              <w:pStyle w:val="TableofAuthorities"/>
              <w:rPr>
                <w:rFonts w:cs="Arial"/>
                <w:sz w:val="20"/>
                <w:szCs w:val="20"/>
              </w:rPr>
            </w:pPr>
            <w:r w:rsidRPr="00420154">
              <w:rPr>
                <w:rFonts w:cs="Arial"/>
                <w:sz w:val="20"/>
                <w:szCs w:val="20"/>
              </w:rPr>
              <w:t xml:space="preserve">103,676 </w:t>
            </w:r>
          </w:p>
        </w:tc>
      </w:tr>
      <w:tr w:rsidR="00E7256A" w:rsidRPr="00727E8E" w14:paraId="0569D085" w14:textId="77777777" w:rsidTr="00810150">
        <w:trPr>
          <w:trHeight w:val="313"/>
        </w:trPr>
        <w:tc>
          <w:tcPr>
            <w:tcW w:w="1989" w:type="dxa"/>
            <w:hideMark/>
          </w:tcPr>
          <w:p w14:paraId="52475EF4" w14:textId="77777777" w:rsidR="00E7256A" w:rsidRPr="00420154" w:rsidRDefault="00E7256A" w:rsidP="00E7256A">
            <w:pPr>
              <w:pStyle w:val="TableofAuthorities"/>
              <w:rPr>
                <w:rFonts w:cs="Arial"/>
                <w:sz w:val="20"/>
                <w:szCs w:val="20"/>
              </w:rPr>
            </w:pPr>
            <w:r w:rsidRPr="00420154">
              <w:rPr>
                <w:rFonts w:cs="Arial"/>
                <w:sz w:val="20"/>
                <w:szCs w:val="20"/>
              </w:rPr>
              <w:t>Level 3</w:t>
            </w:r>
          </w:p>
        </w:tc>
        <w:tc>
          <w:tcPr>
            <w:tcW w:w="1425" w:type="dxa"/>
            <w:vAlign w:val="top"/>
            <w:hideMark/>
          </w:tcPr>
          <w:p w14:paraId="17129594" w14:textId="2EC060D1" w:rsidR="00E7256A" w:rsidRPr="00420154" w:rsidRDefault="00E7256A" w:rsidP="00E7256A">
            <w:pPr>
              <w:pStyle w:val="TableofAuthorities"/>
              <w:rPr>
                <w:rFonts w:cs="Arial"/>
                <w:sz w:val="20"/>
                <w:szCs w:val="20"/>
              </w:rPr>
            </w:pPr>
            <w:r w:rsidRPr="00420154">
              <w:rPr>
                <w:rFonts w:cs="Arial"/>
                <w:sz w:val="20"/>
                <w:szCs w:val="20"/>
              </w:rPr>
              <w:t xml:space="preserve">20,193 </w:t>
            </w:r>
          </w:p>
        </w:tc>
        <w:tc>
          <w:tcPr>
            <w:tcW w:w="1427" w:type="dxa"/>
            <w:vAlign w:val="top"/>
            <w:hideMark/>
          </w:tcPr>
          <w:p w14:paraId="3F010790" w14:textId="653847BA" w:rsidR="00E7256A" w:rsidRPr="00420154" w:rsidRDefault="00E7256A" w:rsidP="00E7256A">
            <w:pPr>
              <w:pStyle w:val="TableofAuthorities"/>
              <w:rPr>
                <w:rFonts w:cs="Arial"/>
                <w:sz w:val="20"/>
                <w:szCs w:val="20"/>
              </w:rPr>
            </w:pPr>
            <w:r w:rsidRPr="00420154">
              <w:rPr>
                <w:rFonts w:cs="Arial"/>
                <w:sz w:val="20"/>
                <w:szCs w:val="20"/>
              </w:rPr>
              <w:t xml:space="preserve">29,336 </w:t>
            </w:r>
          </w:p>
        </w:tc>
        <w:tc>
          <w:tcPr>
            <w:tcW w:w="1427" w:type="dxa"/>
            <w:vAlign w:val="top"/>
            <w:hideMark/>
          </w:tcPr>
          <w:p w14:paraId="258BED04" w14:textId="043D5335" w:rsidR="00E7256A" w:rsidRPr="00420154" w:rsidRDefault="00E7256A" w:rsidP="00E7256A">
            <w:pPr>
              <w:pStyle w:val="TableofAuthorities"/>
              <w:rPr>
                <w:rFonts w:cs="Arial"/>
                <w:sz w:val="20"/>
                <w:szCs w:val="20"/>
              </w:rPr>
            </w:pPr>
            <w:r w:rsidRPr="00420154">
              <w:rPr>
                <w:rFonts w:cs="Arial"/>
                <w:sz w:val="20"/>
                <w:szCs w:val="20"/>
              </w:rPr>
              <w:t xml:space="preserve">45,603 </w:t>
            </w:r>
          </w:p>
        </w:tc>
        <w:tc>
          <w:tcPr>
            <w:tcW w:w="1427" w:type="dxa"/>
            <w:vAlign w:val="top"/>
            <w:hideMark/>
          </w:tcPr>
          <w:p w14:paraId="041073CB" w14:textId="08904091" w:rsidR="00E7256A" w:rsidRPr="00420154" w:rsidRDefault="00E7256A" w:rsidP="00E7256A">
            <w:pPr>
              <w:pStyle w:val="TableofAuthorities"/>
              <w:rPr>
                <w:rFonts w:cs="Arial"/>
                <w:sz w:val="20"/>
                <w:szCs w:val="20"/>
              </w:rPr>
            </w:pPr>
            <w:r w:rsidRPr="00420154">
              <w:rPr>
                <w:rFonts w:cs="Arial"/>
                <w:sz w:val="20"/>
                <w:szCs w:val="20"/>
              </w:rPr>
              <w:t xml:space="preserve">67,053 </w:t>
            </w:r>
          </w:p>
        </w:tc>
        <w:tc>
          <w:tcPr>
            <w:tcW w:w="1377" w:type="dxa"/>
            <w:vAlign w:val="top"/>
            <w:hideMark/>
          </w:tcPr>
          <w:p w14:paraId="0636F536" w14:textId="0CE92EA5" w:rsidR="00E7256A" w:rsidRPr="00420154" w:rsidRDefault="00E7256A" w:rsidP="00E7256A">
            <w:pPr>
              <w:pStyle w:val="TableofAuthorities"/>
              <w:rPr>
                <w:rFonts w:cs="Arial"/>
                <w:sz w:val="20"/>
                <w:szCs w:val="20"/>
              </w:rPr>
            </w:pPr>
            <w:r w:rsidRPr="00420154">
              <w:rPr>
                <w:rFonts w:cs="Arial"/>
                <w:sz w:val="20"/>
                <w:szCs w:val="20"/>
              </w:rPr>
              <w:t xml:space="preserve">87,447 </w:t>
            </w:r>
          </w:p>
        </w:tc>
      </w:tr>
      <w:tr w:rsidR="00E7256A" w:rsidRPr="00727E8E" w14:paraId="22390DB6" w14:textId="77777777" w:rsidTr="00810150">
        <w:trPr>
          <w:trHeight w:val="313"/>
        </w:trPr>
        <w:tc>
          <w:tcPr>
            <w:tcW w:w="1989" w:type="dxa"/>
            <w:hideMark/>
          </w:tcPr>
          <w:p w14:paraId="47711EC3" w14:textId="77777777" w:rsidR="00E7256A" w:rsidRPr="00420154" w:rsidRDefault="00E7256A" w:rsidP="00E7256A">
            <w:pPr>
              <w:pStyle w:val="TableofAuthorities"/>
              <w:rPr>
                <w:rFonts w:cs="Arial"/>
                <w:sz w:val="20"/>
                <w:szCs w:val="20"/>
              </w:rPr>
            </w:pPr>
            <w:r w:rsidRPr="00420154">
              <w:rPr>
                <w:rFonts w:cs="Arial"/>
                <w:sz w:val="20"/>
                <w:szCs w:val="20"/>
              </w:rPr>
              <w:t>Level 4</w:t>
            </w:r>
          </w:p>
        </w:tc>
        <w:tc>
          <w:tcPr>
            <w:tcW w:w="1425" w:type="dxa"/>
            <w:vAlign w:val="top"/>
            <w:hideMark/>
          </w:tcPr>
          <w:p w14:paraId="59B5EB44" w14:textId="2036C555" w:rsidR="00E7256A" w:rsidRPr="00420154" w:rsidRDefault="00E7256A" w:rsidP="00E7256A">
            <w:pPr>
              <w:pStyle w:val="TableofAuthorities"/>
              <w:rPr>
                <w:rFonts w:cs="Arial"/>
                <w:sz w:val="20"/>
                <w:szCs w:val="20"/>
              </w:rPr>
            </w:pPr>
            <w:r w:rsidRPr="00420154">
              <w:rPr>
                <w:rFonts w:cs="Arial"/>
                <w:sz w:val="20"/>
                <w:szCs w:val="20"/>
              </w:rPr>
              <w:t xml:space="preserve">30,264 </w:t>
            </w:r>
          </w:p>
        </w:tc>
        <w:tc>
          <w:tcPr>
            <w:tcW w:w="1427" w:type="dxa"/>
            <w:vAlign w:val="top"/>
            <w:hideMark/>
          </w:tcPr>
          <w:p w14:paraId="330F7409" w14:textId="71D995AA" w:rsidR="00E7256A" w:rsidRPr="00420154" w:rsidRDefault="00E7256A" w:rsidP="00E7256A">
            <w:pPr>
              <w:pStyle w:val="TableofAuthorities"/>
              <w:rPr>
                <w:rFonts w:cs="Arial"/>
                <w:sz w:val="20"/>
                <w:szCs w:val="20"/>
              </w:rPr>
            </w:pPr>
            <w:r w:rsidRPr="00420154">
              <w:rPr>
                <w:rFonts w:cs="Arial"/>
                <w:sz w:val="20"/>
                <w:szCs w:val="20"/>
              </w:rPr>
              <w:t xml:space="preserve">37,840 </w:t>
            </w:r>
          </w:p>
        </w:tc>
        <w:tc>
          <w:tcPr>
            <w:tcW w:w="1427" w:type="dxa"/>
            <w:vAlign w:val="top"/>
            <w:hideMark/>
          </w:tcPr>
          <w:p w14:paraId="72E3390F" w14:textId="5E213652" w:rsidR="00E7256A" w:rsidRPr="00420154" w:rsidRDefault="00E7256A" w:rsidP="00E7256A">
            <w:pPr>
              <w:pStyle w:val="TableofAuthorities"/>
              <w:rPr>
                <w:rFonts w:cs="Arial"/>
                <w:sz w:val="20"/>
                <w:szCs w:val="20"/>
              </w:rPr>
            </w:pPr>
            <w:r w:rsidRPr="00420154">
              <w:rPr>
                <w:rFonts w:cs="Arial"/>
                <w:sz w:val="20"/>
                <w:szCs w:val="20"/>
              </w:rPr>
              <w:t xml:space="preserve">42,077 </w:t>
            </w:r>
          </w:p>
        </w:tc>
        <w:tc>
          <w:tcPr>
            <w:tcW w:w="1427" w:type="dxa"/>
            <w:vAlign w:val="top"/>
            <w:hideMark/>
          </w:tcPr>
          <w:p w14:paraId="1210F2B5" w14:textId="69F07B0A" w:rsidR="00E7256A" w:rsidRPr="00420154" w:rsidRDefault="00E7256A" w:rsidP="00E7256A">
            <w:pPr>
              <w:pStyle w:val="TableofAuthorities"/>
              <w:rPr>
                <w:rFonts w:cs="Arial"/>
                <w:sz w:val="20"/>
                <w:szCs w:val="20"/>
              </w:rPr>
            </w:pPr>
            <w:r w:rsidRPr="00420154">
              <w:rPr>
                <w:rFonts w:cs="Arial"/>
                <w:sz w:val="20"/>
                <w:szCs w:val="20"/>
              </w:rPr>
              <w:t xml:space="preserve">48,020 </w:t>
            </w:r>
          </w:p>
        </w:tc>
        <w:tc>
          <w:tcPr>
            <w:tcW w:w="1377" w:type="dxa"/>
            <w:vAlign w:val="top"/>
            <w:hideMark/>
          </w:tcPr>
          <w:p w14:paraId="2F3BBFC7" w14:textId="122D0D76" w:rsidR="00E7256A" w:rsidRPr="00420154" w:rsidRDefault="00E7256A" w:rsidP="00E7256A">
            <w:pPr>
              <w:pStyle w:val="TableofAuthorities"/>
              <w:rPr>
                <w:rFonts w:cs="Arial"/>
                <w:sz w:val="20"/>
                <w:szCs w:val="20"/>
              </w:rPr>
            </w:pPr>
            <w:r w:rsidRPr="00420154">
              <w:rPr>
                <w:rFonts w:cs="Arial"/>
                <w:sz w:val="20"/>
                <w:szCs w:val="20"/>
              </w:rPr>
              <w:t xml:space="preserve">53,812 </w:t>
            </w:r>
          </w:p>
        </w:tc>
      </w:tr>
      <w:tr w:rsidR="00E7256A" w:rsidRPr="00727E8E" w14:paraId="29A441E9" w14:textId="77777777" w:rsidTr="00810150">
        <w:trPr>
          <w:trHeight w:val="335"/>
        </w:trPr>
        <w:tc>
          <w:tcPr>
            <w:tcW w:w="1989" w:type="dxa"/>
            <w:shd w:val="clear" w:color="auto" w:fill="D8DBDB" w:themeFill="background1" w:themeFillShade="E6"/>
            <w:hideMark/>
          </w:tcPr>
          <w:p w14:paraId="01CFBF7C" w14:textId="77777777" w:rsidR="00E7256A" w:rsidRPr="00CB3A2A" w:rsidRDefault="00E7256A" w:rsidP="00E7256A">
            <w:pPr>
              <w:pStyle w:val="TableofAuthorities"/>
              <w:rPr>
                <w:rFonts w:cs="Arial"/>
                <w:b/>
                <w:bCs/>
                <w:sz w:val="20"/>
                <w:szCs w:val="20"/>
              </w:rPr>
            </w:pPr>
            <w:r w:rsidRPr="00CB3A2A">
              <w:rPr>
                <w:rFonts w:cs="Arial"/>
                <w:b/>
                <w:bCs/>
                <w:sz w:val="20"/>
                <w:szCs w:val="20"/>
              </w:rPr>
              <w:t>By Remoteness</w:t>
            </w:r>
          </w:p>
        </w:tc>
        <w:tc>
          <w:tcPr>
            <w:tcW w:w="1425" w:type="dxa"/>
            <w:shd w:val="clear" w:color="auto" w:fill="D8DBDB" w:themeFill="background1" w:themeFillShade="E6"/>
            <w:vAlign w:val="top"/>
            <w:hideMark/>
          </w:tcPr>
          <w:p w14:paraId="19F1ACA6" w14:textId="656A33D8" w:rsidR="00E7256A" w:rsidRPr="00CB3A2A" w:rsidRDefault="00E7256A" w:rsidP="00E7256A">
            <w:pPr>
              <w:pStyle w:val="TableofAuthorities"/>
              <w:rPr>
                <w:rFonts w:cs="Arial"/>
                <w:b/>
                <w:bCs/>
                <w:sz w:val="20"/>
                <w:szCs w:val="20"/>
              </w:rPr>
            </w:pPr>
          </w:p>
        </w:tc>
        <w:tc>
          <w:tcPr>
            <w:tcW w:w="1427" w:type="dxa"/>
            <w:shd w:val="clear" w:color="auto" w:fill="D8DBDB" w:themeFill="background1" w:themeFillShade="E6"/>
            <w:vAlign w:val="top"/>
            <w:hideMark/>
          </w:tcPr>
          <w:p w14:paraId="67792369" w14:textId="3653C65A" w:rsidR="00E7256A" w:rsidRPr="00CB3A2A" w:rsidRDefault="00E7256A" w:rsidP="00E7256A">
            <w:pPr>
              <w:pStyle w:val="TableofAuthorities"/>
              <w:rPr>
                <w:rFonts w:cs="Arial"/>
                <w:b/>
                <w:bCs/>
                <w:sz w:val="20"/>
                <w:szCs w:val="20"/>
              </w:rPr>
            </w:pPr>
          </w:p>
        </w:tc>
        <w:tc>
          <w:tcPr>
            <w:tcW w:w="1427" w:type="dxa"/>
            <w:shd w:val="clear" w:color="auto" w:fill="D8DBDB" w:themeFill="background1" w:themeFillShade="E6"/>
            <w:vAlign w:val="top"/>
            <w:hideMark/>
          </w:tcPr>
          <w:p w14:paraId="2D507273" w14:textId="46ED3F37" w:rsidR="00E7256A" w:rsidRPr="00CB3A2A" w:rsidRDefault="00E7256A" w:rsidP="00E7256A">
            <w:pPr>
              <w:pStyle w:val="TableofAuthorities"/>
              <w:rPr>
                <w:rFonts w:cs="Arial"/>
                <w:b/>
                <w:bCs/>
                <w:sz w:val="20"/>
                <w:szCs w:val="20"/>
              </w:rPr>
            </w:pPr>
          </w:p>
        </w:tc>
        <w:tc>
          <w:tcPr>
            <w:tcW w:w="1427" w:type="dxa"/>
            <w:shd w:val="clear" w:color="auto" w:fill="D8DBDB" w:themeFill="background1" w:themeFillShade="E6"/>
            <w:vAlign w:val="top"/>
            <w:hideMark/>
          </w:tcPr>
          <w:p w14:paraId="0243708F" w14:textId="169EF6A0" w:rsidR="00E7256A" w:rsidRPr="00CB3A2A" w:rsidRDefault="00E7256A" w:rsidP="00E7256A">
            <w:pPr>
              <w:pStyle w:val="TableofAuthorities"/>
              <w:rPr>
                <w:rFonts w:cs="Arial"/>
                <w:b/>
                <w:bCs/>
                <w:sz w:val="20"/>
                <w:szCs w:val="20"/>
              </w:rPr>
            </w:pPr>
          </w:p>
        </w:tc>
        <w:tc>
          <w:tcPr>
            <w:tcW w:w="1377" w:type="dxa"/>
            <w:shd w:val="clear" w:color="auto" w:fill="D8DBDB" w:themeFill="background1" w:themeFillShade="E6"/>
            <w:vAlign w:val="top"/>
            <w:hideMark/>
          </w:tcPr>
          <w:p w14:paraId="7041DC10" w14:textId="6B682333" w:rsidR="00E7256A" w:rsidRPr="00CB3A2A" w:rsidRDefault="00E7256A" w:rsidP="00E7256A">
            <w:pPr>
              <w:pStyle w:val="TableofAuthorities"/>
              <w:rPr>
                <w:rFonts w:cs="Arial"/>
                <w:b/>
                <w:bCs/>
                <w:sz w:val="20"/>
                <w:szCs w:val="20"/>
              </w:rPr>
            </w:pPr>
          </w:p>
        </w:tc>
      </w:tr>
      <w:tr w:rsidR="00E7256A" w:rsidRPr="00727E8E" w14:paraId="2A8718D7" w14:textId="77777777" w:rsidTr="00810150">
        <w:trPr>
          <w:trHeight w:val="313"/>
        </w:trPr>
        <w:tc>
          <w:tcPr>
            <w:tcW w:w="1989" w:type="dxa"/>
            <w:hideMark/>
          </w:tcPr>
          <w:p w14:paraId="1D814803" w14:textId="77777777" w:rsidR="00E7256A" w:rsidRPr="00420154" w:rsidRDefault="00E7256A" w:rsidP="00E7256A">
            <w:pPr>
              <w:pStyle w:val="TableofAuthorities"/>
              <w:rPr>
                <w:rFonts w:cs="Arial"/>
                <w:sz w:val="20"/>
                <w:szCs w:val="20"/>
              </w:rPr>
            </w:pPr>
            <w:r w:rsidRPr="00420154">
              <w:rPr>
                <w:rFonts w:cs="Arial"/>
                <w:sz w:val="20"/>
                <w:szCs w:val="20"/>
              </w:rPr>
              <w:t>Major cities</w:t>
            </w:r>
          </w:p>
        </w:tc>
        <w:tc>
          <w:tcPr>
            <w:tcW w:w="1425" w:type="dxa"/>
            <w:vAlign w:val="top"/>
            <w:hideMark/>
          </w:tcPr>
          <w:p w14:paraId="03B44FB2" w14:textId="55A0A66C" w:rsidR="00E7256A" w:rsidRPr="00420154" w:rsidRDefault="00E7256A" w:rsidP="00E7256A">
            <w:pPr>
              <w:pStyle w:val="TableofAuthorities"/>
              <w:rPr>
                <w:rFonts w:cs="Arial"/>
                <w:sz w:val="20"/>
                <w:szCs w:val="20"/>
              </w:rPr>
            </w:pPr>
            <w:r w:rsidRPr="00420154">
              <w:rPr>
                <w:rFonts w:cs="Arial"/>
                <w:sz w:val="20"/>
                <w:szCs w:val="20"/>
              </w:rPr>
              <w:t xml:space="preserve">72,903 </w:t>
            </w:r>
          </w:p>
        </w:tc>
        <w:tc>
          <w:tcPr>
            <w:tcW w:w="1427" w:type="dxa"/>
            <w:vAlign w:val="top"/>
            <w:hideMark/>
          </w:tcPr>
          <w:p w14:paraId="37620069" w14:textId="7360288C" w:rsidR="00E7256A" w:rsidRPr="00420154" w:rsidRDefault="00E7256A" w:rsidP="00E7256A">
            <w:pPr>
              <w:pStyle w:val="TableofAuthorities"/>
              <w:rPr>
                <w:rFonts w:cs="Arial"/>
                <w:sz w:val="20"/>
                <w:szCs w:val="20"/>
              </w:rPr>
            </w:pPr>
            <w:r w:rsidRPr="00420154">
              <w:rPr>
                <w:rFonts w:cs="Arial"/>
                <w:sz w:val="20"/>
                <w:szCs w:val="20"/>
              </w:rPr>
              <w:t xml:space="preserve">98,766 </w:t>
            </w:r>
          </w:p>
        </w:tc>
        <w:tc>
          <w:tcPr>
            <w:tcW w:w="1427" w:type="dxa"/>
            <w:vAlign w:val="top"/>
            <w:hideMark/>
          </w:tcPr>
          <w:p w14:paraId="45B67E15" w14:textId="6A949275" w:rsidR="00E7256A" w:rsidRPr="00420154" w:rsidRDefault="00E7256A" w:rsidP="00E7256A">
            <w:pPr>
              <w:pStyle w:val="TableofAuthorities"/>
              <w:rPr>
                <w:rFonts w:cs="Arial"/>
                <w:sz w:val="20"/>
                <w:szCs w:val="20"/>
              </w:rPr>
            </w:pPr>
            <w:r w:rsidRPr="00420154">
              <w:rPr>
                <w:rFonts w:cs="Arial"/>
                <w:sz w:val="20"/>
                <w:szCs w:val="20"/>
              </w:rPr>
              <w:t xml:space="preserve">123,022 </w:t>
            </w:r>
          </w:p>
        </w:tc>
        <w:tc>
          <w:tcPr>
            <w:tcW w:w="1427" w:type="dxa"/>
            <w:vAlign w:val="top"/>
            <w:hideMark/>
          </w:tcPr>
          <w:p w14:paraId="050FBF7A" w14:textId="44BE5687" w:rsidR="00E7256A" w:rsidRPr="00420154" w:rsidRDefault="00E7256A" w:rsidP="00E7256A">
            <w:pPr>
              <w:pStyle w:val="TableofAuthorities"/>
              <w:rPr>
                <w:rFonts w:cs="Arial"/>
                <w:sz w:val="20"/>
                <w:szCs w:val="20"/>
              </w:rPr>
            </w:pPr>
            <w:r w:rsidRPr="00420154">
              <w:rPr>
                <w:rFonts w:cs="Arial"/>
                <w:sz w:val="20"/>
                <w:szCs w:val="20"/>
              </w:rPr>
              <w:t xml:space="preserve">152,729 </w:t>
            </w:r>
          </w:p>
        </w:tc>
        <w:tc>
          <w:tcPr>
            <w:tcW w:w="1377" w:type="dxa"/>
            <w:vAlign w:val="top"/>
            <w:hideMark/>
          </w:tcPr>
          <w:p w14:paraId="4831689D" w14:textId="0890547A" w:rsidR="00E7256A" w:rsidRPr="00420154" w:rsidRDefault="00E7256A" w:rsidP="00E7256A">
            <w:pPr>
              <w:pStyle w:val="TableofAuthorities"/>
              <w:rPr>
                <w:rFonts w:cs="Arial"/>
                <w:sz w:val="20"/>
                <w:szCs w:val="20"/>
              </w:rPr>
            </w:pPr>
            <w:r w:rsidRPr="00420154">
              <w:rPr>
                <w:rFonts w:cs="Arial"/>
                <w:sz w:val="20"/>
                <w:szCs w:val="20"/>
              </w:rPr>
              <w:t xml:space="preserve">185,832 </w:t>
            </w:r>
          </w:p>
        </w:tc>
      </w:tr>
      <w:tr w:rsidR="00E7256A" w:rsidRPr="00727E8E" w14:paraId="1D891A3D" w14:textId="77777777" w:rsidTr="00810150">
        <w:trPr>
          <w:trHeight w:val="313"/>
        </w:trPr>
        <w:tc>
          <w:tcPr>
            <w:tcW w:w="1989" w:type="dxa"/>
            <w:hideMark/>
          </w:tcPr>
          <w:p w14:paraId="1BD0C6BA" w14:textId="77777777" w:rsidR="00E7256A" w:rsidRPr="00420154" w:rsidRDefault="00E7256A" w:rsidP="00E7256A">
            <w:pPr>
              <w:pStyle w:val="TableofAuthorities"/>
              <w:rPr>
                <w:rFonts w:cs="Arial"/>
                <w:sz w:val="20"/>
                <w:szCs w:val="20"/>
              </w:rPr>
            </w:pPr>
            <w:r w:rsidRPr="00420154">
              <w:rPr>
                <w:rFonts w:cs="Arial"/>
                <w:sz w:val="20"/>
                <w:szCs w:val="20"/>
              </w:rPr>
              <w:t>Inner regional</w:t>
            </w:r>
          </w:p>
        </w:tc>
        <w:tc>
          <w:tcPr>
            <w:tcW w:w="1425" w:type="dxa"/>
            <w:vAlign w:val="top"/>
            <w:hideMark/>
          </w:tcPr>
          <w:p w14:paraId="33648026" w14:textId="7FA04253" w:rsidR="00E7256A" w:rsidRPr="00420154" w:rsidRDefault="00E7256A" w:rsidP="00E7256A">
            <w:pPr>
              <w:pStyle w:val="TableofAuthorities"/>
              <w:rPr>
                <w:rFonts w:cs="Arial"/>
                <w:sz w:val="20"/>
                <w:szCs w:val="20"/>
              </w:rPr>
            </w:pPr>
            <w:r w:rsidRPr="00420154">
              <w:rPr>
                <w:rFonts w:cs="Arial"/>
                <w:sz w:val="20"/>
                <w:szCs w:val="20"/>
              </w:rPr>
              <w:t xml:space="preserve">26,147 </w:t>
            </w:r>
          </w:p>
        </w:tc>
        <w:tc>
          <w:tcPr>
            <w:tcW w:w="1427" w:type="dxa"/>
            <w:vAlign w:val="top"/>
            <w:hideMark/>
          </w:tcPr>
          <w:p w14:paraId="3194FC96" w14:textId="7CC55F64" w:rsidR="00E7256A" w:rsidRPr="00420154" w:rsidRDefault="00E7256A" w:rsidP="00E7256A">
            <w:pPr>
              <w:pStyle w:val="TableofAuthorities"/>
              <w:rPr>
                <w:rFonts w:cs="Arial"/>
                <w:sz w:val="20"/>
                <w:szCs w:val="20"/>
              </w:rPr>
            </w:pPr>
            <w:r w:rsidRPr="00420154">
              <w:rPr>
                <w:rFonts w:cs="Arial"/>
                <w:sz w:val="20"/>
                <w:szCs w:val="20"/>
              </w:rPr>
              <w:t xml:space="preserve">32,257 </w:t>
            </w:r>
          </w:p>
        </w:tc>
        <w:tc>
          <w:tcPr>
            <w:tcW w:w="1427" w:type="dxa"/>
            <w:vAlign w:val="top"/>
            <w:hideMark/>
          </w:tcPr>
          <w:p w14:paraId="3BAAC49C" w14:textId="2BDF69F2" w:rsidR="00E7256A" w:rsidRPr="00420154" w:rsidRDefault="00E7256A" w:rsidP="00E7256A">
            <w:pPr>
              <w:pStyle w:val="TableofAuthorities"/>
              <w:rPr>
                <w:rFonts w:cs="Arial"/>
                <w:sz w:val="20"/>
                <w:szCs w:val="20"/>
              </w:rPr>
            </w:pPr>
            <w:r w:rsidRPr="00420154">
              <w:rPr>
                <w:rFonts w:cs="Arial"/>
                <w:sz w:val="20"/>
                <w:szCs w:val="20"/>
              </w:rPr>
              <w:t xml:space="preserve">36,632 </w:t>
            </w:r>
          </w:p>
        </w:tc>
        <w:tc>
          <w:tcPr>
            <w:tcW w:w="1427" w:type="dxa"/>
            <w:vAlign w:val="top"/>
            <w:hideMark/>
          </w:tcPr>
          <w:p w14:paraId="21455E67" w14:textId="7B55904C" w:rsidR="00E7256A" w:rsidRPr="00420154" w:rsidRDefault="00E7256A" w:rsidP="00E7256A">
            <w:pPr>
              <w:pStyle w:val="TableofAuthorities"/>
              <w:rPr>
                <w:rFonts w:cs="Arial"/>
                <w:sz w:val="20"/>
                <w:szCs w:val="20"/>
              </w:rPr>
            </w:pPr>
            <w:r w:rsidRPr="00420154">
              <w:rPr>
                <w:rFonts w:cs="Arial"/>
                <w:sz w:val="20"/>
                <w:szCs w:val="20"/>
              </w:rPr>
              <w:t xml:space="preserve">41,990 </w:t>
            </w:r>
          </w:p>
        </w:tc>
        <w:tc>
          <w:tcPr>
            <w:tcW w:w="1377" w:type="dxa"/>
            <w:vAlign w:val="top"/>
            <w:hideMark/>
          </w:tcPr>
          <w:p w14:paraId="7D436510" w14:textId="02D368C4" w:rsidR="00E7256A" w:rsidRPr="00420154" w:rsidRDefault="00E7256A" w:rsidP="00E7256A">
            <w:pPr>
              <w:pStyle w:val="TableofAuthorities"/>
              <w:rPr>
                <w:rFonts w:cs="Arial"/>
                <w:sz w:val="20"/>
                <w:szCs w:val="20"/>
              </w:rPr>
            </w:pPr>
            <w:r w:rsidRPr="00420154">
              <w:rPr>
                <w:rFonts w:cs="Arial"/>
                <w:sz w:val="20"/>
                <w:szCs w:val="20"/>
              </w:rPr>
              <w:t xml:space="preserve">49,296 </w:t>
            </w:r>
          </w:p>
        </w:tc>
      </w:tr>
      <w:tr w:rsidR="00E7256A" w:rsidRPr="00727E8E" w14:paraId="0A85D52C" w14:textId="77777777" w:rsidTr="00810150">
        <w:trPr>
          <w:trHeight w:val="313"/>
        </w:trPr>
        <w:tc>
          <w:tcPr>
            <w:tcW w:w="1989" w:type="dxa"/>
            <w:hideMark/>
          </w:tcPr>
          <w:p w14:paraId="2FC060B7" w14:textId="77777777" w:rsidR="00E7256A" w:rsidRPr="00420154" w:rsidRDefault="00E7256A" w:rsidP="00E7256A">
            <w:pPr>
              <w:pStyle w:val="TableofAuthorities"/>
              <w:rPr>
                <w:rFonts w:cs="Arial"/>
                <w:sz w:val="20"/>
                <w:szCs w:val="20"/>
              </w:rPr>
            </w:pPr>
            <w:r w:rsidRPr="00420154">
              <w:rPr>
                <w:rFonts w:cs="Arial"/>
                <w:sz w:val="20"/>
                <w:szCs w:val="20"/>
              </w:rPr>
              <w:t>Outer regional</w:t>
            </w:r>
          </w:p>
        </w:tc>
        <w:tc>
          <w:tcPr>
            <w:tcW w:w="1425" w:type="dxa"/>
            <w:vAlign w:val="top"/>
            <w:hideMark/>
          </w:tcPr>
          <w:p w14:paraId="024B1C0F" w14:textId="1A6D4792" w:rsidR="00E7256A" w:rsidRPr="00420154" w:rsidRDefault="00E7256A" w:rsidP="00E7256A">
            <w:pPr>
              <w:pStyle w:val="TableofAuthorities"/>
              <w:rPr>
                <w:rFonts w:cs="Arial"/>
                <w:sz w:val="20"/>
                <w:szCs w:val="20"/>
              </w:rPr>
            </w:pPr>
            <w:r w:rsidRPr="00420154">
              <w:rPr>
                <w:rFonts w:cs="Arial"/>
                <w:sz w:val="20"/>
                <w:szCs w:val="20"/>
              </w:rPr>
              <w:t xml:space="preserve">6,560 </w:t>
            </w:r>
          </w:p>
        </w:tc>
        <w:tc>
          <w:tcPr>
            <w:tcW w:w="1427" w:type="dxa"/>
            <w:vAlign w:val="top"/>
            <w:hideMark/>
          </w:tcPr>
          <w:p w14:paraId="16801B2E" w14:textId="016F232B" w:rsidR="00E7256A" w:rsidRPr="00420154" w:rsidRDefault="00E7256A" w:rsidP="00E7256A">
            <w:pPr>
              <w:pStyle w:val="TableofAuthorities"/>
              <w:rPr>
                <w:rFonts w:cs="Arial"/>
                <w:sz w:val="20"/>
                <w:szCs w:val="20"/>
              </w:rPr>
            </w:pPr>
            <w:r w:rsidRPr="00420154">
              <w:rPr>
                <w:rFonts w:cs="Arial"/>
                <w:sz w:val="20"/>
                <w:szCs w:val="20"/>
              </w:rPr>
              <w:t xml:space="preserve">10,194 </w:t>
            </w:r>
          </w:p>
        </w:tc>
        <w:tc>
          <w:tcPr>
            <w:tcW w:w="1427" w:type="dxa"/>
            <w:vAlign w:val="top"/>
            <w:hideMark/>
          </w:tcPr>
          <w:p w14:paraId="4B9F823D" w14:textId="12D03A6E" w:rsidR="00E7256A" w:rsidRPr="00420154" w:rsidRDefault="00E7256A" w:rsidP="00E7256A">
            <w:pPr>
              <w:pStyle w:val="TableofAuthorities"/>
              <w:rPr>
                <w:rFonts w:cs="Arial"/>
                <w:sz w:val="20"/>
                <w:szCs w:val="20"/>
              </w:rPr>
            </w:pPr>
            <w:r w:rsidRPr="00420154">
              <w:rPr>
                <w:rFonts w:cs="Arial"/>
                <w:sz w:val="20"/>
                <w:szCs w:val="20"/>
              </w:rPr>
              <w:t xml:space="preserve">15,087 </w:t>
            </w:r>
          </w:p>
        </w:tc>
        <w:tc>
          <w:tcPr>
            <w:tcW w:w="1427" w:type="dxa"/>
            <w:vAlign w:val="top"/>
            <w:hideMark/>
          </w:tcPr>
          <w:p w14:paraId="4154366D" w14:textId="120AEFE4" w:rsidR="00E7256A" w:rsidRPr="00420154" w:rsidRDefault="00E7256A" w:rsidP="00E7256A">
            <w:pPr>
              <w:pStyle w:val="TableofAuthorities"/>
              <w:rPr>
                <w:rFonts w:cs="Arial"/>
                <w:sz w:val="20"/>
                <w:szCs w:val="20"/>
              </w:rPr>
            </w:pPr>
            <w:r w:rsidRPr="00420154">
              <w:rPr>
                <w:rFonts w:cs="Arial"/>
                <w:sz w:val="20"/>
                <w:szCs w:val="20"/>
              </w:rPr>
              <w:t xml:space="preserve">19,151 </w:t>
            </w:r>
          </w:p>
        </w:tc>
        <w:tc>
          <w:tcPr>
            <w:tcW w:w="1377" w:type="dxa"/>
            <w:vAlign w:val="top"/>
            <w:hideMark/>
          </w:tcPr>
          <w:p w14:paraId="56B8CC63" w14:textId="7E0D6FA7" w:rsidR="00E7256A" w:rsidRPr="00420154" w:rsidRDefault="00E7256A" w:rsidP="00E7256A">
            <w:pPr>
              <w:pStyle w:val="TableofAuthorities"/>
              <w:rPr>
                <w:rFonts w:cs="Arial"/>
                <w:sz w:val="20"/>
                <w:szCs w:val="20"/>
              </w:rPr>
            </w:pPr>
            <w:r w:rsidRPr="00420154">
              <w:rPr>
                <w:rFonts w:cs="Arial"/>
                <w:sz w:val="20"/>
                <w:szCs w:val="20"/>
              </w:rPr>
              <w:t xml:space="preserve">20,528 </w:t>
            </w:r>
          </w:p>
        </w:tc>
      </w:tr>
      <w:tr w:rsidR="00E7256A" w:rsidRPr="00727E8E" w14:paraId="0C78C691" w14:textId="77777777" w:rsidTr="00810150">
        <w:trPr>
          <w:trHeight w:val="313"/>
        </w:trPr>
        <w:tc>
          <w:tcPr>
            <w:tcW w:w="1989" w:type="dxa"/>
            <w:hideMark/>
          </w:tcPr>
          <w:p w14:paraId="4B4FBF57" w14:textId="77777777" w:rsidR="00E7256A" w:rsidRPr="00420154" w:rsidRDefault="00E7256A" w:rsidP="00E7256A">
            <w:pPr>
              <w:pStyle w:val="TableofAuthorities"/>
              <w:rPr>
                <w:rFonts w:cs="Arial"/>
                <w:sz w:val="20"/>
                <w:szCs w:val="20"/>
              </w:rPr>
            </w:pPr>
            <w:r w:rsidRPr="00420154">
              <w:rPr>
                <w:rFonts w:cs="Arial"/>
                <w:sz w:val="20"/>
                <w:szCs w:val="20"/>
              </w:rPr>
              <w:t>Remote</w:t>
            </w:r>
          </w:p>
        </w:tc>
        <w:tc>
          <w:tcPr>
            <w:tcW w:w="1425" w:type="dxa"/>
            <w:vAlign w:val="top"/>
            <w:hideMark/>
          </w:tcPr>
          <w:p w14:paraId="4D6C5BF3" w14:textId="4EA7111C" w:rsidR="00E7256A" w:rsidRPr="00420154" w:rsidRDefault="00E7256A" w:rsidP="00E7256A">
            <w:pPr>
              <w:pStyle w:val="TableofAuthorities"/>
              <w:rPr>
                <w:rFonts w:cs="Arial"/>
                <w:sz w:val="20"/>
                <w:szCs w:val="20"/>
              </w:rPr>
            </w:pPr>
            <w:r w:rsidRPr="00420154">
              <w:rPr>
                <w:rFonts w:cs="Arial"/>
                <w:sz w:val="20"/>
                <w:szCs w:val="20"/>
              </w:rPr>
              <w:t xml:space="preserve">671 </w:t>
            </w:r>
          </w:p>
        </w:tc>
        <w:tc>
          <w:tcPr>
            <w:tcW w:w="1427" w:type="dxa"/>
            <w:vAlign w:val="top"/>
            <w:hideMark/>
          </w:tcPr>
          <w:p w14:paraId="51104FF8" w14:textId="404713AF" w:rsidR="00E7256A" w:rsidRPr="00420154" w:rsidRDefault="00E7256A" w:rsidP="00E7256A">
            <w:pPr>
              <w:pStyle w:val="TableofAuthorities"/>
              <w:rPr>
                <w:rFonts w:cs="Arial"/>
                <w:sz w:val="20"/>
                <w:szCs w:val="20"/>
              </w:rPr>
            </w:pPr>
            <w:r w:rsidRPr="00420154">
              <w:rPr>
                <w:rFonts w:cs="Arial"/>
                <w:sz w:val="20"/>
                <w:szCs w:val="20"/>
              </w:rPr>
              <w:t xml:space="preserve">823 </w:t>
            </w:r>
          </w:p>
        </w:tc>
        <w:tc>
          <w:tcPr>
            <w:tcW w:w="1427" w:type="dxa"/>
            <w:vAlign w:val="top"/>
            <w:hideMark/>
          </w:tcPr>
          <w:p w14:paraId="79D8BD00" w14:textId="629F4A0F" w:rsidR="00E7256A" w:rsidRPr="00420154" w:rsidRDefault="00E7256A" w:rsidP="00E7256A">
            <w:pPr>
              <w:pStyle w:val="TableofAuthorities"/>
              <w:rPr>
                <w:rFonts w:cs="Arial"/>
                <w:sz w:val="20"/>
                <w:szCs w:val="20"/>
              </w:rPr>
            </w:pPr>
            <w:r w:rsidRPr="00420154">
              <w:rPr>
                <w:rFonts w:cs="Arial"/>
                <w:sz w:val="20"/>
                <w:szCs w:val="20"/>
              </w:rPr>
              <w:t xml:space="preserve">960 </w:t>
            </w:r>
          </w:p>
        </w:tc>
        <w:tc>
          <w:tcPr>
            <w:tcW w:w="1427" w:type="dxa"/>
            <w:vAlign w:val="top"/>
            <w:hideMark/>
          </w:tcPr>
          <w:p w14:paraId="0AD79606" w14:textId="6D33A097" w:rsidR="00E7256A" w:rsidRPr="00420154" w:rsidRDefault="00E7256A" w:rsidP="00E7256A">
            <w:pPr>
              <w:pStyle w:val="TableofAuthorities"/>
              <w:rPr>
                <w:rFonts w:cs="Arial"/>
                <w:sz w:val="20"/>
                <w:szCs w:val="20"/>
              </w:rPr>
            </w:pPr>
            <w:r w:rsidRPr="00420154">
              <w:rPr>
                <w:rFonts w:cs="Arial"/>
                <w:sz w:val="20"/>
                <w:szCs w:val="20"/>
              </w:rPr>
              <w:t xml:space="preserve">1,149 </w:t>
            </w:r>
          </w:p>
        </w:tc>
        <w:tc>
          <w:tcPr>
            <w:tcW w:w="1377" w:type="dxa"/>
            <w:vAlign w:val="top"/>
            <w:hideMark/>
          </w:tcPr>
          <w:p w14:paraId="0BA322C0" w14:textId="76ACC660" w:rsidR="00E7256A" w:rsidRPr="00420154" w:rsidRDefault="00E7256A" w:rsidP="00E7256A">
            <w:pPr>
              <w:pStyle w:val="TableofAuthorities"/>
              <w:rPr>
                <w:rFonts w:cs="Arial"/>
                <w:sz w:val="20"/>
                <w:szCs w:val="20"/>
              </w:rPr>
            </w:pPr>
            <w:r w:rsidRPr="00420154">
              <w:rPr>
                <w:rFonts w:cs="Arial"/>
                <w:sz w:val="20"/>
                <w:szCs w:val="20"/>
              </w:rPr>
              <w:t xml:space="preserve">1,235 </w:t>
            </w:r>
          </w:p>
        </w:tc>
      </w:tr>
      <w:tr w:rsidR="00E7256A" w:rsidRPr="00727E8E" w14:paraId="02AF4CCD" w14:textId="77777777" w:rsidTr="00810150">
        <w:trPr>
          <w:trHeight w:val="313"/>
        </w:trPr>
        <w:tc>
          <w:tcPr>
            <w:tcW w:w="1989" w:type="dxa"/>
            <w:hideMark/>
          </w:tcPr>
          <w:p w14:paraId="10665F9A" w14:textId="77777777" w:rsidR="00E7256A" w:rsidRPr="00420154" w:rsidRDefault="00E7256A" w:rsidP="00E7256A">
            <w:pPr>
              <w:pStyle w:val="TableofAuthorities"/>
              <w:rPr>
                <w:rFonts w:cs="Arial"/>
                <w:sz w:val="20"/>
                <w:szCs w:val="20"/>
              </w:rPr>
            </w:pPr>
            <w:r w:rsidRPr="00420154">
              <w:rPr>
                <w:rFonts w:cs="Arial"/>
                <w:sz w:val="20"/>
                <w:szCs w:val="20"/>
              </w:rPr>
              <w:t>Very remote</w:t>
            </w:r>
          </w:p>
        </w:tc>
        <w:tc>
          <w:tcPr>
            <w:tcW w:w="1425" w:type="dxa"/>
            <w:vAlign w:val="top"/>
            <w:hideMark/>
          </w:tcPr>
          <w:p w14:paraId="426E4FE4" w14:textId="78EC50A2" w:rsidR="00E7256A" w:rsidRPr="00420154" w:rsidRDefault="00E7256A" w:rsidP="00E7256A">
            <w:pPr>
              <w:pStyle w:val="TableofAuthorities"/>
              <w:rPr>
                <w:rFonts w:cs="Arial"/>
                <w:sz w:val="20"/>
                <w:szCs w:val="20"/>
              </w:rPr>
            </w:pPr>
            <w:r w:rsidRPr="00420154">
              <w:rPr>
                <w:rFonts w:cs="Arial"/>
                <w:sz w:val="20"/>
                <w:szCs w:val="20"/>
              </w:rPr>
              <w:t xml:space="preserve">426 </w:t>
            </w:r>
          </w:p>
        </w:tc>
        <w:tc>
          <w:tcPr>
            <w:tcW w:w="1427" w:type="dxa"/>
            <w:vAlign w:val="top"/>
            <w:hideMark/>
          </w:tcPr>
          <w:p w14:paraId="1CFBB978" w14:textId="16AABDD6" w:rsidR="00E7256A" w:rsidRPr="00420154" w:rsidRDefault="00E7256A" w:rsidP="00E7256A">
            <w:pPr>
              <w:pStyle w:val="TableofAuthorities"/>
              <w:rPr>
                <w:rFonts w:cs="Arial"/>
                <w:sz w:val="20"/>
                <w:szCs w:val="20"/>
              </w:rPr>
            </w:pPr>
            <w:r w:rsidRPr="00420154">
              <w:rPr>
                <w:rFonts w:cs="Arial"/>
                <w:sz w:val="20"/>
                <w:szCs w:val="20"/>
              </w:rPr>
              <w:t xml:space="preserve">394 </w:t>
            </w:r>
          </w:p>
        </w:tc>
        <w:tc>
          <w:tcPr>
            <w:tcW w:w="1427" w:type="dxa"/>
            <w:vAlign w:val="top"/>
            <w:hideMark/>
          </w:tcPr>
          <w:p w14:paraId="0006E9B1" w14:textId="7D78BD24" w:rsidR="00E7256A" w:rsidRPr="00420154" w:rsidRDefault="00E7256A" w:rsidP="00E7256A">
            <w:pPr>
              <w:pStyle w:val="TableofAuthorities"/>
              <w:rPr>
                <w:rFonts w:cs="Arial"/>
                <w:sz w:val="20"/>
                <w:szCs w:val="20"/>
              </w:rPr>
            </w:pPr>
            <w:r w:rsidRPr="00420154">
              <w:rPr>
                <w:rFonts w:cs="Arial"/>
                <w:sz w:val="20"/>
                <w:szCs w:val="20"/>
              </w:rPr>
              <w:t xml:space="preserve">404 </w:t>
            </w:r>
          </w:p>
        </w:tc>
        <w:tc>
          <w:tcPr>
            <w:tcW w:w="1427" w:type="dxa"/>
            <w:vAlign w:val="top"/>
            <w:hideMark/>
          </w:tcPr>
          <w:p w14:paraId="243FEE83" w14:textId="54002A03" w:rsidR="00E7256A" w:rsidRPr="00420154" w:rsidRDefault="00E7256A" w:rsidP="00E7256A">
            <w:pPr>
              <w:pStyle w:val="TableofAuthorities"/>
              <w:rPr>
                <w:rFonts w:cs="Arial"/>
                <w:sz w:val="20"/>
                <w:szCs w:val="20"/>
              </w:rPr>
            </w:pPr>
            <w:r w:rsidRPr="00420154">
              <w:rPr>
                <w:rFonts w:cs="Arial"/>
                <w:sz w:val="20"/>
                <w:szCs w:val="20"/>
              </w:rPr>
              <w:t xml:space="preserve">724 </w:t>
            </w:r>
          </w:p>
        </w:tc>
        <w:tc>
          <w:tcPr>
            <w:tcW w:w="1377" w:type="dxa"/>
            <w:vAlign w:val="top"/>
            <w:hideMark/>
          </w:tcPr>
          <w:p w14:paraId="43ADEECF" w14:textId="51E02D17" w:rsidR="00E7256A" w:rsidRPr="00420154" w:rsidRDefault="00E7256A" w:rsidP="00E7256A">
            <w:pPr>
              <w:pStyle w:val="TableofAuthorities"/>
              <w:rPr>
                <w:rFonts w:cs="Arial"/>
                <w:sz w:val="20"/>
                <w:szCs w:val="20"/>
              </w:rPr>
            </w:pPr>
            <w:r w:rsidRPr="00420154">
              <w:rPr>
                <w:rFonts w:cs="Arial"/>
                <w:sz w:val="20"/>
                <w:szCs w:val="20"/>
              </w:rPr>
              <w:t xml:space="preserve">1,483 </w:t>
            </w:r>
          </w:p>
        </w:tc>
      </w:tr>
      <w:tr w:rsidR="00E7256A" w:rsidRPr="00727E8E" w14:paraId="0228AE44" w14:textId="77777777" w:rsidTr="00810150">
        <w:trPr>
          <w:trHeight w:val="313"/>
        </w:trPr>
        <w:tc>
          <w:tcPr>
            <w:tcW w:w="1989" w:type="dxa"/>
            <w:shd w:val="clear" w:color="auto" w:fill="D8DBDB" w:themeFill="background1" w:themeFillShade="E6"/>
            <w:hideMark/>
          </w:tcPr>
          <w:p w14:paraId="1A220088" w14:textId="66098BAE" w:rsidR="00E7256A" w:rsidRPr="00CB3A2A" w:rsidRDefault="00E7256A" w:rsidP="00706D0A">
            <w:pPr>
              <w:pStyle w:val="TableParagraphbold"/>
            </w:pPr>
            <w:r w:rsidRPr="00CB3A2A">
              <w:t>By Provider type</w:t>
            </w:r>
          </w:p>
        </w:tc>
        <w:tc>
          <w:tcPr>
            <w:tcW w:w="1425" w:type="dxa"/>
            <w:shd w:val="clear" w:color="auto" w:fill="D8DBDB" w:themeFill="background1" w:themeFillShade="E6"/>
            <w:vAlign w:val="top"/>
            <w:hideMark/>
          </w:tcPr>
          <w:p w14:paraId="257B33C2" w14:textId="202E9D7B" w:rsidR="00E7256A" w:rsidRPr="00CB3A2A" w:rsidRDefault="00E7256A" w:rsidP="00706D0A">
            <w:pPr>
              <w:pStyle w:val="TableParagraphbold"/>
            </w:pPr>
          </w:p>
        </w:tc>
        <w:tc>
          <w:tcPr>
            <w:tcW w:w="1427" w:type="dxa"/>
            <w:shd w:val="clear" w:color="auto" w:fill="D8DBDB" w:themeFill="background1" w:themeFillShade="E6"/>
            <w:vAlign w:val="top"/>
            <w:hideMark/>
          </w:tcPr>
          <w:p w14:paraId="027D5580" w14:textId="375C2E28" w:rsidR="00E7256A" w:rsidRPr="00CB3A2A" w:rsidRDefault="00E7256A" w:rsidP="00706D0A">
            <w:pPr>
              <w:pStyle w:val="TableParagraphbold"/>
            </w:pPr>
          </w:p>
        </w:tc>
        <w:tc>
          <w:tcPr>
            <w:tcW w:w="1427" w:type="dxa"/>
            <w:shd w:val="clear" w:color="auto" w:fill="D8DBDB" w:themeFill="background1" w:themeFillShade="E6"/>
            <w:vAlign w:val="top"/>
            <w:hideMark/>
          </w:tcPr>
          <w:p w14:paraId="1D45AF92" w14:textId="66639064" w:rsidR="00E7256A" w:rsidRPr="00CB3A2A" w:rsidRDefault="00E7256A" w:rsidP="00706D0A">
            <w:pPr>
              <w:pStyle w:val="TableParagraphbold"/>
            </w:pPr>
          </w:p>
        </w:tc>
        <w:tc>
          <w:tcPr>
            <w:tcW w:w="1427" w:type="dxa"/>
            <w:shd w:val="clear" w:color="auto" w:fill="D8DBDB" w:themeFill="background1" w:themeFillShade="E6"/>
            <w:vAlign w:val="top"/>
            <w:hideMark/>
          </w:tcPr>
          <w:p w14:paraId="156D43FE" w14:textId="14A740B2" w:rsidR="00E7256A" w:rsidRPr="00CB3A2A" w:rsidRDefault="00E7256A" w:rsidP="00706D0A">
            <w:pPr>
              <w:pStyle w:val="TableParagraphbold"/>
            </w:pPr>
          </w:p>
        </w:tc>
        <w:tc>
          <w:tcPr>
            <w:tcW w:w="1377" w:type="dxa"/>
            <w:shd w:val="clear" w:color="auto" w:fill="D8DBDB" w:themeFill="background1" w:themeFillShade="E6"/>
            <w:vAlign w:val="top"/>
            <w:hideMark/>
          </w:tcPr>
          <w:p w14:paraId="1BD62A7D" w14:textId="6F69A382" w:rsidR="00E7256A" w:rsidRPr="00CB3A2A" w:rsidRDefault="00E7256A" w:rsidP="00706D0A">
            <w:pPr>
              <w:pStyle w:val="TableParagraphbold"/>
            </w:pPr>
          </w:p>
        </w:tc>
      </w:tr>
      <w:tr w:rsidR="00E7256A" w:rsidRPr="00727E8E" w14:paraId="18BB365F" w14:textId="77777777" w:rsidTr="00810150">
        <w:trPr>
          <w:trHeight w:val="313"/>
        </w:trPr>
        <w:tc>
          <w:tcPr>
            <w:tcW w:w="1989" w:type="dxa"/>
            <w:hideMark/>
          </w:tcPr>
          <w:p w14:paraId="6DB22AA9" w14:textId="77777777" w:rsidR="00E7256A" w:rsidRPr="00420154" w:rsidRDefault="00E7256A" w:rsidP="00E7256A">
            <w:pPr>
              <w:pStyle w:val="TableofAuthorities"/>
              <w:rPr>
                <w:rFonts w:cs="Arial"/>
                <w:sz w:val="20"/>
                <w:szCs w:val="20"/>
              </w:rPr>
            </w:pPr>
            <w:r w:rsidRPr="00420154">
              <w:rPr>
                <w:rFonts w:cs="Arial"/>
                <w:sz w:val="20"/>
                <w:szCs w:val="20"/>
              </w:rPr>
              <w:t>For-profit</w:t>
            </w:r>
          </w:p>
        </w:tc>
        <w:tc>
          <w:tcPr>
            <w:tcW w:w="1425" w:type="dxa"/>
            <w:vAlign w:val="top"/>
            <w:hideMark/>
          </w:tcPr>
          <w:p w14:paraId="671B8BEE" w14:textId="5C3A7A4B" w:rsidR="00E7256A" w:rsidRPr="00420154" w:rsidRDefault="00E7256A" w:rsidP="00E7256A">
            <w:pPr>
              <w:pStyle w:val="TableofAuthorities"/>
              <w:rPr>
                <w:rFonts w:cs="Arial"/>
                <w:sz w:val="20"/>
                <w:szCs w:val="20"/>
              </w:rPr>
            </w:pPr>
            <w:r w:rsidRPr="00420154">
              <w:rPr>
                <w:rFonts w:cs="Arial"/>
                <w:sz w:val="20"/>
                <w:szCs w:val="20"/>
              </w:rPr>
              <w:t xml:space="preserve">22,317 </w:t>
            </w:r>
          </w:p>
        </w:tc>
        <w:tc>
          <w:tcPr>
            <w:tcW w:w="1427" w:type="dxa"/>
            <w:vAlign w:val="top"/>
            <w:hideMark/>
          </w:tcPr>
          <w:p w14:paraId="26D42804" w14:textId="240ACD96" w:rsidR="00E7256A" w:rsidRPr="00420154" w:rsidRDefault="00E7256A" w:rsidP="00E7256A">
            <w:pPr>
              <w:pStyle w:val="TableofAuthorities"/>
              <w:rPr>
                <w:rFonts w:cs="Arial"/>
                <w:sz w:val="20"/>
                <w:szCs w:val="20"/>
              </w:rPr>
            </w:pPr>
            <w:r w:rsidRPr="00420154">
              <w:rPr>
                <w:rFonts w:cs="Arial"/>
                <w:sz w:val="20"/>
                <w:szCs w:val="20"/>
              </w:rPr>
              <w:t xml:space="preserve">37,043 </w:t>
            </w:r>
          </w:p>
        </w:tc>
        <w:tc>
          <w:tcPr>
            <w:tcW w:w="1427" w:type="dxa"/>
            <w:vAlign w:val="top"/>
            <w:hideMark/>
          </w:tcPr>
          <w:p w14:paraId="340FF347" w14:textId="6B3B8A14" w:rsidR="00E7256A" w:rsidRPr="00420154" w:rsidRDefault="00E7256A" w:rsidP="00E7256A">
            <w:pPr>
              <w:pStyle w:val="TableofAuthorities"/>
              <w:rPr>
                <w:rFonts w:cs="Arial"/>
                <w:sz w:val="20"/>
                <w:szCs w:val="20"/>
              </w:rPr>
            </w:pPr>
            <w:r w:rsidRPr="00420154">
              <w:rPr>
                <w:rFonts w:cs="Arial"/>
                <w:sz w:val="20"/>
                <w:szCs w:val="20"/>
              </w:rPr>
              <w:t xml:space="preserve">52,942 </w:t>
            </w:r>
          </w:p>
        </w:tc>
        <w:tc>
          <w:tcPr>
            <w:tcW w:w="1427" w:type="dxa"/>
            <w:vAlign w:val="top"/>
            <w:hideMark/>
          </w:tcPr>
          <w:p w14:paraId="62F4ABC1" w14:textId="6A840045" w:rsidR="00E7256A" w:rsidRPr="00420154" w:rsidRDefault="00E7256A" w:rsidP="00E7256A">
            <w:pPr>
              <w:pStyle w:val="TableofAuthorities"/>
              <w:rPr>
                <w:rFonts w:cs="Arial"/>
                <w:sz w:val="20"/>
                <w:szCs w:val="20"/>
              </w:rPr>
            </w:pPr>
            <w:r w:rsidRPr="00420154">
              <w:rPr>
                <w:rFonts w:cs="Arial"/>
                <w:sz w:val="20"/>
                <w:szCs w:val="20"/>
              </w:rPr>
              <w:t xml:space="preserve">71,563 </w:t>
            </w:r>
          </w:p>
        </w:tc>
        <w:tc>
          <w:tcPr>
            <w:tcW w:w="1377" w:type="dxa"/>
            <w:vAlign w:val="top"/>
            <w:hideMark/>
          </w:tcPr>
          <w:p w14:paraId="5F6DF775" w14:textId="0E6A987B" w:rsidR="00E7256A" w:rsidRPr="00420154" w:rsidRDefault="00E7256A" w:rsidP="00E7256A">
            <w:pPr>
              <w:pStyle w:val="TableofAuthorities"/>
              <w:rPr>
                <w:rFonts w:cs="Arial"/>
                <w:sz w:val="20"/>
                <w:szCs w:val="20"/>
              </w:rPr>
            </w:pPr>
            <w:r w:rsidRPr="00420154">
              <w:rPr>
                <w:rFonts w:cs="Arial"/>
                <w:sz w:val="20"/>
                <w:szCs w:val="20"/>
              </w:rPr>
              <w:t>94,</w:t>
            </w:r>
            <w:r w:rsidR="001F1976">
              <w:rPr>
                <w:rFonts w:cs="Arial"/>
                <w:sz w:val="20"/>
                <w:szCs w:val="20"/>
              </w:rPr>
              <w:t>613</w:t>
            </w:r>
            <w:r w:rsidRPr="00420154">
              <w:rPr>
                <w:rFonts w:cs="Arial"/>
                <w:sz w:val="20"/>
                <w:szCs w:val="20"/>
              </w:rPr>
              <w:t xml:space="preserve"> </w:t>
            </w:r>
          </w:p>
        </w:tc>
      </w:tr>
      <w:tr w:rsidR="00E7256A" w:rsidRPr="00727E8E" w14:paraId="51CB5A04" w14:textId="77777777" w:rsidTr="00810150">
        <w:trPr>
          <w:trHeight w:val="313"/>
        </w:trPr>
        <w:tc>
          <w:tcPr>
            <w:tcW w:w="1989" w:type="dxa"/>
            <w:hideMark/>
          </w:tcPr>
          <w:p w14:paraId="61219F72" w14:textId="77777777" w:rsidR="00E7256A" w:rsidRPr="00420154" w:rsidRDefault="00E7256A" w:rsidP="00E7256A">
            <w:pPr>
              <w:pStyle w:val="TableofAuthorities"/>
              <w:rPr>
                <w:rFonts w:cs="Arial"/>
                <w:sz w:val="20"/>
                <w:szCs w:val="20"/>
              </w:rPr>
            </w:pPr>
            <w:r w:rsidRPr="00420154">
              <w:rPr>
                <w:rFonts w:cs="Arial"/>
                <w:sz w:val="20"/>
                <w:szCs w:val="20"/>
              </w:rPr>
              <w:t>Not-for profit</w:t>
            </w:r>
          </w:p>
        </w:tc>
        <w:tc>
          <w:tcPr>
            <w:tcW w:w="1425" w:type="dxa"/>
            <w:vAlign w:val="top"/>
            <w:hideMark/>
          </w:tcPr>
          <w:p w14:paraId="61EEB673" w14:textId="130794A7" w:rsidR="00E7256A" w:rsidRPr="00420154" w:rsidRDefault="00E7256A" w:rsidP="00E7256A">
            <w:pPr>
              <w:pStyle w:val="TableofAuthorities"/>
              <w:rPr>
                <w:rFonts w:cs="Arial"/>
                <w:sz w:val="20"/>
                <w:szCs w:val="20"/>
              </w:rPr>
            </w:pPr>
            <w:r w:rsidRPr="00420154">
              <w:rPr>
                <w:rFonts w:cs="Arial"/>
                <w:sz w:val="20"/>
                <w:szCs w:val="20"/>
              </w:rPr>
              <w:t xml:space="preserve">77,156 </w:t>
            </w:r>
          </w:p>
        </w:tc>
        <w:tc>
          <w:tcPr>
            <w:tcW w:w="1427" w:type="dxa"/>
            <w:vAlign w:val="top"/>
            <w:hideMark/>
          </w:tcPr>
          <w:p w14:paraId="1DDA320C" w14:textId="05C84C8F" w:rsidR="00E7256A" w:rsidRPr="00420154" w:rsidRDefault="00E7256A" w:rsidP="00E7256A">
            <w:pPr>
              <w:pStyle w:val="TableofAuthorities"/>
              <w:rPr>
                <w:rFonts w:cs="Arial"/>
                <w:sz w:val="20"/>
                <w:szCs w:val="20"/>
              </w:rPr>
            </w:pPr>
            <w:r w:rsidRPr="00420154">
              <w:rPr>
                <w:rFonts w:cs="Arial"/>
                <w:sz w:val="20"/>
                <w:szCs w:val="20"/>
              </w:rPr>
              <w:t xml:space="preserve">96,185 </w:t>
            </w:r>
          </w:p>
        </w:tc>
        <w:tc>
          <w:tcPr>
            <w:tcW w:w="1427" w:type="dxa"/>
            <w:vAlign w:val="top"/>
            <w:hideMark/>
          </w:tcPr>
          <w:p w14:paraId="56BEA8C9" w14:textId="24CEBB86" w:rsidR="00E7256A" w:rsidRPr="00420154" w:rsidRDefault="00E7256A" w:rsidP="00E7256A">
            <w:pPr>
              <w:pStyle w:val="TableofAuthorities"/>
              <w:rPr>
                <w:rFonts w:cs="Arial"/>
                <w:sz w:val="20"/>
                <w:szCs w:val="20"/>
              </w:rPr>
            </w:pPr>
            <w:r w:rsidRPr="00420154">
              <w:rPr>
                <w:rFonts w:cs="Arial"/>
                <w:sz w:val="20"/>
                <w:szCs w:val="20"/>
              </w:rPr>
              <w:t xml:space="preserve">112,422 </w:t>
            </w:r>
          </w:p>
        </w:tc>
        <w:tc>
          <w:tcPr>
            <w:tcW w:w="1427" w:type="dxa"/>
            <w:vAlign w:val="top"/>
            <w:hideMark/>
          </w:tcPr>
          <w:p w14:paraId="6B5E0A39" w14:textId="60F9B4F5" w:rsidR="00E7256A" w:rsidRPr="00420154" w:rsidRDefault="00E7256A" w:rsidP="00E7256A">
            <w:pPr>
              <w:pStyle w:val="TableofAuthorities"/>
              <w:rPr>
                <w:rFonts w:cs="Arial"/>
                <w:sz w:val="20"/>
                <w:szCs w:val="20"/>
              </w:rPr>
            </w:pPr>
            <w:r w:rsidRPr="00420154">
              <w:rPr>
                <w:rFonts w:cs="Arial"/>
                <w:sz w:val="20"/>
                <w:szCs w:val="20"/>
              </w:rPr>
              <w:t xml:space="preserve">131,980 </w:t>
            </w:r>
          </w:p>
        </w:tc>
        <w:tc>
          <w:tcPr>
            <w:tcW w:w="1377" w:type="dxa"/>
            <w:vAlign w:val="top"/>
            <w:hideMark/>
          </w:tcPr>
          <w:p w14:paraId="11BB196E" w14:textId="2A686F5E" w:rsidR="00E7256A" w:rsidRPr="00420154" w:rsidRDefault="00E7256A" w:rsidP="00E7256A">
            <w:pPr>
              <w:pStyle w:val="TableofAuthorities"/>
              <w:rPr>
                <w:rFonts w:cs="Arial"/>
                <w:sz w:val="20"/>
                <w:szCs w:val="20"/>
              </w:rPr>
            </w:pPr>
            <w:r w:rsidRPr="00420154">
              <w:rPr>
                <w:rFonts w:cs="Arial"/>
                <w:sz w:val="20"/>
                <w:szCs w:val="20"/>
              </w:rPr>
              <w:t>15</w:t>
            </w:r>
            <w:r w:rsidR="001F1976">
              <w:rPr>
                <w:rFonts w:cs="Arial"/>
                <w:sz w:val="20"/>
                <w:szCs w:val="20"/>
              </w:rPr>
              <w:t>0,942</w:t>
            </w:r>
            <w:r w:rsidRPr="00420154">
              <w:rPr>
                <w:rFonts w:cs="Arial"/>
                <w:sz w:val="20"/>
                <w:szCs w:val="20"/>
              </w:rPr>
              <w:t xml:space="preserve"> </w:t>
            </w:r>
          </w:p>
        </w:tc>
      </w:tr>
      <w:tr w:rsidR="00E7256A" w:rsidRPr="00727E8E" w14:paraId="5F4623AC" w14:textId="77777777" w:rsidTr="00810150">
        <w:trPr>
          <w:trHeight w:val="313"/>
        </w:trPr>
        <w:tc>
          <w:tcPr>
            <w:tcW w:w="1989" w:type="dxa"/>
            <w:hideMark/>
          </w:tcPr>
          <w:p w14:paraId="0149291E" w14:textId="77777777" w:rsidR="00E7256A" w:rsidRPr="00420154" w:rsidRDefault="00E7256A" w:rsidP="00E7256A">
            <w:pPr>
              <w:pStyle w:val="TableofAuthorities"/>
              <w:rPr>
                <w:rFonts w:cs="Arial"/>
                <w:sz w:val="20"/>
                <w:szCs w:val="20"/>
              </w:rPr>
            </w:pPr>
            <w:r w:rsidRPr="00420154">
              <w:rPr>
                <w:rFonts w:cs="Arial"/>
                <w:sz w:val="20"/>
                <w:szCs w:val="20"/>
              </w:rPr>
              <w:t>LST government</w:t>
            </w:r>
          </w:p>
        </w:tc>
        <w:tc>
          <w:tcPr>
            <w:tcW w:w="1425" w:type="dxa"/>
            <w:vAlign w:val="top"/>
            <w:hideMark/>
          </w:tcPr>
          <w:p w14:paraId="6EBB1952" w14:textId="1CB7D8F2" w:rsidR="00E7256A" w:rsidRPr="00420154" w:rsidRDefault="00E7256A" w:rsidP="00E7256A">
            <w:pPr>
              <w:pStyle w:val="TableofAuthorities"/>
              <w:rPr>
                <w:rFonts w:cs="Arial"/>
                <w:sz w:val="20"/>
                <w:szCs w:val="20"/>
              </w:rPr>
            </w:pPr>
            <w:r w:rsidRPr="00420154">
              <w:rPr>
                <w:rFonts w:cs="Arial"/>
                <w:sz w:val="20"/>
                <w:szCs w:val="20"/>
              </w:rPr>
              <w:t xml:space="preserve">7,234 </w:t>
            </w:r>
          </w:p>
        </w:tc>
        <w:tc>
          <w:tcPr>
            <w:tcW w:w="1427" w:type="dxa"/>
            <w:vAlign w:val="top"/>
            <w:hideMark/>
          </w:tcPr>
          <w:p w14:paraId="1AC74C30" w14:textId="32B8BA76" w:rsidR="00E7256A" w:rsidRPr="00420154" w:rsidRDefault="00E7256A" w:rsidP="00E7256A">
            <w:pPr>
              <w:pStyle w:val="TableofAuthorities"/>
              <w:rPr>
                <w:rFonts w:cs="Arial"/>
                <w:sz w:val="20"/>
                <w:szCs w:val="20"/>
              </w:rPr>
            </w:pPr>
            <w:r w:rsidRPr="00420154">
              <w:rPr>
                <w:rFonts w:cs="Arial"/>
                <w:sz w:val="20"/>
                <w:szCs w:val="20"/>
              </w:rPr>
              <w:t xml:space="preserve">9,208 </w:t>
            </w:r>
          </w:p>
        </w:tc>
        <w:tc>
          <w:tcPr>
            <w:tcW w:w="1427" w:type="dxa"/>
            <w:vAlign w:val="top"/>
            <w:hideMark/>
          </w:tcPr>
          <w:p w14:paraId="6AC293F1" w14:textId="77A8E4F9" w:rsidR="00E7256A" w:rsidRPr="00420154" w:rsidRDefault="00E7256A" w:rsidP="00E7256A">
            <w:pPr>
              <w:pStyle w:val="TableofAuthorities"/>
              <w:rPr>
                <w:rFonts w:cs="Arial"/>
                <w:sz w:val="20"/>
                <w:szCs w:val="20"/>
              </w:rPr>
            </w:pPr>
            <w:r w:rsidRPr="00420154">
              <w:rPr>
                <w:rFonts w:cs="Arial"/>
                <w:sz w:val="20"/>
                <w:szCs w:val="20"/>
              </w:rPr>
              <w:t xml:space="preserve">10,741 </w:t>
            </w:r>
          </w:p>
        </w:tc>
        <w:tc>
          <w:tcPr>
            <w:tcW w:w="1427" w:type="dxa"/>
            <w:vAlign w:val="top"/>
            <w:hideMark/>
          </w:tcPr>
          <w:p w14:paraId="45B281D5" w14:textId="35DA2685" w:rsidR="00E7256A" w:rsidRPr="00420154" w:rsidRDefault="00E7256A" w:rsidP="00E7256A">
            <w:pPr>
              <w:pStyle w:val="TableofAuthorities"/>
              <w:rPr>
                <w:rFonts w:cs="Arial"/>
                <w:sz w:val="20"/>
                <w:szCs w:val="20"/>
              </w:rPr>
            </w:pPr>
            <w:r w:rsidRPr="00420154">
              <w:rPr>
                <w:rFonts w:cs="Arial"/>
                <w:sz w:val="20"/>
                <w:szCs w:val="20"/>
              </w:rPr>
              <w:t xml:space="preserve">12,200 </w:t>
            </w:r>
          </w:p>
        </w:tc>
        <w:tc>
          <w:tcPr>
            <w:tcW w:w="1377" w:type="dxa"/>
            <w:vAlign w:val="top"/>
            <w:hideMark/>
          </w:tcPr>
          <w:p w14:paraId="6C2B96D4" w14:textId="024981FE" w:rsidR="00E7256A" w:rsidRPr="00420154" w:rsidRDefault="00E7256A" w:rsidP="00E7256A">
            <w:pPr>
              <w:pStyle w:val="TableofAuthorities"/>
              <w:rPr>
                <w:rFonts w:cs="Arial"/>
                <w:sz w:val="20"/>
                <w:szCs w:val="20"/>
              </w:rPr>
            </w:pPr>
            <w:r w:rsidRPr="00420154">
              <w:rPr>
                <w:rFonts w:cs="Arial"/>
                <w:sz w:val="20"/>
                <w:szCs w:val="20"/>
              </w:rPr>
              <w:t xml:space="preserve">12,819 </w:t>
            </w:r>
          </w:p>
        </w:tc>
      </w:tr>
    </w:tbl>
    <w:p w14:paraId="09604CB7" w14:textId="77777777" w:rsidR="007953D2" w:rsidRDefault="007953D2" w:rsidP="005653B3">
      <w:pPr>
        <w:rPr>
          <w:b/>
          <w:bCs w:val="0"/>
          <w:sz w:val="28"/>
          <w:szCs w:val="28"/>
        </w:rPr>
      </w:pPr>
    </w:p>
    <w:p w14:paraId="530E8446" w14:textId="12A970FD" w:rsidR="00BA0E08" w:rsidRPr="009F4CA9" w:rsidRDefault="00BA0E08" w:rsidP="005653B3">
      <w:pPr>
        <w:rPr>
          <w:bCs w:val="0"/>
          <w:szCs w:val="28"/>
        </w:rPr>
      </w:pPr>
      <w:r w:rsidRPr="005653B3">
        <w:rPr>
          <w:b/>
          <w:bCs w:val="0"/>
          <w:sz w:val="28"/>
          <w:szCs w:val="28"/>
        </w:rPr>
        <w:t>Length of stay</w:t>
      </w:r>
    </w:p>
    <w:p w14:paraId="7739C8E6" w14:textId="048724B1" w:rsidR="00BA0E08" w:rsidRDefault="00BA5DCC" w:rsidP="00706D0A">
      <w:r w:rsidRPr="00520786">
        <w:fldChar w:fldCharType="begin"/>
      </w:r>
      <w:r w:rsidRPr="00520786">
        <w:instrText xml:space="preserve"> REF _Ref160717097 \h </w:instrText>
      </w:r>
      <w:r w:rsidR="00520786">
        <w:instrText xml:space="preserve"> \* MERGEFORMAT </w:instrText>
      </w:r>
      <w:r w:rsidRPr="00520786">
        <w:fldChar w:fldCharType="separate"/>
      </w:r>
      <w:r w:rsidR="001377BE">
        <w:t xml:space="preserve">Chart </w:t>
      </w:r>
      <w:r w:rsidR="001377BE">
        <w:rPr>
          <w:noProof/>
        </w:rPr>
        <w:t>1.1</w:t>
      </w:r>
      <w:r w:rsidRPr="00520786">
        <w:fldChar w:fldCharType="end"/>
      </w:r>
      <w:r w:rsidRPr="00520786">
        <w:t xml:space="preserve"> </w:t>
      </w:r>
      <w:r w:rsidR="00BA0E08" w:rsidRPr="00520786">
        <w:t>shows</w:t>
      </w:r>
      <w:r w:rsidR="00BA0E08" w:rsidRPr="00520786">
        <w:rPr>
          <w:spacing w:val="-6"/>
        </w:rPr>
        <w:t xml:space="preserve"> </w:t>
      </w:r>
      <w:r w:rsidR="00BA0E08" w:rsidRPr="00520786">
        <w:t>the</w:t>
      </w:r>
      <w:r w:rsidR="00BA0E08" w:rsidRPr="00520786">
        <w:rPr>
          <w:spacing w:val="-6"/>
        </w:rPr>
        <w:t xml:space="preserve"> </w:t>
      </w:r>
      <w:r w:rsidR="00BA0E08" w:rsidRPr="00520786">
        <w:t>median</w:t>
      </w:r>
      <w:r w:rsidR="00BA0E08" w:rsidRPr="00520786">
        <w:rPr>
          <w:spacing w:val="-6"/>
        </w:rPr>
        <w:t xml:space="preserve"> </w:t>
      </w:r>
      <w:r w:rsidR="00BA0E08" w:rsidRPr="00520786">
        <w:t>time</w:t>
      </w:r>
      <w:r w:rsidR="00BA0E08" w:rsidRPr="00520786">
        <w:rPr>
          <w:spacing w:val="-6"/>
        </w:rPr>
        <w:t xml:space="preserve"> </w:t>
      </w:r>
      <w:r w:rsidR="00BA0E08" w:rsidRPr="00520786">
        <w:t>spent</w:t>
      </w:r>
      <w:r w:rsidR="00BA0E08" w:rsidRPr="00520786">
        <w:rPr>
          <w:spacing w:val="-6"/>
        </w:rPr>
        <w:t xml:space="preserve"> </w:t>
      </w:r>
      <w:r w:rsidR="00BA0E08" w:rsidRPr="00520786">
        <w:t>in</w:t>
      </w:r>
      <w:r w:rsidR="00BA0E08" w:rsidRPr="00520786">
        <w:rPr>
          <w:spacing w:val="-6"/>
        </w:rPr>
        <w:t xml:space="preserve"> </w:t>
      </w:r>
      <w:r w:rsidR="00BA0E08" w:rsidRPr="00520786">
        <w:t>the</w:t>
      </w:r>
      <w:r w:rsidR="00BA0E08" w:rsidRPr="00520786">
        <w:rPr>
          <w:spacing w:val="-6"/>
        </w:rPr>
        <w:t xml:space="preserve"> </w:t>
      </w:r>
      <w:r w:rsidR="00BA0E08" w:rsidRPr="00520786">
        <w:t>home care program</w:t>
      </w:r>
      <w:r w:rsidR="009D2B08">
        <w:t>,</w:t>
      </w:r>
      <w:r w:rsidR="00BA0E08" w:rsidRPr="00520786">
        <w:t xml:space="preserve"> at exit was around 1</w:t>
      </w:r>
      <w:r w:rsidR="00520786" w:rsidRPr="00520786">
        <w:t>9</w:t>
      </w:r>
      <w:r w:rsidR="00BA0E08" w:rsidRPr="00520786">
        <w:t xml:space="preserve"> months in</w:t>
      </w:r>
      <w:r w:rsidR="00BA0E08" w:rsidRPr="00520786">
        <w:rPr>
          <w:spacing w:val="-11"/>
        </w:rPr>
        <w:t xml:space="preserve"> </w:t>
      </w:r>
      <w:r w:rsidR="00BA0E08" w:rsidRPr="00520786">
        <w:t>2022</w:t>
      </w:r>
      <w:r w:rsidR="00520786" w:rsidRPr="00520786">
        <w:t>-23</w:t>
      </w:r>
      <w:r w:rsidR="00BA0E08" w:rsidRPr="00520786">
        <w:t>.</w:t>
      </w:r>
      <w:r w:rsidR="00BA0E08" w:rsidRPr="00520786">
        <w:rPr>
          <w:spacing w:val="-8"/>
        </w:rPr>
        <w:t xml:space="preserve"> </w:t>
      </w:r>
      <w:r w:rsidR="00BA0E08" w:rsidRPr="00520786">
        <w:t>The</w:t>
      </w:r>
      <w:r w:rsidR="00BA0E08" w:rsidRPr="00520786">
        <w:rPr>
          <w:spacing w:val="-8"/>
        </w:rPr>
        <w:t xml:space="preserve"> </w:t>
      </w:r>
      <w:r w:rsidR="00BA0E08" w:rsidRPr="00520786">
        <w:t>average</w:t>
      </w:r>
      <w:r w:rsidR="00BA0E08" w:rsidRPr="00520786">
        <w:rPr>
          <w:spacing w:val="-8"/>
        </w:rPr>
        <w:t xml:space="preserve"> </w:t>
      </w:r>
      <w:r w:rsidR="00BA0E08" w:rsidRPr="00520786">
        <w:t>length</w:t>
      </w:r>
      <w:r w:rsidR="00BA0E08" w:rsidRPr="00520786">
        <w:rPr>
          <w:spacing w:val="-8"/>
        </w:rPr>
        <w:t xml:space="preserve"> </w:t>
      </w:r>
      <w:r w:rsidR="00BA0E08" w:rsidRPr="00520786">
        <w:t>of</w:t>
      </w:r>
      <w:r w:rsidR="00BA0E08" w:rsidRPr="00520786">
        <w:rPr>
          <w:spacing w:val="-8"/>
        </w:rPr>
        <w:t xml:space="preserve"> </w:t>
      </w:r>
      <w:r w:rsidR="00BA0E08" w:rsidRPr="00520786">
        <w:t>stay</w:t>
      </w:r>
      <w:r w:rsidR="00BA0E08" w:rsidRPr="00520786">
        <w:rPr>
          <w:spacing w:val="-8"/>
        </w:rPr>
        <w:t xml:space="preserve"> </w:t>
      </w:r>
      <w:r w:rsidR="00BA0E08" w:rsidRPr="00520786">
        <w:t>was</w:t>
      </w:r>
      <w:r w:rsidR="00BA0E08" w:rsidRPr="00520786">
        <w:rPr>
          <w:spacing w:val="-8"/>
        </w:rPr>
        <w:t xml:space="preserve"> </w:t>
      </w:r>
      <w:r w:rsidR="00BA0E08" w:rsidRPr="00520786">
        <w:t>approximately 27 months.</w:t>
      </w:r>
    </w:p>
    <w:p w14:paraId="14A01589" w14:textId="04B24EDC" w:rsidR="00BA5DCC" w:rsidRDefault="00BA0E08" w:rsidP="00706D0A">
      <w:pPr>
        <w:pStyle w:val="TableTitle"/>
      </w:pPr>
      <w:bookmarkStart w:id="13" w:name="_Ref160717097"/>
      <w:bookmarkStart w:id="14" w:name="_Toc173428900"/>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13"/>
      <w:r>
        <w:t xml:space="preserve">: </w:t>
      </w:r>
      <w:r w:rsidRPr="004760BD">
        <w:t xml:space="preserve">Median and average length of stay in home care, by year of exit, </w:t>
      </w:r>
      <w:r w:rsidR="00FB12B0">
        <w:t>2015-16</w:t>
      </w:r>
      <w:r w:rsidRPr="004760BD">
        <w:t xml:space="preserve"> to 202</w:t>
      </w:r>
      <w:r>
        <w:t>2-23</w:t>
      </w:r>
      <w:bookmarkEnd w:id="14"/>
    </w:p>
    <w:p w14:paraId="2F2757DA" w14:textId="5DA8EE57" w:rsidR="00BA5DCC" w:rsidRDefault="00FB12B0" w:rsidP="00706D0A">
      <w:pPr>
        <w:pStyle w:val="TableTitle"/>
      </w:pPr>
      <w:r>
        <w:rPr>
          <w:noProof/>
        </w:rPr>
        <w:drawing>
          <wp:inline distT="0" distB="0" distL="0" distR="0" wp14:anchorId="51482693" wp14:editId="5CD318C1">
            <wp:extent cx="5871479" cy="3736800"/>
            <wp:effectExtent l="0" t="0" r="0" b="0"/>
            <wp:docPr id="22" name="Picture 22" descr="Chart 1.1 is a line chart titled Median and average length of stay in home care, by year of exit, 2015-16 to 2022-23. The median time spent in the home care program at discharge was around 19 months in 2022-23, an increase of 1 month from 2021-22. The average length of stay remained steady at 27 month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1.1 is a line chart titled Median and average length of stay in home care, by year of exit, 2015-16 to 2022-23. The median time spent in the home care program at discharge was around 19 months in 2022-23, an increase of 1 month from 2021-22. The average length of stay remained steady at 27 months.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85668" cy="3745830"/>
                    </a:xfrm>
                    <a:prstGeom prst="rect">
                      <a:avLst/>
                    </a:prstGeom>
                    <a:noFill/>
                  </pic:spPr>
                </pic:pic>
              </a:graphicData>
            </a:graphic>
          </wp:inline>
        </w:drawing>
      </w:r>
    </w:p>
    <w:p w14:paraId="527C60E0" w14:textId="77777777" w:rsidR="006F4F12" w:rsidRDefault="006F4F12" w:rsidP="006F4F12">
      <w:pPr>
        <w:spacing w:before="0" w:after="0" w:line="240" w:lineRule="auto"/>
      </w:pPr>
      <w:r>
        <w:br w:type="page"/>
      </w:r>
    </w:p>
    <w:p w14:paraId="0C79083F" w14:textId="748DEEBF" w:rsidR="00BA5DCC" w:rsidRDefault="007B3EE7" w:rsidP="00706D0A">
      <w:r>
        <w:t xml:space="preserve">In 2022-23, the </w:t>
      </w:r>
      <w:r w:rsidR="001D66DB">
        <w:t xml:space="preserve">percentage of recipients leaving home care in their first year dropped </w:t>
      </w:r>
      <w:r>
        <w:t xml:space="preserve">to </w:t>
      </w:r>
      <w:r w:rsidR="00CF679C">
        <w:t>18</w:t>
      </w:r>
      <w:r>
        <w:t>%</w:t>
      </w:r>
      <w:r w:rsidR="00CF679C">
        <w:t xml:space="preserve">, down </w:t>
      </w:r>
      <w:r w:rsidR="00904500">
        <w:t xml:space="preserve">2 </w:t>
      </w:r>
      <w:r w:rsidR="00CF679C">
        <w:t xml:space="preserve">percentage points </w:t>
      </w:r>
      <w:r w:rsidR="00196A0C">
        <w:t xml:space="preserve">on the 2021-22 result. </w:t>
      </w:r>
      <w:r w:rsidR="00350AC9" w:rsidRPr="002832FE">
        <w:fldChar w:fldCharType="begin"/>
      </w:r>
      <w:r w:rsidR="00350AC9" w:rsidRPr="002832FE">
        <w:instrText xml:space="preserve"> REF _Ref160717762 \h </w:instrText>
      </w:r>
      <w:r w:rsidR="002832FE">
        <w:instrText xml:space="preserve"> \* MERGEFORMAT </w:instrText>
      </w:r>
      <w:r w:rsidR="00350AC9" w:rsidRPr="002832FE">
        <w:fldChar w:fldCharType="separate"/>
      </w:r>
      <w:r w:rsidR="001377BE">
        <w:t xml:space="preserve">Chart </w:t>
      </w:r>
      <w:r w:rsidR="001377BE">
        <w:rPr>
          <w:noProof/>
        </w:rPr>
        <w:t>1.2</w:t>
      </w:r>
      <w:r w:rsidR="00350AC9" w:rsidRPr="002832FE">
        <w:fldChar w:fldCharType="end"/>
      </w:r>
      <w:r w:rsidR="001A30E5">
        <w:t xml:space="preserve"> shows the percentage of recipients leaving home care during their first year returned to similar level</w:t>
      </w:r>
      <w:r w:rsidR="00300DA8">
        <w:t>s</w:t>
      </w:r>
      <w:r w:rsidR="001A30E5">
        <w:t xml:space="preserve"> as what was reported in 2019-20 and 2020-21.</w:t>
      </w:r>
    </w:p>
    <w:p w14:paraId="410D5821" w14:textId="19C871B8" w:rsidR="00BA5DCC" w:rsidRDefault="00350AC9" w:rsidP="00706D0A">
      <w:pPr>
        <w:pStyle w:val="Caption"/>
      </w:pPr>
      <w:bookmarkStart w:id="15" w:name="_Ref160717762"/>
      <w:bookmarkStart w:id="16" w:name="_Toc173428901"/>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bookmarkEnd w:id="15"/>
      <w:r>
        <w:t xml:space="preserve">: </w:t>
      </w:r>
      <w:r w:rsidRPr="00982BF2">
        <w:t>Cumulative proportion of home care recipients leaving home care during their first year by year of entry, 2018</w:t>
      </w:r>
      <w:r w:rsidR="00AE73DB">
        <w:t>-19</w:t>
      </w:r>
      <w:r w:rsidRPr="00982BF2">
        <w:t xml:space="preserve"> to 202</w:t>
      </w:r>
      <w:r w:rsidR="00AE73DB">
        <w:t>2-23</w:t>
      </w:r>
      <w:bookmarkEnd w:id="16"/>
    </w:p>
    <w:p w14:paraId="586D48F7" w14:textId="319D67BE" w:rsidR="00BA5DCC" w:rsidRDefault="002832FE" w:rsidP="00706D0A">
      <w:pPr>
        <w:pStyle w:val="TableTitle"/>
      </w:pPr>
      <w:r>
        <w:rPr>
          <w:noProof/>
        </w:rPr>
        <w:drawing>
          <wp:inline distT="0" distB="0" distL="0" distR="0" wp14:anchorId="50B1FD92" wp14:editId="7DF5A6E1">
            <wp:extent cx="5853279" cy="3780000"/>
            <wp:effectExtent l="0" t="0" r="0" b="0"/>
            <wp:docPr id="24" name="Picture 24" descr="Chart 1.2 is a line chart titled Cumulative proportion of home care recipients leaving home care during their first year by year of entry, 2018-19 to 2022-23. In 2022-23, there was slight decrease compared to proportion in 2021-22, down from 20% to 18%. However, since 2018-19, there has been fewer people from each annual cohort that are leaving home care in their first ye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1.2 is a line chart titled Cumulative proportion of home care recipients leaving home care during their first year by year of entry, 2018-19 to 2022-23. In 2022-23, there was slight decrease compared to proportion in 2021-22, down from 20% to 18%. However, since 2018-19, there has been fewer people from each annual cohort that are leaving home care in their first year.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7852" cy="3782953"/>
                    </a:xfrm>
                    <a:prstGeom prst="rect">
                      <a:avLst/>
                    </a:prstGeom>
                    <a:noFill/>
                  </pic:spPr>
                </pic:pic>
              </a:graphicData>
            </a:graphic>
          </wp:inline>
        </w:drawing>
      </w:r>
    </w:p>
    <w:p w14:paraId="73B0EF2B" w14:textId="4F1BE3FB" w:rsidR="00350AC9" w:rsidRDefault="005E3A0E" w:rsidP="004059B3">
      <w:pPr>
        <w:pStyle w:val="FootnoteText"/>
      </w:pPr>
      <w:r w:rsidRPr="007D2C86">
        <w:t xml:space="preserve">Note: </w:t>
      </w:r>
      <w:r w:rsidR="00EE5B23" w:rsidRPr="00472F54">
        <w:t xml:space="preserve">The data for Chart 1.2 is a point-in-time snapshot from a live data set. Previously reported results may have changed if the data was </w:t>
      </w:r>
      <w:r w:rsidR="00014093">
        <w:t>amended</w:t>
      </w:r>
      <w:r w:rsidR="00EE5B23" w:rsidRPr="00472F54">
        <w:t xml:space="preserve"> after the point</w:t>
      </w:r>
      <w:r w:rsidR="00472F54">
        <w:t>-</w:t>
      </w:r>
      <w:r w:rsidR="00EE5B23" w:rsidRPr="00472F54">
        <w:t>in</w:t>
      </w:r>
      <w:r w:rsidR="00472F54">
        <w:t>-</w:t>
      </w:r>
      <w:r w:rsidR="00EE5B23" w:rsidRPr="00472F54">
        <w:t>time snapshot was taken.</w:t>
      </w:r>
    </w:p>
    <w:p w14:paraId="6FAB2C6E" w14:textId="77777777" w:rsidR="006F4F12" w:rsidRDefault="006F4F12" w:rsidP="006F4F12">
      <w:pPr>
        <w:spacing w:before="0" w:after="0" w:line="240" w:lineRule="auto"/>
      </w:pPr>
      <w:r>
        <w:br w:type="page"/>
      </w:r>
    </w:p>
    <w:p w14:paraId="6C13614C" w14:textId="38607C53" w:rsidR="00E05490" w:rsidRPr="00CB13E6" w:rsidRDefault="00577370" w:rsidP="00706D0A">
      <w:pPr>
        <w:rPr>
          <w:b/>
        </w:rPr>
      </w:pPr>
      <w:r w:rsidRPr="00CB13E6">
        <w:fldChar w:fldCharType="begin"/>
      </w:r>
      <w:r w:rsidRPr="00CB13E6">
        <w:instrText xml:space="preserve"> REF _Ref160717907 \h </w:instrText>
      </w:r>
      <w:r w:rsidR="00CB13E6">
        <w:instrText xml:space="preserve"> \* MERGEFORMAT </w:instrText>
      </w:r>
      <w:r w:rsidRPr="00CB13E6">
        <w:fldChar w:fldCharType="separate"/>
      </w:r>
      <w:r w:rsidR="001377BE">
        <w:t xml:space="preserve">Table </w:t>
      </w:r>
      <w:r w:rsidR="001377BE">
        <w:rPr>
          <w:noProof/>
        </w:rPr>
        <w:t>1.2</w:t>
      </w:r>
      <w:r w:rsidRPr="00CB13E6">
        <w:fldChar w:fldCharType="end"/>
      </w:r>
      <w:r w:rsidRPr="00CB13E6">
        <w:t xml:space="preserve"> </w:t>
      </w:r>
      <w:r w:rsidR="00E05490" w:rsidRPr="00CB13E6">
        <w:t>presents a breakdown of home care providers by ownership type and location at 30 June 202</w:t>
      </w:r>
      <w:r w:rsidR="00F16C25" w:rsidRPr="00CB13E6">
        <w:t>3</w:t>
      </w:r>
      <w:r w:rsidR="00E05490" w:rsidRPr="00CB13E6">
        <w:t xml:space="preserve">. </w:t>
      </w:r>
      <w:r w:rsidR="00DC2031" w:rsidRPr="00CB13E6">
        <w:t xml:space="preserve">The </w:t>
      </w:r>
      <w:r w:rsidR="002213C5" w:rsidRPr="00CB13E6">
        <w:t xml:space="preserve">number of providers increased </w:t>
      </w:r>
      <w:r w:rsidR="004E6557" w:rsidRPr="00CB13E6">
        <w:t xml:space="preserve">to 923 at 30 June 2023, up from 916 at 30 June 2022. </w:t>
      </w:r>
      <w:r w:rsidR="00E05490" w:rsidRPr="00CB13E6">
        <w:t>Not-for-profit providers represented 5</w:t>
      </w:r>
      <w:r w:rsidRPr="00CB13E6">
        <w:t>1%</w:t>
      </w:r>
      <w:r w:rsidR="00E05490" w:rsidRPr="00CB13E6">
        <w:t>, while for-profit providers made up 3</w:t>
      </w:r>
      <w:r w:rsidRPr="00CB13E6">
        <w:t>8%</w:t>
      </w:r>
      <w:r w:rsidR="00E05490" w:rsidRPr="00CB13E6">
        <w:t>.</w:t>
      </w:r>
    </w:p>
    <w:p w14:paraId="4A52575C" w14:textId="2119A7C6" w:rsidR="00E43142" w:rsidRPr="001744AB" w:rsidRDefault="00E43142" w:rsidP="00E43142">
      <w:r w:rsidRPr="001744AB">
        <w:t xml:space="preserve">Location indicates where a provider, service or resident/recipient is located based on whether they are </w:t>
      </w:r>
      <w:r w:rsidR="00346DEF">
        <w:t xml:space="preserve">in </w:t>
      </w:r>
      <w:r w:rsidRPr="001744AB">
        <w:t>metropolitan or regional areas. Metropolitan is all major cities and regional is any area outside of a major city. A provider is classified as metropolitan if more than 70</w:t>
      </w:r>
      <w:r>
        <w:t>%</w:t>
      </w:r>
      <w:r w:rsidRPr="001744AB">
        <w:t xml:space="preserve"> of its services are in metropolitan areas and similarly classified as regional if more than 70</w:t>
      </w:r>
      <w:r>
        <w:t xml:space="preserve">% </w:t>
      </w:r>
      <w:r w:rsidRPr="001744AB">
        <w:t>of its services are located in regional areas.</w:t>
      </w:r>
    </w:p>
    <w:p w14:paraId="63283A8A" w14:textId="5C828273" w:rsidR="00B73A3A" w:rsidRDefault="002F6D41" w:rsidP="002F6D41">
      <w:r>
        <w:t xml:space="preserve">Recipients are reported by </w:t>
      </w:r>
      <w:r w:rsidR="005D2692">
        <w:t>r</w:t>
      </w:r>
      <w:r>
        <w:t xml:space="preserve">emoteness category as determined by the location of the </w:t>
      </w:r>
      <w:r w:rsidR="00AC6A30">
        <w:t>p</w:t>
      </w:r>
      <w:r>
        <w:t>rovider's services, as described abov</w:t>
      </w:r>
      <w:r w:rsidR="00E15653">
        <w:t>e.</w:t>
      </w:r>
      <w:r w:rsidR="00CB13E6" w:rsidRPr="00CB13E6" w:rsidDel="002F6D41">
        <w:t xml:space="preserve"> </w:t>
      </w:r>
      <w:r w:rsidR="00CD4843" w:rsidRPr="00CB13E6">
        <w:t>Metropolitan</w:t>
      </w:r>
      <w:r w:rsidR="006B14E3" w:rsidRPr="00CB13E6">
        <w:t xml:space="preserve"> providers </w:t>
      </w:r>
      <w:r w:rsidR="000E7960" w:rsidRPr="00CB13E6">
        <w:t xml:space="preserve">represented </w:t>
      </w:r>
      <w:r w:rsidR="00241E89">
        <w:t>60</w:t>
      </w:r>
      <w:r w:rsidR="000E7960" w:rsidRPr="00CB13E6">
        <w:t>%</w:t>
      </w:r>
      <w:r w:rsidR="001F5D6F" w:rsidRPr="00CB13E6">
        <w:t xml:space="preserve">, regional represented 35% and metropolitan and regional represented </w:t>
      </w:r>
      <w:r w:rsidR="00241E89">
        <w:t>4</w:t>
      </w:r>
      <w:r w:rsidR="00FA79BD" w:rsidRPr="00CB13E6">
        <w:t>%</w:t>
      </w:r>
      <w:r w:rsidR="00E15653">
        <w:t xml:space="preserve"> of </w:t>
      </w:r>
      <w:r w:rsidR="0049357B">
        <w:t xml:space="preserve">the </w:t>
      </w:r>
      <w:r w:rsidR="00E15653">
        <w:t>total number of providers</w:t>
      </w:r>
      <w:r w:rsidR="00FA79BD" w:rsidRPr="00CB13E6">
        <w:t>.</w:t>
      </w:r>
      <w:r w:rsidR="00FA79BD">
        <w:t xml:space="preserve"> </w:t>
      </w:r>
    </w:p>
    <w:p w14:paraId="0043937C" w14:textId="03A147CF" w:rsidR="009137F8" w:rsidRDefault="001E6CB9" w:rsidP="00706D0A">
      <w:pPr>
        <w:pStyle w:val="Caption"/>
      </w:pPr>
      <w:bookmarkStart w:id="17" w:name="_Ref160717907"/>
      <w:bookmarkStart w:id="18" w:name="_Ref160717901"/>
      <w:bookmarkStart w:id="19" w:name="_Toc173428873"/>
      <w:r>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2</w:t>
      </w:r>
      <w:r w:rsidR="00AE19AA">
        <w:rPr>
          <w:noProof/>
        </w:rPr>
        <w:fldChar w:fldCharType="end"/>
      </w:r>
      <w:bookmarkEnd w:id="17"/>
      <w:r>
        <w:t xml:space="preserve">: </w:t>
      </w:r>
      <w:r w:rsidRPr="00423DD0">
        <w:t>Number of home care providers and number of recipients, at 30 June 202</w:t>
      </w:r>
      <w:bookmarkEnd w:id="18"/>
      <w:r w:rsidR="00F16C25">
        <w:t>3</w:t>
      </w:r>
      <w:bookmarkEnd w:id="19"/>
    </w:p>
    <w:tbl>
      <w:tblPr>
        <w:tblW w:w="9072" w:type="dxa"/>
        <w:tblLayout w:type="fixed"/>
        <w:tblLook w:val="04A0" w:firstRow="1" w:lastRow="0" w:firstColumn="1" w:lastColumn="0" w:noHBand="0" w:noVBand="1"/>
      </w:tblPr>
      <w:tblGrid>
        <w:gridCol w:w="1276"/>
        <w:gridCol w:w="992"/>
        <w:gridCol w:w="901"/>
        <w:gridCol w:w="92"/>
        <w:gridCol w:w="949"/>
        <w:gridCol w:w="1018"/>
        <w:gridCol w:w="983"/>
        <w:gridCol w:w="128"/>
        <w:gridCol w:w="890"/>
        <w:gridCol w:w="984"/>
        <w:gridCol w:w="859"/>
      </w:tblGrid>
      <w:tr w:rsidR="000D6193" w:rsidRPr="000D6193" w14:paraId="585DC8BB" w14:textId="77777777" w:rsidTr="00375137">
        <w:trPr>
          <w:trHeight w:val="619"/>
        </w:trPr>
        <w:tc>
          <w:tcPr>
            <w:tcW w:w="1276" w:type="dxa"/>
            <w:tcBorders>
              <w:top w:val="nil"/>
              <w:left w:val="nil"/>
              <w:bottom w:val="nil"/>
              <w:right w:val="nil"/>
            </w:tcBorders>
            <w:shd w:val="clear" w:color="000000" w:fill="1E1545"/>
            <w:vAlign w:val="bottom"/>
            <w:hideMark/>
          </w:tcPr>
          <w:p w14:paraId="7E1BF1EC" w14:textId="77777777" w:rsidR="000D6193" w:rsidRPr="000D6193" w:rsidRDefault="000D6193" w:rsidP="000D6193">
            <w:pPr>
              <w:spacing w:before="0" w:after="0" w:line="240" w:lineRule="auto"/>
              <w:rPr>
                <w:rFonts w:cs="Arial"/>
                <w:b/>
                <w:color w:val="FFFFFF"/>
                <w:sz w:val="21"/>
                <w:szCs w:val="21"/>
                <w:lang w:eastAsia="en-AU"/>
              </w:rPr>
            </w:pPr>
            <w:r w:rsidRPr="000D6193">
              <w:rPr>
                <w:rFonts w:cs="Arial"/>
                <w:b/>
                <w:color w:val="FFFFFF"/>
                <w:sz w:val="21"/>
                <w:szCs w:val="21"/>
                <w:lang w:eastAsia="en-AU"/>
              </w:rPr>
              <w:t> </w:t>
            </w:r>
          </w:p>
        </w:tc>
        <w:tc>
          <w:tcPr>
            <w:tcW w:w="992" w:type="dxa"/>
            <w:tcBorders>
              <w:top w:val="nil"/>
              <w:left w:val="nil"/>
              <w:bottom w:val="nil"/>
              <w:right w:val="nil"/>
            </w:tcBorders>
            <w:shd w:val="clear" w:color="000000" w:fill="1E1545"/>
            <w:vAlign w:val="bottom"/>
            <w:hideMark/>
          </w:tcPr>
          <w:p w14:paraId="111CF8BA" w14:textId="77777777" w:rsidR="000D6193" w:rsidRPr="000D6193" w:rsidRDefault="000D6193" w:rsidP="000D6193">
            <w:pPr>
              <w:spacing w:before="0" w:after="0" w:line="240" w:lineRule="auto"/>
              <w:rPr>
                <w:rFonts w:cs="Arial"/>
                <w:b/>
                <w:color w:val="FFFFFF"/>
                <w:sz w:val="21"/>
                <w:szCs w:val="21"/>
                <w:lang w:eastAsia="en-AU"/>
              </w:rPr>
            </w:pPr>
            <w:r w:rsidRPr="000D6193">
              <w:rPr>
                <w:rFonts w:cs="Arial"/>
                <w:b/>
                <w:color w:val="FFFFFF"/>
                <w:sz w:val="21"/>
                <w:szCs w:val="21"/>
                <w:lang w:eastAsia="en-AU"/>
              </w:rPr>
              <w:t> </w:t>
            </w:r>
          </w:p>
        </w:tc>
        <w:tc>
          <w:tcPr>
            <w:tcW w:w="901" w:type="dxa"/>
            <w:tcBorders>
              <w:top w:val="nil"/>
              <w:left w:val="nil"/>
              <w:bottom w:val="nil"/>
              <w:right w:val="nil"/>
            </w:tcBorders>
            <w:shd w:val="clear" w:color="000000" w:fill="1E1545"/>
            <w:vAlign w:val="bottom"/>
            <w:hideMark/>
          </w:tcPr>
          <w:p w14:paraId="1F7EB324" w14:textId="77777777" w:rsidR="000D6193" w:rsidRPr="000D6193" w:rsidRDefault="000D6193" w:rsidP="000D6193">
            <w:pPr>
              <w:spacing w:before="0" w:after="0" w:line="240" w:lineRule="auto"/>
              <w:rPr>
                <w:rFonts w:cs="Arial"/>
                <w:b/>
                <w:color w:val="FFFFFF"/>
                <w:sz w:val="21"/>
                <w:szCs w:val="21"/>
                <w:lang w:eastAsia="en-AU"/>
              </w:rPr>
            </w:pPr>
            <w:r w:rsidRPr="000D6193">
              <w:rPr>
                <w:rFonts w:cs="Arial"/>
                <w:b/>
                <w:color w:val="FFFFFF"/>
                <w:sz w:val="21"/>
                <w:szCs w:val="21"/>
                <w:lang w:eastAsia="en-AU"/>
              </w:rPr>
              <w:t> </w:t>
            </w:r>
          </w:p>
        </w:tc>
        <w:tc>
          <w:tcPr>
            <w:tcW w:w="3170" w:type="dxa"/>
            <w:gridSpan w:val="5"/>
            <w:tcBorders>
              <w:top w:val="nil"/>
              <w:left w:val="nil"/>
              <w:bottom w:val="nil"/>
              <w:right w:val="nil"/>
            </w:tcBorders>
            <w:shd w:val="clear" w:color="000000" w:fill="1E1545"/>
            <w:vAlign w:val="bottom"/>
            <w:hideMark/>
          </w:tcPr>
          <w:p w14:paraId="5AAB2F10" w14:textId="77777777" w:rsidR="000D6193" w:rsidRPr="000D6193" w:rsidRDefault="000D6193" w:rsidP="000D6193">
            <w:pPr>
              <w:spacing w:before="0" w:after="0" w:line="240" w:lineRule="auto"/>
              <w:jc w:val="center"/>
              <w:rPr>
                <w:rFonts w:cs="Arial"/>
                <w:b/>
                <w:color w:val="FFFFFF"/>
                <w:sz w:val="21"/>
                <w:szCs w:val="21"/>
                <w:lang w:eastAsia="en-AU"/>
              </w:rPr>
            </w:pPr>
            <w:r w:rsidRPr="000D6193">
              <w:rPr>
                <w:rFonts w:cs="Arial"/>
                <w:b/>
                <w:color w:val="FFFFFF"/>
                <w:sz w:val="21"/>
                <w:szCs w:val="21"/>
                <w:lang w:eastAsia="en-AU"/>
              </w:rPr>
              <w:t>Ownership type</w:t>
            </w:r>
          </w:p>
        </w:tc>
        <w:tc>
          <w:tcPr>
            <w:tcW w:w="2733" w:type="dxa"/>
            <w:gridSpan w:val="3"/>
            <w:tcBorders>
              <w:top w:val="nil"/>
              <w:left w:val="nil"/>
              <w:bottom w:val="nil"/>
              <w:right w:val="nil"/>
            </w:tcBorders>
            <w:shd w:val="clear" w:color="000000" w:fill="1E1545"/>
            <w:vAlign w:val="bottom"/>
            <w:hideMark/>
          </w:tcPr>
          <w:p w14:paraId="7439617C" w14:textId="77777777" w:rsidR="000D6193" w:rsidRPr="000D6193" w:rsidRDefault="000D6193" w:rsidP="000D6193">
            <w:pPr>
              <w:spacing w:before="0" w:after="0" w:line="240" w:lineRule="auto"/>
              <w:jc w:val="center"/>
              <w:rPr>
                <w:rFonts w:cs="Arial"/>
                <w:b/>
                <w:color w:val="FFFFFF"/>
                <w:sz w:val="21"/>
                <w:szCs w:val="21"/>
                <w:lang w:eastAsia="en-AU"/>
              </w:rPr>
            </w:pPr>
            <w:r w:rsidRPr="000D6193">
              <w:rPr>
                <w:rFonts w:cs="Arial"/>
                <w:b/>
                <w:color w:val="FFFFFF"/>
                <w:sz w:val="21"/>
                <w:szCs w:val="21"/>
                <w:lang w:eastAsia="en-AU"/>
              </w:rPr>
              <w:t>Location</w:t>
            </w:r>
          </w:p>
        </w:tc>
      </w:tr>
      <w:tr w:rsidR="000D6193" w:rsidRPr="000D6193" w14:paraId="4D381F62" w14:textId="77777777" w:rsidTr="00375137">
        <w:trPr>
          <w:trHeight w:val="1542"/>
        </w:trPr>
        <w:tc>
          <w:tcPr>
            <w:tcW w:w="1276" w:type="dxa"/>
            <w:tcBorders>
              <w:top w:val="nil"/>
              <w:left w:val="nil"/>
              <w:bottom w:val="nil"/>
              <w:right w:val="nil"/>
            </w:tcBorders>
            <w:shd w:val="clear" w:color="000000" w:fill="D8DADA"/>
            <w:textDirection w:val="btLr"/>
            <w:vAlign w:val="bottom"/>
            <w:hideMark/>
          </w:tcPr>
          <w:p w14:paraId="20EAA359"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 </w:t>
            </w:r>
          </w:p>
        </w:tc>
        <w:tc>
          <w:tcPr>
            <w:tcW w:w="992" w:type="dxa"/>
            <w:tcBorders>
              <w:top w:val="nil"/>
              <w:left w:val="nil"/>
              <w:bottom w:val="nil"/>
              <w:right w:val="nil"/>
            </w:tcBorders>
            <w:shd w:val="clear" w:color="000000" w:fill="D8DADA"/>
            <w:textDirection w:val="btLr"/>
            <w:vAlign w:val="bottom"/>
            <w:hideMark/>
          </w:tcPr>
          <w:p w14:paraId="64895902"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30-Jun-22</w:t>
            </w:r>
          </w:p>
        </w:tc>
        <w:tc>
          <w:tcPr>
            <w:tcW w:w="993" w:type="dxa"/>
            <w:gridSpan w:val="2"/>
            <w:tcBorders>
              <w:top w:val="nil"/>
              <w:left w:val="nil"/>
              <w:bottom w:val="nil"/>
              <w:right w:val="nil"/>
            </w:tcBorders>
            <w:shd w:val="clear" w:color="000000" w:fill="D8DADA"/>
            <w:textDirection w:val="btLr"/>
            <w:vAlign w:val="bottom"/>
            <w:hideMark/>
          </w:tcPr>
          <w:p w14:paraId="04288D1A"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30-Jun-23</w:t>
            </w:r>
          </w:p>
        </w:tc>
        <w:tc>
          <w:tcPr>
            <w:tcW w:w="949" w:type="dxa"/>
            <w:tcBorders>
              <w:top w:val="nil"/>
              <w:left w:val="single" w:sz="8" w:space="0" w:color="1E1545"/>
              <w:bottom w:val="nil"/>
              <w:right w:val="nil"/>
            </w:tcBorders>
            <w:shd w:val="clear" w:color="000000" w:fill="D8DADA"/>
            <w:textDirection w:val="btLr"/>
            <w:vAlign w:val="bottom"/>
            <w:hideMark/>
          </w:tcPr>
          <w:p w14:paraId="22B9DD16"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For-profit</w:t>
            </w:r>
          </w:p>
        </w:tc>
        <w:tc>
          <w:tcPr>
            <w:tcW w:w="1018" w:type="dxa"/>
            <w:tcBorders>
              <w:top w:val="nil"/>
              <w:left w:val="nil"/>
              <w:bottom w:val="nil"/>
              <w:right w:val="nil"/>
            </w:tcBorders>
            <w:shd w:val="clear" w:color="000000" w:fill="D8DADA"/>
            <w:textDirection w:val="btLr"/>
            <w:vAlign w:val="bottom"/>
            <w:hideMark/>
          </w:tcPr>
          <w:p w14:paraId="4F636923"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Not-for-profit</w:t>
            </w:r>
          </w:p>
        </w:tc>
        <w:tc>
          <w:tcPr>
            <w:tcW w:w="983" w:type="dxa"/>
            <w:tcBorders>
              <w:top w:val="nil"/>
              <w:left w:val="nil"/>
              <w:bottom w:val="nil"/>
              <w:right w:val="single" w:sz="8" w:space="0" w:color="1E1545"/>
            </w:tcBorders>
            <w:shd w:val="clear" w:color="000000" w:fill="D8DADA"/>
            <w:textDirection w:val="btLr"/>
            <w:vAlign w:val="bottom"/>
            <w:hideMark/>
          </w:tcPr>
          <w:p w14:paraId="33C53CE1"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LST government</w:t>
            </w:r>
          </w:p>
        </w:tc>
        <w:tc>
          <w:tcPr>
            <w:tcW w:w="1018" w:type="dxa"/>
            <w:gridSpan w:val="2"/>
            <w:tcBorders>
              <w:top w:val="nil"/>
              <w:left w:val="nil"/>
              <w:bottom w:val="nil"/>
              <w:right w:val="nil"/>
            </w:tcBorders>
            <w:shd w:val="clear" w:color="000000" w:fill="D8DADA"/>
            <w:textDirection w:val="btLr"/>
            <w:vAlign w:val="bottom"/>
            <w:hideMark/>
          </w:tcPr>
          <w:p w14:paraId="30BD636C"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Metropolitan</w:t>
            </w:r>
          </w:p>
        </w:tc>
        <w:tc>
          <w:tcPr>
            <w:tcW w:w="984" w:type="dxa"/>
            <w:tcBorders>
              <w:top w:val="nil"/>
              <w:left w:val="nil"/>
              <w:bottom w:val="nil"/>
              <w:right w:val="nil"/>
            </w:tcBorders>
            <w:shd w:val="clear" w:color="000000" w:fill="D8DADA"/>
            <w:textDirection w:val="btLr"/>
            <w:vAlign w:val="bottom"/>
            <w:hideMark/>
          </w:tcPr>
          <w:p w14:paraId="6C9BFE59"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Regional</w:t>
            </w:r>
          </w:p>
        </w:tc>
        <w:tc>
          <w:tcPr>
            <w:tcW w:w="859" w:type="dxa"/>
            <w:tcBorders>
              <w:top w:val="nil"/>
              <w:left w:val="nil"/>
              <w:bottom w:val="nil"/>
              <w:right w:val="nil"/>
            </w:tcBorders>
            <w:shd w:val="clear" w:color="000000" w:fill="D8DADA"/>
            <w:textDirection w:val="btLr"/>
            <w:vAlign w:val="bottom"/>
            <w:hideMark/>
          </w:tcPr>
          <w:p w14:paraId="37798D8D"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Metropolitan &amp; regional</w:t>
            </w:r>
          </w:p>
        </w:tc>
      </w:tr>
      <w:tr w:rsidR="000D6193" w:rsidRPr="000D6193" w14:paraId="382E9713" w14:textId="77777777" w:rsidTr="00375137">
        <w:trPr>
          <w:trHeight w:val="300"/>
        </w:trPr>
        <w:tc>
          <w:tcPr>
            <w:tcW w:w="1276" w:type="dxa"/>
            <w:vMerge w:val="restart"/>
            <w:tcBorders>
              <w:top w:val="nil"/>
              <w:left w:val="nil"/>
              <w:bottom w:val="single" w:sz="8" w:space="0" w:color="000000"/>
              <w:right w:val="nil"/>
            </w:tcBorders>
            <w:shd w:val="clear" w:color="000000" w:fill="FFFFFF"/>
            <w:vAlign w:val="bottom"/>
            <w:hideMark/>
          </w:tcPr>
          <w:p w14:paraId="7D18BF2D"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Number of providers</w:t>
            </w:r>
          </w:p>
        </w:tc>
        <w:tc>
          <w:tcPr>
            <w:tcW w:w="992" w:type="dxa"/>
            <w:tcBorders>
              <w:top w:val="nil"/>
              <w:left w:val="nil"/>
              <w:bottom w:val="nil"/>
              <w:right w:val="nil"/>
            </w:tcBorders>
            <w:shd w:val="clear" w:color="000000" w:fill="FFFFFF"/>
            <w:vAlign w:val="bottom"/>
            <w:hideMark/>
          </w:tcPr>
          <w:p w14:paraId="396B139D"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916</w:t>
            </w:r>
          </w:p>
        </w:tc>
        <w:tc>
          <w:tcPr>
            <w:tcW w:w="993" w:type="dxa"/>
            <w:gridSpan w:val="2"/>
            <w:tcBorders>
              <w:top w:val="nil"/>
              <w:left w:val="nil"/>
              <w:bottom w:val="nil"/>
              <w:right w:val="nil"/>
            </w:tcBorders>
            <w:shd w:val="clear" w:color="000000" w:fill="FFFFFF"/>
            <w:vAlign w:val="bottom"/>
            <w:hideMark/>
          </w:tcPr>
          <w:p w14:paraId="5BDC4806"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923</w:t>
            </w:r>
          </w:p>
        </w:tc>
        <w:tc>
          <w:tcPr>
            <w:tcW w:w="949" w:type="dxa"/>
            <w:tcBorders>
              <w:top w:val="nil"/>
              <w:left w:val="single" w:sz="8" w:space="0" w:color="1E1545"/>
              <w:bottom w:val="nil"/>
              <w:right w:val="nil"/>
            </w:tcBorders>
            <w:shd w:val="clear" w:color="auto" w:fill="auto"/>
            <w:vAlign w:val="bottom"/>
            <w:hideMark/>
          </w:tcPr>
          <w:p w14:paraId="2CC3EDCA"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349</w:t>
            </w:r>
          </w:p>
        </w:tc>
        <w:tc>
          <w:tcPr>
            <w:tcW w:w="1018" w:type="dxa"/>
            <w:tcBorders>
              <w:top w:val="nil"/>
              <w:left w:val="nil"/>
              <w:bottom w:val="nil"/>
              <w:right w:val="nil"/>
            </w:tcBorders>
            <w:shd w:val="clear" w:color="auto" w:fill="auto"/>
            <w:vAlign w:val="bottom"/>
            <w:hideMark/>
          </w:tcPr>
          <w:p w14:paraId="73862F87"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471</w:t>
            </w:r>
          </w:p>
        </w:tc>
        <w:tc>
          <w:tcPr>
            <w:tcW w:w="983" w:type="dxa"/>
            <w:tcBorders>
              <w:top w:val="nil"/>
              <w:left w:val="nil"/>
              <w:bottom w:val="nil"/>
              <w:right w:val="single" w:sz="8" w:space="0" w:color="1E1545"/>
            </w:tcBorders>
            <w:shd w:val="clear" w:color="auto" w:fill="auto"/>
            <w:vAlign w:val="bottom"/>
            <w:hideMark/>
          </w:tcPr>
          <w:p w14:paraId="7DDA4361"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103</w:t>
            </w:r>
          </w:p>
        </w:tc>
        <w:tc>
          <w:tcPr>
            <w:tcW w:w="1018" w:type="dxa"/>
            <w:gridSpan w:val="2"/>
            <w:tcBorders>
              <w:top w:val="nil"/>
              <w:left w:val="nil"/>
              <w:bottom w:val="nil"/>
              <w:right w:val="nil"/>
            </w:tcBorders>
            <w:shd w:val="clear" w:color="auto" w:fill="auto"/>
            <w:vAlign w:val="bottom"/>
            <w:hideMark/>
          </w:tcPr>
          <w:p w14:paraId="3957CB76"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557</w:t>
            </w:r>
          </w:p>
        </w:tc>
        <w:tc>
          <w:tcPr>
            <w:tcW w:w="984" w:type="dxa"/>
            <w:tcBorders>
              <w:top w:val="nil"/>
              <w:left w:val="nil"/>
              <w:bottom w:val="nil"/>
              <w:right w:val="nil"/>
            </w:tcBorders>
            <w:shd w:val="clear" w:color="auto" w:fill="auto"/>
            <w:vAlign w:val="bottom"/>
            <w:hideMark/>
          </w:tcPr>
          <w:p w14:paraId="78254501"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326</w:t>
            </w:r>
          </w:p>
        </w:tc>
        <w:tc>
          <w:tcPr>
            <w:tcW w:w="859" w:type="dxa"/>
            <w:tcBorders>
              <w:top w:val="nil"/>
              <w:left w:val="nil"/>
              <w:bottom w:val="nil"/>
              <w:right w:val="nil"/>
            </w:tcBorders>
            <w:shd w:val="clear" w:color="auto" w:fill="auto"/>
            <w:vAlign w:val="bottom"/>
            <w:hideMark/>
          </w:tcPr>
          <w:p w14:paraId="48D54115"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40</w:t>
            </w:r>
          </w:p>
        </w:tc>
      </w:tr>
      <w:tr w:rsidR="000D6193" w:rsidRPr="000D6193" w14:paraId="120A328C" w14:textId="77777777" w:rsidTr="00375137">
        <w:trPr>
          <w:trHeight w:val="300"/>
        </w:trPr>
        <w:tc>
          <w:tcPr>
            <w:tcW w:w="1276" w:type="dxa"/>
            <w:vMerge/>
            <w:tcBorders>
              <w:top w:val="nil"/>
              <w:left w:val="nil"/>
              <w:bottom w:val="single" w:sz="8" w:space="0" w:color="000000"/>
              <w:right w:val="nil"/>
            </w:tcBorders>
            <w:vAlign w:val="center"/>
            <w:hideMark/>
          </w:tcPr>
          <w:p w14:paraId="6E668293" w14:textId="77777777" w:rsidR="000D6193" w:rsidRPr="000D6193" w:rsidRDefault="000D6193" w:rsidP="000D6193">
            <w:pPr>
              <w:spacing w:before="0" w:after="0" w:line="240" w:lineRule="auto"/>
              <w:rPr>
                <w:rFonts w:cs="Arial"/>
                <w:bCs w:val="0"/>
                <w:color w:val="1E1545"/>
                <w:sz w:val="21"/>
                <w:szCs w:val="21"/>
                <w:lang w:eastAsia="en-AU"/>
              </w:rPr>
            </w:pPr>
          </w:p>
        </w:tc>
        <w:tc>
          <w:tcPr>
            <w:tcW w:w="992" w:type="dxa"/>
            <w:tcBorders>
              <w:top w:val="nil"/>
              <w:left w:val="nil"/>
              <w:bottom w:val="single" w:sz="8" w:space="0" w:color="auto"/>
              <w:right w:val="nil"/>
            </w:tcBorders>
            <w:shd w:val="clear" w:color="000000" w:fill="FFFFFF"/>
            <w:vAlign w:val="bottom"/>
            <w:hideMark/>
          </w:tcPr>
          <w:p w14:paraId="6DAC36F6"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 </w:t>
            </w:r>
          </w:p>
        </w:tc>
        <w:tc>
          <w:tcPr>
            <w:tcW w:w="993" w:type="dxa"/>
            <w:gridSpan w:val="2"/>
            <w:tcBorders>
              <w:top w:val="nil"/>
              <w:left w:val="nil"/>
              <w:bottom w:val="single" w:sz="8" w:space="0" w:color="auto"/>
              <w:right w:val="nil"/>
            </w:tcBorders>
            <w:shd w:val="clear" w:color="000000" w:fill="FFFFFF"/>
            <w:vAlign w:val="bottom"/>
            <w:hideMark/>
          </w:tcPr>
          <w:p w14:paraId="02C57B6C"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 </w:t>
            </w:r>
          </w:p>
        </w:tc>
        <w:tc>
          <w:tcPr>
            <w:tcW w:w="949" w:type="dxa"/>
            <w:tcBorders>
              <w:top w:val="nil"/>
              <w:left w:val="single" w:sz="8" w:space="0" w:color="1E1545"/>
              <w:bottom w:val="single" w:sz="8" w:space="0" w:color="auto"/>
              <w:right w:val="nil"/>
            </w:tcBorders>
            <w:shd w:val="clear" w:color="auto" w:fill="auto"/>
            <w:vAlign w:val="bottom"/>
            <w:hideMark/>
          </w:tcPr>
          <w:p w14:paraId="6D1CA20B"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38%</w:t>
            </w:r>
          </w:p>
        </w:tc>
        <w:tc>
          <w:tcPr>
            <w:tcW w:w="1018" w:type="dxa"/>
            <w:tcBorders>
              <w:top w:val="nil"/>
              <w:left w:val="nil"/>
              <w:bottom w:val="single" w:sz="8" w:space="0" w:color="auto"/>
              <w:right w:val="nil"/>
            </w:tcBorders>
            <w:shd w:val="clear" w:color="auto" w:fill="auto"/>
            <w:vAlign w:val="bottom"/>
            <w:hideMark/>
          </w:tcPr>
          <w:p w14:paraId="7E816898"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51%</w:t>
            </w:r>
          </w:p>
        </w:tc>
        <w:tc>
          <w:tcPr>
            <w:tcW w:w="983" w:type="dxa"/>
            <w:tcBorders>
              <w:top w:val="nil"/>
              <w:left w:val="nil"/>
              <w:bottom w:val="single" w:sz="8" w:space="0" w:color="auto"/>
              <w:right w:val="single" w:sz="8" w:space="0" w:color="1E1545"/>
            </w:tcBorders>
            <w:shd w:val="clear" w:color="auto" w:fill="auto"/>
            <w:vAlign w:val="bottom"/>
            <w:hideMark/>
          </w:tcPr>
          <w:p w14:paraId="45969604"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11%</w:t>
            </w:r>
          </w:p>
        </w:tc>
        <w:tc>
          <w:tcPr>
            <w:tcW w:w="1018" w:type="dxa"/>
            <w:gridSpan w:val="2"/>
            <w:tcBorders>
              <w:top w:val="nil"/>
              <w:left w:val="nil"/>
              <w:bottom w:val="single" w:sz="8" w:space="0" w:color="auto"/>
              <w:right w:val="nil"/>
            </w:tcBorders>
            <w:shd w:val="clear" w:color="auto" w:fill="auto"/>
            <w:vAlign w:val="bottom"/>
            <w:hideMark/>
          </w:tcPr>
          <w:p w14:paraId="3D05E89A"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60%</w:t>
            </w:r>
          </w:p>
        </w:tc>
        <w:tc>
          <w:tcPr>
            <w:tcW w:w="984" w:type="dxa"/>
            <w:tcBorders>
              <w:top w:val="nil"/>
              <w:left w:val="nil"/>
              <w:bottom w:val="single" w:sz="8" w:space="0" w:color="auto"/>
              <w:right w:val="nil"/>
            </w:tcBorders>
            <w:shd w:val="clear" w:color="auto" w:fill="auto"/>
            <w:vAlign w:val="bottom"/>
            <w:hideMark/>
          </w:tcPr>
          <w:p w14:paraId="26B92AEC"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35%</w:t>
            </w:r>
          </w:p>
        </w:tc>
        <w:tc>
          <w:tcPr>
            <w:tcW w:w="859" w:type="dxa"/>
            <w:tcBorders>
              <w:top w:val="nil"/>
              <w:left w:val="nil"/>
              <w:bottom w:val="single" w:sz="8" w:space="0" w:color="auto"/>
              <w:right w:val="nil"/>
            </w:tcBorders>
            <w:shd w:val="clear" w:color="auto" w:fill="auto"/>
            <w:vAlign w:val="bottom"/>
            <w:hideMark/>
          </w:tcPr>
          <w:p w14:paraId="28B06472"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4%</w:t>
            </w:r>
          </w:p>
        </w:tc>
      </w:tr>
      <w:tr w:rsidR="000D6193" w:rsidRPr="000D6193" w14:paraId="3BA1CB48" w14:textId="77777777" w:rsidTr="00375137">
        <w:trPr>
          <w:trHeight w:val="300"/>
        </w:trPr>
        <w:tc>
          <w:tcPr>
            <w:tcW w:w="1276" w:type="dxa"/>
            <w:vMerge w:val="restart"/>
            <w:tcBorders>
              <w:top w:val="nil"/>
              <w:left w:val="nil"/>
              <w:bottom w:val="nil"/>
              <w:right w:val="nil"/>
            </w:tcBorders>
            <w:shd w:val="clear" w:color="000000" w:fill="FFFFFF"/>
            <w:vAlign w:val="bottom"/>
            <w:hideMark/>
          </w:tcPr>
          <w:p w14:paraId="2C41E320"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Number of recipients</w:t>
            </w:r>
          </w:p>
        </w:tc>
        <w:tc>
          <w:tcPr>
            <w:tcW w:w="992" w:type="dxa"/>
            <w:tcBorders>
              <w:top w:val="nil"/>
              <w:left w:val="nil"/>
              <w:bottom w:val="nil"/>
              <w:right w:val="nil"/>
            </w:tcBorders>
            <w:shd w:val="clear" w:color="000000" w:fill="FFFFFF"/>
            <w:vAlign w:val="bottom"/>
            <w:hideMark/>
          </w:tcPr>
          <w:p w14:paraId="76B31A4A"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215,743</w:t>
            </w:r>
          </w:p>
        </w:tc>
        <w:tc>
          <w:tcPr>
            <w:tcW w:w="993" w:type="dxa"/>
            <w:gridSpan w:val="2"/>
            <w:tcBorders>
              <w:top w:val="nil"/>
              <w:left w:val="nil"/>
              <w:bottom w:val="nil"/>
              <w:right w:val="nil"/>
            </w:tcBorders>
            <w:shd w:val="clear" w:color="000000" w:fill="FFFFFF"/>
            <w:vAlign w:val="bottom"/>
            <w:hideMark/>
          </w:tcPr>
          <w:p w14:paraId="500476A7"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258,374</w:t>
            </w:r>
          </w:p>
        </w:tc>
        <w:tc>
          <w:tcPr>
            <w:tcW w:w="949" w:type="dxa"/>
            <w:tcBorders>
              <w:top w:val="nil"/>
              <w:left w:val="single" w:sz="8" w:space="0" w:color="1E1545"/>
              <w:bottom w:val="nil"/>
              <w:right w:val="nil"/>
            </w:tcBorders>
            <w:shd w:val="clear" w:color="auto" w:fill="auto"/>
            <w:vAlign w:val="bottom"/>
            <w:hideMark/>
          </w:tcPr>
          <w:p w14:paraId="5648C28D"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94,613</w:t>
            </w:r>
          </w:p>
        </w:tc>
        <w:tc>
          <w:tcPr>
            <w:tcW w:w="1018" w:type="dxa"/>
            <w:tcBorders>
              <w:top w:val="nil"/>
              <w:left w:val="nil"/>
              <w:bottom w:val="nil"/>
              <w:right w:val="nil"/>
            </w:tcBorders>
            <w:shd w:val="clear" w:color="auto" w:fill="auto"/>
            <w:vAlign w:val="bottom"/>
            <w:hideMark/>
          </w:tcPr>
          <w:p w14:paraId="405C8BEA"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150,942</w:t>
            </w:r>
          </w:p>
        </w:tc>
        <w:tc>
          <w:tcPr>
            <w:tcW w:w="983" w:type="dxa"/>
            <w:tcBorders>
              <w:top w:val="nil"/>
              <w:left w:val="nil"/>
              <w:bottom w:val="nil"/>
              <w:right w:val="single" w:sz="8" w:space="0" w:color="1E1545"/>
            </w:tcBorders>
            <w:shd w:val="clear" w:color="auto" w:fill="auto"/>
            <w:vAlign w:val="bottom"/>
            <w:hideMark/>
          </w:tcPr>
          <w:p w14:paraId="3970710A"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12,819</w:t>
            </w:r>
          </w:p>
        </w:tc>
        <w:tc>
          <w:tcPr>
            <w:tcW w:w="1018" w:type="dxa"/>
            <w:gridSpan w:val="2"/>
            <w:tcBorders>
              <w:top w:val="nil"/>
              <w:left w:val="nil"/>
              <w:bottom w:val="nil"/>
              <w:right w:val="nil"/>
            </w:tcBorders>
            <w:shd w:val="clear" w:color="auto" w:fill="auto"/>
            <w:vAlign w:val="bottom"/>
            <w:hideMark/>
          </w:tcPr>
          <w:p w14:paraId="29AD6F17"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155,034</w:t>
            </w:r>
          </w:p>
        </w:tc>
        <w:tc>
          <w:tcPr>
            <w:tcW w:w="984" w:type="dxa"/>
            <w:tcBorders>
              <w:top w:val="nil"/>
              <w:left w:val="nil"/>
              <w:bottom w:val="nil"/>
              <w:right w:val="nil"/>
            </w:tcBorders>
            <w:shd w:val="clear" w:color="auto" w:fill="auto"/>
            <w:vAlign w:val="bottom"/>
            <w:hideMark/>
          </w:tcPr>
          <w:p w14:paraId="7D8B92C1"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55,674</w:t>
            </w:r>
          </w:p>
        </w:tc>
        <w:tc>
          <w:tcPr>
            <w:tcW w:w="859" w:type="dxa"/>
            <w:tcBorders>
              <w:top w:val="nil"/>
              <w:left w:val="nil"/>
              <w:bottom w:val="nil"/>
              <w:right w:val="nil"/>
            </w:tcBorders>
            <w:shd w:val="clear" w:color="auto" w:fill="auto"/>
            <w:vAlign w:val="bottom"/>
            <w:hideMark/>
          </w:tcPr>
          <w:p w14:paraId="6E89E84D"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47,666</w:t>
            </w:r>
          </w:p>
        </w:tc>
      </w:tr>
      <w:tr w:rsidR="000D6193" w:rsidRPr="000D6193" w14:paraId="62882C5B" w14:textId="77777777" w:rsidTr="00375137">
        <w:trPr>
          <w:trHeight w:val="300"/>
        </w:trPr>
        <w:tc>
          <w:tcPr>
            <w:tcW w:w="1276" w:type="dxa"/>
            <w:vMerge/>
            <w:tcBorders>
              <w:top w:val="nil"/>
              <w:left w:val="nil"/>
              <w:bottom w:val="nil"/>
              <w:right w:val="nil"/>
            </w:tcBorders>
            <w:vAlign w:val="center"/>
            <w:hideMark/>
          </w:tcPr>
          <w:p w14:paraId="490065FE" w14:textId="77777777" w:rsidR="000D6193" w:rsidRPr="000D6193" w:rsidRDefault="000D6193" w:rsidP="000D6193">
            <w:pPr>
              <w:spacing w:before="0" w:after="0" w:line="240" w:lineRule="auto"/>
              <w:rPr>
                <w:rFonts w:cs="Arial"/>
                <w:bCs w:val="0"/>
                <w:color w:val="1E1545"/>
                <w:sz w:val="21"/>
                <w:szCs w:val="21"/>
                <w:lang w:eastAsia="en-AU"/>
              </w:rPr>
            </w:pPr>
          </w:p>
        </w:tc>
        <w:tc>
          <w:tcPr>
            <w:tcW w:w="992" w:type="dxa"/>
            <w:tcBorders>
              <w:top w:val="nil"/>
              <w:left w:val="nil"/>
              <w:bottom w:val="nil"/>
              <w:right w:val="nil"/>
            </w:tcBorders>
            <w:shd w:val="clear" w:color="000000" w:fill="FFFFFF"/>
            <w:vAlign w:val="bottom"/>
            <w:hideMark/>
          </w:tcPr>
          <w:p w14:paraId="2F559D23"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 </w:t>
            </w:r>
          </w:p>
        </w:tc>
        <w:tc>
          <w:tcPr>
            <w:tcW w:w="993" w:type="dxa"/>
            <w:gridSpan w:val="2"/>
            <w:tcBorders>
              <w:top w:val="nil"/>
              <w:left w:val="nil"/>
              <w:bottom w:val="nil"/>
              <w:right w:val="single" w:sz="8" w:space="0" w:color="1E1545"/>
            </w:tcBorders>
            <w:shd w:val="clear" w:color="000000" w:fill="FFFFFF"/>
            <w:vAlign w:val="bottom"/>
            <w:hideMark/>
          </w:tcPr>
          <w:p w14:paraId="027A15B8" w14:textId="77777777" w:rsidR="000D6193" w:rsidRPr="000D6193" w:rsidRDefault="000D6193" w:rsidP="000D6193">
            <w:pPr>
              <w:spacing w:before="0" w:after="0" w:line="240" w:lineRule="auto"/>
              <w:rPr>
                <w:rFonts w:cs="Arial"/>
                <w:bCs w:val="0"/>
                <w:color w:val="1E1545"/>
                <w:sz w:val="21"/>
                <w:szCs w:val="21"/>
                <w:lang w:eastAsia="en-AU"/>
              </w:rPr>
            </w:pPr>
            <w:r w:rsidRPr="000D6193">
              <w:rPr>
                <w:rFonts w:cs="Arial"/>
                <w:bCs w:val="0"/>
                <w:color w:val="1E1545"/>
                <w:sz w:val="21"/>
                <w:szCs w:val="21"/>
                <w:lang w:eastAsia="en-AU"/>
              </w:rPr>
              <w:t> </w:t>
            </w:r>
          </w:p>
        </w:tc>
        <w:tc>
          <w:tcPr>
            <w:tcW w:w="949" w:type="dxa"/>
            <w:tcBorders>
              <w:top w:val="nil"/>
              <w:left w:val="nil"/>
              <w:bottom w:val="nil"/>
              <w:right w:val="nil"/>
            </w:tcBorders>
            <w:shd w:val="clear" w:color="000000" w:fill="FFFFFF"/>
            <w:vAlign w:val="bottom"/>
            <w:hideMark/>
          </w:tcPr>
          <w:p w14:paraId="209FEAB2"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37%</w:t>
            </w:r>
          </w:p>
        </w:tc>
        <w:tc>
          <w:tcPr>
            <w:tcW w:w="1018" w:type="dxa"/>
            <w:tcBorders>
              <w:top w:val="nil"/>
              <w:left w:val="nil"/>
              <w:bottom w:val="nil"/>
              <w:right w:val="nil"/>
            </w:tcBorders>
            <w:shd w:val="clear" w:color="000000" w:fill="FFFFFF"/>
            <w:vAlign w:val="bottom"/>
            <w:hideMark/>
          </w:tcPr>
          <w:p w14:paraId="31FB60A5"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58%</w:t>
            </w:r>
          </w:p>
        </w:tc>
        <w:tc>
          <w:tcPr>
            <w:tcW w:w="983" w:type="dxa"/>
            <w:tcBorders>
              <w:top w:val="nil"/>
              <w:left w:val="nil"/>
              <w:bottom w:val="nil"/>
              <w:right w:val="single" w:sz="8" w:space="0" w:color="1E1545"/>
            </w:tcBorders>
            <w:shd w:val="clear" w:color="000000" w:fill="FFFFFF"/>
            <w:vAlign w:val="bottom"/>
            <w:hideMark/>
          </w:tcPr>
          <w:p w14:paraId="13B76A58"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5%</w:t>
            </w:r>
          </w:p>
        </w:tc>
        <w:tc>
          <w:tcPr>
            <w:tcW w:w="1018" w:type="dxa"/>
            <w:gridSpan w:val="2"/>
            <w:tcBorders>
              <w:top w:val="nil"/>
              <w:left w:val="nil"/>
              <w:bottom w:val="nil"/>
              <w:right w:val="nil"/>
            </w:tcBorders>
            <w:shd w:val="clear" w:color="000000" w:fill="FFFFFF"/>
            <w:vAlign w:val="bottom"/>
            <w:hideMark/>
          </w:tcPr>
          <w:p w14:paraId="7E77619F"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60%</w:t>
            </w:r>
          </w:p>
        </w:tc>
        <w:tc>
          <w:tcPr>
            <w:tcW w:w="984" w:type="dxa"/>
            <w:tcBorders>
              <w:top w:val="nil"/>
              <w:left w:val="nil"/>
              <w:bottom w:val="nil"/>
              <w:right w:val="nil"/>
            </w:tcBorders>
            <w:shd w:val="clear" w:color="000000" w:fill="FFFFFF"/>
            <w:vAlign w:val="bottom"/>
            <w:hideMark/>
          </w:tcPr>
          <w:p w14:paraId="44E8FEAE"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22%</w:t>
            </w:r>
          </w:p>
        </w:tc>
        <w:tc>
          <w:tcPr>
            <w:tcW w:w="859" w:type="dxa"/>
            <w:tcBorders>
              <w:top w:val="nil"/>
              <w:left w:val="nil"/>
              <w:bottom w:val="nil"/>
              <w:right w:val="nil"/>
            </w:tcBorders>
            <w:shd w:val="clear" w:color="000000" w:fill="FFFFFF"/>
            <w:vAlign w:val="bottom"/>
            <w:hideMark/>
          </w:tcPr>
          <w:p w14:paraId="397F4509" w14:textId="77777777" w:rsidR="000D6193" w:rsidRPr="000D6193" w:rsidRDefault="000D6193" w:rsidP="000D6193">
            <w:pPr>
              <w:spacing w:before="0" w:after="0" w:line="240" w:lineRule="auto"/>
              <w:jc w:val="right"/>
              <w:rPr>
                <w:rFonts w:cs="Arial"/>
                <w:bCs w:val="0"/>
                <w:color w:val="1E1545"/>
                <w:sz w:val="21"/>
                <w:szCs w:val="21"/>
                <w:lang w:eastAsia="en-AU"/>
              </w:rPr>
            </w:pPr>
            <w:r w:rsidRPr="000D6193">
              <w:rPr>
                <w:rFonts w:cs="Arial"/>
                <w:bCs w:val="0"/>
                <w:color w:val="1E1545"/>
                <w:sz w:val="21"/>
                <w:szCs w:val="21"/>
                <w:lang w:eastAsia="en-AU"/>
              </w:rPr>
              <w:t>18%</w:t>
            </w:r>
          </w:p>
        </w:tc>
      </w:tr>
    </w:tbl>
    <w:p w14:paraId="446CD6EE" w14:textId="77777777" w:rsidR="006F4F12" w:rsidRDefault="006F4F12" w:rsidP="006F4F12">
      <w:pPr>
        <w:spacing w:before="0" w:after="0" w:line="240" w:lineRule="auto"/>
      </w:pPr>
      <w:bookmarkStart w:id="20" w:name="_Toc173428595"/>
      <w:r>
        <w:br w:type="page"/>
      </w:r>
    </w:p>
    <w:p w14:paraId="76E64983" w14:textId="6F342D74" w:rsidR="00970F6C" w:rsidRDefault="00ED0816" w:rsidP="000B4318">
      <w:pPr>
        <w:pStyle w:val="Heading2"/>
      </w:pPr>
      <w:r>
        <w:t>Funding</w:t>
      </w:r>
      <w:bookmarkEnd w:id="20"/>
    </w:p>
    <w:p w14:paraId="729B77A8" w14:textId="77777777" w:rsidR="001377BE" w:rsidRDefault="00AD655C" w:rsidP="00385C81">
      <w:r w:rsidRPr="008E2316">
        <w:t>In 202</w:t>
      </w:r>
      <w:r w:rsidR="00F16C25" w:rsidRPr="008E2316">
        <w:t>2-23</w:t>
      </w:r>
      <w:r w:rsidRPr="008E2316">
        <w:t>, Australian Government expenditure on home care subsidies and supplements was $</w:t>
      </w:r>
      <w:r w:rsidR="008E2316" w:rsidRPr="008E2316">
        <w:t>5.6</w:t>
      </w:r>
      <w:r w:rsidRPr="008E2316">
        <w:t xml:space="preserve"> billion, up from $4.</w:t>
      </w:r>
      <w:r w:rsidR="008E2316" w:rsidRPr="008E2316">
        <w:t>4</w:t>
      </w:r>
      <w:r w:rsidRPr="008E2316">
        <w:t xml:space="preserve"> billion in 2021</w:t>
      </w:r>
      <w:r w:rsidR="008E2316" w:rsidRPr="008E2316">
        <w:t>-22</w:t>
      </w:r>
      <w:r w:rsidRPr="008E2316">
        <w:t xml:space="preserve"> as shown in</w:t>
      </w:r>
      <w:r w:rsidR="008E2316" w:rsidRPr="008E2316">
        <w:t xml:space="preserve"> </w:t>
      </w:r>
      <w:r w:rsidR="008E2316">
        <w:fldChar w:fldCharType="begin"/>
      </w:r>
      <w:r w:rsidR="008E2316">
        <w:instrText xml:space="preserve"> REF _Ref160718187 \h </w:instrText>
      </w:r>
      <w:r w:rsidR="008E2316">
        <w:fldChar w:fldCharType="separate"/>
      </w:r>
    </w:p>
    <w:p w14:paraId="25DD7223" w14:textId="2BDE9661" w:rsidR="00E23CED" w:rsidRDefault="001377BE" w:rsidP="00385C81">
      <w:r>
        <w:t xml:space="preserve">Chart </w:t>
      </w:r>
      <w:r>
        <w:rPr>
          <w:noProof/>
        </w:rPr>
        <w:t>1</w:t>
      </w:r>
      <w:r>
        <w:t>.</w:t>
      </w:r>
      <w:r>
        <w:rPr>
          <w:noProof/>
        </w:rPr>
        <w:t>3</w:t>
      </w:r>
      <w:r w:rsidR="008E2316">
        <w:fldChar w:fldCharType="end"/>
      </w:r>
      <w:r w:rsidR="00F16C25" w:rsidRPr="008E2316">
        <w:t>.</w:t>
      </w:r>
      <w:r w:rsidR="003B4BE6">
        <w:t xml:space="preserve"> Th</w:t>
      </w:r>
      <w:r w:rsidR="008C22EF">
        <w:t xml:space="preserve">is was a </w:t>
      </w:r>
      <w:r w:rsidR="006B2E07">
        <w:t>28</w:t>
      </w:r>
      <w:r w:rsidR="008C22EF">
        <w:t xml:space="preserve">% </w:t>
      </w:r>
      <w:r w:rsidR="003B4BE6">
        <w:t xml:space="preserve">increase </w:t>
      </w:r>
      <w:r w:rsidR="0036595D">
        <w:t xml:space="preserve">and reflects the increase in the number of recipients and the mix of </w:t>
      </w:r>
      <w:r w:rsidR="00211B05">
        <w:t xml:space="preserve">allocated </w:t>
      </w:r>
      <w:r w:rsidR="0036595D">
        <w:t>home care package</w:t>
      </w:r>
      <w:r w:rsidR="00211B05">
        <w:t xml:space="preserve"> levels.</w:t>
      </w:r>
      <w:r w:rsidR="006A5996">
        <w:t xml:space="preserve"> This represents </w:t>
      </w:r>
      <w:r w:rsidR="00727066">
        <w:t xml:space="preserve">97% of total revenue </w:t>
      </w:r>
      <w:r w:rsidR="004208BA">
        <w:t xml:space="preserve">for home care providers in 2022-23. </w:t>
      </w:r>
      <w:bookmarkStart w:id="21" w:name="_Ref160718187"/>
    </w:p>
    <w:p w14:paraId="506E9820" w14:textId="5FA2F1CB" w:rsidR="00E23CED" w:rsidRDefault="00AD655C" w:rsidP="00D6443E">
      <w:pPr>
        <w:pStyle w:val="Caption"/>
      </w:pPr>
      <w:bookmarkStart w:id="22" w:name="_Toc173428902"/>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3</w:t>
      </w:r>
      <w:r w:rsidR="00AE19AA">
        <w:rPr>
          <w:noProof/>
        </w:rPr>
        <w:fldChar w:fldCharType="end"/>
      </w:r>
      <w:bookmarkEnd w:id="21"/>
      <w:r>
        <w:t xml:space="preserve">: </w:t>
      </w:r>
      <w:r w:rsidRPr="006D2171">
        <w:t>Australian Government expenditure on home care, 201</w:t>
      </w:r>
      <w:r w:rsidR="00F16C25">
        <w:t>8-19</w:t>
      </w:r>
      <w:r w:rsidRPr="006D2171">
        <w:t xml:space="preserve"> to 202</w:t>
      </w:r>
      <w:r w:rsidR="00F16C25">
        <w:t>2</w:t>
      </w:r>
      <w:r w:rsidRPr="006D2171">
        <w:t>-2</w:t>
      </w:r>
      <w:r w:rsidR="00F16C25">
        <w:t>3</w:t>
      </w:r>
      <w:bookmarkEnd w:id="22"/>
    </w:p>
    <w:p w14:paraId="3691D569" w14:textId="720F4FA0" w:rsidR="00F16C25" w:rsidRDefault="008E2316" w:rsidP="00D6443E">
      <w:pPr>
        <w:pStyle w:val="Caption"/>
      </w:pPr>
      <w:r>
        <w:rPr>
          <w:noProof/>
        </w:rPr>
        <w:drawing>
          <wp:inline distT="0" distB="0" distL="0" distR="0" wp14:anchorId="7B206B30" wp14:editId="581150BD">
            <wp:extent cx="5853600" cy="3652721"/>
            <wp:effectExtent l="0" t="0" r="0" b="5080"/>
            <wp:docPr id="14" name="Picture 14" descr="Chart 1.3 is a column chart titled Australian Government expenditure on home care, 2018-19 to 2022-23. There has been a consistent increase in funding by the Australian Government for home care. It has more than doubled from 2018-19, from $2.5 billion to $5.6 billion in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1.3 is a column chart titled Australian Government expenditure on home care, 2018-19 to 2022-23. There has been a consistent increase in funding by the Australian Government for home care. It has more than doubled from 2018-19, from $2.5 billion to $5.6 billion in 2022-23.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7382" cy="3655081"/>
                    </a:xfrm>
                    <a:prstGeom prst="rect">
                      <a:avLst/>
                    </a:prstGeom>
                    <a:noFill/>
                  </pic:spPr>
                </pic:pic>
              </a:graphicData>
            </a:graphic>
          </wp:inline>
        </w:drawing>
      </w:r>
      <w:r w:rsidR="00F16C25">
        <w:t xml:space="preserve"> </w:t>
      </w:r>
    </w:p>
    <w:p w14:paraId="16D32062" w14:textId="34763513" w:rsidR="00F16C25" w:rsidRPr="005B05B4" w:rsidRDefault="00F16C25" w:rsidP="008E2316">
      <w:pPr>
        <w:pStyle w:val="FootnoteText"/>
        <w:rPr>
          <w:color w:val="1E1545" w:themeColor="text1"/>
        </w:rPr>
      </w:pPr>
      <w:r w:rsidRPr="005B05B4">
        <w:rPr>
          <w:color w:val="1E1545" w:themeColor="text1"/>
        </w:rPr>
        <w:t xml:space="preserve">Note: *Changes to payment arrangements introduced from 1 September 2021 means that providers are only paid for services they delivered, and any unspent funds are accumulated in Home Care Accounts as opposed to providers being paid full entitlements previously. Therefore, expenditure data reported from 2021-22 </w:t>
      </w:r>
      <w:r w:rsidR="008E2316" w:rsidRPr="005B05B4">
        <w:rPr>
          <w:color w:val="1E1545" w:themeColor="text1"/>
        </w:rPr>
        <w:t xml:space="preserve">and 2022-23 </w:t>
      </w:r>
      <w:r w:rsidRPr="005B05B4">
        <w:rPr>
          <w:color w:val="1E1545" w:themeColor="text1"/>
        </w:rPr>
        <w:t xml:space="preserve">are not directly comparable to previous years. </w:t>
      </w:r>
    </w:p>
    <w:p w14:paraId="187F92A3" w14:textId="6086122C" w:rsidR="00F16C25" w:rsidRPr="009F4CA9" w:rsidRDefault="00F16C25" w:rsidP="008F503B">
      <w:pPr>
        <w:rPr>
          <w:bCs w:val="0"/>
          <w:szCs w:val="28"/>
        </w:rPr>
      </w:pPr>
      <w:r w:rsidRPr="008F503B">
        <w:rPr>
          <w:b/>
          <w:bCs w:val="0"/>
          <w:sz w:val="28"/>
          <w:szCs w:val="28"/>
        </w:rPr>
        <w:t>Unspent funds</w:t>
      </w:r>
      <w:r w:rsidR="0045661B">
        <w:rPr>
          <w:b/>
          <w:bCs w:val="0"/>
          <w:sz w:val="28"/>
          <w:szCs w:val="28"/>
        </w:rPr>
        <w:t xml:space="preserve"> </w:t>
      </w:r>
      <w:r w:rsidR="008F503B">
        <w:rPr>
          <w:b/>
          <w:bCs w:val="0"/>
          <w:sz w:val="28"/>
          <w:szCs w:val="28"/>
        </w:rPr>
        <w:t>–</w:t>
      </w:r>
      <w:r w:rsidR="0045661B">
        <w:rPr>
          <w:b/>
          <w:bCs w:val="0"/>
          <w:sz w:val="28"/>
          <w:szCs w:val="28"/>
        </w:rPr>
        <w:t xml:space="preserve"> </w:t>
      </w:r>
      <w:r w:rsidR="008F503B">
        <w:rPr>
          <w:b/>
          <w:bCs w:val="0"/>
          <w:sz w:val="28"/>
          <w:szCs w:val="28"/>
        </w:rPr>
        <w:t>Home Care Account and Provider Held Portion</w:t>
      </w:r>
      <w:r w:rsidRPr="008F503B">
        <w:rPr>
          <w:b/>
          <w:bCs w:val="0"/>
          <w:sz w:val="28"/>
          <w:szCs w:val="28"/>
        </w:rPr>
        <w:t xml:space="preserve"> </w:t>
      </w:r>
    </w:p>
    <w:p w14:paraId="22BEF0E2" w14:textId="77777777" w:rsidR="00F16C25" w:rsidRPr="005C0743" w:rsidRDefault="00F16C25" w:rsidP="00706D0A">
      <w:r w:rsidRPr="005C0743">
        <w:t>Unspent funds are the total amount of a recipient’s package funds which have accrued but not yet been spent on goods or services. The source of these funds can be Australian Government subsidies or fees collected from the recipient.</w:t>
      </w:r>
    </w:p>
    <w:p w14:paraId="122BC1E1" w14:textId="77777777" w:rsidR="00F16C25" w:rsidRPr="005C0743" w:rsidRDefault="00F16C25" w:rsidP="00706D0A">
      <w:r w:rsidRPr="005C0743">
        <w:t>Unspent funds are held by either:</w:t>
      </w:r>
    </w:p>
    <w:p w14:paraId="33B99BEC" w14:textId="106616CE" w:rsidR="00F16C25" w:rsidRPr="005C0743" w:rsidRDefault="00F16C25" w:rsidP="00706D0A">
      <w:pPr>
        <w:pStyle w:val="ListBullet"/>
      </w:pPr>
      <w:r w:rsidRPr="005C0743">
        <w:t>the provider – these funds are split into the Australian Government (subsidy) and care recipient (fees) portions</w:t>
      </w:r>
    </w:p>
    <w:p w14:paraId="729F75A3" w14:textId="77777777" w:rsidR="00F16C25" w:rsidRPr="005C0743" w:rsidRDefault="00F16C25" w:rsidP="00706D0A">
      <w:pPr>
        <w:pStyle w:val="ListBullet"/>
      </w:pPr>
      <w:r w:rsidRPr="005C0743">
        <w:t>the Government – in a home care account for the person</w:t>
      </w:r>
    </w:p>
    <w:p w14:paraId="07F34201" w14:textId="03B6E832" w:rsidR="00F16C25" w:rsidRPr="005C0743" w:rsidRDefault="00184465" w:rsidP="00706D0A">
      <w:r>
        <w:t>U</w:t>
      </w:r>
      <w:r w:rsidR="003F3F08">
        <w:t>nspent funds in the</w:t>
      </w:r>
      <w:r w:rsidR="00D471AE">
        <w:t xml:space="preserve"> </w:t>
      </w:r>
      <w:r w:rsidR="00F16C25" w:rsidRPr="005C0743">
        <w:t xml:space="preserve">Home Care Account </w:t>
      </w:r>
      <w:r w:rsidR="0099731F">
        <w:t>may</w:t>
      </w:r>
      <w:r w:rsidR="003F3F08" w:rsidRPr="005C0743">
        <w:t xml:space="preserve"> </w:t>
      </w:r>
      <w:r w:rsidR="00F16C25" w:rsidRPr="005C0743">
        <w:t xml:space="preserve">accumulate for a variety of reasons, including: </w:t>
      </w:r>
    </w:p>
    <w:p w14:paraId="1A37E6A6" w14:textId="77777777" w:rsidR="00F16C25" w:rsidRPr="005C0743" w:rsidRDefault="00F16C25" w:rsidP="00706D0A">
      <w:pPr>
        <w:pStyle w:val="ListBullet"/>
      </w:pPr>
      <w:r w:rsidRPr="005C0743">
        <w:t xml:space="preserve">recipients wish to save a proportion of their budget for future events </w:t>
      </w:r>
    </w:p>
    <w:p w14:paraId="6D983050" w14:textId="77777777" w:rsidR="00F16C25" w:rsidRPr="005C0743" w:rsidRDefault="00F16C25" w:rsidP="00706D0A">
      <w:pPr>
        <w:pStyle w:val="ListBullet"/>
      </w:pPr>
      <w:r w:rsidRPr="005C0743">
        <w:t xml:space="preserve">the services that the recipient wants are not available </w:t>
      </w:r>
    </w:p>
    <w:p w14:paraId="60CBF9B1" w14:textId="77777777" w:rsidR="00F16C25" w:rsidRPr="005C0743" w:rsidRDefault="00F16C25" w:rsidP="00706D0A">
      <w:pPr>
        <w:pStyle w:val="ListBullet"/>
      </w:pPr>
      <w:r w:rsidRPr="005C0743">
        <w:t xml:space="preserve">misconceptions that the money not spent under the package belongs to the recipient or </w:t>
      </w:r>
    </w:p>
    <w:p w14:paraId="0C36EBD9" w14:textId="77777777" w:rsidR="00F16C25" w:rsidRPr="006C63A2" w:rsidRDefault="00F16C25" w:rsidP="00706D0A">
      <w:pPr>
        <w:pStyle w:val="ListBullet"/>
      </w:pPr>
      <w:r w:rsidRPr="006C63A2">
        <w:t xml:space="preserve">the recipient does not require all the funds allocated to them. </w:t>
      </w:r>
    </w:p>
    <w:p w14:paraId="3202A792" w14:textId="6E2D41EA" w:rsidR="00F16C25" w:rsidRPr="006C63A2" w:rsidRDefault="00F16C25" w:rsidP="00706D0A">
      <w:r w:rsidRPr="006C63A2">
        <w:t>The total amount of unspent funds at 30 June 202</w:t>
      </w:r>
      <w:r w:rsidR="005C0743" w:rsidRPr="006C63A2">
        <w:t>3</w:t>
      </w:r>
      <w:r w:rsidRPr="006C63A2">
        <w:t xml:space="preserve"> was $2.</w:t>
      </w:r>
      <w:r w:rsidR="00EA7BEF" w:rsidRPr="006C63A2">
        <w:t>8</w:t>
      </w:r>
      <w:r w:rsidR="0086471B">
        <w:t xml:space="preserve">2 </w:t>
      </w:r>
      <w:r w:rsidRPr="006C63A2">
        <w:t xml:space="preserve">billion, an increase </w:t>
      </w:r>
      <w:r w:rsidR="002063AB">
        <w:t xml:space="preserve">of $0.48 billion </w:t>
      </w:r>
      <w:r w:rsidRPr="006C63A2">
        <w:t>on the 30 June 202</w:t>
      </w:r>
      <w:r w:rsidR="00EA7BEF" w:rsidRPr="006C63A2">
        <w:t>2</w:t>
      </w:r>
      <w:r w:rsidRPr="006C63A2">
        <w:t xml:space="preserve"> amount</w:t>
      </w:r>
      <w:r w:rsidR="008117C1">
        <w:t xml:space="preserve"> of $2.34 billion</w:t>
      </w:r>
      <w:r w:rsidRPr="006C63A2">
        <w:t>. The total unspent funds are the sum of the Home Care Account held by Services Australia on behalf of the recipient ($</w:t>
      </w:r>
      <w:r w:rsidR="005C39FD" w:rsidRPr="006C63A2">
        <w:t>2.18</w:t>
      </w:r>
      <w:r w:rsidRPr="006C63A2">
        <w:t xml:space="preserve"> billion) and the </w:t>
      </w:r>
      <w:r w:rsidR="00BE7276">
        <w:t>Provider</w:t>
      </w:r>
      <w:r w:rsidR="00E73E1D">
        <w:t xml:space="preserve"> Held Portion of Australian Government </w:t>
      </w:r>
      <w:r w:rsidRPr="006C63A2">
        <w:t>unspent funds</w:t>
      </w:r>
      <w:r w:rsidR="00E73E1D">
        <w:t xml:space="preserve"> held</w:t>
      </w:r>
      <w:r w:rsidR="0040585C">
        <w:t xml:space="preserve"> </w:t>
      </w:r>
      <w:r w:rsidRPr="006C63A2">
        <w:t>(accumulated prior to 1 September 2021) on behalf of the recipient ($</w:t>
      </w:r>
      <w:r w:rsidR="005C39FD" w:rsidRPr="006C63A2">
        <w:t>0.64</w:t>
      </w:r>
      <w:r w:rsidRPr="006C63A2">
        <w:t xml:space="preserve"> billion). </w:t>
      </w:r>
    </w:p>
    <w:p w14:paraId="2AE3474F" w14:textId="3909CE22" w:rsidR="00F16C25" w:rsidRDefault="00F16C25" w:rsidP="00706D0A">
      <w:r w:rsidRPr="006C63A2">
        <w:t xml:space="preserve">Over time, it can be expected that the </w:t>
      </w:r>
      <w:r w:rsidR="003F3F08">
        <w:t xml:space="preserve">Provider Held Portion of Australian Government </w:t>
      </w:r>
      <w:r w:rsidRPr="006C63A2">
        <w:t xml:space="preserve">unspent funds will diminish, and the Home Care Account </w:t>
      </w:r>
      <w:r w:rsidR="000F52A8">
        <w:t xml:space="preserve">unspent funds </w:t>
      </w:r>
      <w:r w:rsidRPr="006C63A2">
        <w:t>will fluctuate according to market demand and supply.</w:t>
      </w:r>
    </w:p>
    <w:p w14:paraId="73636D43" w14:textId="2758D009" w:rsidR="00F16C25" w:rsidRDefault="00F16C25" w:rsidP="009C1802">
      <w:pPr>
        <w:pStyle w:val="Heading2"/>
      </w:pPr>
      <w:bookmarkStart w:id="23" w:name="_Toc173428596"/>
      <w:r>
        <w:t>Financial summary</w:t>
      </w:r>
      <w:bookmarkEnd w:id="23"/>
    </w:p>
    <w:p w14:paraId="2FE22DC2" w14:textId="05DAD214" w:rsidR="007E37EA" w:rsidRDefault="00F16C25" w:rsidP="00706D0A">
      <w:r w:rsidRPr="003B5523">
        <w:fldChar w:fldCharType="begin"/>
      </w:r>
      <w:r w:rsidRPr="003B5523">
        <w:instrText xml:space="preserve"> REF _Ref160718595 \h </w:instrText>
      </w:r>
      <w:r w:rsidR="003B5523">
        <w:instrText xml:space="preserve"> \* MERGEFORMAT </w:instrText>
      </w:r>
      <w:r w:rsidRPr="003B5523">
        <w:fldChar w:fldCharType="separate"/>
      </w:r>
      <w:r w:rsidR="001377BE">
        <w:t xml:space="preserve">Table </w:t>
      </w:r>
      <w:r w:rsidR="001377BE">
        <w:rPr>
          <w:noProof/>
        </w:rPr>
        <w:t>1.3</w:t>
      </w:r>
      <w:r w:rsidRPr="003B5523">
        <w:fldChar w:fldCharType="end"/>
      </w:r>
      <w:r w:rsidRPr="003B5523">
        <w:t xml:space="preserve"> provides an overview of the </w:t>
      </w:r>
      <w:r w:rsidRPr="00B1710F">
        <w:t>202</w:t>
      </w:r>
      <w:r w:rsidR="00B1710F">
        <w:t>2-23</w:t>
      </w:r>
      <w:r w:rsidRPr="003B5523">
        <w:t xml:space="preserve"> financial performance of home care</w:t>
      </w:r>
      <w:r w:rsidRPr="003B5523">
        <w:rPr>
          <w:spacing w:val="80"/>
          <w:w w:val="150"/>
        </w:rPr>
        <w:t xml:space="preserve"> </w:t>
      </w:r>
      <w:r w:rsidRPr="003B5523">
        <w:t>providers,</w:t>
      </w:r>
      <w:r w:rsidRPr="003B5523">
        <w:rPr>
          <w:spacing w:val="40"/>
        </w:rPr>
        <w:t xml:space="preserve"> </w:t>
      </w:r>
      <w:r w:rsidRPr="003B5523">
        <w:t>including</w:t>
      </w:r>
      <w:r w:rsidRPr="003B5523">
        <w:rPr>
          <w:spacing w:val="40"/>
        </w:rPr>
        <w:t xml:space="preserve"> </w:t>
      </w:r>
      <w:r w:rsidRPr="003B5523">
        <w:t>a</w:t>
      </w:r>
      <w:r w:rsidRPr="003B5523">
        <w:rPr>
          <w:spacing w:val="40"/>
        </w:rPr>
        <w:t xml:space="preserve"> </w:t>
      </w:r>
      <w:r w:rsidRPr="003B5523">
        <w:t>breakdown</w:t>
      </w:r>
      <w:r w:rsidRPr="003B5523">
        <w:rPr>
          <w:spacing w:val="40"/>
        </w:rPr>
        <w:t xml:space="preserve"> </w:t>
      </w:r>
      <w:r w:rsidRPr="003B5523">
        <w:t>by</w:t>
      </w:r>
      <w:r w:rsidRPr="003B5523">
        <w:rPr>
          <w:spacing w:val="40"/>
        </w:rPr>
        <w:t xml:space="preserve"> </w:t>
      </w:r>
      <w:r w:rsidRPr="003B5523">
        <w:t>ownership</w:t>
      </w:r>
      <w:r w:rsidRPr="003B5523">
        <w:rPr>
          <w:spacing w:val="40"/>
        </w:rPr>
        <w:t xml:space="preserve"> </w:t>
      </w:r>
      <w:r w:rsidRPr="003B5523">
        <w:t>type,</w:t>
      </w:r>
      <w:r w:rsidRPr="003B5523">
        <w:rPr>
          <w:spacing w:val="40"/>
        </w:rPr>
        <w:t xml:space="preserve"> </w:t>
      </w:r>
      <w:r w:rsidRPr="003B5523">
        <w:t>location</w:t>
      </w:r>
      <w:r w:rsidRPr="003B5523">
        <w:rPr>
          <w:spacing w:val="40"/>
        </w:rPr>
        <w:t xml:space="preserve"> </w:t>
      </w:r>
      <w:r w:rsidRPr="003B5523">
        <w:t>and</w:t>
      </w:r>
      <w:r w:rsidRPr="003B5523">
        <w:rPr>
          <w:spacing w:val="40"/>
        </w:rPr>
        <w:t xml:space="preserve"> </w:t>
      </w:r>
      <w:r w:rsidRPr="003B5523">
        <w:t>scale.</w:t>
      </w:r>
    </w:p>
    <w:p w14:paraId="7D489D37" w14:textId="4CC64EC7" w:rsidR="00C55787" w:rsidRDefault="00B41C8C" w:rsidP="00706D0A">
      <w:r>
        <w:t>Total revenue for home care providers</w:t>
      </w:r>
      <w:r w:rsidR="00C40CBF">
        <w:t xml:space="preserve"> in 2022-</w:t>
      </w:r>
      <w:r w:rsidR="00690FF0">
        <w:t>2</w:t>
      </w:r>
      <w:r w:rsidR="00C40CBF">
        <w:t>3 was</w:t>
      </w:r>
      <w:r w:rsidR="00C456B6">
        <w:t xml:space="preserve"> $5</w:t>
      </w:r>
      <w:r w:rsidR="001D2EF6">
        <w:t>.</w:t>
      </w:r>
      <w:r w:rsidR="009D73BA">
        <w:t>8 billion</w:t>
      </w:r>
      <w:r w:rsidR="00BE5F0D">
        <w:t xml:space="preserve">, up 23% on </w:t>
      </w:r>
      <w:r w:rsidR="000B0D52">
        <w:br/>
      </w:r>
      <w:r w:rsidR="00BE5F0D">
        <w:t>2021-22 revenue ($</w:t>
      </w:r>
      <w:r w:rsidR="002A781A">
        <w:t>4</w:t>
      </w:r>
      <w:r w:rsidR="009D73BA">
        <w:t>.7 billion</w:t>
      </w:r>
      <w:r w:rsidR="00CE15D2">
        <w:t xml:space="preserve">). </w:t>
      </w:r>
      <w:r w:rsidR="009C25A9">
        <w:t>T</w:t>
      </w:r>
      <w:r w:rsidR="00CE15D2">
        <w:t xml:space="preserve">otal expenditure in 2022-23 was </w:t>
      </w:r>
      <w:r w:rsidR="00A16161">
        <w:t>$5</w:t>
      </w:r>
      <w:r w:rsidR="009D73BA">
        <w:t>.6 billion</w:t>
      </w:r>
      <w:r w:rsidR="00A16161">
        <w:t xml:space="preserve">, </w:t>
      </w:r>
      <w:r w:rsidR="00070745">
        <w:t xml:space="preserve">up </w:t>
      </w:r>
      <w:r w:rsidR="00C317BC">
        <w:t>2</w:t>
      </w:r>
      <w:r w:rsidR="002D4264">
        <w:t>5</w:t>
      </w:r>
      <w:r w:rsidR="00070745">
        <w:t>%</w:t>
      </w:r>
      <w:r w:rsidR="00290972">
        <w:t xml:space="preserve"> on 2021-22 home care expenditure (</w:t>
      </w:r>
      <w:r w:rsidR="00453B9F">
        <w:t>$4</w:t>
      </w:r>
      <w:r w:rsidR="009D73BA">
        <w:t>.</w:t>
      </w:r>
      <w:r w:rsidR="00353DA4">
        <w:t>5</w:t>
      </w:r>
      <w:r w:rsidR="009D73BA">
        <w:t xml:space="preserve"> billion</w:t>
      </w:r>
      <w:r w:rsidR="00703E1D">
        <w:t xml:space="preserve">). </w:t>
      </w:r>
    </w:p>
    <w:p w14:paraId="62C2B790" w14:textId="2FC2B2C0" w:rsidR="00FC75EE" w:rsidRDefault="00994969" w:rsidP="00706D0A">
      <w:r>
        <w:t xml:space="preserve">The </w:t>
      </w:r>
      <w:r w:rsidR="009B509F">
        <w:t xml:space="preserve">total home care </w:t>
      </w:r>
      <w:r w:rsidR="002E5748">
        <w:t xml:space="preserve">profit </w:t>
      </w:r>
      <w:r w:rsidR="009B509F">
        <w:t xml:space="preserve">result was $185.7 million, a decrease of </w:t>
      </w:r>
      <w:r w:rsidR="00CA2DF7">
        <w:t>$11.7 million</w:t>
      </w:r>
      <w:r w:rsidR="00E11BF2">
        <w:t xml:space="preserve"> </w:t>
      </w:r>
      <w:r w:rsidR="00FC75EE">
        <w:t xml:space="preserve">on 2021-22 home care profit result </w:t>
      </w:r>
      <w:r w:rsidR="00E11BF2">
        <w:t>(down</w:t>
      </w:r>
      <w:r w:rsidR="00FC75EE">
        <w:t xml:space="preserve"> 6%)</w:t>
      </w:r>
      <w:r w:rsidR="00C34B85">
        <w:t>.</w:t>
      </w:r>
      <w:r w:rsidR="00203334">
        <w:t xml:space="preserve"> </w:t>
      </w:r>
      <w:r w:rsidR="0032092F">
        <w:t xml:space="preserve">A further break down of the </w:t>
      </w:r>
      <w:r w:rsidR="00B823CB">
        <w:t>financial summary and comparisons</w:t>
      </w:r>
      <w:r w:rsidR="00BC4A88">
        <w:t xml:space="preserve"> with</w:t>
      </w:r>
      <w:r w:rsidR="00B823CB">
        <w:t xml:space="preserve"> 5 years prior can be found in </w:t>
      </w:r>
      <w:r w:rsidR="00B823CB">
        <w:fldChar w:fldCharType="begin"/>
      </w:r>
      <w:r w:rsidR="00B823CB">
        <w:instrText xml:space="preserve"> REF _Ref160719328 \h </w:instrText>
      </w:r>
      <w:r w:rsidR="00B823CB">
        <w:fldChar w:fldCharType="separate"/>
      </w:r>
      <w:r w:rsidR="001377BE">
        <w:t xml:space="preserve">Table </w:t>
      </w:r>
      <w:r w:rsidR="001377BE">
        <w:rPr>
          <w:noProof/>
        </w:rPr>
        <w:t>1</w:t>
      </w:r>
      <w:r w:rsidR="001377BE">
        <w:t>.</w:t>
      </w:r>
      <w:r w:rsidR="001377BE">
        <w:rPr>
          <w:noProof/>
        </w:rPr>
        <w:t>4</w:t>
      </w:r>
      <w:r w:rsidR="00B823CB">
        <w:fldChar w:fldCharType="end"/>
      </w:r>
      <w:r w:rsidR="00B823CB">
        <w:t>.</w:t>
      </w:r>
    </w:p>
    <w:p w14:paraId="241D4839" w14:textId="155B5516" w:rsidR="006D2289" w:rsidRPr="00484658" w:rsidRDefault="00DC5E5A" w:rsidP="00706D0A">
      <w:r>
        <w:t>For</w:t>
      </w:r>
      <w:r w:rsidR="00CB6474">
        <w:t>-</w:t>
      </w:r>
      <w:r>
        <w:t xml:space="preserve">profit providers </w:t>
      </w:r>
      <w:r w:rsidR="009B788E">
        <w:t xml:space="preserve">reported the </w:t>
      </w:r>
      <w:r w:rsidR="00CB6474">
        <w:t xml:space="preserve">highest </w:t>
      </w:r>
      <w:r w:rsidR="009B788E">
        <w:t xml:space="preserve">average </w:t>
      </w:r>
      <w:r w:rsidR="002F64A6">
        <w:t>earnings before interest, taxes</w:t>
      </w:r>
      <w:r w:rsidR="00A83EAF">
        <w:t>, depreciation and amortisation (</w:t>
      </w:r>
      <w:r w:rsidR="00CB6474">
        <w:t>EBITDA</w:t>
      </w:r>
      <w:r w:rsidR="00A83EAF">
        <w:t>)</w:t>
      </w:r>
      <w:r w:rsidR="009B788E">
        <w:t xml:space="preserve"> for home care providers in 2022-23 </w:t>
      </w:r>
      <w:r>
        <w:br/>
      </w:r>
      <w:r w:rsidR="009B788E">
        <w:t>(</w:t>
      </w:r>
      <w:r w:rsidR="0011026B">
        <w:t>$1,297 per</w:t>
      </w:r>
      <w:r w:rsidR="0075310F">
        <w:t xml:space="preserve"> care</w:t>
      </w:r>
      <w:r w:rsidR="0011026B">
        <w:t xml:space="preserve"> re</w:t>
      </w:r>
      <w:r w:rsidR="00D7593C">
        <w:t>cipient per year).</w:t>
      </w:r>
      <w:r w:rsidR="0057183F">
        <w:t xml:space="preserve"> While not-for-profit providers </w:t>
      </w:r>
      <w:r w:rsidR="0075310F">
        <w:t xml:space="preserve">reported an average EBITDA of $884 per care recipient per year. </w:t>
      </w:r>
      <w:r w:rsidR="00E65F92">
        <w:t xml:space="preserve">For-profit providers also reported the highest average </w:t>
      </w:r>
      <w:r w:rsidR="00E50C95">
        <w:t>net profit before tax (</w:t>
      </w:r>
      <w:r w:rsidR="00E75232">
        <w:t>NPBT</w:t>
      </w:r>
      <w:r w:rsidR="00E50C95">
        <w:t>)</w:t>
      </w:r>
      <w:r w:rsidR="00E75232">
        <w:t xml:space="preserve"> result of $1,003 </w:t>
      </w:r>
      <w:r w:rsidR="00582CAE">
        <w:t xml:space="preserve">per care recipient per </w:t>
      </w:r>
      <w:r w:rsidR="00617A79">
        <w:t>year</w:t>
      </w:r>
      <w:r w:rsidR="00424C3F">
        <w:t xml:space="preserve">, </w:t>
      </w:r>
      <w:r w:rsidR="008A5521">
        <w:t xml:space="preserve">while </w:t>
      </w:r>
      <w:r w:rsidR="007F5980">
        <w:t>not-for-profit providers</w:t>
      </w:r>
      <w:r w:rsidR="00ED12A2">
        <w:t xml:space="preserve"> </w:t>
      </w:r>
      <w:r w:rsidR="00487E7D">
        <w:t>reported on average</w:t>
      </w:r>
      <w:r w:rsidR="00ED12A2">
        <w:t xml:space="preserve"> $7</w:t>
      </w:r>
      <w:r w:rsidR="00623552">
        <w:t>08</w:t>
      </w:r>
      <w:r w:rsidR="00ED12A2">
        <w:t xml:space="preserve"> p</w:t>
      </w:r>
      <w:r w:rsidR="00582CAE">
        <w:t xml:space="preserve">er care recipient per </w:t>
      </w:r>
      <w:r w:rsidR="00617A79">
        <w:t>year</w:t>
      </w:r>
      <w:r w:rsidR="00582CAE">
        <w:t xml:space="preserve">. </w:t>
      </w:r>
      <w:r w:rsidR="00AD3CD1">
        <w:t xml:space="preserve">Both provider types decreased </w:t>
      </w:r>
      <w:r w:rsidR="00257715">
        <w:t xml:space="preserve">the NPBT result </w:t>
      </w:r>
      <w:r w:rsidR="0047176F">
        <w:t xml:space="preserve">in comparison to 2021-22. Not-for-profit providers had the largest decrease, down </w:t>
      </w:r>
      <w:r w:rsidR="002D36FB">
        <w:t xml:space="preserve">25% and for-profit providers decreased by 16%. </w:t>
      </w:r>
    </w:p>
    <w:p w14:paraId="626FB483" w14:textId="765CAF41" w:rsidR="006F544F" w:rsidRPr="00484658" w:rsidRDefault="008D64EC" w:rsidP="00706D0A">
      <w:r>
        <w:t>The a</w:t>
      </w:r>
      <w:r w:rsidRPr="00C617E0">
        <w:t xml:space="preserve">verage EBITDA and average NPBT for </w:t>
      </w:r>
      <w:r w:rsidR="0049423A">
        <w:t>providers with over</w:t>
      </w:r>
      <w:r w:rsidRPr="00C617E0">
        <w:t xml:space="preserve"> 7 services is</w:t>
      </w:r>
      <w:r w:rsidR="00CD2D35" w:rsidRPr="00C617E0">
        <w:t xml:space="preserve"> </w:t>
      </w:r>
      <w:r w:rsidRPr="00C617E0">
        <w:t xml:space="preserve">significantly lower than single service </w:t>
      </w:r>
      <w:r w:rsidR="00187528">
        <w:t xml:space="preserve">providers </w:t>
      </w:r>
      <w:r w:rsidRPr="00C617E0">
        <w:t xml:space="preserve">and </w:t>
      </w:r>
      <w:r w:rsidR="00187528">
        <w:t>those with</w:t>
      </w:r>
      <w:r w:rsidRPr="00C617E0">
        <w:t xml:space="preserve"> 2 to 6 services. </w:t>
      </w:r>
      <w:r>
        <w:br/>
      </w:r>
      <w:r w:rsidR="00CC6ED9">
        <w:t xml:space="preserve">The EBITDA for </w:t>
      </w:r>
      <w:r w:rsidR="00036BB6">
        <w:t>providers with</w:t>
      </w:r>
      <w:r w:rsidR="00CC6ED9">
        <w:t xml:space="preserve"> 7 or more services </w:t>
      </w:r>
      <w:r w:rsidR="00AC3174">
        <w:t xml:space="preserve">dropped from </w:t>
      </w:r>
      <w:r w:rsidR="005B6DD1">
        <w:t>$1</w:t>
      </w:r>
      <w:r w:rsidR="00C52E9F">
        <w:t>,</w:t>
      </w:r>
      <w:r w:rsidR="005B6DD1">
        <w:t>0</w:t>
      </w:r>
      <w:r w:rsidR="004C7BBE">
        <w:t>15</w:t>
      </w:r>
      <w:r w:rsidR="005B6DD1">
        <w:t xml:space="preserve"> per care recipient per </w:t>
      </w:r>
      <w:r w:rsidR="00C26937">
        <w:t xml:space="preserve">year </w:t>
      </w:r>
      <w:r w:rsidR="0021444B">
        <w:t xml:space="preserve">in 2021-22 to $728 per care recipient per </w:t>
      </w:r>
      <w:r w:rsidR="00F905D9">
        <w:t xml:space="preserve">year </w:t>
      </w:r>
      <w:r w:rsidR="0021444B">
        <w:t xml:space="preserve">in 2022-23. </w:t>
      </w:r>
      <w:r>
        <w:br/>
      </w:r>
      <w:r w:rsidR="0021444B">
        <w:t xml:space="preserve">The </w:t>
      </w:r>
      <w:r w:rsidRPr="00C617E0">
        <w:t xml:space="preserve">NPBT </w:t>
      </w:r>
      <w:r w:rsidR="0021444B">
        <w:t xml:space="preserve">dropped from $727 per care recipient per day in 2021-22 to </w:t>
      </w:r>
      <w:r w:rsidR="006B3EB6">
        <w:t xml:space="preserve">$433 per care recipient per </w:t>
      </w:r>
      <w:r w:rsidR="00F905D9">
        <w:t xml:space="preserve">year </w:t>
      </w:r>
      <w:r w:rsidR="006B3EB6">
        <w:t>in 2022-23</w:t>
      </w:r>
      <w:r w:rsidRPr="00C617E0">
        <w:t xml:space="preserve">. </w:t>
      </w:r>
      <w:r w:rsidR="00036BB6">
        <w:t xml:space="preserve">Providers with </w:t>
      </w:r>
      <w:r w:rsidR="005627CD">
        <w:t>2</w:t>
      </w:r>
      <w:r w:rsidR="00050188" w:rsidRPr="00C617E0">
        <w:t xml:space="preserve"> </w:t>
      </w:r>
      <w:r w:rsidRPr="00C617E0">
        <w:t xml:space="preserve">to 6 services increased their EBITDA </w:t>
      </w:r>
      <w:r w:rsidR="006B3EB6">
        <w:t xml:space="preserve">(up </w:t>
      </w:r>
      <w:r w:rsidR="00B4558C">
        <w:t xml:space="preserve">$390 per care recipient per </w:t>
      </w:r>
      <w:r w:rsidR="00F905D9">
        <w:t>year</w:t>
      </w:r>
      <w:r w:rsidR="005627CD">
        <w:t>)</w:t>
      </w:r>
      <w:r w:rsidR="00B4558C">
        <w:t xml:space="preserve"> </w:t>
      </w:r>
      <w:r w:rsidRPr="00C617E0">
        <w:t>and NPBT</w:t>
      </w:r>
      <w:r w:rsidR="00B4558C">
        <w:t xml:space="preserve"> (</w:t>
      </w:r>
      <w:r w:rsidR="00F85AB7">
        <w:t xml:space="preserve">up </w:t>
      </w:r>
      <w:r w:rsidR="00C31C6A">
        <w:t>$430 per care recipient per</w:t>
      </w:r>
      <w:r w:rsidR="00290EDF">
        <w:t xml:space="preserve"> </w:t>
      </w:r>
      <w:r w:rsidR="00F905D9">
        <w:t>year</w:t>
      </w:r>
      <w:r w:rsidR="00C31C6A">
        <w:t>)</w:t>
      </w:r>
      <w:r w:rsidRPr="00C617E0">
        <w:t xml:space="preserve">, while single service providers </w:t>
      </w:r>
      <w:r w:rsidR="00C31C6A">
        <w:t>decreased</w:t>
      </w:r>
      <w:r w:rsidRPr="00C617E0">
        <w:t xml:space="preserve"> on </w:t>
      </w:r>
      <w:r w:rsidR="00C31C6A">
        <w:t xml:space="preserve">the 2021-22 </w:t>
      </w:r>
      <w:r w:rsidRPr="00C617E0">
        <w:t xml:space="preserve">EBITDA </w:t>
      </w:r>
      <w:r w:rsidR="00C31C6A">
        <w:t xml:space="preserve">(down </w:t>
      </w:r>
      <w:r w:rsidR="005700FA">
        <w:t xml:space="preserve">$592 per care recipient per </w:t>
      </w:r>
      <w:r w:rsidR="00F905D9">
        <w:t>year</w:t>
      </w:r>
      <w:r w:rsidR="00290EDF">
        <w:t>)</w:t>
      </w:r>
      <w:r w:rsidR="005700FA">
        <w:t xml:space="preserve">, </w:t>
      </w:r>
      <w:r w:rsidRPr="00C617E0">
        <w:t>and NPBT</w:t>
      </w:r>
      <w:r w:rsidR="005700FA">
        <w:t xml:space="preserve"> (</w:t>
      </w:r>
      <w:r w:rsidR="00A87473">
        <w:t>do</w:t>
      </w:r>
      <w:r w:rsidR="00AC7EE6">
        <w:t xml:space="preserve">wn </w:t>
      </w:r>
      <w:r w:rsidR="00F36E0F">
        <w:t xml:space="preserve">$606 </w:t>
      </w:r>
      <w:r w:rsidR="006A0917">
        <w:t xml:space="preserve">per care recipient per </w:t>
      </w:r>
      <w:r w:rsidR="00F905D9">
        <w:t>year</w:t>
      </w:r>
      <w:r w:rsidR="00290EDF">
        <w:t>)</w:t>
      </w:r>
      <w:r w:rsidR="006A0917">
        <w:t xml:space="preserve">. </w:t>
      </w:r>
      <w:r w:rsidR="00ED3CF1">
        <w:t xml:space="preserve">Single service </w:t>
      </w:r>
      <w:r w:rsidR="00C617E0">
        <w:t>facilities</w:t>
      </w:r>
      <w:r w:rsidR="00ED3CF1">
        <w:t xml:space="preserve"> have the highest proportion</w:t>
      </w:r>
      <w:r w:rsidR="00C617E0">
        <w:t>, with 75</w:t>
      </w:r>
      <w:r w:rsidR="004C6B77">
        <w:t>%</w:t>
      </w:r>
      <w:r w:rsidR="00ED3CF1">
        <w:t xml:space="preserve"> of</w:t>
      </w:r>
      <w:r w:rsidR="00B45D27">
        <w:t xml:space="preserve"> providers</w:t>
      </w:r>
      <w:r w:rsidR="001026BD">
        <w:t xml:space="preserve"> operating single service facilities</w:t>
      </w:r>
      <w:r w:rsidR="0040509E">
        <w:t>.</w:t>
      </w:r>
    </w:p>
    <w:p w14:paraId="22270639" w14:textId="77777777" w:rsidR="007F057F" w:rsidRDefault="00E534E1" w:rsidP="00706D0A">
      <w:r>
        <w:t xml:space="preserve">The EBITDA margin for all providers </w:t>
      </w:r>
      <w:r w:rsidR="00E01912">
        <w:t xml:space="preserve">in 2022-23 </w:t>
      </w:r>
      <w:r>
        <w:t>was 4.1%</w:t>
      </w:r>
      <w:r w:rsidR="00E01912">
        <w:t xml:space="preserve">, a decrease of </w:t>
      </w:r>
      <w:r w:rsidR="00E35333">
        <w:br/>
      </w:r>
      <w:r w:rsidR="00E01912">
        <w:t xml:space="preserve">1 percentage point on the prior year. </w:t>
      </w:r>
      <w:r w:rsidR="00B519B2">
        <w:t>For-profit providers</w:t>
      </w:r>
      <w:r w:rsidR="00E35333">
        <w:t>’</w:t>
      </w:r>
      <w:r w:rsidR="00B519B2">
        <w:t xml:space="preserve"> EBITDA margin was the highest at 5.3%, down 0.8 percentage points on the prior year, and not-for-profit providers EBITDA margin in 2022-23 was 3.5%, down </w:t>
      </w:r>
      <w:r w:rsidR="00446595">
        <w:t xml:space="preserve">1.2 percentage points on the prior year. </w:t>
      </w:r>
    </w:p>
    <w:p w14:paraId="7F85F106" w14:textId="638513D5" w:rsidR="00E534E1" w:rsidRPr="00484658" w:rsidRDefault="00446595" w:rsidP="00706D0A">
      <w:r>
        <w:t>The EBITDA margin across provider location types was relatively similar</w:t>
      </w:r>
      <w:r w:rsidR="00D12D84">
        <w:t>. Metropolitan providers EBITDA margin was 4.1%, regional providers was 4.0% and metropolitan and regional providers was 4.2%. There was a large vari</w:t>
      </w:r>
      <w:r w:rsidR="00487E7D">
        <w:t>ation</w:t>
      </w:r>
      <w:r w:rsidR="00D12D84">
        <w:t xml:space="preserve"> across provider scale</w:t>
      </w:r>
      <w:r w:rsidR="007F057F">
        <w:t>,</w:t>
      </w:r>
      <w:r w:rsidR="00D12D84">
        <w:t xml:space="preserve"> with providers with 2 to 6 services reporting the highest EBITDA margin at 5.4%, followed by single service providers at 4.6%, and the lowest EBITDA margin reported was for providers with 7 </w:t>
      </w:r>
      <w:r w:rsidR="007F057F">
        <w:t xml:space="preserve">or </w:t>
      </w:r>
      <w:r w:rsidR="00D12D84">
        <w:t xml:space="preserve">more services at 3.0%. </w:t>
      </w:r>
    </w:p>
    <w:p w14:paraId="1CFE4F52" w14:textId="4B58C482" w:rsidR="00F16C25" w:rsidRDefault="00F16C25" w:rsidP="00706D0A">
      <w:pPr>
        <w:pStyle w:val="Caption"/>
      </w:pPr>
      <w:bookmarkStart w:id="24" w:name="_Ref160718595"/>
      <w:bookmarkStart w:id="25" w:name="_Ref160718590"/>
      <w:bookmarkStart w:id="26" w:name="_Toc173428874"/>
      <w:r>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3</w:t>
      </w:r>
      <w:r w:rsidR="00AE19AA">
        <w:rPr>
          <w:noProof/>
        </w:rPr>
        <w:fldChar w:fldCharType="end"/>
      </w:r>
      <w:bookmarkEnd w:id="24"/>
      <w:r>
        <w:t xml:space="preserve">: </w:t>
      </w:r>
      <w:r w:rsidRPr="00323868">
        <w:t>Summary of financial performance of home care providers, 202</w:t>
      </w:r>
      <w:bookmarkEnd w:id="25"/>
      <w:r>
        <w:t>2-23</w:t>
      </w:r>
      <w:bookmarkEnd w:id="26"/>
    </w:p>
    <w:tbl>
      <w:tblPr>
        <w:tblStyle w:val="DepartmentofHealthtable"/>
        <w:tblW w:w="5236" w:type="pct"/>
        <w:tblLayout w:type="fixed"/>
        <w:tblLook w:val="04A0" w:firstRow="1" w:lastRow="0" w:firstColumn="1" w:lastColumn="0" w:noHBand="0" w:noVBand="1"/>
      </w:tblPr>
      <w:tblGrid>
        <w:gridCol w:w="994"/>
        <w:gridCol w:w="850"/>
        <w:gridCol w:w="850"/>
        <w:gridCol w:w="852"/>
        <w:gridCol w:w="850"/>
        <w:gridCol w:w="852"/>
        <w:gridCol w:w="850"/>
        <w:gridCol w:w="849"/>
        <w:gridCol w:w="851"/>
        <w:gridCol w:w="849"/>
        <w:gridCol w:w="851"/>
      </w:tblGrid>
      <w:tr w:rsidR="00727E8E" w:rsidRPr="00727E8E" w14:paraId="52DDDC3E" w14:textId="77777777" w:rsidTr="003F107E">
        <w:trPr>
          <w:cnfStyle w:val="100000000000" w:firstRow="1" w:lastRow="0" w:firstColumn="0" w:lastColumn="0" w:oddVBand="0" w:evenVBand="0" w:oddHBand="0" w:evenHBand="0" w:firstRowFirstColumn="0" w:firstRowLastColumn="0" w:lastRowFirstColumn="0" w:lastRowLastColumn="0"/>
          <w:cantSplit/>
          <w:trHeight w:val="1538"/>
        </w:trPr>
        <w:tc>
          <w:tcPr>
            <w:tcW w:w="523" w:type="pct"/>
            <w:textDirection w:val="btLr"/>
            <w:hideMark/>
          </w:tcPr>
          <w:p w14:paraId="0D1AFF5E" w14:textId="77777777" w:rsidR="00F16C25" w:rsidRPr="003D6528" w:rsidRDefault="00F16C25" w:rsidP="00706D0A">
            <w:pPr>
              <w:pStyle w:val="TableHeaderWhite"/>
              <w:rPr>
                <w:sz w:val="18"/>
                <w:szCs w:val="18"/>
              </w:rPr>
            </w:pPr>
            <w:r w:rsidRPr="003D6528">
              <w:rPr>
                <w:sz w:val="18"/>
                <w:szCs w:val="18"/>
              </w:rPr>
              <w:t> </w:t>
            </w:r>
          </w:p>
        </w:tc>
        <w:tc>
          <w:tcPr>
            <w:tcW w:w="447" w:type="pct"/>
            <w:hideMark/>
          </w:tcPr>
          <w:p w14:paraId="5FC36820" w14:textId="6E3A1DE7" w:rsidR="00F16C25" w:rsidRPr="0015745E" w:rsidRDefault="00F16C25" w:rsidP="00706D0A">
            <w:pPr>
              <w:pStyle w:val="TableHeaderWhite"/>
              <w:rPr>
                <w:sz w:val="16"/>
                <w:szCs w:val="16"/>
              </w:rPr>
            </w:pPr>
            <w:r w:rsidRPr="0015745E">
              <w:rPr>
                <w:sz w:val="16"/>
                <w:szCs w:val="16"/>
              </w:rPr>
              <w:t>All provide</w:t>
            </w:r>
            <w:r w:rsidR="00601D4E" w:rsidRPr="0015745E">
              <w:rPr>
                <w:sz w:val="16"/>
                <w:szCs w:val="16"/>
              </w:rPr>
              <w:t>-</w:t>
            </w:r>
            <w:proofErr w:type="spellStart"/>
            <w:r w:rsidRPr="0015745E">
              <w:rPr>
                <w:sz w:val="16"/>
                <w:szCs w:val="16"/>
              </w:rPr>
              <w:t>rs</w:t>
            </w:r>
            <w:proofErr w:type="spellEnd"/>
            <w:r w:rsidRPr="0015745E">
              <w:rPr>
                <w:sz w:val="16"/>
                <w:szCs w:val="16"/>
              </w:rPr>
              <w:t xml:space="preserve"> </w:t>
            </w:r>
          </w:p>
        </w:tc>
        <w:tc>
          <w:tcPr>
            <w:tcW w:w="447" w:type="pct"/>
            <w:hideMark/>
          </w:tcPr>
          <w:p w14:paraId="667E8F8E" w14:textId="09CD5F8B" w:rsidR="00F16C25" w:rsidRPr="0015745E" w:rsidRDefault="00F16C25" w:rsidP="00706D0A">
            <w:pPr>
              <w:pStyle w:val="TableHeaderWhite"/>
              <w:rPr>
                <w:sz w:val="16"/>
                <w:szCs w:val="16"/>
              </w:rPr>
            </w:pPr>
            <w:r w:rsidRPr="0015745E">
              <w:rPr>
                <w:sz w:val="16"/>
                <w:szCs w:val="16"/>
              </w:rPr>
              <w:t xml:space="preserve"> For</w:t>
            </w:r>
            <w:r w:rsidR="00E973DC" w:rsidRPr="0015745E">
              <w:rPr>
                <w:sz w:val="16"/>
                <w:szCs w:val="16"/>
              </w:rPr>
              <w:t>-</w:t>
            </w:r>
            <w:r w:rsidRPr="0015745E">
              <w:rPr>
                <w:sz w:val="16"/>
                <w:szCs w:val="16"/>
              </w:rPr>
              <w:t xml:space="preserve"> profit </w:t>
            </w:r>
          </w:p>
        </w:tc>
        <w:tc>
          <w:tcPr>
            <w:tcW w:w="448" w:type="pct"/>
            <w:hideMark/>
          </w:tcPr>
          <w:p w14:paraId="20562510" w14:textId="0C9B6217" w:rsidR="00F16C25" w:rsidRPr="0015745E" w:rsidRDefault="00F16C25" w:rsidP="00706D0A">
            <w:pPr>
              <w:pStyle w:val="TableHeaderWhite"/>
              <w:rPr>
                <w:sz w:val="16"/>
                <w:szCs w:val="16"/>
              </w:rPr>
            </w:pPr>
            <w:r w:rsidRPr="0015745E">
              <w:rPr>
                <w:sz w:val="16"/>
                <w:szCs w:val="16"/>
              </w:rPr>
              <w:t>Not</w:t>
            </w:r>
            <w:r w:rsidR="00E973DC" w:rsidRPr="0015745E">
              <w:rPr>
                <w:sz w:val="16"/>
                <w:szCs w:val="16"/>
              </w:rPr>
              <w:t>-</w:t>
            </w:r>
            <w:r w:rsidRPr="0015745E">
              <w:rPr>
                <w:sz w:val="16"/>
                <w:szCs w:val="16"/>
              </w:rPr>
              <w:t xml:space="preserve"> for</w:t>
            </w:r>
            <w:r w:rsidR="00E973DC" w:rsidRPr="0015745E">
              <w:rPr>
                <w:sz w:val="16"/>
                <w:szCs w:val="16"/>
              </w:rPr>
              <w:t>-</w:t>
            </w:r>
            <w:r w:rsidRPr="0015745E">
              <w:rPr>
                <w:sz w:val="16"/>
                <w:szCs w:val="16"/>
              </w:rPr>
              <w:t xml:space="preserve"> profit </w:t>
            </w:r>
          </w:p>
        </w:tc>
        <w:tc>
          <w:tcPr>
            <w:tcW w:w="447" w:type="pct"/>
            <w:hideMark/>
          </w:tcPr>
          <w:p w14:paraId="23D88E90" w14:textId="46274A2F" w:rsidR="00F16C25" w:rsidRPr="0015745E" w:rsidRDefault="00F16C25" w:rsidP="00706D0A">
            <w:pPr>
              <w:pStyle w:val="TableHeaderWhite"/>
              <w:rPr>
                <w:sz w:val="16"/>
                <w:szCs w:val="16"/>
              </w:rPr>
            </w:pPr>
            <w:r w:rsidRPr="0015745E">
              <w:rPr>
                <w:sz w:val="16"/>
                <w:szCs w:val="16"/>
              </w:rPr>
              <w:t>LST govern</w:t>
            </w:r>
            <w:r w:rsidR="00AD4E7F" w:rsidRPr="0015745E">
              <w:rPr>
                <w:sz w:val="16"/>
                <w:szCs w:val="16"/>
              </w:rPr>
              <w:t>-</w:t>
            </w:r>
            <w:proofErr w:type="spellStart"/>
            <w:r w:rsidRPr="0015745E">
              <w:rPr>
                <w:sz w:val="16"/>
                <w:szCs w:val="16"/>
              </w:rPr>
              <w:t>ment</w:t>
            </w:r>
            <w:proofErr w:type="spellEnd"/>
            <w:r w:rsidRPr="0015745E">
              <w:rPr>
                <w:sz w:val="16"/>
                <w:szCs w:val="16"/>
              </w:rPr>
              <w:t xml:space="preserve"> </w:t>
            </w:r>
          </w:p>
        </w:tc>
        <w:tc>
          <w:tcPr>
            <w:tcW w:w="448" w:type="pct"/>
            <w:hideMark/>
          </w:tcPr>
          <w:p w14:paraId="45E1E32F" w14:textId="23E95AA6" w:rsidR="00F16C25" w:rsidRPr="0015745E" w:rsidRDefault="00F16C25" w:rsidP="00706D0A">
            <w:pPr>
              <w:pStyle w:val="TableHeaderWhite"/>
              <w:rPr>
                <w:sz w:val="16"/>
                <w:szCs w:val="16"/>
              </w:rPr>
            </w:pPr>
            <w:r w:rsidRPr="0015745E">
              <w:rPr>
                <w:sz w:val="16"/>
                <w:szCs w:val="16"/>
              </w:rPr>
              <w:t>Metro</w:t>
            </w:r>
            <w:r w:rsidR="00AD4E7F" w:rsidRPr="0015745E">
              <w:rPr>
                <w:sz w:val="16"/>
                <w:szCs w:val="16"/>
              </w:rPr>
              <w:t>-</w:t>
            </w:r>
            <w:proofErr w:type="spellStart"/>
            <w:r w:rsidRPr="0015745E">
              <w:rPr>
                <w:sz w:val="16"/>
                <w:szCs w:val="16"/>
              </w:rPr>
              <w:t>politan</w:t>
            </w:r>
            <w:proofErr w:type="spellEnd"/>
            <w:r w:rsidRPr="0015745E">
              <w:rPr>
                <w:sz w:val="16"/>
                <w:szCs w:val="16"/>
              </w:rPr>
              <w:t xml:space="preserve"> </w:t>
            </w:r>
          </w:p>
        </w:tc>
        <w:tc>
          <w:tcPr>
            <w:tcW w:w="447" w:type="pct"/>
            <w:hideMark/>
          </w:tcPr>
          <w:p w14:paraId="05D556BF" w14:textId="7928F893" w:rsidR="00F16C25" w:rsidRPr="0015745E" w:rsidRDefault="00F16C25" w:rsidP="00706D0A">
            <w:pPr>
              <w:pStyle w:val="TableHeaderWhite"/>
              <w:rPr>
                <w:sz w:val="16"/>
                <w:szCs w:val="16"/>
              </w:rPr>
            </w:pPr>
            <w:r w:rsidRPr="0015745E">
              <w:rPr>
                <w:sz w:val="16"/>
                <w:szCs w:val="16"/>
              </w:rPr>
              <w:t xml:space="preserve">Regional </w:t>
            </w:r>
          </w:p>
        </w:tc>
        <w:tc>
          <w:tcPr>
            <w:tcW w:w="447" w:type="pct"/>
            <w:hideMark/>
          </w:tcPr>
          <w:p w14:paraId="646D9A9A" w14:textId="3FBCB12E" w:rsidR="00F16C25" w:rsidRPr="0015745E" w:rsidRDefault="00F16C25" w:rsidP="00706D0A">
            <w:pPr>
              <w:pStyle w:val="TableHeaderWhite"/>
              <w:rPr>
                <w:sz w:val="16"/>
                <w:szCs w:val="16"/>
              </w:rPr>
            </w:pPr>
            <w:r w:rsidRPr="0015745E">
              <w:rPr>
                <w:sz w:val="16"/>
                <w:szCs w:val="16"/>
              </w:rPr>
              <w:t>Metro</w:t>
            </w:r>
            <w:r w:rsidR="00AD4E7F" w:rsidRPr="0015745E">
              <w:rPr>
                <w:sz w:val="16"/>
                <w:szCs w:val="16"/>
              </w:rPr>
              <w:t>-</w:t>
            </w:r>
            <w:proofErr w:type="spellStart"/>
            <w:r w:rsidRPr="0015745E">
              <w:rPr>
                <w:sz w:val="16"/>
                <w:szCs w:val="16"/>
              </w:rPr>
              <w:t>politan</w:t>
            </w:r>
            <w:proofErr w:type="spellEnd"/>
            <w:r w:rsidRPr="0015745E">
              <w:rPr>
                <w:sz w:val="16"/>
                <w:szCs w:val="16"/>
              </w:rPr>
              <w:t xml:space="preserve"> and Regional </w:t>
            </w:r>
          </w:p>
        </w:tc>
        <w:tc>
          <w:tcPr>
            <w:tcW w:w="448" w:type="pct"/>
            <w:hideMark/>
          </w:tcPr>
          <w:p w14:paraId="5BD0EF25" w14:textId="30B98D35" w:rsidR="00F16C25" w:rsidRPr="0015745E" w:rsidRDefault="00F16C25" w:rsidP="00706D0A">
            <w:pPr>
              <w:pStyle w:val="TableHeaderWhite"/>
              <w:rPr>
                <w:sz w:val="16"/>
                <w:szCs w:val="16"/>
              </w:rPr>
            </w:pPr>
            <w:r w:rsidRPr="0015745E">
              <w:rPr>
                <w:sz w:val="16"/>
                <w:szCs w:val="16"/>
              </w:rPr>
              <w:t xml:space="preserve">Single Service </w:t>
            </w:r>
          </w:p>
        </w:tc>
        <w:tc>
          <w:tcPr>
            <w:tcW w:w="447" w:type="pct"/>
            <w:hideMark/>
          </w:tcPr>
          <w:p w14:paraId="7973392D" w14:textId="0E647A83" w:rsidR="00F16C25" w:rsidRPr="0015745E" w:rsidRDefault="00F16C25" w:rsidP="00706D0A">
            <w:pPr>
              <w:pStyle w:val="TableHeaderWhite"/>
              <w:rPr>
                <w:sz w:val="16"/>
                <w:szCs w:val="16"/>
              </w:rPr>
            </w:pPr>
            <w:r w:rsidRPr="0015745E">
              <w:rPr>
                <w:sz w:val="16"/>
                <w:szCs w:val="16"/>
              </w:rPr>
              <w:t xml:space="preserve">2 to 6 Services </w:t>
            </w:r>
          </w:p>
        </w:tc>
        <w:tc>
          <w:tcPr>
            <w:tcW w:w="448" w:type="pct"/>
            <w:hideMark/>
          </w:tcPr>
          <w:p w14:paraId="54657246" w14:textId="33D5066E" w:rsidR="00F16C25" w:rsidRPr="0015745E" w:rsidRDefault="00F16C25" w:rsidP="00706D0A">
            <w:pPr>
              <w:pStyle w:val="TableHeaderWhite"/>
              <w:rPr>
                <w:sz w:val="16"/>
                <w:szCs w:val="16"/>
              </w:rPr>
            </w:pPr>
            <w:r w:rsidRPr="0015745E">
              <w:rPr>
                <w:sz w:val="16"/>
                <w:szCs w:val="16"/>
              </w:rPr>
              <w:t xml:space="preserve">7 </w:t>
            </w:r>
            <w:r w:rsidR="008848FA" w:rsidRPr="0015745E">
              <w:rPr>
                <w:sz w:val="16"/>
                <w:szCs w:val="16"/>
              </w:rPr>
              <w:t xml:space="preserve">or </w:t>
            </w:r>
            <w:r w:rsidRPr="0015745E">
              <w:rPr>
                <w:sz w:val="16"/>
                <w:szCs w:val="16"/>
              </w:rPr>
              <w:t xml:space="preserve">More Services </w:t>
            </w:r>
          </w:p>
        </w:tc>
      </w:tr>
      <w:tr w:rsidR="003B5523" w:rsidRPr="00727E8E" w14:paraId="133AC373" w14:textId="77777777" w:rsidTr="003F107E">
        <w:trPr>
          <w:trHeight w:val="311"/>
        </w:trPr>
        <w:tc>
          <w:tcPr>
            <w:tcW w:w="523" w:type="pct"/>
            <w:noWrap/>
            <w:hideMark/>
          </w:tcPr>
          <w:p w14:paraId="2457172F" w14:textId="745F9446" w:rsidR="003B5523" w:rsidRPr="0015745E" w:rsidRDefault="003B5523" w:rsidP="003B5523">
            <w:pPr>
              <w:pStyle w:val="TableofAuthorities"/>
              <w:rPr>
                <w:rFonts w:cs="Arial"/>
                <w:sz w:val="16"/>
                <w:szCs w:val="16"/>
              </w:rPr>
            </w:pPr>
            <w:r w:rsidRPr="0015745E">
              <w:rPr>
                <w:rFonts w:cs="Arial"/>
                <w:sz w:val="16"/>
                <w:szCs w:val="16"/>
              </w:rPr>
              <w:t>Total revenue ($m)</w:t>
            </w:r>
          </w:p>
        </w:tc>
        <w:tc>
          <w:tcPr>
            <w:tcW w:w="447" w:type="pct"/>
            <w:noWrap/>
            <w:vAlign w:val="top"/>
            <w:hideMark/>
          </w:tcPr>
          <w:p w14:paraId="3C2125B0" w14:textId="188DEF59" w:rsidR="003B5523" w:rsidRPr="0015745E" w:rsidRDefault="003B5523" w:rsidP="003B5523">
            <w:pPr>
              <w:pStyle w:val="TableofAuthorities"/>
              <w:rPr>
                <w:rFonts w:cs="Arial"/>
                <w:sz w:val="16"/>
                <w:szCs w:val="16"/>
              </w:rPr>
            </w:pPr>
            <w:r w:rsidRPr="0015745E">
              <w:rPr>
                <w:rFonts w:cs="Arial"/>
                <w:sz w:val="16"/>
                <w:szCs w:val="16"/>
              </w:rPr>
              <w:t xml:space="preserve">$5,787.2 </w:t>
            </w:r>
          </w:p>
        </w:tc>
        <w:tc>
          <w:tcPr>
            <w:tcW w:w="447" w:type="pct"/>
            <w:noWrap/>
            <w:vAlign w:val="top"/>
            <w:hideMark/>
          </w:tcPr>
          <w:p w14:paraId="5EAFB2F1" w14:textId="354A86CF" w:rsidR="003B5523" w:rsidRPr="0015745E" w:rsidRDefault="003B5523" w:rsidP="003B5523">
            <w:pPr>
              <w:pStyle w:val="TableofAuthorities"/>
              <w:rPr>
                <w:rFonts w:cs="Arial"/>
                <w:sz w:val="16"/>
                <w:szCs w:val="16"/>
              </w:rPr>
            </w:pPr>
            <w:r w:rsidRPr="0015745E">
              <w:rPr>
                <w:rFonts w:cs="Arial"/>
                <w:sz w:val="16"/>
                <w:szCs w:val="16"/>
              </w:rPr>
              <w:t xml:space="preserve">$1,998.9 </w:t>
            </w:r>
          </w:p>
        </w:tc>
        <w:tc>
          <w:tcPr>
            <w:tcW w:w="448" w:type="pct"/>
            <w:noWrap/>
            <w:vAlign w:val="top"/>
            <w:hideMark/>
          </w:tcPr>
          <w:p w14:paraId="1570B7DF" w14:textId="51AF3FA5" w:rsidR="003B5523" w:rsidRPr="0015745E" w:rsidRDefault="003B5523" w:rsidP="003B5523">
            <w:pPr>
              <w:pStyle w:val="TableofAuthorities"/>
              <w:rPr>
                <w:rFonts w:cs="Arial"/>
                <w:sz w:val="16"/>
                <w:szCs w:val="16"/>
              </w:rPr>
            </w:pPr>
            <w:r w:rsidRPr="0015745E">
              <w:rPr>
                <w:rFonts w:cs="Arial"/>
                <w:sz w:val="16"/>
                <w:szCs w:val="16"/>
              </w:rPr>
              <w:t xml:space="preserve">$3,504.3 </w:t>
            </w:r>
          </w:p>
        </w:tc>
        <w:tc>
          <w:tcPr>
            <w:tcW w:w="447" w:type="pct"/>
            <w:noWrap/>
            <w:vAlign w:val="top"/>
            <w:hideMark/>
          </w:tcPr>
          <w:p w14:paraId="204AA434" w14:textId="0F181B58" w:rsidR="003B5523" w:rsidRPr="0015745E" w:rsidRDefault="003B5523" w:rsidP="003B5523">
            <w:pPr>
              <w:pStyle w:val="TableofAuthorities"/>
              <w:rPr>
                <w:rFonts w:cs="Arial"/>
                <w:sz w:val="16"/>
                <w:szCs w:val="16"/>
              </w:rPr>
            </w:pPr>
            <w:r w:rsidRPr="0015745E">
              <w:rPr>
                <w:rFonts w:cs="Arial"/>
                <w:sz w:val="16"/>
                <w:szCs w:val="16"/>
              </w:rPr>
              <w:t xml:space="preserve">$284.0 </w:t>
            </w:r>
          </w:p>
        </w:tc>
        <w:tc>
          <w:tcPr>
            <w:tcW w:w="448" w:type="pct"/>
            <w:noWrap/>
            <w:vAlign w:val="top"/>
            <w:hideMark/>
          </w:tcPr>
          <w:p w14:paraId="6A8A2F96" w14:textId="14CEBFB4" w:rsidR="003B5523" w:rsidRPr="0015745E" w:rsidRDefault="003B5523" w:rsidP="003B5523">
            <w:pPr>
              <w:pStyle w:val="TableofAuthorities"/>
              <w:rPr>
                <w:rFonts w:cs="Arial"/>
                <w:sz w:val="16"/>
                <w:szCs w:val="16"/>
              </w:rPr>
            </w:pPr>
            <w:r w:rsidRPr="0015745E">
              <w:rPr>
                <w:rFonts w:cs="Arial"/>
                <w:sz w:val="16"/>
                <w:szCs w:val="16"/>
              </w:rPr>
              <w:t xml:space="preserve">$3,825.9 </w:t>
            </w:r>
          </w:p>
        </w:tc>
        <w:tc>
          <w:tcPr>
            <w:tcW w:w="447" w:type="pct"/>
            <w:noWrap/>
            <w:vAlign w:val="top"/>
            <w:hideMark/>
          </w:tcPr>
          <w:p w14:paraId="52507F62" w14:textId="573160EA" w:rsidR="003B5523" w:rsidRPr="0015745E" w:rsidRDefault="003B5523" w:rsidP="003B5523">
            <w:pPr>
              <w:pStyle w:val="TableofAuthorities"/>
              <w:rPr>
                <w:rFonts w:cs="Arial"/>
                <w:sz w:val="16"/>
                <w:szCs w:val="16"/>
              </w:rPr>
            </w:pPr>
            <w:r w:rsidRPr="0015745E">
              <w:rPr>
                <w:rFonts w:cs="Arial"/>
                <w:sz w:val="16"/>
                <w:szCs w:val="16"/>
              </w:rPr>
              <w:t xml:space="preserve">$960.3 </w:t>
            </w:r>
          </w:p>
        </w:tc>
        <w:tc>
          <w:tcPr>
            <w:tcW w:w="447" w:type="pct"/>
            <w:noWrap/>
            <w:vAlign w:val="top"/>
            <w:hideMark/>
          </w:tcPr>
          <w:p w14:paraId="7533B009" w14:textId="21FE581E" w:rsidR="003B5523" w:rsidRPr="0015745E" w:rsidRDefault="003B5523" w:rsidP="003B5523">
            <w:pPr>
              <w:pStyle w:val="TableofAuthorities"/>
              <w:rPr>
                <w:rFonts w:cs="Arial"/>
                <w:sz w:val="16"/>
                <w:szCs w:val="16"/>
              </w:rPr>
            </w:pPr>
            <w:r w:rsidRPr="0015745E">
              <w:rPr>
                <w:rFonts w:cs="Arial"/>
                <w:sz w:val="16"/>
                <w:szCs w:val="16"/>
              </w:rPr>
              <w:t xml:space="preserve">$1,001.0 </w:t>
            </w:r>
          </w:p>
        </w:tc>
        <w:tc>
          <w:tcPr>
            <w:tcW w:w="448" w:type="pct"/>
            <w:noWrap/>
            <w:vAlign w:val="top"/>
            <w:hideMark/>
          </w:tcPr>
          <w:p w14:paraId="5AF53684" w14:textId="2145AA73" w:rsidR="003B5523" w:rsidRPr="0015745E" w:rsidRDefault="003B5523" w:rsidP="003B5523">
            <w:pPr>
              <w:pStyle w:val="TableofAuthorities"/>
              <w:rPr>
                <w:rFonts w:cs="Arial"/>
                <w:sz w:val="16"/>
                <w:szCs w:val="16"/>
              </w:rPr>
            </w:pPr>
            <w:r w:rsidRPr="0015745E">
              <w:rPr>
                <w:rFonts w:cs="Arial"/>
                <w:sz w:val="16"/>
                <w:szCs w:val="16"/>
              </w:rPr>
              <w:t xml:space="preserve">$2,111.2 </w:t>
            </w:r>
          </w:p>
        </w:tc>
        <w:tc>
          <w:tcPr>
            <w:tcW w:w="447" w:type="pct"/>
            <w:noWrap/>
            <w:vAlign w:val="top"/>
            <w:hideMark/>
          </w:tcPr>
          <w:p w14:paraId="0C393980" w14:textId="4CB2E49E" w:rsidR="003B5523" w:rsidRPr="0015745E" w:rsidRDefault="003B5523" w:rsidP="003B5523">
            <w:pPr>
              <w:pStyle w:val="TableofAuthorities"/>
              <w:rPr>
                <w:rFonts w:cs="Arial"/>
                <w:sz w:val="16"/>
                <w:szCs w:val="16"/>
              </w:rPr>
            </w:pPr>
            <w:r w:rsidRPr="0015745E">
              <w:rPr>
                <w:rFonts w:cs="Arial"/>
                <w:sz w:val="16"/>
                <w:szCs w:val="16"/>
              </w:rPr>
              <w:t xml:space="preserve">$1,235.8 </w:t>
            </w:r>
          </w:p>
        </w:tc>
        <w:tc>
          <w:tcPr>
            <w:tcW w:w="448" w:type="pct"/>
            <w:noWrap/>
            <w:vAlign w:val="top"/>
            <w:hideMark/>
          </w:tcPr>
          <w:p w14:paraId="0A5FAB49" w14:textId="4C13CEFA" w:rsidR="003B5523" w:rsidRPr="0015745E" w:rsidRDefault="003B5523" w:rsidP="003B5523">
            <w:pPr>
              <w:pStyle w:val="TableofAuthorities"/>
              <w:rPr>
                <w:rFonts w:cs="Arial"/>
                <w:sz w:val="16"/>
                <w:szCs w:val="16"/>
              </w:rPr>
            </w:pPr>
            <w:r w:rsidRPr="0015745E">
              <w:rPr>
                <w:rFonts w:cs="Arial"/>
                <w:sz w:val="16"/>
                <w:szCs w:val="16"/>
              </w:rPr>
              <w:t xml:space="preserve">$2,440.2 </w:t>
            </w:r>
          </w:p>
        </w:tc>
      </w:tr>
      <w:tr w:rsidR="003B5523" w:rsidRPr="00727E8E" w14:paraId="3D9D7AC3" w14:textId="77777777" w:rsidTr="003F107E">
        <w:trPr>
          <w:trHeight w:val="311"/>
        </w:trPr>
        <w:tc>
          <w:tcPr>
            <w:tcW w:w="523" w:type="pct"/>
            <w:noWrap/>
            <w:hideMark/>
          </w:tcPr>
          <w:p w14:paraId="23606F54" w14:textId="77777777" w:rsidR="003F107E" w:rsidRDefault="003B5523" w:rsidP="003B5523">
            <w:pPr>
              <w:pStyle w:val="TableofAuthorities"/>
              <w:rPr>
                <w:rFonts w:cs="Arial"/>
                <w:sz w:val="16"/>
                <w:szCs w:val="16"/>
              </w:rPr>
            </w:pPr>
            <w:r w:rsidRPr="0015745E">
              <w:rPr>
                <w:rFonts w:cs="Arial"/>
                <w:sz w:val="16"/>
                <w:szCs w:val="16"/>
              </w:rPr>
              <w:t>Total expenses</w:t>
            </w:r>
          </w:p>
          <w:p w14:paraId="5068C188" w14:textId="5CFAFA47" w:rsidR="003B5523" w:rsidRPr="0015745E" w:rsidRDefault="003B5523" w:rsidP="003B5523">
            <w:pPr>
              <w:pStyle w:val="TableofAuthorities"/>
              <w:rPr>
                <w:rFonts w:cs="Arial"/>
                <w:sz w:val="16"/>
                <w:szCs w:val="16"/>
              </w:rPr>
            </w:pPr>
            <w:r w:rsidRPr="0015745E">
              <w:rPr>
                <w:rFonts w:cs="Arial"/>
                <w:sz w:val="16"/>
                <w:szCs w:val="16"/>
              </w:rPr>
              <w:t>($m)</w:t>
            </w:r>
          </w:p>
        </w:tc>
        <w:tc>
          <w:tcPr>
            <w:tcW w:w="447" w:type="pct"/>
            <w:noWrap/>
            <w:vAlign w:val="top"/>
            <w:hideMark/>
          </w:tcPr>
          <w:p w14:paraId="5DD5656E" w14:textId="7FFB9E0E" w:rsidR="003B5523" w:rsidRPr="0015745E" w:rsidRDefault="003B5523" w:rsidP="003B5523">
            <w:pPr>
              <w:pStyle w:val="TableofAuthorities"/>
              <w:rPr>
                <w:rFonts w:cs="Arial"/>
                <w:sz w:val="16"/>
                <w:szCs w:val="16"/>
              </w:rPr>
            </w:pPr>
            <w:r w:rsidRPr="0015745E">
              <w:rPr>
                <w:rFonts w:cs="Arial"/>
                <w:sz w:val="16"/>
                <w:szCs w:val="16"/>
              </w:rPr>
              <w:t xml:space="preserve">$5,601.5 </w:t>
            </w:r>
          </w:p>
        </w:tc>
        <w:tc>
          <w:tcPr>
            <w:tcW w:w="447" w:type="pct"/>
            <w:noWrap/>
            <w:vAlign w:val="top"/>
            <w:hideMark/>
          </w:tcPr>
          <w:p w14:paraId="5EA123CC" w14:textId="502E63AA" w:rsidR="003B5523" w:rsidRPr="0015745E" w:rsidRDefault="003B5523" w:rsidP="003B5523">
            <w:pPr>
              <w:pStyle w:val="TableofAuthorities"/>
              <w:rPr>
                <w:rFonts w:cs="Arial"/>
                <w:sz w:val="16"/>
                <w:szCs w:val="16"/>
              </w:rPr>
            </w:pPr>
            <w:r w:rsidRPr="0015745E">
              <w:rPr>
                <w:rFonts w:cs="Arial"/>
                <w:sz w:val="16"/>
                <w:szCs w:val="16"/>
              </w:rPr>
              <w:t xml:space="preserve">$1,916.7 </w:t>
            </w:r>
          </w:p>
        </w:tc>
        <w:tc>
          <w:tcPr>
            <w:tcW w:w="448" w:type="pct"/>
            <w:noWrap/>
            <w:vAlign w:val="top"/>
            <w:hideMark/>
          </w:tcPr>
          <w:p w14:paraId="66E72618" w14:textId="3B688449" w:rsidR="003B5523" w:rsidRPr="0015745E" w:rsidRDefault="003B5523" w:rsidP="003B5523">
            <w:pPr>
              <w:pStyle w:val="TableofAuthorities"/>
              <w:rPr>
                <w:rFonts w:cs="Arial"/>
                <w:sz w:val="16"/>
                <w:szCs w:val="16"/>
              </w:rPr>
            </w:pPr>
            <w:r w:rsidRPr="0015745E">
              <w:rPr>
                <w:rFonts w:cs="Arial"/>
                <w:sz w:val="16"/>
                <w:szCs w:val="16"/>
              </w:rPr>
              <w:t xml:space="preserve">$3,405.0 </w:t>
            </w:r>
          </w:p>
        </w:tc>
        <w:tc>
          <w:tcPr>
            <w:tcW w:w="447" w:type="pct"/>
            <w:noWrap/>
            <w:vAlign w:val="top"/>
            <w:hideMark/>
          </w:tcPr>
          <w:p w14:paraId="4CAD5084" w14:textId="44D16602" w:rsidR="003B5523" w:rsidRPr="0015745E" w:rsidRDefault="003B5523" w:rsidP="003B5523">
            <w:pPr>
              <w:pStyle w:val="TableofAuthorities"/>
              <w:rPr>
                <w:rFonts w:cs="Arial"/>
                <w:sz w:val="16"/>
                <w:szCs w:val="16"/>
              </w:rPr>
            </w:pPr>
            <w:r w:rsidRPr="0015745E">
              <w:rPr>
                <w:rFonts w:cs="Arial"/>
                <w:sz w:val="16"/>
                <w:szCs w:val="16"/>
              </w:rPr>
              <w:t xml:space="preserve">$279.8 </w:t>
            </w:r>
          </w:p>
        </w:tc>
        <w:tc>
          <w:tcPr>
            <w:tcW w:w="448" w:type="pct"/>
            <w:noWrap/>
            <w:vAlign w:val="top"/>
            <w:hideMark/>
          </w:tcPr>
          <w:p w14:paraId="2FF6C413" w14:textId="1DABEBB2" w:rsidR="003B5523" w:rsidRPr="0015745E" w:rsidRDefault="003B5523" w:rsidP="003B5523">
            <w:pPr>
              <w:pStyle w:val="TableofAuthorities"/>
              <w:rPr>
                <w:rFonts w:cs="Arial"/>
                <w:sz w:val="16"/>
                <w:szCs w:val="16"/>
              </w:rPr>
            </w:pPr>
            <w:r w:rsidRPr="0015745E">
              <w:rPr>
                <w:rFonts w:cs="Arial"/>
                <w:sz w:val="16"/>
                <w:szCs w:val="16"/>
              </w:rPr>
              <w:t xml:space="preserve">$3,703.9 </w:t>
            </w:r>
          </w:p>
        </w:tc>
        <w:tc>
          <w:tcPr>
            <w:tcW w:w="447" w:type="pct"/>
            <w:noWrap/>
            <w:vAlign w:val="top"/>
            <w:hideMark/>
          </w:tcPr>
          <w:p w14:paraId="28CCEADD" w14:textId="5ECCD1BB" w:rsidR="003B5523" w:rsidRPr="0015745E" w:rsidRDefault="003B5523" w:rsidP="003B5523">
            <w:pPr>
              <w:pStyle w:val="TableofAuthorities"/>
              <w:rPr>
                <w:rFonts w:cs="Arial"/>
                <w:sz w:val="16"/>
                <w:szCs w:val="16"/>
              </w:rPr>
            </w:pPr>
            <w:r w:rsidRPr="0015745E">
              <w:rPr>
                <w:rFonts w:cs="Arial"/>
                <w:sz w:val="16"/>
                <w:szCs w:val="16"/>
              </w:rPr>
              <w:t xml:space="preserve">$931.6 </w:t>
            </w:r>
          </w:p>
        </w:tc>
        <w:tc>
          <w:tcPr>
            <w:tcW w:w="447" w:type="pct"/>
            <w:noWrap/>
            <w:vAlign w:val="top"/>
            <w:hideMark/>
          </w:tcPr>
          <w:p w14:paraId="585AF195" w14:textId="201D83E1" w:rsidR="003B5523" w:rsidRPr="0015745E" w:rsidRDefault="003B5523" w:rsidP="003B5523">
            <w:pPr>
              <w:pStyle w:val="TableofAuthorities"/>
              <w:rPr>
                <w:rFonts w:cs="Arial"/>
                <w:sz w:val="16"/>
                <w:szCs w:val="16"/>
              </w:rPr>
            </w:pPr>
            <w:r w:rsidRPr="0015745E">
              <w:rPr>
                <w:rFonts w:cs="Arial"/>
                <w:sz w:val="16"/>
                <w:szCs w:val="16"/>
              </w:rPr>
              <w:t xml:space="preserve">$966.0 </w:t>
            </w:r>
          </w:p>
        </w:tc>
        <w:tc>
          <w:tcPr>
            <w:tcW w:w="448" w:type="pct"/>
            <w:noWrap/>
            <w:vAlign w:val="top"/>
            <w:hideMark/>
          </w:tcPr>
          <w:p w14:paraId="33F2BE0B" w14:textId="1C664D47" w:rsidR="003B5523" w:rsidRPr="0015745E" w:rsidRDefault="003B5523" w:rsidP="003B5523">
            <w:pPr>
              <w:pStyle w:val="TableofAuthorities"/>
              <w:rPr>
                <w:rFonts w:cs="Arial"/>
                <w:sz w:val="16"/>
                <w:szCs w:val="16"/>
              </w:rPr>
            </w:pPr>
            <w:r w:rsidRPr="0015745E">
              <w:rPr>
                <w:rFonts w:cs="Arial"/>
                <w:sz w:val="16"/>
                <w:szCs w:val="16"/>
              </w:rPr>
              <w:t xml:space="preserve">$2,028.1 </w:t>
            </w:r>
          </w:p>
        </w:tc>
        <w:tc>
          <w:tcPr>
            <w:tcW w:w="447" w:type="pct"/>
            <w:noWrap/>
            <w:vAlign w:val="top"/>
            <w:hideMark/>
          </w:tcPr>
          <w:p w14:paraId="02716878" w14:textId="2FA17900" w:rsidR="003B5523" w:rsidRPr="0015745E" w:rsidRDefault="003B5523" w:rsidP="003B5523">
            <w:pPr>
              <w:pStyle w:val="TableofAuthorities"/>
              <w:rPr>
                <w:rFonts w:cs="Arial"/>
                <w:sz w:val="16"/>
                <w:szCs w:val="16"/>
              </w:rPr>
            </w:pPr>
            <w:r w:rsidRPr="0015745E">
              <w:rPr>
                <w:rFonts w:cs="Arial"/>
                <w:sz w:val="16"/>
                <w:szCs w:val="16"/>
              </w:rPr>
              <w:t xml:space="preserve">$1,176.1 </w:t>
            </w:r>
          </w:p>
        </w:tc>
        <w:tc>
          <w:tcPr>
            <w:tcW w:w="448" w:type="pct"/>
            <w:noWrap/>
            <w:vAlign w:val="top"/>
            <w:hideMark/>
          </w:tcPr>
          <w:p w14:paraId="53C1671C" w14:textId="3596148B" w:rsidR="003B5523" w:rsidRPr="0015745E" w:rsidRDefault="003B5523" w:rsidP="003B5523">
            <w:pPr>
              <w:pStyle w:val="TableofAuthorities"/>
              <w:rPr>
                <w:rFonts w:cs="Arial"/>
                <w:sz w:val="16"/>
                <w:szCs w:val="16"/>
              </w:rPr>
            </w:pPr>
            <w:r w:rsidRPr="0015745E">
              <w:rPr>
                <w:rFonts w:cs="Arial"/>
                <w:sz w:val="16"/>
                <w:szCs w:val="16"/>
              </w:rPr>
              <w:t xml:space="preserve">$2,397.3 </w:t>
            </w:r>
          </w:p>
        </w:tc>
      </w:tr>
      <w:tr w:rsidR="003B5523" w:rsidRPr="00727E8E" w14:paraId="1E100434" w14:textId="77777777" w:rsidTr="003F107E">
        <w:trPr>
          <w:trHeight w:val="311"/>
        </w:trPr>
        <w:tc>
          <w:tcPr>
            <w:tcW w:w="523" w:type="pct"/>
            <w:noWrap/>
            <w:hideMark/>
          </w:tcPr>
          <w:p w14:paraId="5D7B504C" w14:textId="15C2BAFD" w:rsidR="003B5523" w:rsidRPr="0015745E" w:rsidRDefault="003B5523" w:rsidP="003B5523">
            <w:pPr>
              <w:pStyle w:val="TableofAuthorities"/>
              <w:rPr>
                <w:rFonts w:cs="Arial"/>
                <w:sz w:val="16"/>
                <w:szCs w:val="16"/>
              </w:rPr>
            </w:pPr>
            <w:r w:rsidRPr="0015745E">
              <w:rPr>
                <w:rFonts w:cs="Arial"/>
                <w:sz w:val="16"/>
                <w:szCs w:val="16"/>
              </w:rPr>
              <w:t>Profit ($m)</w:t>
            </w:r>
          </w:p>
        </w:tc>
        <w:tc>
          <w:tcPr>
            <w:tcW w:w="447" w:type="pct"/>
            <w:noWrap/>
            <w:vAlign w:val="top"/>
            <w:hideMark/>
          </w:tcPr>
          <w:p w14:paraId="5EC45C0F" w14:textId="40B56B12" w:rsidR="003B5523" w:rsidRPr="0015745E" w:rsidRDefault="003B5523" w:rsidP="003B5523">
            <w:pPr>
              <w:pStyle w:val="TableofAuthorities"/>
              <w:rPr>
                <w:rFonts w:cs="Arial"/>
                <w:sz w:val="16"/>
                <w:szCs w:val="16"/>
              </w:rPr>
            </w:pPr>
            <w:r w:rsidRPr="0015745E">
              <w:rPr>
                <w:rFonts w:cs="Arial"/>
                <w:sz w:val="16"/>
                <w:szCs w:val="16"/>
              </w:rPr>
              <w:t xml:space="preserve">$185.7 </w:t>
            </w:r>
          </w:p>
        </w:tc>
        <w:tc>
          <w:tcPr>
            <w:tcW w:w="447" w:type="pct"/>
            <w:noWrap/>
            <w:vAlign w:val="top"/>
            <w:hideMark/>
          </w:tcPr>
          <w:p w14:paraId="2E0C8D3B" w14:textId="5277B438" w:rsidR="003B5523" w:rsidRPr="0015745E" w:rsidRDefault="003B5523" w:rsidP="003B5523">
            <w:pPr>
              <w:pStyle w:val="TableofAuthorities"/>
              <w:rPr>
                <w:rFonts w:cs="Arial"/>
                <w:sz w:val="16"/>
                <w:szCs w:val="16"/>
              </w:rPr>
            </w:pPr>
            <w:r w:rsidRPr="0015745E">
              <w:rPr>
                <w:rFonts w:cs="Arial"/>
                <w:sz w:val="16"/>
                <w:szCs w:val="16"/>
              </w:rPr>
              <w:t xml:space="preserve">$82.2 </w:t>
            </w:r>
          </w:p>
        </w:tc>
        <w:tc>
          <w:tcPr>
            <w:tcW w:w="448" w:type="pct"/>
            <w:noWrap/>
            <w:vAlign w:val="top"/>
            <w:hideMark/>
          </w:tcPr>
          <w:p w14:paraId="3292EBD9" w14:textId="0660E56C" w:rsidR="003B5523" w:rsidRPr="0015745E" w:rsidRDefault="003B5523" w:rsidP="003B5523">
            <w:pPr>
              <w:pStyle w:val="TableofAuthorities"/>
              <w:rPr>
                <w:rFonts w:cs="Arial"/>
                <w:sz w:val="16"/>
                <w:szCs w:val="16"/>
              </w:rPr>
            </w:pPr>
            <w:r w:rsidRPr="0015745E">
              <w:rPr>
                <w:rFonts w:cs="Arial"/>
                <w:sz w:val="16"/>
                <w:szCs w:val="16"/>
              </w:rPr>
              <w:t xml:space="preserve">$99.3 </w:t>
            </w:r>
          </w:p>
        </w:tc>
        <w:tc>
          <w:tcPr>
            <w:tcW w:w="447" w:type="pct"/>
            <w:noWrap/>
            <w:vAlign w:val="top"/>
            <w:hideMark/>
          </w:tcPr>
          <w:p w14:paraId="496EAE63" w14:textId="220119B1" w:rsidR="003B5523" w:rsidRPr="0015745E" w:rsidRDefault="003B5523" w:rsidP="003B5523">
            <w:pPr>
              <w:pStyle w:val="TableofAuthorities"/>
              <w:rPr>
                <w:rFonts w:cs="Arial"/>
                <w:sz w:val="16"/>
                <w:szCs w:val="16"/>
              </w:rPr>
            </w:pPr>
            <w:r w:rsidRPr="0015745E">
              <w:rPr>
                <w:rFonts w:cs="Arial"/>
                <w:sz w:val="16"/>
                <w:szCs w:val="16"/>
              </w:rPr>
              <w:t xml:space="preserve">$4.2 </w:t>
            </w:r>
          </w:p>
        </w:tc>
        <w:tc>
          <w:tcPr>
            <w:tcW w:w="448" w:type="pct"/>
            <w:noWrap/>
            <w:vAlign w:val="top"/>
            <w:hideMark/>
          </w:tcPr>
          <w:p w14:paraId="3624DB8A" w14:textId="761AA3FA" w:rsidR="003B5523" w:rsidRPr="0015745E" w:rsidRDefault="003B5523" w:rsidP="003B5523">
            <w:pPr>
              <w:pStyle w:val="TableofAuthorities"/>
              <w:rPr>
                <w:rFonts w:cs="Arial"/>
                <w:sz w:val="16"/>
                <w:szCs w:val="16"/>
              </w:rPr>
            </w:pPr>
            <w:r w:rsidRPr="0015745E">
              <w:rPr>
                <w:rFonts w:cs="Arial"/>
                <w:sz w:val="16"/>
                <w:szCs w:val="16"/>
              </w:rPr>
              <w:t xml:space="preserve">$122.0 </w:t>
            </w:r>
          </w:p>
        </w:tc>
        <w:tc>
          <w:tcPr>
            <w:tcW w:w="447" w:type="pct"/>
            <w:noWrap/>
            <w:vAlign w:val="top"/>
            <w:hideMark/>
          </w:tcPr>
          <w:p w14:paraId="3F07133A" w14:textId="7ABB8007" w:rsidR="003B5523" w:rsidRPr="0015745E" w:rsidRDefault="003B5523" w:rsidP="003B5523">
            <w:pPr>
              <w:pStyle w:val="TableofAuthorities"/>
              <w:rPr>
                <w:rFonts w:cs="Arial"/>
                <w:sz w:val="16"/>
                <w:szCs w:val="16"/>
              </w:rPr>
            </w:pPr>
            <w:r w:rsidRPr="0015745E">
              <w:rPr>
                <w:rFonts w:cs="Arial"/>
                <w:sz w:val="16"/>
                <w:szCs w:val="16"/>
              </w:rPr>
              <w:t xml:space="preserve">$28.6 </w:t>
            </w:r>
          </w:p>
        </w:tc>
        <w:tc>
          <w:tcPr>
            <w:tcW w:w="447" w:type="pct"/>
            <w:noWrap/>
            <w:vAlign w:val="top"/>
            <w:hideMark/>
          </w:tcPr>
          <w:p w14:paraId="0D796699" w14:textId="50F9BF2A" w:rsidR="003B5523" w:rsidRPr="0015745E" w:rsidRDefault="003B5523" w:rsidP="003B5523">
            <w:pPr>
              <w:pStyle w:val="TableofAuthorities"/>
              <w:rPr>
                <w:rFonts w:cs="Arial"/>
                <w:sz w:val="16"/>
                <w:szCs w:val="16"/>
              </w:rPr>
            </w:pPr>
            <w:r w:rsidRPr="0015745E">
              <w:rPr>
                <w:rFonts w:cs="Arial"/>
                <w:sz w:val="16"/>
                <w:szCs w:val="16"/>
              </w:rPr>
              <w:t xml:space="preserve">$35.0 </w:t>
            </w:r>
          </w:p>
        </w:tc>
        <w:tc>
          <w:tcPr>
            <w:tcW w:w="448" w:type="pct"/>
            <w:noWrap/>
            <w:vAlign w:val="top"/>
            <w:hideMark/>
          </w:tcPr>
          <w:p w14:paraId="0561BCD9" w14:textId="42E1731F" w:rsidR="003B5523" w:rsidRPr="0015745E" w:rsidRDefault="003B5523" w:rsidP="003B5523">
            <w:pPr>
              <w:pStyle w:val="TableofAuthorities"/>
              <w:rPr>
                <w:rFonts w:cs="Arial"/>
                <w:sz w:val="16"/>
                <w:szCs w:val="16"/>
              </w:rPr>
            </w:pPr>
            <w:r w:rsidRPr="0015745E">
              <w:rPr>
                <w:rFonts w:cs="Arial"/>
                <w:sz w:val="16"/>
                <w:szCs w:val="16"/>
              </w:rPr>
              <w:t xml:space="preserve">$83.0 </w:t>
            </w:r>
          </w:p>
        </w:tc>
        <w:tc>
          <w:tcPr>
            <w:tcW w:w="447" w:type="pct"/>
            <w:noWrap/>
            <w:vAlign w:val="top"/>
            <w:hideMark/>
          </w:tcPr>
          <w:p w14:paraId="11968C54" w14:textId="49A09718" w:rsidR="003B5523" w:rsidRPr="0015745E" w:rsidRDefault="003B5523" w:rsidP="003B5523">
            <w:pPr>
              <w:pStyle w:val="TableofAuthorities"/>
              <w:rPr>
                <w:rFonts w:cs="Arial"/>
                <w:sz w:val="16"/>
                <w:szCs w:val="16"/>
              </w:rPr>
            </w:pPr>
            <w:r w:rsidRPr="0015745E">
              <w:rPr>
                <w:rFonts w:cs="Arial"/>
                <w:sz w:val="16"/>
                <w:szCs w:val="16"/>
              </w:rPr>
              <w:t xml:space="preserve">$59.6 </w:t>
            </w:r>
          </w:p>
        </w:tc>
        <w:tc>
          <w:tcPr>
            <w:tcW w:w="448" w:type="pct"/>
            <w:noWrap/>
            <w:vAlign w:val="top"/>
            <w:hideMark/>
          </w:tcPr>
          <w:p w14:paraId="57922E88" w14:textId="68235DEC" w:rsidR="003B5523" w:rsidRPr="0015745E" w:rsidRDefault="003B5523" w:rsidP="003B5523">
            <w:pPr>
              <w:pStyle w:val="TableofAuthorities"/>
              <w:rPr>
                <w:rFonts w:cs="Arial"/>
                <w:sz w:val="16"/>
                <w:szCs w:val="16"/>
              </w:rPr>
            </w:pPr>
            <w:r w:rsidRPr="0015745E">
              <w:rPr>
                <w:rFonts w:cs="Arial"/>
                <w:sz w:val="16"/>
                <w:szCs w:val="16"/>
              </w:rPr>
              <w:t xml:space="preserve">$43.0 </w:t>
            </w:r>
          </w:p>
        </w:tc>
      </w:tr>
      <w:tr w:rsidR="003B5523" w:rsidRPr="00727E8E" w14:paraId="51922F50" w14:textId="77777777" w:rsidTr="003F107E">
        <w:trPr>
          <w:trHeight w:val="311"/>
        </w:trPr>
        <w:tc>
          <w:tcPr>
            <w:tcW w:w="523" w:type="pct"/>
            <w:noWrap/>
            <w:hideMark/>
          </w:tcPr>
          <w:p w14:paraId="677E0ED6" w14:textId="6A8C44E3" w:rsidR="003B5523" w:rsidRPr="0015745E" w:rsidRDefault="003B5523" w:rsidP="003B5523">
            <w:pPr>
              <w:pStyle w:val="TableofAuthorities"/>
              <w:rPr>
                <w:rFonts w:cs="Arial"/>
                <w:sz w:val="16"/>
                <w:szCs w:val="16"/>
              </w:rPr>
            </w:pPr>
            <w:r w:rsidRPr="0015745E">
              <w:rPr>
                <w:rFonts w:cs="Arial"/>
                <w:sz w:val="16"/>
                <w:szCs w:val="16"/>
              </w:rPr>
              <w:t>EBITDA ($m)</w:t>
            </w:r>
          </w:p>
        </w:tc>
        <w:tc>
          <w:tcPr>
            <w:tcW w:w="447" w:type="pct"/>
            <w:noWrap/>
            <w:vAlign w:val="top"/>
            <w:hideMark/>
          </w:tcPr>
          <w:p w14:paraId="6A0C20AD" w14:textId="687F9F14" w:rsidR="003B5523" w:rsidRPr="0015745E" w:rsidRDefault="003B5523" w:rsidP="003B5523">
            <w:pPr>
              <w:pStyle w:val="TableofAuthorities"/>
              <w:rPr>
                <w:rFonts w:cs="Arial"/>
                <w:sz w:val="16"/>
                <w:szCs w:val="16"/>
              </w:rPr>
            </w:pPr>
            <w:r w:rsidRPr="0015745E">
              <w:rPr>
                <w:rFonts w:cs="Arial"/>
                <w:sz w:val="16"/>
                <w:szCs w:val="16"/>
              </w:rPr>
              <w:t xml:space="preserve">$236.1 </w:t>
            </w:r>
          </w:p>
        </w:tc>
        <w:tc>
          <w:tcPr>
            <w:tcW w:w="447" w:type="pct"/>
            <w:noWrap/>
            <w:vAlign w:val="top"/>
            <w:hideMark/>
          </w:tcPr>
          <w:p w14:paraId="6E4E6D21" w14:textId="31E70F3A" w:rsidR="003B5523" w:rsidRPr="0015745E" w:rsidRDefault="003B5523" w:rsidP="003B5523">
            <w:pPr>
              <w:pStyle w:val="TableofAuthorities"/>
              <w:rPr>
                <w:rFonts w:cs="Arial"/>
                <w:sz w:val="16"/>
                <w:szCs w:val="16"/>
              </w:rPr>
            </w:pPr>
            <w:r w:rsidRPr="0015745E">
              <w:rPr>
                <w:rFonts w:cs="Arial"/>
                <w:sz w:val="16"/>
                <w:szCs w:val="16"/>
              </w:rPr>
              <w:t xml:space="preserve">$106.3 </w:t>
            </w:r>
          </w:p>
        </w:tc>
        <w:tc>
          <w:tcPr>
            <w:tcW w:w="448" w:type="pct"/>
            <w:noWrap/>
            <w:vAlign w:val="top"/>
            <w:hideMark/>
          </w:tcPr>
          <w:p w14:paraId="51BD747D" w14:textId="1B08104B" w:rsidR="003B5523" w:rsidRPr="0015745E" w:rsidRDefault="003B5523" w:rsidP="003B5523">
            <w:pPr>
              <w:pStyle w:val="TableofAuthorities"/>
              <w:rPr>
                <w:rFonts w:cs="Arial"/>
                <w:sz w:val="16"/>
                <w:szCs w:val="16"/>
              </w:rPr>
            </w:pPr>
            <w:r w:rsidRPr="0015745E">
              <w:rPr>
                <w:rFonts w:cs="Arial"/>
                <w:sz w:val="16"/>
                <w:szCs w:val="16"/>
              </w:rPr>
              <w:t xml:space="preserve">$124.0 </w:t>
            </w:r>
          </w:p>
        </w:tc>
        <w:tc>
          <w:tcPr>
            <w:tcW w:w="447" w:type="pct"/>
            <w:noWrap/>
            <w:vAlign w:val="top"/>
            <w:hideMark/>
          </w:tcPr>
          <w:p w14:paraId="6C2AAFA8" w14:textId="22005872" w:rsidR="003B5523" w:rsidRPr="0015745E" w:rsidRDefault="003B5523" w:rsidP="003B5523">
            <w:pPr>
              <w:pStyle w:val="TableofAuthorities"/>
              <w:rPr>
                <w:rFonts w:cs="Arial"/>
                <w:sz w:val="16"/>
                <w:szCs w:val="16"/>
              </w:rPr>
            </w:pPr>
            <w:r w:rsidRPr="0015745E">
              <w:rPr>
                <w:rFonts w:cs="Arial"/>
                <w:sz w:val="16"/>
                <w:szCs w:val="16"/>
              </w:rPr>
              <w:t xml:space="preserve">$5.8 </w:t>
            </w:r>
          </w:p>
        </w:tc>
        <w:tc>
          <w:tcPr>
            <w:tcW w:w="448" w:type="pct"/>
            <w:noWrap/>
            <w:vAlign w:val="top"/>
            <w:hideMark/>
          </w:tcPr>
          <w:p w14:paraId="3CA1AE7A" w14:textId="7C77B64A" w:rsidR="003B5523" w:rsidRPr="0015745E" w:rsidRDefault="003B5523" w:rsidP="003B5523">
            <w:pPr>
              <w:pStyle w:val="TableofAuthorities"/>
              <w:rPr>
                <w:rFonts w:cs="Arial"/>
                <w:sz w:val="16"/>
                <w:szCs w:val="16"/>
              </w:rPr>
            </w:pPr>
            <w:r w:rsidRPr="0015745E">
              <w:rPr>
                <w:rFonts w:cs="Arial"/>
                <w:sz w:val="16"/>
                <w:szCs w:val="16"/>
              </w:rPr>
              <w:t xml:space="preserve">$155.3 </w:t>
            </w:r>
          </w:p>
        </w:tc>
        <w:tc>
          <w:tcPr>
            <w:tcW w:w="447" w:type="pct"/>
            <w:noWrap/>
            <w:vAlign w:val="top"/>
            <w:hideMark/>
          </w:tcPr>
          <w:p w14:paraId="21AF4E45" w14:textId="6A9F40C9" w:rsidR="003B5523" w:rsidRPr="0015745E" w:rsidRDefault="003B5523" w:rsidP="003B5523">
            <w:pPr>
              <w:pStyle w:val="TableofAuthorities"/>
              <w:rPr>
                <w:rFonts w:cs="Arial"/>
                <w:sz w:val="16"/>
                <w:szCs w:val="16"/>
              </w:rPr>
            </w:pPr>
            <w:r w:rsidRPr="0015745E">
              <w:rPr>
                <w:rFonts w:cs="Arial"/>
                <w:sz w:val="16"/>
                <w:szCs w:val="16"/>
              </w:rPr>
              <w:t xml:space="preserve">$38.6 </w:t>
            </w:r>
          </w:p>
        </w:tc>
        <w:tc>
          <w:tcPr>
            <w:tcW w:w="447" w:type="pct"/>
            <w:noWrap/>
            <w:vAlign w:val="top"/>
            <w:hideMark/>
          </w:tcPr>
          <w:p w14:paraId="5D5A7FA3" w14:textId="69948006" w:rsidR="003B5523" w:rsidRPr="0015745E" w:rsidRDefault="003B5523" w:rsidP="003B5523">
            <w:pPr>
              <w:pStyle w:val="TableofAuthorities"/>
              <w:rPr>
                <w:rFonts w:cs="Arial"/>
                <w:sz w:val="16"/>
                <w:szCs w:val="16"/>
              </w:rPr>
            </w:pPr>
            <w:r w:rsidRPr="0015745E">
              <w:rPr>
                <w:rFonts w:cs="Arial"/>
                <w:sz w:val="16"/>
                <w:szCs w:val="16"/>
              </w:rPr>
              <w:t xml:space="preserve">$42.2 </w:t>
            </w:r>
          </w:p>
        </w:tc>
        <w:tc>
          <w:tcPr>
            <w:tcW w:w="448" w:type="pct"/>
            <w:noWrap/>
            <w:vAlign w:val="top"/>
            <w:hideMark/>
          </w:tcPr>
          <w:p w14:paraId="73DF707F" w14:textId="04ACEE93" w:rsidR="003B5523" w:rsidRPr="0015745E" w:rsidRDefault="003B5523" w:rsidP="003B5523">
            <w:pPr>
              <w:pStyle w:val="TableofAuthorities"/>
              <w:rPr>
                <w:rFonts w:cs="Arial"/>
                <w:sz w:val="16"/>
                <w:szCs w:val="16"/>
              </w:rPr>
            </w:pPr>
            <w:r w:rsidRPr="0015745E">
              <w:rPr>
                <w:rFonts w:cs="Arial"/>
                <w:sz w:val="16"/>
                <w:szCs w:val="16"/>
              </w:rPr>
              <w:t xml:space="preserve">$97.6 </w:t>
            </w:r>
          </w:p>
        </w:tc>
        <w:tc>
          <w:tcPr>
            <w:tcW w:w="447" w:type="pct"/>
            <w:noWrap/>
            <w:vAlign w:val="top"/>
            <w:hideMark/>
          </w:tcPr>
          <w:p w14:paraId="5DEBA1A2" w14:textId="07CE05F2" w:rsidR="003B5523" w:rsidRPr="0015745E" w:rsidRDefault="003B5523" w:rsidP="003B5523">
            <w:pPr>
              <w:pStyle w:val="TableofAuthorities"/>
              <w:rPr>
                <w:rFonts w:cs="Arial"/>
                <w:sz w:val="16"/>
                <w:szCs w:val="16"/>
              </w:rPr>
            </w:pPr>
            <w:r w:rsidRPr="0015745E">
              <w:rPr>
                <w:rFonts w:cs="Arial"/>
                <w:sz w:val="16"/>
                <w:szCs w:val="16"/>
              </w:rPr>
              <w:t xml:space="preserve">$66.1 </w:t>
            </w:r>
          </w:p>
        </w:tc>
        <w:tc>
          <w:tcPr>
            <w:tcW w:w="448" w:type="pct"/>
            <w:noWrap/>
            <w:vAlign w:val="top"/>
            <w:hideMark/>
          </w:tcPr>
          <w:p w14:paraId="33A4BA77" w14:textId="363073EF" w:rsidR="003B5523" w:rsidRPr="0015745E" w:rsidRDefault="003B5523" w:rsidP="003B5523">
            <w:pPr>
              <w:pStyle w:val="TableofAuthorities"/>
              <w:rPr>
                <w:rFonts w:cs="Arial"/>
                <w:sz w:val="16"/>
                <w:szCs w:val="16"/>
              </w:rPr>
            </w:pPr>
            <w:r w:rsidRPr="0015745E">
              <w:rPr>
                <w:rFonts w:cs="Arial"/>
                <w:sz w:val="16"/>
                <w:szCs w:val="16"/>
              </w:rPr>
              <w:t xml:space="preserve">$72.3 </w:t>
            </w:r>
          </w:p>
        </w:tc>
      </w:tr>
      <w:tr w:rsidR="003B5523" w:rsidRPr="00727E8E" w14:paraId="507F4639" w14:textId="77777777" w:rsidTr="003F107E">
        <w:trPr>
          <w:trHeight w:val="311"/>
        </w:trPr>
        <w:tc>
          <w:tcPr>
            <w:tcW w:w="523" w:type="pct"/>
            <w:noWrap/>
            <w:hideMark/>
          </w:tcPr>
          <w:p w14:paraId="702DDFDC" w14:textId="08ACDFA5" w:rsidR="003B5523" w:rsidRPr="0015745E" w:rsidRDefault="003B5523" w:rsidP="003B5523">
            <w:pPr>
              <w:pStyle w:val="TableofAuthorities"/>
              <w:rPr>
                <w:rFonts w:cs="Arial"/>
                <w:sz w:val="16"/>
                <w:szCs w:val="16"/>
              </w:rPr>
            </w:pPr>
            <w:r w:rsidRPr="0015745E">
              <w:rPr>
                <w:rFonts w:cs="Arial"/>
                <w:sz w:val="16"/>
                <w:szCs w:val="16"/>
              </w:rPr>
              <w:t>Average EBITDA</w:t>
            </w:r>
            <w:r w:rsidR="006C3921" w:rsidRPr="0015745E">
              <w:rPr>
                <w:rFonts w:cs="Arial"/>
                <w:sz w:val="16"/>
                <w:szCs w:val="16"/>
              </w:rPr>
              <w:t xml:space="preserve"> </w:t>
            </w:r>
            <w:r w:rsidR="00701893" w:rsidRPr="0015745E">
              <w:rPr>
                <w:rFonts w:cs="Arial"/>
                <w:sz w:val="16"/>
                <w:szCs w:val="16"/>
              </w:rPr>
              <w:t>(</w:t>
            </w:r>
            <w:proofErr w:type="spellStart"/>
            <w:r w:rsidR="00701893" w:rsidRPr="0015745E">
              <w:rPr>
                <w:rFonts w:cs="Arial"/>
                <w:sz w:val="16"/>
                <w:szCs w:val="16"/>
              </w:rPr>
              <w:t>pcrpa</w:t>
            </w:r>
            <w:proofErr w:type="spellEnd"/>
            <w:r w:rsidR="00701893" w:rsidRPr="0015745E">
              <w:rPr>
                <w:rFonts w:cs="Arial"/>
                <w:sz w:val="16"/>
                <w:szCs w:val="16"/>
              </w:rPr>
              <w:t>)</w:t>
            </w:r>
          </w:p>
        </w:tc>
        <w:tc>
          <w:tcPr>
            <w:tcW w:w="447" w:type="pct"/>
            <w:noWrap/>
            <w:vAlign w:val="top"/>
            <w:hideMark/>
          </w:tcPr>
          <w:p w14:paraId="2AF1E5EC" w14:textId="4ECE48CC" w:rsidR="003B5523" w:rsidRPr="0015745E" w:rsidRDefault="003B5523" w:rsidP="003B5523">
            <w:pPr>
              <w:pStyle w:val="TableofAuthorities"/>
              <w:rPr>
                <w:rFonts w:cs="Arial"/>
                <w:sz w:val="16"/>
                <w:szCs w:val="16"/>
              </w:rPr>
            </w:pPr>
            <w:r w:rsidRPr="0015745E">
              <w:rPr>
                <w:rFonts w:cs="Arial"/>
                <w:sz w:val="16"/>
                <w:szCs w:val="16"/>
              </w:rPr>
              <w:t>$1,007</w:t>
            </w:r>
          </w:p>
        </w:tc>
        <w:tc>
          <w:tcPr>
            <w:tcW w:w="447" w:type="pct"/>
            <w:noWrap/>
            <w:vAlign w:val="top"/>
            <w:hideMark/>
          </w:tcPr>
          <w:p w14:paraId="1D0E50E6" w14:textId="4FE91816" w:rsidR="003B5523" w:rsidRPr="0015745E" w:rsidRDefault="003B5523" w:rsidP="003B5523">
            <w:pPr>
              <w:pStyle w:val="TableofAuthorities"/>
              <w:rPr>
                <w:rFonts w:cs="Arial"/>
                <w:sz w:val="16"/>
                <w:szCs w:val="16"/>
              </w:rPr>
            </w:pPr>
            <w:r w:rsidRPr="0015745E">
              <w:rPr>
                <w:rFonts w:cs="Arial"/>
                <w:sz w:val="16"/>
                <w:szCs w:val="16"/>
              </w:rPr>
              <w:t>$1,297</w:t>
            </w:r>
          </w:p>
        </w:tc>
        <w:tc>
          <w:tcPr>
            <w:tcW w:w="448" w:type="pct"/>
            <w:noWrap/>
            <w:vAlign w:val="top"/>
            <w:hideMark/>
          </w:tcPr>
          <w:p w14:paraId="494249F1" w14:textId="12104862" w:rsidR="003B5523" w:rsidRPr="0015745E" w:rsidRDefault="003B5523" w:rsidP="003B5523">
            <w:pPr>
              <w:pStyle w:val="TableofAuthorities"/>
              <w:rPr>
                <w:rFonts w:cs="Arial"/>
                <w:sz w:val="16"/>
                <w:szCs w:val="16"/>
              </w:rPr>
            </w:pPr>
            <w:r w:rsidRPr="0015745E">
              <w:rPr>
                <w:rFonts w:cs="Arial"/>
                <w:sz w:val="16"/>
                <w:szCs w:val="16"/>
              </w:rPr>
              <w:t>$884</w:t>
            </w:r>
          </w:p>
        </w:tc>
        <w:tc>
          <w:tcPr>
            <w:tcW w:w="447" w:type="pct"/>
            <w:noWrap/>
            <w:vAlign w:val="top"/>
            <w:hideMark/>
          </w:tcPr>
          <w:p w14:paraId="0F1B79D8" w14:textId="7032551C" w:rsidR="003B5523" w:rsidRPr="0015745E" w:rsidRDefault="003B5523" w:rsidP="003B5523">
            <w:pPr>
              <w:pStyle w:val="TableofAuthorities"/>
              <w:rPr>
                <w:rFonts w:cs="Arial"/>
                <w:sz w:val="16"/>
                <w:szCs w:val="16"/>
              </w:rPr>
            </w:pPr>
            <w:r w:rsidRPr="0015745E">
              <w:rPr>
                <w:rFonts w:cs="Arial"/>
                <w:sz w:val="16"/>
                <w:szCs w:val="16"/>
              </w:rPr>
              <w:t>$478</w:t>
            </w:r>
          </w:p>
        </w:tc>
        <w:tc>
          <w:tcPr>
            <w:tcW w:w="448" w:type="pct"/>
            <w:noWrap/>
            <w:vAlign w:val="top"/>
            <w:hideMark/>
          </w:tcPr>
          <w:p w14:paraId="2C1E1E66" w14:textId="24F00AF5" w:rsidR="003B5523" w:rsidRPr="0015745E" w:rsidRDefault="003B5523" w:rsidP="003B5523">
            <w:pPr>
              <w:pStyle w:val="TableofAuthorities"/>
              <w:rPr>
                <w:rFonts w:cs="Arial"/>
                <w:sz w:val="16"/>
                <w:szCs w:val="16"/>
              </w:rPr>
            </w:pPr>
            <w:r w:rsidRPr="0015745E">
              <w:rPr>
                <w:rFonts w:cs="Arial"/>
                <w:sz w:val="16"/>
                <w:szCs w:val="16"/>
              </w:rPr>
              <w:t>$1,025</w:t>
            </w:r>
          </w:p>
        </w:tc>
        <w:tc>
          <w:tcPr>
            <w:tcW w:w="447" w:type="pct"/>
            <w:noWrap/>
            <w:vAlign w:val="top"/>
            <w:hideMark/>
          </w:tcPr>
          <w:p w14:paraId="1A80FB1C" w14:textId="02745C28" w:rsidR="003B5523" w:rsidRPr="0015745E" w:rsidRDefault="003B5523" w:rsidP="003B5523">
            <w:pPr>
              <w:pStyle w:val="TableofAuthorities"/>
              <w:rPr>
                <w:rFonts w:cs="Arial"/>
                <w:sz w:val="16"/>
                <w:szCs w:val="16"/>
              </w:rPr>
            </w:pPr>
            <w:r w:rsidRPr="0015745E">
              <w:rPr>
                <w:rFonts w:cs="Arial"/>
                <w:sz w:val="16"/>
                <w:szCs w:val="16"/>
              </w:rPr>
              <w:t>$908</w:t>
            </w:r>
          </w:p>
        </w:tc>
        <w:tc>
          <w:tcPr>
            <w:tcW w:w="447" w:type="pct"/>
            <w:noWrap/>
            <w:vAlign w:val="top"/>
            <w:hideMark/>
          </w:tcPr>
          <w:p w14:paraId="612E22A8" w14:textId="31ED947F" w:rsidR="003B5523" w:rsidRPr="0015745E" w:rsidRDefault="003B5523" w:rsidP="003B5523">
            <w:pPr>
              <w:pStyle w:val="TableofAuthorities"/>
              <w:rPr>
                <w:rFonts w:cs="Arial"/>
                <w:sz w:val="16"/>
                <w:szCs w:val="16"/>
              </w:rPr>
            </w:pPr>
            <w:r w:rsidRPr="0015745E">
              <w:rPr>
                <w:rFonts w:cs="Arial"/>
                <w:sz w:val="16"/>
                <w:szCs w:val="16"/>
              </w:rPr>
              <w:t>$1,043</w:t>
            </w:r>
          </w:p>
        </w:tc>
        <w:tc>
          <w:tcPr>
            <w:tcW w:w="448" w:type="pct"/>
            <w:noWrap/>
            <w:vAlign w:val="top"/>
            <w:hideMark/>
          </w:tcPr>
          <w:p w14:paraId="41F47DCB" w14:textId="336262E1" w:rsidR="003B5523" w:rsidRPr="0015745E" w:rsidRDefault="003B5523" w:rsidP="003B5523">
            <w:pPr>
              <w:pStyle w:val="TableofAuthorities"/>
              <w:rPr>
                <w:rFonts w:cs="Arial"/>
                <w:sz w:val="16"/>
                <w:szCs w:val="16"/>
              </w:rPr>
            </w:pPr>
            <w:r w:rsidRPr="0015745E">
              <w:rPr>
                <w:rFonts w:cs="Arial"/>
                <w:sz w:val="16"/>
                <w:szCs w:val="16"/>
              </w:rPr>
              <w:t>$1,135</w:t>
            </w:r>
          </w:p>
        </w:tc>
        <w:tc>
          <w:tcPr>
            <w:tcW w:w="447" w:type="pct"/>
            <w:noWrap/>
            <w:vAlign w:val="top"/>
            <w:hideMark/>
          </w:tcPr>
          <w:p w14:paraId="5B8AAAC3" w14:textId="79839F99" w:rsidR="003B5523" w:rsidRPr="0015745E" w:rsidRDefault="003B5523" w:rsidP="003B5523">
            <w:pPr>
              <w:pStyle w:val="TableofAuthorities"/>
              <w:rPr>
                <w:rFonts w:cs="Arial"/>
                <w:sz w:val="16"/>
                <w:szCs w:val="16"/>
              </w:rPr>
            </w:pPr>
            <w:r w:rsidRPr="0015745E">
              <w:rPr>
                <w:rFonts w:cs="Arial"/>
                <w:sz w:val="16"/>
                <w:szCs w:val="16"/>
              </w:rPr>
              <w:t>$1,346</w:t>
            </w:r>
          </w:p>
        </w:tc>
        <w:tc>
          <w:tcPr>
            <w:tcW w:w="448" w:type="pct"/>
            <w:noWrap/>
            <w:vAlign w:val="top"/>
            <w:hideMark/>
          </w:tcPr>
          <w:p w14:paraId="71C5E8C2" w14:textId="00D08FFA" w:rsidR="003B5523" w:rsidRPr="0015745E" w:rsidRDefault="003B5523" w:rsidP="003B5523">
            <w:pPr>
              <w:pStyle w:val="TableofAuthorities"/>
              <w:rPr>
                <w:rFonts w:cs="Arial"/>
                <w:sz w:val="16"/>
                <w:szCs w:val="16"/>
              </w:rPr>
            </w:pPr>
            <w:r w:rsidRPr="0015745E">
              <w:rPr>
                <w:rFonts w:cs="Arial"/>
                <w:sz w:val="16"/>
                <w:szCs w:val="16"/>
              </w:rPr>
              <w:t>$728</w:t>
            </w:r>
          </w:p>
        </w:tc>
      </w:tr>
      <w:tr w:rsidR="003B5523" w:rsidRPr="00727E8E" w14:paraId="7394EEA7" w14:textId="77777777" w:rsidTr="003F107E">
        <w:trPr>
          <w:trHeight w:val="311"/>
        </w:trPr>
        <w:tc>
          <w:tcPr>
            <w:tcW w:w="523" w:type="pct"/>
            <w:noWrap/>
            <w:hideMark/>
          </w:tcPr>
          <w:p w14:paraId="3DB5DA57" w14:textId="39A24006" w:rsidR="003B5523" w:rsidRPr="0015745E" w:rsidRDefault="003B5523" w:rsidP="003B5523">
            <w:pPr>
              <w:pStyle w:val="TableofAuthorities"/>
              <w:rPr>
                <w:rFonts w:cs="Arial"/>
                <w:sz w:val="16"/>
                <w:szCs w:val="16"/>
              </w:rPr>
            </w:pPr>
            <w:r w:rsidRPr="0015745E">
              <w:rPr>
                <w:rFonts w:cs="Arial"/>
                <w:sz w:val="16"/>
                <w:szCs w:val="16"/>
              </w:rPr>
              <w:t>Average NPBT</w:t>
            </w:r>
            <w:r w:rsidR="00E31198" w:rsidRPr="0015745E">
              <w:rPr>
                <w:rFonts w:cs="Arial"/>
                <w:sz w:val="16"/>
                <w:szCs w:val="16"/>
              </w:rPr>
              <w:t xml:space="preserve"> (</w:t>
            </w:r>
            <w:proofErr w:type="spellStart"/>
            <w:r w:rsidR="00E31198" w:rsidRPr="0015745E">
              <w:rPr>
                <w:rFonts w:cs="Arial"/>
                <w:sz w:val="16"/>
                <w:szCs w:val="16"/>
              </w:rPr>
              <w:t>pcrpa</w:t>
            </w:r>
            <w:proofErr w:type="spellEnd"/>
            <w:r w:rsidR="00E31198" w:rsidRPr="0015745E">
              <w:rPr>
                <w:rFonts w:cs="Arial"/>
                <w:sz w:val="16"/>
                <w:szCs w:val="16"/>
              </w:rPr>
              <w:t>)</w:t>
            </w:r>
          </w:p>
        </w:tc>
        <w:tc>
          <w:tcPr>
            <w:tcW w:w="447" w:type="pct"/>
            <w:noWrap/>
            <w:vAlign w:val="top"/>
            <w:hideMark/>
          </w:tcPr>
          <w:p w14:paraId="04860916" w14:textId="3C6AE396" w:rsidR="003B5523" w:rsidRPr="0015745E" w:rsidRDefault="003B5523" w:rsidP="003B5523">
            <w:pPr>
              <w:pStyle w:val="TableofAuthorities"/>
              <w:rPr>
                <w:rFonts w:cs="Arial"/>
                <w:sz w:val="16"/>
                <w:szCs w:val="16"/>
              </w:rPr>
            </w:pPr>
            <w:r w:rsidRPr="0015745E">
              <w:rPr>
                <w:rFonts w:cs="Arial"/>
                <w:sz w:val="16"/>
                <w:szCs w:val="16"/>
              </w:rPr>
              <w:t>$792</w:t>
            </w:r>
          </w:p>
        </w:tc>
        <w:tc>
          <w:tcPr>
            <w:tcW w:w="447" w:type="pct"/>
            <w:noWrap/>
            <w:vAlign w:val="top"/>
            <w:hideMark/>
          </w:tcPr>
          <w:p w14:paraId="25173D6D" w14:textId="6A2421FB" w:rsidR="003B5523" w:rsidRPr="0015745E" w:rsidRDefault="003B5523" w:rsidP="003B5523">
            <w:pPr>
              <w:pStyle w:val="TableofAuthorities"/>
              <w:rPr>
                <w:rFonts w:cs="Arial"/>
                <w:sz w:val="16"/>
                <w:szCs w:val="16"/>
              </w:rPr>
            </w:pPr>
            <w:r w:rsidRPr="0015745E">
              <w:rPr>
                <w:rFonts w:cs="Arial"/>
                <w:sz w:val="16"/>
                <w:szCs w:val="16"/>
              </w:rPr>
              <w:t>$1,003</w:t>
            </w:r>
          </w:p>
        </w:tc>
        <w:tc>
          <w:tcPr>
            <w:tcW w:w="448" w:type="pct"/>
            <w:noWrap/>
            <w:vAlign w:val="top"/>
            <w:hideMark/>
          </w:tcPr>
          <w:p w14:paraId="079C4D6D" w14:textId="214E1C3A" w:rsidR="003B5523" w:rsidRPr="0015745E" w:rsidRDefault="003B5523" w:rsidP="003B5523">
            <w:pPr>
              <w:pStyle w:val="TableofAuthorities"/>
              <w:rPr>
                <w:rFonts w:cs="Arial"/>
                <w:sz w:val="16"/>
                <w:szCs w:val="16"/>
              </w:rPr>
            </w:pPr>
            <w:r w:rsidRPr="0015745E">
              <w:rPr>
                <w:rFonts w:cs="Arial"/>
                <w:sz w:val="16"/>
                <w:szCs w:val="16"/>
              </w:rPr>
              <w:t>$708</w:t>
            </w:r>
          </w:p>
        </w:tc>
        <w:tc>
          <w:tcPr>
            <w:tcW w:w="447" w:type="pct"/>
            <w:noWrap/>
            <w:vAlign w:val="top"/>
            <w:hideMark/>
          </w:tcPr>
          <w:p w14:paraId="12530560" w14:textId="5488537A" w:rsidR="003B5523" w:rsidRPr="0015745E" w:rsidRDefault="003B5523" w:rsidP="003B5523">
            <w:pPr>
              <w:pStyle w:val="TableofAuthorities"/>
              <w:rPr>
                <w:rFonts w:cs="Arial"/>
                <w:sz w:val="16"/>
                <w:szCs w:val="16"/>
              </w:rPr>
            </w:pPr>
            <w:r w:rsidRPr="0015745E">
              <w:rPr>
                <w:rFonts w:cs="Arial"/>
                <w:sz w:val="16"/>
                <w:szCs w:val="16"/>
              </w:rPr>
              <w:t>$345</w:t>
            </w:r>
          </w:p>
        </w:tc>
        <w:tc>
          <w:tcPr>
            <w:tcW w:w="448" w:type="pct"/>
            <w:noWrap/>
            <w:vAlign w:val="top"/>
            <w:hideMark/>
          </w:tcPr>
          <w:p w14:paraId="1601DEE3" w14:textId="08705C88" w:rsidR="003B5523" w:rsidRPr="0015745E" w:rsidRDefault="003B5523" w:rsidP="003B5523">
            <w:pPr>
              <w:pStyle w:val="TableofAuthorities"/>
              <w:rPr>
                <w:rFonts w:cs="Arial"/>
                <w:sz w:val="16"/>
                <w:szCs w:val="16"/>
              </w:rPr>
            </w:pPr>
            <w:r w:rsidRPr="0015745E">
              <w:rPr>
                <w:rFonts w:cs="Arial"/>
                <w:sz w:val="16"/>
                <w:szCs w:val="16"/>
              </w:rPr>
              <w:t>$806</w:t>
            </w:r>
          </w:p>
        </w:tc>
        <w:tc>
          <w:tcPr>
            <w:tcW w:w="447" w:type="pct"/>
            <w:noWrap/>
            <w:vAlign w:val="top"/>
            <w:hideMark/>
          </w:tcPr>
          <w:p w14:paraId="60D067FB" w14:textId="187FE211" w:rsidR="003B5523" w:rsidRPr="0015745E" w:rsidRDefault="003B5523" w:rsidP="003B5523">
            <w:pPr>
              <w:pStyle w:val="TableofAuthorities"/>
              <w:rPr>
                <w:rFonts w:cs="Arial"/>
                <w:sz w:val="16"/>
                <w:szCs w:val="16"/>
              </w:rPr>
            </w:pPr>
            <w:r w:rsidRPr="0015745E">
              <w:rPr>
                <w:rFonts w:cs="Arial"/>
                <w:sz w:val="16"/>
                <w:szCs w:val="16"/>
              </w:rPr>
              <w:t>$674</w:t>
            </w:r>
          </w:p>
        </w:tc>
        <w:tc>
          <w:tcPr>
            <w:tcW w:w="447" w:type="pct"/>
            <w:noWrap/>
            <w:vAlign w:val="top"/>
            <w:hideMark/>
          </w:tcPr>
          <w:p w14:paraId="3631E6E5" w14:textId="7AC18581" w:rsidR="003B5523" w:rsidRPr="0015745E" w:rsidRDefault="003B5523" w:rsidP="003B5523">
            <w:pPr>
              <w:pStyle w:val="TableofAuthorities"/>
              <w:rPr>
                <w:rFonts w:cs="Arial"/>
                <w:sz w:val="16"/>
                <w:szCs w:val="16"/>
              </w:rPr>
            </w:pPr>
            <w:r w:rsidRPr="0015745E">
              <w:rPr>
                <w:rFonts w:cs="Arial"/>
                <w:sz w:val="16"/>
                <w:szCs w:val="16"/>
              </w:rPr>
              <w:t>$866</w:t>
            </w:r>
          </w:p>
        </w:tc>
        <w:tc>
          <w:tcPr>
            <w:tcW w:w="448" w:type="pct"/>
            <w:noWrap/>
            <w:vAlign w:val="top"/>
            <w:hideMark/>
          </w:tcPr>
          <w:p w14:paraId="3373A972" w14:textId="3E04B221" w:rsidR="003B5523" w:rsidRPr="0015745E" w:rsidRDefault="003B5523" w:rsidP="003B5523">
            <w:pPr>
              <w:pStyle w:val="TableofAuthorities"/>
              <w:rPr>
                <w:rFonts w:cs="Arial"/>
                <w:sz w:val="16"/>
                <w:szCs w:val="16"/>
              </w:rPr>
            </w:pPr>
            <w:r w:rsidRPr="0015745E">
              <w:rPr>
                <w:rFonts w:cs="Arial"/>
                <w:sz w:val="16"/>
                <w:szCs w:val="16"/>
              </w:rPr>
              <w:t>$966</w:t>
            </w:r>
          </w:p>
        </w:tc>
        <w:tc>
          <w:tcPr>
            <w:tcW w:w="447" w:type="pct"/>
            <w:noWrap/>
            <w:vAlign w:val="top"/>
            <w:hideMark/>
          </w:tcPr>
          <w:p w14:paraId="7738547A" w14:textId="0DC201F7" w:rsidR="003B5523" w:rsidRPr="0015745E" w:rsidRDefault="003B5523" w:rsidP="003B5523">
            <w:pPr>
              <w:pStyle w:val="TableofAuthorities"/>
              <w:rPr>
                <w:rFonts w:cs="Arial"/>
                <w:sz w:val="16"/>
                <w:szCs w:val="16"/>
              </w:rPr>
            </w:pPr>
            <w:r w:rsidRPr="0015745E">
              <w:rPr>
                <w:rFonts w:cs="Arial"/>
                <w:sz w:val="16"/>
                <w:szCs w:val="16"/>
              </w:rPr>
              <w:t>$1,214</w:t>
            </w:r>
          </w:p>
        </w:tc>
        <w:tc>
          <w:tcPr>
            <w:tcW w:w="448" w:type="pct"/>
            <w:noWrap/>
            <w:vAlign w:val="top"/>
            <w:hideMark/>
          </w:tcPr>
          <w:p w14:paraId="470DB2E6" w14:textId="2407CACF" w:rsidR="003B5523" w:rsidRPr="0015745E" w:rsidRDefault="003B5523" w:rsidP="003B5523">
            <w:pPr>
              <w:pStyle w:val="TableofAuthorities"/>
              <w:rPr>
                <w:rFonts w:cs="Arial"/>
                <w:sz w:val="16"/>
                <w:szCs w:val="16"/>
              </w:rPr>
            </w:pPr>
            <w:r w:rsidRPr="0015745E">
              <w:rPr>
                <w:rFonts w:cs="Arial"/>
                <w:sz w:val="16"/>
                <w:szCs w:val="16"/>
              </w:rPr>
              <w:t>$433</w:t>
            </w:r>
          </w:p>
        </w:tc>
      </w:tr>
      <w:tr w:rsidR="003B5523" w:rsidRPr="00727E8E" w14:paraId="51C7CEAB" w14:textId="77777777" w:rsidTr="003F107E">
        <w:trPr>
          <w:trHeight w:val="311"/>
        </w:trPr>
        <w:tc>
          <w:tcPr>
            <w:tcW w:w="523" w:type="pct"/>
            <w:noWrap/>
            <w:hideMark/>
          </w:tcPr>
          <w:p w14:paraId="3394795A" w14:textId="30AF8754" w:rsidR="003B5523" w:rsidRPr="0015745E" w:rsidRDefault="003B5523" w:rsidP="003B5523">
            <w:pPr>
              <w:pStyle w:val="TableofAuthorities"/>
              <w:rPr>
                <w:rFonts w:cs="Arial"/>
                <w:sz w:val="16"/>
                <w:szCs w:val="16"/>
              </w:rPr>
            </w:pPr>
            <w:r w:rsidRPr="0015745E">
              <w:rPr>
                <w:rFonts w:cs="Arial"/>
                <w:sz w:val="16"/>
                <w:szCs w:val="16"/>
              </w:rPr>
              <w:t>EBITDA margin</w:t>
            </w:r>
          </w:p>
        </w:tc>
        <w:tc>
          <w:tcPr>
            <w:tcW w:w="447" w:type="pct"/>
            <w:noWrap/>
            <w:vAlign w:val="top"/>
            <w:hideMark/>
          </w:tcPr>
          <w:p w14:paraId="62002EC3" w14:textId="38CEA28E" w:rsidR="003B5523" w:rsidRPr="0015745E" w:rsidRDefault="003B5523" w:rsidP="003B5523">
            <w:pPr>
              <w:pStyle w:val="TableofAuthorities"/>
              <w:rPr>
                <w:rFonts w:cs="Arial"/>
                <w:sz w:val="16"/>
                <w:szCs w:val="16"/>
              </w:rPr>
            </w:pPr>
            <w:r w:rsidRPr="0015745E">
              <w:rPr>
                <w:rFonts w:cs="Arial"/>
                <w:sz w:val="16"/>
                <w:szCs w:val="16"/>
              </w:rPr>
              <w:t>4.1%</w:t>
            </w:r>
          </w:p>
        </w:tc>
        <w:tc>
          <w:tcPr>
            <w:tcW w:w="447" w:type="pct"/>
            <w:noWrap/>
            <w:vAlign w:val="top"/>
            <w:hideMark/>
          </w:tcPr>
          <w:p w14:paraId="3C0ECA1A" w14:textId="09B9BEE2" w:rsidR="003B5523" w:rsidRPr="0015745E" w:rsidRDefault="003B5523" w:rsidP="003B5523">
            <w:pPr>
              <w:pStyle w:val="TableofAuthorities"/>
              <w:rPr>
                <w:rFonts w:cs="Arial"/>
                <w:sz w:val="16"/>
                <w:szCs w:val="16"/>
              </w:rPr>
            </w:pPr>
            <w:r w:rsidRPr="0015745E">
              <w:rPr>
                <w:rFonts w:cs="Arial"/>
                <w:sz w:val="16"/>
                <w:szCs w:val="16"/>
              </w:rPr>
              <w:t>5.3%</w:t>
            </w:r>
          </w:p>
        </w:tc>
        <w:tc>
          <w:tcPr>
            <w:tcW w:w="448" w:type="pct"/>
            <w:noWrap/>
            <w:vAlign w:val="top"/>
            <w:hideMark/>
          </w:tcPr>
          <w:p w14:paraId="1E6C2A6E" w14:textId="6911ED0F" w:rsidR="003B5523" w:rsidRPr="0015745E" w:rsidRDefault="003B5523" w:rsidP="003B5523">
            <w:pPr>
              <w:pStyle w:val="TableofAuthorities"/>
              <w:rPr>
                <w:rFonts w:cs="Arial"/>
                <w:sz w:val="16"/>
                <w:szCs w:val="16"/>
              </w:rPr>
            </w:pPr>
            <w:r w:rsidRPr="0015745E">
              <w:rPr>
                <w:rFonts w:cs="Arial"/>
                <w:sz w:val="16"/>
                <w:szCs w:val="16"/>
              </w:rPr>
              <w:t>3.5%</w:t>
            </w:r>
          </w:p>
        </w:tc>
        <w:tc>
          <w:tcPr>
            <w:tcW w:w="447" w:type="pct"/>
            <w:noWrap/>
            <w:vAlign w:val="top"/>
            <w:hideMark/>
          </w:tcPr>
          <w:p w14:paraId="36A46F6A" w14:textId="3DF6B44B" w:rsidR="003B5523" w:rsidRPr="0015745E" w:rsidRDefault="003B5523" w:rsidP="003B5523">
            <w:pPr>
              <w:pStyle w:val="TableofAuthorities"/>
              <w:rPr>
                <w:rFonts w:cs="Arial"/>
                <w:sz w:val="16"/>
                <w:szCs w:val="16"/>
              </w:rPr>
            </w:pPr>
            <w:r w:rsidRPr="0015745E">
              <w:rPr>
                <w:rFonts w:cs="Arial"/>
                <w:sz w:val="16"/>
                <w:szCs w:val="16"/>
              </w:rPr>
              <w:t>2.0%</w:t>
            </w:r>
          </w:p>
        </w:tc>
        <w:tc>
          <w:tcPr>
            <w:tcW w:w="448" w:type="pct"/>
            <w:noWrap/>
            <w:vAlign w:val="top"/>
            <w:hideMark/>
          </w:tcPr>
          <w:p w14:paraId="5D530ADA" w14:textId="1AF7567F" w:rsidR="003B5523" w:rsidRPr="0015745E" w:rsidRDefault="003B5523" w:rsidP="003B5523">
            <w:pPr>
              <w:pStyle w:val="TableofAuthorities"/>
              <w:rPr>
                <w:rFonts w:cs="Arial"/>
                <w:sz w:val="16"/>
                <w:szCs w:val="16"/>
              </w:rPr>
            </w:pPr>
            <w:r w:rsidRPr="0015745E">
              <w:rPr>
                <w:rFonts w:cs="Arial"/>
                <w:sz w:val="16"/>
                <w:szCs w:val="16"/>
              </w:rPr>
              <w:t>4.1%</w:t>
            </w:r>
          </w:p>
        </w:tc>
        <w:tc>
          <w:tcPr>
            <w:tcW w:w="447" w:type="pct"/>
            <w:noWrap/>
            <w:vAlign w:val="top"/>
            <w:hideMark/>
          </w:tcPr>
          <w:p w14:paraId="55D422C3" w14:textId="1CFE039F" w:rsidR="003B5523" w:rsidRPr="0015745E" w:rsidRDefault="003B5523" w:rsidP="003B5523">
            <w:pPr>
              <w:pStyle w:val="TableofAuthorities"/>
              <w:rPr>
                <w:rFonts w:cs="Arial"/>
                <w:sz w:val="16"/>
                <w:szCs w:val="16"/>
              </w:rPr>
            </w:pPr>
            <w:r w:rsidRPr="0015745E">
              <w:rPr>
                <w:rFonts w:cs="Arial"/>
                <w:sz w:val="16"/>
                <w:szCs w:val="16"/>
              </w:rPr>
              <w:t>4.0%</w:t>
            </w:r>
          </w:p>
        </w:tc>
        <w:tc>
          <w:tcPr>
            <w:tcW w:w="447" w:type="pct"/>
            <w:noWrap/>
            <w:vAlign w:val="top"/>
            <w:hideMark/>
          </w:tcPr>
          <w:p w14:paraId="46467D50" w14:textId="6F8D337B" w:rsidR="003B5523" w:rsidRPr="0015745E" w:rsidRDefault="003B5523" w:rsidP="003B5523">
            <w:pPr>
              <w:pStyle w:val="TableofAuthorities"/>
              <w:rPr>
                <w:rFonts w:cs="Arial"/>
                <w:sz w:val="16"/>
                <w:szCs w:val="16"/>
              </w:rPr>
            </w:pPr>
            <w:r w:rsidRPr="0015745E">
              <w:rPr>
                <w:rFonts w:cs="Arial"/>
                <w:sz w:val="16"/>
                <w:szCs w:val="16"/>
              </w:rPr>
              <w:t>4.2%</w:t>
            </w:r>
          </w:p>
        </w:tc>
        <w:tc>
          <w:tcPr>
            <w:tcW w:w="448" w:type="pct"/>
            <w:noWrap/>
            <w:vAlign w:val="top"/>
            <w:hideMark/>
          </w:tcPr>
          <w:p w14:paraId="1942442D" w14:textId="7E69BA20" w:rsidR="003B5523" w:rsidRPr="0015745E" w:rsidRDefault="003B5523" w:rsidP="003B5523">
            <w:pPr>
              <w:pStyle w:val="TableofAuthorities"/>
              <w:rPr>
                <w:rFonts w:cs="Arial"/>
                <w:sz w:val="16"/>
                <w:szCs w:val="16"/>
              </w:rPr>
            </w:pPr>
            <w:r w:rsidRPr="0015745E">
              <w:rPr>
                <w:rFonts w:cs="Arial"/>
                <w:sz w:val="16"/>
                <w:szCs w:val="16"/>
              </w:rPr>
              <w:t>4.6%</w:t>
            </w:r>
          </w:p>
        </w:tc>
        <w:tc>
          <w:tcPr>
            <w:tcW w:w="447" w:type="pct"/>
            <w:noWrap/>
            <w:vAlign w:val="top"/>
            <w:hideMark/>
          </w:tcPr>
          <w:p w14:paraId="1E3E2B38" w14:textId="2B1A342E" w:rsidR="003B5523" w:rsidRPr="0015745E" w:rsidRDefault="003B5523" w:rsidP="003B5523">
            <w:pPr>
              <w:pStyle w:val="TableofAuthorities"/>
              <w:rPr>
                <w:rFonts w:cs="Arial"/>
                <w:sz w:val="16"/>
                <w:szCs w:val="16"/>
              </w:rPr>
            </w:pPr>
            <w:r w:rsidRPr="0015745E">
              <w:rPr>
                <w:rFonts w:cs="Arial"/>
                <w:sz w:val="16"/>
                <w:szCs w:val="16"/>
              </w:rPr>
              <w:t>5.4%</w:t>
            </w:r>
          </w:p>
        </w:tc>
        <w:tc>
          <w:tcPr>
            <w:tcW w:w="448" w:type="pct"/>
            <w:noWrap/>
            <w:vAlign w:val="top"/>
            <w:hideMark/>
          </w:tcPr>
          <w:p w14:paraId="520CD803" w14:textId="582E92C9" w:rsidR="003B5523" w:rsidRPr="0015745E" w:rsidRDefault="003B5523" w:rsidP="003B5523">
            <w:pPr>
              <w:pStyle w:val="TableofAuthorities"/>
              <w:rPr>
                <w:rFonts w:cs="Arial"/>
                <w:sz w:val="16"/>
                <w:szCs w:val="16"/>
              </w:rPr>
            </w:pPr>
            <w:r w:rsidRPr="0015745E">
              <w:rPr>
                <w:rFonts w:cs="Arial"/>
                <w:sz w:val="16"/>
                <w:szCs w:val="16"/>
              </w:rPr>
              <w:t>3.0%</w:t>
            </w:r>
          </w:p>
        </w:tc>
      </w:tr>
      <w:tr w:rsidR="003B5523" w:rsidRPr="00727E8E" w14:paraId="214895FF" w14:textId="77777777" w:rsidTr="003F107E">
        <w:trPr>
          <w:trHeight w:val="311"/>
        </w:trPr>
        <w:tc>
          <w:tcPr>
            <w:tcW w:w="523" w:type="pct"/>
            <w:noWrap/>
            <w:hideMark/>
          </w:tcPr>
          <w:p w14:paraId="79505F51" w14:textId="77777777" w:rsidR="003B5523" w:rsidRPr="0015745E" w:rsidRDefault="003B5523" w:rsidP="003B5523">
            <w:pPr>
              <w:pStyle w:val="TableofAuthorities"/>
              <w:rPr>
                <w:rFonts w:cs="Arial"/>
                <w:sz w:val="16"/>
                <w:szCs w:val="16"/>
              </w:rPr>
            </w:pPr>
            <w:r w:rsidRPr="0015745E">
              <w:rPr>
                <w:rFonts w:cs="Arial"/>
                <w:sz w:val="16"/>
                <w:szCs w:val="16"/>
              </w:rPr>
              <w:t>NPBT margin</w:t>
            </w:r>
          </w:p>
        </w:tc>
        <w:tc>
          <w:tcPr>
            <w:tcW w:w="447" w:type="pct"/>
            <w:noWrap/>
            <w:vAlign w:val="top"/>
            <w:hideMark/>
          </w:tcPr>
          <w:p w14:paraId="1B65A788" w14:textId="699DC4F1" w:rsidR="003B5523" w:rsidRPr="0015745E" w:rsidRDefault="003B5523" w:rsidP="003B5523">
            <w:pPr>
              <w:pStyle w:val="TableofAuthorities"/>
              <w:rPr>
                <w:rFonts w:cs="Arial"/>
                <w:sz w:val="16"/>
                <w:szCs w:val="16"/>
              </w:rPr>
            </w:pPr>
            <w:r w:rsidRPr="0015745E">
              <w:rPr>
                <w:rFonts w:cs="Arial"/>
                <w:sz w:val="16"/>
                <w:szCs w:val="16"/>
              </w:rPr>
              <w:t>3.2%</w:t>
            </w:r>
          </w:p>
        </w:tc>
        <w:tc>
          <w:tcPr>
            <w:tcW w:w="447" w:type="pct"/>
            <w:noWrap/>
            <w:vAlign w:val="top"/>
            <w:hideMark/>
          </w:tcPr>
          <w:p w14:paraId="25D8BEAF" w14:textId="662D69F3" w:rsidR="003B5523" w:rsidRPr="0015745E" w:rsidRDefault="003B5523" w:rsidP="003B5523">
            <w:pPr>
              <w:pStyle w:val="TableofAuthorities"/>
              <w:rPr>
                <w:rFonts w:cs="Arial"/>
                <w:sz w:val="16"/>
                <w:szCs w:val="16"/>
              </w:rPr>
            </w:pPr>
            <w:r w:rsidRPr="0015745E">
              <w:rPr>
                <w:rFonts w:cs="Arial"/>
                <w:sz w:val="16"/>
                <w:szCs w:val="16"/>
              </w:rPr>
              <w:t>4.1%</w:t>
            </w:r>
          </w:p>
        </w:tc>
        <w:tc>
          <w:tcPr>
            <w:tcW w:w="448" w:type="pct"/>
            <w:noWrap/>
            <w:vAlign w:val="top"/>
            <w:hideMark/>
          </w:tcPr>
          <w:p w14:paraId="071814D9" w14:textId="68461B80" w:rsidR="003B5523" w:rsidRPr="0015745E" w:rsidRDefault="003B5523" w:rsidP="003B5523">
            <w:pPr>
              <w:pStyle w:val="TableofAuthorities"/>
              <w:rPr>
                <w:rFonts w:cs="Arial"/>
                <w:sz w:val="16"/>
                <w:szCs w:val="16"/>
              </w:rPr>
            </w:pPr>
            <w:r w:rsidRPr="0015745E">
              <w:rPr>
                <w:rFonts w:cs="Arial"/>
                <w:sz w:val="16"/>
                <w:szCs w:val="16"/>
              </w:rPr>
              <w:t>2.8%</w:t>
            </w:r>
          </w:p>
        </w:tc>
        <w:tc>
          <w:tcPr>
            <w:tcW w:w="447" w:type="pct"/>
            <w:noWrap/>
            <w:vAlign w:val="top"/>
            <w:hideMark/>
          </w:tcPr>
          <w:p w14:paraId="41E47112" w14:textId="0142441A" w:rsidR="003B5523" w:rsidRPr="0015745E" w:rsidRDefault="003B5523" w:rsidP="003B5523">
            <w:pPr>
              <w:pStyle w:val="TableofAuthorities"/>
              <w:rPr>
                <w:rFonts w:cs="Arial"/>
                <w:sz w:val="16"/>
                <w:szCs w:val="16"/>
              </w:rPr>
            </w:pPr>
            <w:r w:rsidRPr="0015745E">
              <w:rPr>
                <w:rFonts w:cs="Arial"/>
                <w:sz w:val="16"/>
                <w:szCs w:val="16"/>
              </w:rPr>
              <w:t>1.5%</w:t>
            </w:r>
          </w:p>
        </w:tc>
        <w:tc>
          <w:tcPr>
            <w:tcW w:w="448" w:type="pct"/>
            <w:noWrap/>
            <w:vAlign w:val="top"/>
            <w:hideMark/>
          </w:tcPr>
          <w:p w14:paraId="73D287C4" w14:textId="0DC8F6FA" w:rsidR="003B5523" w:rsidRPr="0015745E" w:rsidRDefault="003B5523" w:rsidP="003B5523">
            <w:pPr>
              <w:pStyle w:val="TableofAuthorities"/>
              <w:rPr>
                <w:rFonts w:cs="Arial"/>
                <w:sz w:val="16"/>
                <w:szCs w:val="16"/>
              </w:rPr>
            </w:pPr>
            <w:r w:rsidRPr="0015745E">
              <w:rPr>
                <w:rFonts w:cs="Arial"/>
                <w:sz w:val="16"/>
                <w:szCs w:val="16"/>
              </w:rPr>
              <w:t>3.2%</w:t>
            </w:r>
          </w:p>
        </w:tc>
        <w:tc>
          <w:tcPr>
            <w:tcW w:w="447" w:type="pct"/>
            <w:noWrap/>
            <w:vAlign w:val="top"/>
            <w:hideMark/>
          </w:tcPr>
          <w:p w14:paraId="6EAF6E4D" w14:textId="2AC36876" w:rsidR="003B5523" w:rsidRPr="0015745E" w:rsidRDefault="003B5523" w:rsidP="003B5523">
            <w:pPr>
              <w:pStyle w:val="TableofAuthorities"/>
              <w:rPr>
                <w:rFonts w:cs="Arial"/>
                <w:sz w:val="16"/>
                <w:szCs w:val="16"/>
              </w:rPr>
            </w:pPr>
            <w:r w:rsidRPr="0015745E">
              <w:rPr>
                <w:rFonts w:cs="Arial"/>
                <w:sz w:val="16"/>
                <w:szCs w:val="16"/>
              </w:rPr>
              <w:t>3.0%</w:t>
            </w:r>
          </w:p>
        </w:tc>
        <w:tc>
          <w:tcPr>
            <w:tcW w:w="447" w:type="pct"/>
            <w:noWrap/>
            <w:vAlign w:val="top"/>
            <w:hideMark/>
          </w:tcPr>
          <w:p w14:paraId="5B2762CD" w14:textId="6AE39599" w:rsidR="003B5523" w:rsidRPr="0015745E" w:rsidRDefault="003B5523" w:rsidP="003B5523">
            <w:pPr>
              <w:pStyle w:val="TableofAuthorities"/>
              <w:rPr>
                <w:rFonts w:cs="Arial"/>
                <w:sz w:val="16"/>
                <w:szCs w:val="16"/>
              </w:rPr>
            </w:pPr>
            <w:r w:rsidRPr="0015745E">
              <w:rPr>
                <w:rFonts w:cs="Arial"/>
                <w:sz w:val="16"/>
                <w:szCs w:val="16"/>
              </w:rPr>
              <w:t>3.5%</w:t>
            </w:r>
          </w:p>
        </w:tc>
        <w:tc>
          <w:tcPr>
            <w:tcW w:w="448" w:type="pct"/>
            <w:noWrap/>
            <w:vAlign w:val="top"/>
            <w:hideMark/>
          </w:tcPr>
          <w:p w14:paraId="110642CB" w14:textId="67A15794" w:rsidR="003B5523" w:rsidRPr="0015745E" w:rsidRDefault="003B5523" w:rsidP="003B5523">
            <w:pPr>
              <w:pStyle w:val="TableofAuthorities"/>
              <w:rPr>
                <w:rFonts w:cs="Arial"/>
                <w:sz w:val="16"/>
                <w:szCs w:val="16"/>
              </w:rPr>
            </w:pPr>
            <w:r w:rsidRPr="0015745E">
              <w:rPr>
                <w:rFonts w:cs="Arial"/>
                <w:sz w:val="16"/>
                <w:szCs w:val="16"/>
              </w:rPr>
              <w:t>3.9%</w:t>
            </w:r>
          </w:p>
        </w:tc>
        <w:tc>
          <w:tcPr>
            <w:tcW w:w="447" w:type="pct"/>
            <w:noWrap/>
            <w:vAlign w:val="top"/>
            <w:hideMark/>
          </w:tcPr>
          <w:p w14:paraId="383D23F0" w14:textId="0E963D0F" w:rsidR="003B5523" w:rsidRPr="0015745E" w:rsidRDefault="003B5523" w:rsidP="003B5523">
            <w:pPr>
              <w:pStyle w:val="TableofAuthorities"/>
              <w:rPr>
                <w:rFonts w:cs="Arial"/>
                <w:sz w:val="16"/>
                <w:szCs w:val="16"/>
              </w:rPr>
            </w:pPr>
            <w:r w:rsidRPr="0015745E">
              <w:rPr>
                <w:rFonts w:cs="Arial"/>
                <w:sz w:val="16"/>
                <w:szCs w:val="16"/>
              </w:rPr>
              <w:t>4.8%</w:t>
            </w:r>
          </w:p>
        </w:tc>
        <w:tc>
          <w:tcPr>
            <w:tcW w:w="448" w:type="pct"/>
            <w:noWrap/>
            <w:vAlign w:val="top"/>
            <w:hideMark/>
          </w:tcPr>
          <w:p w14:paraId="1C987EE3" w14:textId="0CD91E9F" w:rsidR="003B5523" w:rsidRPr="0015745E" w:rsidRDefault="003B5523" w:rsidP="003B5523">
            <w:pPr>
              <w:pStyle w:val="TableofAuthorities"/>
              <w:rPr>
                <w:rFonts w:cs="Arial"/>
                <w:sz w:val="16"/>
                <w:szCs w:val="16"/>
              </w:rPr>
            </w:pPr>
            <w:r w:rsidRPr="0015745E">
              <w:rPr>
                <w:rFonts w:cs="Arial"/>
                <w:sz w:val="16"/>
                <w:szCs w:val="16"/>
              </w:rPr>
              <w:t>1.8%</w:t>
            </w:r>
          </w:p>
        </w:tc>
      </w:tr>
    </w:tbl>
    <w:p w14:paraId="63C3CC0D" w14:textId="77777777" w:rsidR="00385C81" w:rsidRDefault="00385C81" w:rsidP="00706D0A"/>
    <w:p w14:paraId="4BE41B1C" w14:textId="543322DC" w:rsidR="00AE73DB" w:rsidRPr="00BE00FF" w:rsidRDefault="00AE73DB" w:rsidP="00706D0A">
      <w:r w:rsidRPr="00BE00FF">
        <w:fldChar w:fldCharType="begin"/>
      </w:r>
      <w:r w:rsidRPr="00BE00FF">
        <w:instrText xml:space="preserve"> REF _Ref160719328 \h  \* MERGEFORMAT </w:instrText>
      </w:r>
      <w:r w:rsidRPr="00BE00FF">
        <w:fldChar w:fldCharType="separate"/>
      </w:r>
      <w:r w:rsidR="001377BE">
        <w:t xml:space="preserve">Table </w:t>
      </w:r>
      <w:r w:rsidR="001377BE">
        <w:rPr>
          <w:noProof/>
        </w:rPr>
        <w:t>1.4</w:t>
      </w:r>
      <w:r w:rsidRPr="00BE00FF">
        <w:fldChar w:fldCharType="end"/>
      </w:r>
      <w:r w:rsidRPr="00BE00FF">
        <w:t xml:space="preserve"> shows the summary of home care providers’ income and expense statement per care recipient per day for the last 5 years. </w:t>
      </w:r>
    </w:p>
    <w:p w14:paraId="08F0E355" w14:textId="139AA903" w:rsidR="00AE73DB" w:rsidRPr="009E3622" w:rsidRDefault="00AE73DB" w:rsidP="00706D0A">
      <w:r w:rsidRPr="009E3622">
        <w:t>Provider income per recipient is split by the major types of income. In 2022</w:t>
      </w:r>
      <w:r w:rsidR="00BE00FF" w:rsidRPr="009E3622">
        <w:t>-23</w:t>
      </w:r>
      <w:r w:rsidRPr="009E3622">
        <w:t xml:space="preserve">, care management and package management service fees were </w:t>
      </w:r>
      <w:r w:rsidR="00DD6E2A">
        <w:t>28%</w:t>
      </w:r>
      <w:r w:rsidRPr="009E3622">
        <w:t xml:space="preserve"> of provider income, </w:t>
      </w:r>
      <w:r w:rsidR="00CE2DDA" w:rsidRPr="009E3622">
        <w:t>the same as 2021-22</w:t>
      </w:r>
      <w:r w:rsidRPr="009E3622">
        <w:t>. Provision of care/direct care represented almost 4</w:t>
      </w:r>
      <w:r w:rsidR="009E3622" w:rsidRPr="009E3622">
        <w:t>2</w:t>
      </w:r>
      <w:r w:rsidR="00DD6E2A">
        <w:t xml:space="preserve">% </w:t>
      </w:r>
      <w:r w:rsidRPr="009E3622">
        <w:t>of provider income, a decrease from 4</w:t>
      </w:r>
      <w:r w:rsidR="009E3622" w:rsidRPr="009E3622">
        <w:t>4</w:t>
      </w:r>
      <w:r w:rsidR="00DD6E2A">
        <w:t xml:space="preserve">% </w:t>
      </w:r>
      <w:r w:rsidRPr="009E3622">
        <w:t>in 2021</w:t>
      </w:r>
      <w:r w:rsidR="009E3622" w:rsidRPr="009E3622">
        <w:t>-22</w:t>
      </w:r>
      <w:r w:rsidRPr="009E3622">
        <w:t xml:space="preserve">. </w:t>
      </w:r>
    </w:p>
    <w:p w14:paraId="1C4DE569" w14:textId="0828437A" w:rsidR="00AE73DB" w:rsidRPr="00D9707F" w:rsidRDefault="00AE73DB" w:rsidP="00706D0A">
      <w:r>
        <w:t>The average provider expenditure per recipient per day in 2022</w:t>
      </w:r>
      <w:r w:rsidR="00445FB9">
        <w:t>-23</w:t>
      </w:r>
      <w:r>
        <w:t xml:space="preserve"> was $6</w:t>
      </w:r>
      <w:r w:rsidR="00193409">
        <w:t>5.47</w:t>
      </w:r>
      <w:r>
        <w:t xml:space="preserve"> ($23</w:t>
      </w:r>
      <w:r w:rsidR="003D2BBC">
        <w:t>,896.55</w:t>
      </w:r>
      <w:r>
        <w:t xml:space="preserve"> per year), </w:t>
      </w:r>
      <w:r w:rsidR="003D2BBC">
        <w:t>up</w:t>
      </w:r>
      <w:r>
        <w:t xml:space="preserve"> from $6</w:t>
      </w:r>
      <w:r w:rsidR="003D2BBC">
        <w:t>3.16</w:t>
      </w:r>
      <w:r>
        <w:t xml:space="preserve"> in 2021</w:t>
      </w:r>
      <w:r w:rsidR="003D2BBC">
        <w:t>-22</w:t>
      </w:r>
      <w:r>
        <w:t>. Total direct service expenses represent 6</w:t>
      </w:r>
      <w:r w:rsidR="00DD6E2A">
        <w:t xml:space="preserve">3% </w:t>
      </w:r>
      <w:r>
        <w:t>of total expenses per recipient per day, while administration and support costs represent 2</w:t>
      </w:r>
      <w:r w:rsidR="00155C73">
        <w:t>3</w:t>
      </w:r>
      <w:r w:rsidR="00A94F8C">
        <w:t xml:space="preserve">% </w:t>
      </w:r>
      <w:r>
        <w:t>of total costs, and care management costs represented 11</w:t>
      </w:r>
      <w:r w:rsidR="00A94F8C">
        <w:t xml:space="preserve">% </w:t>
      </w:r>
      <w:r>
        <w:t>of total costs. Total direct service costs in 2022</w:t>
      </w:r>
      <w:r w:rsidR="00A94F8C">
        <w:t>-23</w:t>
      </w:r>
      <w:r>
        <w:t xml:space="preserve"> were $4</w:t>
      </w:r>
      <w:r w:rsidR="00651FDC">
        <w:t>1.17</w:t>
      </w:r>
      <w:r w:rsidR="006F2E17">
        <w:t xml:space="preserve"> per recipient per day</w:t>
      </w:r>
      <w:r>
        <w:t xml:space="preserve">, </w:t>
      </w:r>
      <w:r w:rsidR="00651FDC">
        <w:t>up</w:t>
      </w:r>
      <w:r>
        <w:t xml:space="preserve"> from $</w:t>
      </w:r>
      <w:r w:rsidR="00651FDC">
        <w:t xml:space="preserve">40.17 </w:t>
      </w:r>
      <w:r>
        <w:t>in 2021</w:t>
      </w:r>
      <w:r w:rsidR="00651FDC">
        <w:t>-22</w:t>
      </w:r>
      <w:r>
        <w:t>, while administration and support costs were $</w:t>
      </w:r>
      <w:r w:rsidR="0045106F">
        <w:t>14.78</w:t>
      </w:r>
      <w:r w:rsidR="00361473">
        <w:t xml:space="preserve"> per recipient per day</w:t>
      </w:r>
      <w:r>
        <w:t>, up from $</w:t>
      </w:r>
      <w:r w:rsidR="00651FDC">
        <w:t>13.50</w:t>
      </w:r>
      <w:r>
        <w:t xml:space="preserve"> in 2021</w:t>
      </w:r>
      <w:r w:rsidR="00651FDC">
        <w:t>-22</w:t>
      </w:r>
      <w:r>
        <w:t>.</w:t>
      </w:r>
    </w:p>
    <w:p w14:paraId="7366A317" w14:textId="3DF924CE" w:rsidR="00AE73DB" w:rsidRPr="00D9707F" w:rsidRDefault="00AE73DB" w:rsidP="00706D0A">
      <w:r w:rsidRPr="00D9707F">
        <w:t>The Home Care sector generated a profit result of $2.</w:t>
      </w:r>
      <w:r w:rsidR="0045106F" w:rsidRPr="00D9707F">
        <w:t>17</w:t>
      </w:r>
      <w:r w:rsidRPr="00D9707F">
        <w:t xml:space="preserve"> per care recipient per day in 2022</w:t>
      </w:r>
      <w:r w:rsidR="0045106F" w:rsidRPr="00D9707F">
        <w:t>-23</w:t>
      </w:r>
      <w:r w:rsidRPr="00D9707F">
        <w:t>, down from $</w:t>
      </w:r>
      <w:r w:rsidR="0045106F" w:rsidRPr="00D9707F">
        <w:t>2.</w:t>
      </w:r>
      <w:r w:rsidR="00D536AB" w:rsidRPr="00D9707F">
        <w:t>7</w:t>
      </w:r>
      <w:r w:rsidR="00D536AB">
        <w:t>8</w:t>
      </w:r>
      <w:r w:rsidR="00D536AB" w:rsidRPr="00D9707F">
        <w:t xml:space="preserve"> </w:t>
      </w:r>
      <w:r w:rsidRPr="00D9707F">
        <w:t>in 2021</w:t>
      </w:r>
      <w:r w:rsidR="0045106F" w:rsidRPr="00D9707F">
        <w:t>-22</w:t>
      </w:r>
      <w:r w:rsidRPr="00D9707F">
        <w:t xml:space="preserve">. This </w:t>
      </w:r>
      <w:r w:rsidR="0045106F" w:rsidRPr="00D9707F">
        <w:t xml:space="preserve">is the second </w:t>
      </w:r>
      <w:r w:rsidRPr="00D9707F">
        <w:t>decrease in profitability in the prior 5 years</w:t>
      </w:r>
      <w:r w:rsidR="004F211D">
        <w:t>,</w:t>
      </w:r>
      <w:r w:rsidRPr="00D9707F">
        <w:t xml:space="preserve"> as illustrated in </w:t>
      </w:r>
      <w:r w:rsidRPr="00D9707F">
        <w:fldChar w:fldCharType="begin"/>
      </w:r>
      <w:r w:rsidRPr="00D9707F">
        <w:instrText xml:space="preserve"> REF _Ref160719328 \h  \* MERGEFORMAT </w:instrText>
      </w:r>
      <w:r w:rsidRPr="00D9707F">
        <w:fldChar w:fldCharType="separate"/>
      </w:r>
      <w:r w:rsidR="001377BE">
        <w:t xml:space="preserve">Table </w:t>
      </w:r>
      <w:r w:rsidR="001377BE">
        <w:rPr>
          <w:noProof/>
        </w:rPr>
        <w:t>1.4</w:t>
      </w:r>
      <w:r w:rsidRPr="00D9707F">
        <w:fldChar w:fldCharType="end"/>
      </w:r>
      <w:r w:rsidRPr="00D9707F">
        <w:t xml:space="preserve"> which shows a consistent upward trend in profitability per care recipient per day since 2018</w:t>
      </w:r>
      <w:r w:rsidR="00D9707F" w:rsidRPr="00D9707F">
        <w:t>-19</w:t>
      </w:r>
      <w:r w:rsidRPr="00D9707F">
        <w:t xml:space="preserve"> to 2020-21, then a dip in profitability in 2021-22</w:t>
      </w:r>
      <w:r w:rsidR="00D9707F" w:rsidRPr="00D9707F">
        <w:t xml:space="preserve"> and 2022-23</w:t>
      </w:r>
      <w:r w:rsidRPr="00D9707F">
        <w:t>.</w:t>
      </w:r>
    </w:p>
    <w:p w14:paraId="438BA12A" w14:textId="5619335B" w:rsidR="00AE73DB" w:rsidRDefault="00AE73DB" w:rsidP="00706D0A">
      <w:r>
        <w:t>While profits gradually increased from 201</w:t>
      </w:r>
      <w:r w:rsidR="00D9707F">
        <w:t>8-19</w:t>
      </w:r>
      <w:r>
        <w:t xml:space="preserve"> to 2020-21, there was a decline in revenue and expenses per </w:t>
      </w:r>
      <w:r w:rsidR="004B5602">
        <w:t>recipient</w:t>
      </w:r>
      <w:r>
        <w:t xml:space="preserve"> per day during this period. In 202</w:t>
      </w:r>
      <w:r w:rsidR="00A95F52">
        <w:t>2-23</w:t>
      </w:r>
      <w:r>
        <w:t>, profit was impacted because the</w:t>
      </w:r>
      <w:r w:rsidR="00470AC1">
        <w:t xml:space="preserve"> increase</w:t>
      </w:r>
      <w:r>
        <w:t xml:space="preserve"> in expenses ($</w:t>
      </w:r>
      <w:r w:rsidR="00BC6D2D">
        <w:t>2.31</w:t>
      </w:r>
      <w:r>
        <w:t xml:space="preserve">) was not proportionate to the </w:t>
      </w:r>
      <w:r w:rsidR="00BC6D2D">
        <w:t>increase</w:t>
      </w:r>
      <w:r>
        <w:t xml:space="preserve"> in revenue ($</w:t>
      </w:r>
      <w:r w:rsidR="00A95F52">
        <w:t>1.71</w:t>
      </w:r>
      <w:r>
        <w:t xml:space="preserve">). </w:t>
      </w:r>
    </w:p>
    <w:p w14:paraId="7CDC822D" w14:textId="57A31CBC" w:rsidR="00006236" w:rsidRDefault="00006236" w:rsidP="00540566">
      <w:r>
        <w:t>On 1 January 2023, the Government introduced new caps on the proportion of expenditure that can be used for care and package management costs</w:t>
      </w:r>
      <w:r w:rsidR="00473697">
        <w:t>, and</w:t>
      </w:r>
      <w:r w:rsidR="00D87A71">
        <w:t xml:space="preserve"> also</w:t>
      </w:r>
      <w:r w:rsidR="00473697">
        <w:t xml:space="preserve"> eliminat</w:t>
      </w:r>
      <w:r w:rsidR="002E1507">
        <w:t>ed</w:t>
      </w:r>
      <w:r w:rsidR="00BE5A1F">
        <w:t xml:space="preserve"> charges for third party services</w:t>
      </w:r>
      <w:r>
        <w:t xml:space="preserve">. In 2022-23 these costs were generally stable per participant, with care management costs increasing by 4.5% (to $11.38 per day) and package management costs </w:t>
      </w:r>
      <w:r w:rsidR="00BE5A1F">
        <w:t>having</w:t>
      </w:r>
      <w:r>
        <w:t xml:space="preserve"> no change ($7.24 per day).</w:t>
      </w:r>
    </w:p>
    <w:p w14:paraId="043D6F28" w14:textId="23B0FECC" w:rsidR="00835E6B" w:rsidRDefault="00006236" w:rsidP="00540566">
      <w:r>
        <w:t xml:space="preserve">However, </w:t>
      </w:r>
      <w:r w:rsidR="003E6B4A">
        <w:t>other</w:t>
      </w:r>
      <w:r w:rsidR="000A46AF">
        <w:t xml:space="preserve"> administration and support expenses </w:t>
      </w:r>
      <w:r w:rsidR="00044BFB">
        <w:t xml:space="preserve">have </w:t>
      </w:r>
      <w:r w:rsidR="00540566">
        <w:t xml:space="preserve">increased </w:t>
      </w:r>
      <w:r w:rsidR="00044BFB">
        <w:t xml:space="preserve">58% in the two years </w:t>
      </w:r>
      <w:r w:rsidR="00540566">
        <w:t xml:space="preserve">from </w:t>
      </w:r>
      <w:r w:rsidR="00044BFB">
        <w:t>2020-21</w:t>
      </w:r>
      <w:r w:rsidR="00540566">
        <w:t xml:space="preserve"> to 2022-23</w:t>
      </w:r>
      <w:r w:rsidR="00044BFB">
        <w:t xml:space="preserve">. </w:t>
      </w:r>
      <w:r w:rsidR="000A46AF">
        <w:t>Further</w:t>
      </w:r>
      <w:r w:rsidR="00540566">
        <w:t>, administration and support has increased from 15% of total expenses in 2020-21 ($9.37 per recipient per day) to 23% of total expenses in 2022-23</w:t>
      </w:r>
      <w:r w:rsidR="00044BFB">
        <w:t xml:space="preserve"> ($</w:t>
      </w:r>
      <w:r w:rsidR="009211EB">
        <w:t>14</w:t>
      </w:r>
      <w:r w:rsidR="00044BFB">
        <w:t>.</w:t>
      </w:r>
      <w:r w:rsidR="009211EB">
        <w:t xml:space="preserve">78 </w:t>
      </w:r>
      <w:r w:rsidR="00044BFB">
        <w:t>per recipient per day)</w:t>
      </w:r>
      <w:r w:rsidR="00540566">
        <w:t xml:space="preserve">. </w:t>
      </w:r>
    </w:p>
    <w:p w14:paraId="6D161D21" w14:textId="69F60959" w:rsidR="00044BFB" w:rsidRDefault="00E973DC" w:rsidP="00540566">
      <w:r>
        <w:t>Total</w:t>
      </w:r>
      <w:r w:rsidR="00044BFB" w:rsidRPr="00044BFB">
        <w:t xml:space="preserve"> external direct care service expenses</w:t>
      </w:r>
      <w:r w:rsidR="00044BFB">
        <w:t xml:space="preserve"> have increased</w:t>
      </w:r>
      <w:r w:rsidR="000A46AF">
        <w:t>, up</w:t>
      </w:r>
      <w:r w:rsidR="00044BFB">
        <w:t xml:space="preserve"> from $13.60 </w:t>
      </w:r>
      <w:r w:rsidR="00BC7467">
        <w:t>per recipient per day</w:t>
      </w:r>
      <w:r w:rsidR="00044BFB">
        <w:t xml:space="preserve"> in 2020-21 to $21.44 in 2022-23. </w:t>
      </w:r>
      <w:r>
        <w:t>While</w:t>
      </w:r>
      <w:r w:rsidR="000A46AF">
        <w:t xml:space="preserve"> t</w:t>
      </w:r>
      <w:r w:rsidR="00732EB2" w:rsidRPr="00732EB2">
        <w:t>otal internal direct care services expenses</w:t>
      </w:r>
      <w:r w:rsidR="00732EB2">
        <w:t xml:space="preserve"> have declined</w:t>
      </w:r>
      <w:r w:rsidR="000A46AF">
        <w:t>, down</w:t>
      </w:r>
      <w:r w:rsidR="00732EB2">
        <w:t xml:space="preserve"> from $24.13 in 2020-21 to $19.73 in </w:t>
      </w:r>
      <w:r w:rsidR="00CA68EF">
        <w:br/>
      </w:r>
      <w:r w:rsidR="00732EB2">
        <w:t xml:space="preserve">2022-23. </w:t>
      </w:r>
    </w:p>
    <w:p w14:paraId="0EF99BBF" w14:textId="77777777" w:rsidR="0027085B" w:rsidRDefault="0027085B" w:rsidP="00540566"/>
    <w:p w14:paraId="161AE2B9" w14:textId="6E5888C4" w:rsidR="00F16C25" w:rsidRPr="00F16C25" w:rsidRDefault="00AE73DB" w:rsidP="00706D0A">
      <w:pPr>
        <w:pStyle w:val="Caption"/>
      </w:pPr>
      <w:bookmarkStart w:id="27" w:name="_Ref160719328"/>
      <w:bookmarkStart w:id="28" w:name="_Toc173428875"/>
      <w:r>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4</w:t>
      </w:r>
      <w:r w:rsidR="00AE19AA">
        <w:rPr>
          <w:noProof/>
        </w:rPr>
        <w:fldChar w:fldCharType="end"/>
      </w:r>
      <w:bookmarkEnd w:id="27"/>
      <w:r>
        <w:t xml:space="preserve">: </w:t>
      </w:r>
      <w:r w:rsidRPr="001478FF">
        <w:t>Summary of income and expense statement per care recipient per day, 2018</w:t>
      </w:r>
      <w:r>
        <w:t>-19</w:t>
      </w:r>
      <w:r w:rsidRPr="001478FF">
        <w:t xml:space="preserve"> to 20</w:t>
      </w:r>
      <w:r w:rsidR="00727E8E">
        <w:t>22-23</w:t>
      </w:r>
      <w:bookmarkEnd w:id="28"/>
    </w:p>
    <w:tbl>
      <w:tblPr>
        <w:tblStyle w:val="DepartmentofHealthtable"/>
        <w:tblW w:w="9356" w:type="dxa"/>
        <w:tblLayout w:type="fixed"/>
        <w:tblLook w:val="04A0" w:firstRow="1" w:lastRow="0" w:firstColumn="1" w:lastColumn="0" w:noHBand="0" w:noVBand="1"/>
      </w:tblPr>
      <w:tblGrid>
        <w:gridCol w:w="4395"/>
        <w:gridCol w:w="992"/>
        <w:gridCol w:w="992"/>
        <w:gridCol w:w="992"/>
        <w:gridCol w:w="992"/>
        <w:gridCol w:w="993"/>
      </w:tblGrid>
      <w:tr w:rsidR="00727E8E" w:rsidRPr="00727E8E" w14:paraId="41FCE12D" w14:textId="77777777" w:rsidTr="003F107E">
        <w:trPr>
          <w:cnfStyle w:val="100000000000" w:firstRow="1" w:lastRow="0" w:firstColumn="0" w:lastColumn="0" w:oddVBand="0" w:evenVBand="0" w:oddHBand="0" w:evenHBand="0" w:firstRowFirstColumn="0" w:firstRowLastColumn="0" w:lastRowFirstColumn="0" w:lastRowLastColumn="0"/>
          <w:trHeight w:val="326"/>
        </w:trPr>
        <w:tc>
          <w:tcPr>
            <w:tcW w:w="4395" w:type="dxa"/>
            <w:hideMark/>
          </w:tcPr>
          <w:p w14:paraId="7E095EAB" w14:textId="77777777" w:rsidR="00727E8E" w:rsidRPr="00124786" w:rsidRDefault="00727E8E" w:rsidP="00706D0A">
            <w:pPr>
              <w:pStyle w:val="TableHeaderWhite"/>
              <w:rPr>
                <w:rFonts w:cs="Arial"/>
                <w:sz w:val="20"/>
                <w:szCs w:val="20"/>
              </w:rPr>
            </w:pPr>
            <w:r w:rsidRPr="00124786">
              <w:rPr>
                <w:rFonts w:cs="Arial"/>
                <w:sz w:val="20"/>
                <w:szCs w:val="20"/>
              </w:rPr>
              <w:t> </w:t>
            </w:r>
          </w:p>
        </w:tc>
        <w:tc>
          <w:tcPr>
            <w:tcW w:w="992" w:type="dxa"/>
            <w:hideMark/>
          </w:tcPr>
          <w:p w14:paraId="4881C679" w14:textId="4953D372" w:rsidR="00727E8E" w:rsidRPr="00124786" w:rsidRDefault="00727E8E" w:rsidP="00706D0A">
            <w:pPr>
              <w:pStyle w:val="TableHeaderWhite"/>
              <w:rPr>
                <w:rFonts w:cs="Arial"/>
                <w:sz w:val="20"/>
                <w:szCs w:val="20"/>
              </w:rPr>
            </w:pPr>
            <w:r w:rsidRPr="00124786">
              <w:rPr>
                <w:rFonts w:cs="Arial"/>
                <w:sz w:val="20"/>
                <w:szCs w:val="20"/>
              </w:rPr>
              <w:t>2018-19</w:t>
            </w:r>
          </w:p>
        </w:tc>
        <w:tc>
          <w:tcPr>
            <w:tcW w:w="992" w:type="dxa"/>
            <w:hideMark/>
          </w:tcPr>
          <w:p w14:paraId="35A7EFA4" w14:textId="4A77FCBB" w:rsidR="00727E8E" w:rsidRPr="00124786" w:rsidRDefault="00727E8E" w:rsidP="00706D0A">
            <w:pPr>
              <w:pStyle w:val="TableHeaderWhite"/>
              <w:rPr>
                <w:rFonts w:cs="Arial"/>
                <w:sz w:val="20"/>
                <w:szCs w:val="20"/>
              </w:rPr>
            </w:pPr>
            <w:r w:rsidRPr="00124786">
              <w:rPr>
                <w:rFonts w:cs="Arial"/>
                <w:sz w:val="20"/>
                <w:szCs w:val="20"/>
              </w:rPr>
              <w:t>2019-20</w:t>
            </w:r>
          </w:p>
        </w:tc>
        <w:tc>
          <w:tcPr>
            <w:tcW w:w="992" w:type="dxa"/>
            <w:hideMark/>
          </w:tcPr>
          <w:p w14:paraId="06A13EB3" w14:textId="1CBD0CD4" w:rsidR="00727E8E" w:rsidRPr="00124786" w:rsidRDefault="00727E8E" w:rsidP="00706D0A">
            <w:pPr>
              <w:pStyle w:val="TableHeaderWhite"/>
              <w:rPr>
                <w:rFonts w:cs="Arial"/>
                <w:sz w:val="20"/>
                <w:szCs w:val="20"/>
              </w:rPr>
            </w:pPr>
            <w:r w:rsidRPr="00124786">
              <w:rPr>
                <w:rFonts w:cs="Arial"/>
                <w:sz w:val="20"/>
                <w:szCs w:val="20"/>
              </w:rPr>
              <w:t>2020-21</w:t>
            </w:r>
          </w:p>
        </w:tc>
        <w:tc>
          <w:tcPr>
            <w:tcW w:w="992" w:type="dxa"/>
            <w:hideMark/>
          </w:tcPr>
          <w:p w14:paraId="72EEFD84" w14:textId="29B53F35" w:rsidR="00727E8E" w:rsidRPr="00124786" w:rsidRDefault="00727E8E" w:rsidP="00706D0A">
            <w:pPr>
              <w:pStyle w:val="TableHeaderWhite"/>
              <w:rPr>
                <w:rFonts w:cs="Arial"/>
                <w:sz w:val="20"/>
                <w:szCs w:val="20"/>
              </w:rPr>
            </w:pPr>
            <w:r w:rsidRPr="00124786">
              <w:rPr>
                <w:rFonts w:cs="Arial"/>
                <w:sz w:val="20"/>
                <w:szCs w:val="20"/>
              </w:rPr>
              <w:t>2021-22</w:t>
            </w:r>
          </w:p>
        </w:tc>
        <w:tc>
          <w:tcPr>
            <w:tcW w:w="993" w:type="dxa"/>
            <w:hideMark/>
          </w:tcPr>
          <w:p w14:paraId="55809C66" w14:textId="2B720C15" w:rsidR="00727E8E" w:rsidRPr="00124786" w:rsidRDefault="00727E8E" w:rsidP="00706D0A">
            <w:pPr>
              <w:pStyle w:val="TableHeaderWhite"/>
              <w:rPr>
                <w:rFonts w:cs="Arial"/>
                <w:sz w:val="20"/>
                <w:szCs w:val="20"/>
              </w:rPr>
            </w:pPr>
            <w:r w:rsidRPr="00124786">
              <w:rPr>
                <w:rFonts w:cs="Arial"/>
                <w:sz w:val="20"/>
                <w:szCs w:val="20"/>
              </w:rPr>
              <w:t>2022-23</w:t>
            </w:r>
          </w:p>
        </w:tc>
      </w:tr>
      <w:tr w:rsidR="00727E8E" w:rsidRPr="00727E8E" w14:paraId="71F6A26D" w14:textId="77777777" w:rsidTr="003F107E">
        <w:trPr>
          <w:trHeight w:val="326"/>
        </w:trPr>
        <w:tc>
          <w:tcPr>
            <w:tcW w:w="4395" w:type="dxa"/>
            <w:shd w:val="clear" w:color="auto" w:fill="D8DBDB" w:themeFill="background1" w:themeFillShade="E6"/>
            <w:noWrap/>
            <w:hideMark/>
          </w:tcPr>
          <w:p w14:paraId="1D57594F" w14:textId="77777777" w:rsidR="00727E8E" w:rsidRPr="00124786" w:rsidRDefault="00727E8E" w:rsidP="00706D0A">
            <w:pPr>
              <w:pStyle w:val="TableParagraphbold"/>
              <w:rPr>
                <w:rFonts w:cs="Arial"/>
                <w:szCs w:val="20"/>
              </w:rPr>
            </w:pPr>
            <w:r w:rsidRPr="00124786">
              <w:rPr>
                <w:rFonts w:cs="Arial"/>
                <w:szCs w:val="20"/>
              </w:rPr>
              <w:t>Income</w:t>
            </w:r>
          </w:p>
        </w:tc>
        <w:tc>
          <w:tcPr>
            <w:tcW w:w="992" w:type="dxa"/>
            <w:shd w:val="clear" w:color="auto" w:fill="D8DBDB" w:themeFill="background1" w:themeFillShade="E6"/>
            <w:noWrap/>
            <w:hideMark/>
          </w:tcPr>
          <w:p w14:paraId="3B09FCFF" w14:textId="77777777" w:rsidR="00727E8E" w:rsidRPr="00124786" w:rsidRDefault="00727E8E" w:rsidP="00706D0A">
            <w:pPr>
              <w:pStyle w:val="TableParagraphbold"/>
              <w:rPr>
                <w:rFonts w:cs="Arial"/>
                <w:szCs w:val="20"/>
              </w:rPr>
            </w:pPr>
            <w:r w:rsidRPr="00124786">
              <w:rPr>
                <w:rFonts w:cs="Arial"/>
                <w:szCs w:val="20"/>
              </w:rPr>
              <w:t> </w:t>
            </w:r>
          </w:p>
        </w:tc>
        <w:tc>
          <w:tcPr>
            <w:tcW w:w="992" w:type="dxa"/>
            <w:shd w:val="clear" w:color="auto" w:fill="D8DBDB" w:themeFill="background1" w:themeFillShade="E6"/>
            <w:noWrap/>
            <w:hideMark/>
          </w:tcPr>
          <w:p w14:paraId="093B9F8D" w14:textId="77777777" w:rsidR="00727E8E" w:rsidRPr="00124786" w:rsidRDefault="00727E8E" w:rsidP="00706D0A">
            <w:pPr>
              <w:pStyle w:val="TableParagraphbold"/>
              <w:rPr>
                <w:rFonts w:cs="Arial"/>
                <w:szCs w:val="20"/>
              </w:rPr>
            </w:pPr>
            <w:r w:rsidRPr="00124786">
              <w:rPr>
                <w:rFonts w:cs="Arial"/>
                <w:szCs w:val="20"/>
              </w:rPr>
              <w:t> </w:t>
            </w:r>
          </w:p>
        </w:tc>
        <w:tc>
          <w:tcPr>
            <w:tcW w:w="992" w:type="dxa"/>
            <w:shd w:val="clear" w:color="auto" w:fill="D8DBDB" w:themeFill="background1" w:themeFillShade="E6"/>
            <w:noWrap/>
            <w:hideMark/>
          </w:tcPr>
          <w:p w14:paraId="4F64A0B0" w14:textId="77777777" w:rsidR="00727E8E" w:rsidRPr="00124786" w:rsidRDefault="00727E8E" w:rsidP="00706D0A">
            <w:pPr>
              <w:pStyle w:val="TableParagraphbold"/>
              <w:rPr>
                <w:rFonts w:cs="Arial"/>
                <w:szCs w:val="20"/>
              </w:rPr>
            </w:pPr>
            <w:r w:rsidRPr="00124786">
              <w:rPr>
                <w:rFonts w:cs="Arial"/>
                <w:szCs w:val="20"/>
              </w:rPr>
              <w:t> </w:t>
            </w:r>
          </w:p>
        </w:tc>
        <w:tc>
          <w:tcPr>
            <w:tcW w:w="992" w:type="dxa"/>
            <w:shd w:val="clear" w:color="auto" w:fill="D8DBDB" w:themeFill="background1" w:themeFillShade="E6"/>
            <w:noWrap/>
            <w:hideMark/>
          </w:tcPr>
          <w:p w14:paraId="6275702E" w14:textId="77777777" w:rsidR="00727E8E" w:rsidRPr="00124786" w:rsidRDefault="00727E8E" w:rsidP="00706D0A">
            <w:pPr>
              <w:pStyle w:val="TableParagraphbold"/>
              <w:rPr>
                <w:rFonts w:cs="Arial"/>
                <w:szCs w:val="20"/>
              </w:rPr>
            </w:pPr>
            <w:r w:rsidRPr="00124786">
              <w:rPr>
                <w:rFonts w:cs="Arial"/>
                <w:szCs w:val="20"/>
              </w:rPr>
              <w:t> </w:t>
            </w:r>
          </w:p>
        </w:tc>
        <w:tc>
          <w:tcPr>
            <w:tcW w:w="993" w:type="dxa"/>
            <w:shd w:val="clear" w:color="auto" w:fill="D8DBDB" w:themeFill="background1" w:themeFillShade="E6"/>
            <w:noWrap/>
            <w:hideMark/>
          </w:tcPr>
          <w:p w14:paraId="4E5D724C" w14:textId="77777777" w:rsidR="00727E8E" w:rsidRPr="00124786" w:rsidRDefault="00727E8E" w:rsidP="00706D0A">
            <w:pPr>
              <w:pStyle w:val="TableParagraphbold"/>
              <w:rPr>
                <w:rFonts w:cs="Arial"/>
                <w:szCs w:val="20"/>
              </w:rPr>
            </w:pPr>
            <w:r w:rsidRPr="00124786">
              <w:rPr>
                <w:rFonts w:cs="Arial"/>
                <w:szCs w:val="20"/>
              </w:rPr>
              <w:t> </w:t>
            </w:r>
          </w:p>
        </w:tc>
      </w:tr>
      <w:tr w:rsidR="00781D75" w:rsidRPr="00727E8E" w14:paraId="18A467E7" w14:textId="77777777" w:rsidTr="003F107E">
        <w:trPr>
          <w:trHeight w:val="326"/>
        </w:trPr>
        <w:tc>
          <w:tcPr>
            <w:tcW w:w="4395" w:type="dxa"/>
            <w:noWrap/>
            <w:hideMark/>
          </w:tcPr>
          <w:p w14:paraId="1DC2211E" w14:textId="77777777" w:rsidR="00781D75" w:rsidRPr="00124786" w:rsidRDefault="00781D75" w:rsidP="00781D75">
            <w:pPr>
              <w:pStyle w:val="TableofAuthorities"/>
              <w:rPr>
                <w:rFonts w:cs="Arial"/>
                <w:sz w:val="20"/>
                <w:szCs w:val="20"/>
              </w:rPr>
            </w:pPr>
            <w:r w:rsidRPr="00124786">
              <w:rPr>
                <w:rFonts w:cs="Arial"/>
                <w:sz w:val="20"/>
                <w:szCs w:val="20"/>
              </w:rPr>
              <w:t>Provision of care / direct care services</w:t>
            </w:r>
          </w:p>
        </w:tc>
        <w:tc>
          <w:tcPr>
            <w:tcW w:w="992" w:type="dxa"/>
            <w:vAlign w:val="top"/>
            <w:hideMark/>
          </w:tcPr>
          <w:p w14:paraId="3B7D3691" w14:textId="3809FF15" w:rsidR="00781D75" w:rsidRPr="00124786" w:rsidRDefault="00781D75" w:rsidP="00781D75">
            <w:pPr>
              <w:pStyle w:val="TableofAuthorities"/>
              <w:rPr>
                <w:rFonts w:cs="Arial"/>
                <w:sz w:val="20"/>
                <w:szCs w:val="20"/>
              </w:rPr>
            </w:pPr>
            <w:r w:rsidRPr="00124786">
              <w:rPr>
                <w:rFonts w:cs="Arial"/>
                <w:sz w:val="20"/>
                <w:szCs w:val="20"/>
              </w:rPr>
              <w:t>$49.57</w:t>
            </w:r>
          </w:p>
        </w:tc>
        <w:tc>
          <w:tcPr>
            <w:tcW w:w="992" w:type="dxa"/>
            <w:noWrap/>
            <w:vAlign w:val="top"/>
            <w:hideMark/>
          </w:tcPr>
          <w:p w14:paraId="4DA33B22" w14:textId="6EE809AA" w:rsidR="00781D75" w:rsidRPr="00124786" w:rsidRDefault="00781D75" w:rsidP="00781D75">
            <w:pPr>
              <w:pStyle w:val="TableofAuthorities"/>
              <w:rPr>
                <w:rFonts w:cs="Arial"/>
                <w:sz w:val="20"/>
                <w:szCs w:val="20"/>
              </w:rPr>
            </w:pPr>
            <w:r w:rsidRPr="00124786">
              <w:rPr>
                <w:rFonts w:cs="Arial"/>
                <w:sz w:val="20"/>
                <w:szCs w:val="20"/>
              </w:rPr>
              <w:t>$35.38</w:t>
            </w:r>
          </w:p>
        </w:tc>
        <w:tc>
          <w:tcPr>
            <w:tcW w:w="992" w:type="dxa"/>
            <w:noWrap/>
            <w:vAlign w:val="top"/>
            <w:hideMark/>
          </w:tcPr>
          <w:p w14:paraId="0A2054C2" w14:textId="4571D215" w:rsidR="00781D75" w:rsidRPr="00124786" w:rsidRDefault="00781D75" w:rsidP="00781D75">
            <w:pPr>
              <w:pStyle w:val="TableofAuthorities"/>
              <w:rPr>
                <w:rFonts w:cs="Arial"/>
                <w:sz w:val="20"/>
                <w:szCs w:val="20"/>
              </w:rPr>
            </w:pPr>
            <w:r w:rsidRPr="00124786">
              <w:rPr>
                <w:rFonts w:cs="Arial"/>
                <w:sz w:val="20"/>
                <w:szCs w:val="20"/>
              </w:rPr>
              <w:t>$33.65</w:t>
            </w:r>
          </w:p>
        </w:tc>
        <w:tc>
          <w:tcPr>
            <w:tcW w:w="992" w:type="dxa"/>
            <w:noWrap/>
            <w:vAlign w:val="top"/>
            <w:hideMark/>
          </w:tcPr>
          <w:p w14:paraId="15603BF2" w14:textId="0D8662E1" w:rsidR="00781D75" w:rsidRPr="00124786" w:rsidRDefault="00781D75" w:rsidP="00781D75">
            <w:pPr>
              <w:pStyle w:val="TableofAuthorities"/>
              <w:rPr>
                <w:rFonts w:cs="Arial"/>
                <w:sz w:val="20"/>
                <w:szCs w:val="20"/>
              </w:rPr>
            </w:pPr>
            <w:r w:rsidRPr="00124786">
              <w:rPr>
                <w:rFonts w:cs="Arial"/>
                <w:sz w:val="20"/>
                <w:szCs w:val="20"/>
              </w:rPr>
              <w:t>$28.75</w:t>
            </w:r>
          </w:p>
        </w:tc>
        <w:tc>
          <w:tcPr>
            <w:tcW w:w="993" w:type="dxa"/>
            <w:noWrap/>
            <w:vAlign w:val="top"/>
            <w:hideMark/>
          </w:tcPr>
          <w:p w14:paraId="27E85F80" w14:textId="52DEB313" w:rsidR="00781D75" w:rsidRPr="00124786" w:rsidRDefault="00781D75" w:rsidP="00781D75">
            <w:pPr>
              <w:pStyle w:val="TableofAuthorities"/>
              <w:rPr>
                <w:rFonts w:cs="Arial"/>
                <w:sz w:val="20"/>
                <w:szCs w:val="20"/>
              </w:rPr>
            </w:pPr>
            <w:r w:rsidRPr="00124786">
              <w:rPr>
                <w:rFonts w:cs="Arial"/>
                <w:sz w:val="20"/>
                <w:szCs w:val="20"/>
              </w:rPr>
              <w:t>$28.72</w:t>
            </w:r>
          </w:p>
        </w:tc>
      </w:tr>
      <w:tr w:rsidR="00781D75" w:rsidRPr="00727E8E" w14:paraId="10FBD3CA" w14:textId="77777777" w:rsidTr="003F107E">
        <w:trPr>
          <w:trHeight w:val="326"/>
        </w:trPr>
        <w:tc>
          <w:tcPr>
            <w:tcW w:w="4395" w:type="dxa"/>
            <w:noWrap/>
            <w:hideMark/>
          </w:tcPr>
          <w:p w14:paraId="7632B772" w14:textId="77777777" w:rsidR="00781D75" w:rsidRPr="00124786" w:rsidRDefault="00781D75" w:rsidP="00781D75">
            <w:pPr>
              <w:pStyle w:val="TableofAuthorities"/>
              <w:rPr>
                <w:rFonts w:cs="Arial"/>
                <w:sz w:val="20"/>
                <w:szCs w:val="20"/>
              </w:rPr>
            </w:pPr>
            <w:r w:rsidRPr="00124786">
              <w:rPr>
                <w:rFonts w:cs="Arial"/>
                <w:sz w:val="20"/>
                <w:szCs w:val="20"/>
              </w:rPr>
              <w:t>Provision of care / sub-contracted services</w:t>
            </w:r>
          </w:p>
        </w:tc>
        <w:tc>
          <w:tcPr>
            <w:tcW w:w="992" w:type="dxa"/>
            <w:vAlign w:val="top"/>
            <w:hideMark/>
          </w:tcPr>
          <w:p w14:paraId="12B488E7" w14:textId="4AA112D6" w:rsidR="00781D75" w:rsidRPr="00124786" w:rsidRDefault="00781D75" w:rsidP="00781D75">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32F4BC64" w14:textId="1570EE4E" w:rsidR="00781D75" w:rsidRPr="00124786" w:rsidRDefault="00781D75" w:rsidP="00781D75">
            <w:pPr>
              <w:pStyle w:val="TableofAuthorities"/>
              <w:rPr>
                <w:rFonts w:cs="Arial"/>
                <w:sz w:val="20"/>
                <w:szCs w:val="20"/>
              </w:rPr>
            </w:pPr>
            <w:r w:rsidRPr="00124786">
              <w:rPr>
                <w:rFonts w:cs="Arial"/>
                <w:sz w:val="20"/>
                <w:szCs w:val="20"/>
              </w:rPr>
              <w:t>$11.75</w:t>
            </w:r>
          </w:p>
        </w:tc>
        <w:tc>
          <w:tcPr>
            <w:tcW w:w="992" w:type="dxa"/>
            <w:noWrap/>
            <w:vAlign w:val="top"/>
            <w:hideMark/>
          </w:tcPr>
          <w:p w14:paraId="71EC2430" w14:textId="5A5CC3C0" w:rsidR="00781D75" w:rsidRPr="00124786" w:rsidRDefault="00781D75" w:rsidP="00781D75">
            <w:pPr>
              <w:pStyle w:val="TableofAuthorities"/>
              <w:rPr>
                <w:rFonts w:cs="Arial"/>
                <w:sz w:val="20"/>
                <w:szCs w:val="20"/>
              </w:rPr>
            </w:pPr>
            <w:r w:rsidRPr="00124786">
              <w:rPr>
                <w:rFonts w:cs="Arial"/>
                <w:sz w:val="20"/>
                <w:szCs w:val="20"/>
              </w:rPr>
              <w:t>$14.63</w:t>
            </w:r>
          </w:p>
        </w:tc>
        <w:tc>
          <w:tcPr>
            <w:tcW w:w="992" w:type="dxa"/>
            <w:noWrap/>
            <w:vAlign w:val="top"/>
            <w:hideMark/>
          </w:tcPr>
          <w:p w14:paraId="0B3539CE" w14:textId="12691360" w:rsidR="00781D75" w:rsidRPr="00124786" w:rsidRDefault="00781D75" w:rsidP="00781D75">
            <w:pPr>
              <w:pStyle w:val="TableofAuthorities"/>
              <w:rPr>
                <w:rFonts w:cs="Arial"/>
                <w:sz w:val="20"/>
                <w:szCs w:val="20"/>
              </w:rPr>
            </w:pPr>
            <w:r w:rsidRPr="00124786">
              <w:rPr>
                <w:rFonts w:cs="Arial"/>
                <w:sz w:val="20"/>
                <w:szCs w:val="20"/>
              </w:rPr>
              <w:t>$14.61</w:t>
            </w:r>
          </w:p>
        </w:tc>
        <w:tc>
          <w:tcPr>
            <w:tcW w:w="993" w:type="dxa"/>
            <w:noWrap/>
            <w:vAlign w:val="top"/>
            <w:hideMark/>
          </w:tcPr>
          <w:p w14:paraId="13F74AC3" w14:textId="2FC1A017" w:rsidR="00781D75" w:rsidRPr="00124786" w:rsidRDefault="00781D75" w:rsidP="00781D75">
            <w:pPr>
              <w:pStyle w:val="TableofAuthorities"/>
              <w:rPr>
                <w:rFonts w:cs="Arial"/>
                <w:sz w:val="20"/>
                <w:szCs w:val="20"/>
              </w:rPr>
            </w:pPr>
            <w:r w:rsidRPr="00124786">
              <w:rPr>
                <w:rFonts w:cs="Arial"/>
                <w:sz w:val="20"/>
                <w:szCs w:val="20"/>
              </w:rPr>
              <w:t>$15.88</w:t>
            </w:r>
          </w:p>
        </w:tc>
      </w:tr>
      <w:tr w:rsidR="00781D75" w:rsidRPr="00727E8E" w14:paraId="7C3B6895" w14:textId="77777777" w:rsidTr="003F107E">
        <w:trPr>
          <w:trHeight w:val="326"/>
        </w:trPr>
        <w:tc>
          <w:tcPr>
            <w:tcW w:w="4395" w:type="dxa"/>
            <w:noWrap/>
            <w:hideMark/>
          </w:tcPr>
          <w:p w14:paraId="27F8A1A9" w14:textId="77777777" w:rsidR="00781D75" w:rsidRPr="00124786" w:rsidRDefault="00781D75" w:rsidP="00781D75">
            <w:pPr>
              <w:pStyle w:val="TableofAuthorities"/>
              <w:rPr>
                <w:rFonts w:cs="Arial"/>
                <w:sz w:val="20"/>
                <w:szCs w:val="20"/>
              </w:rPr>
            </w:pPr>
            <w:r w:rsidRPr="00124786">
              <w:rPr>
                <w:rFonts w:cs="Arial"/>
                <w:sz w:val="20"/>
                <w:szCs w:val="20"/>
              </w:rPr>
              <w:t>Care management service fees</w:t>
            </w:r>
          </w:p>
        </w:tc>
        <w:tc>
          <w:tcPr>
            <w:tcW w:w="992" w:type="dxa"/>
            <w:vAlign w:val="top"/>
            <w:hideMark/>
          </w:tcPr>
          <w:p w14:paraId="085E897E" w14:textId="2B6EE2DC" w:rsidR="00781D75" w:rsidRPr="00124786" w:rsidRDefault="00781D75" w:rsidP="00781D75">
            <w:pPr>
              <w:pStyle w:val="TableofAuthorities"/>
              <w:rPr>
                <w:rFonts w:cs="Arial"/>
                <w:sz w:val="20"/>
                <w:szCs w:val="20"/>
              </w:rPr>
            </w:pPr>
            <w:r w:rsidRPr="00124786">
              <w:rPr>
                <w:rFonts w:cs="Arial"/>
                <w:sz w:val="20"/>
                <w:szCs w:val="20"/>
              </w:rPr>
              <w:t>$10.35</w:t>
            </w:r>
          </w:p>
        </w:tc>
        <w:tc>
          <w:tcPr>
            <w:tcW w:w="992" w:type="dxa"/>
            <w:noWrap/>
            <w:vAlign w:val="top"/>
            <w:hideMark/>
          </w:tcPr>
          <w:p w14:paraId="2DCD69FC" w14:textId="579FA47C" w:rsidR="00781D75" w:rsidRPr="00124786" w:rsidRDefault="00781D75" w:rsidP="00781D75">
            <w:pPr>
              <w:pStyle w:val="TableofAuthorities"/>
              <w:rPr>
                <w:rFonts w:cs="Arial"/>
                <w:sz w:val="20"/>
                <w:szCs w:val="20"/>
              </w:rPr>
            </w:pPr>
            <w:r w:rsidRPr="00124786">
              <w:rPr>
                <w:rFonts w:cs="Arial"/>
                <w:sz w:val="20"/>
                <w:szCs w:val="20"/>
              </w:rPr>
              <w:t>$11.05</w:t>
            </w:r>
          </w:p>
        </w:tc>
        <w:tc>
          <w:tcPr>
            <w:tcW w:w="992" w:type="dxa"/>
            <w:noWrap/>
            <w:vAlign w:val="top"/>
            <w:hideMark/>
          </w:tcPr>
          <w:p w14:paraId="3C67BFC4" w14:textId="243151F3" w:rsidR="00781D75" w:rsidRPr="00124786" w:rsidRDefault="00781D75" w:rsidP="00781D75">
            <w:pPr>
              <w:pStyle w:val="TableofAuthorities"/>
              <w:rPr>
                <w:rFonts w:cs="Arial"/>
                <w:sz w:val="20"/>
                <w:szCs w:val="20"/>
              </w:rPr>
            </w:pPr>
            <w:r w:rsidRPr="00124786">
              <w:rPr>
                <w:rFonts w:cs="Arial"/>
                <w:sz w:val="20"/>
                <w:szCs w:val="20"/>
              </w:rPr>
              <w:t>$11.36</w:t>
            </w:r>
          </w:p>
        </w:tc>
        <w:tc>
          <w:tcPr>
            <w:tcW w:w="992" w:type="dxa"/>
            <w:noWrap/>
            <w:vAlign w:val="top"/>
            <w:hideMark/>
          </w:tcPr>
          <w:p w14:paraId="73348629" w14:textId="0BA93F33" w:rsidR="00781D75" w:rsidRPr="00124786" w:rsidRDefault="00781D75" w:rsidP="00781D75">
            <w:pPr>
              <w:pStyle w:val="TableofAuthorities"/>
              <w:rPr>
                <w:rFonts w:cs="Arial"/>
                <w:sz w:val="20"/>
                <w:szCs w:val="20"/>
              </w:rPr>
            </w:pPr>
            <w:r w:rsidRPr="00124786">
              <w:rPr>
                <w:rFonts w:cs="Arial"/>
                <w:sz w:val="20"/>
                <w:szCs w:val="20"/>
              </w:rPr>
              <w:t>$10.89</w:t>
            </w:r>
          </w:p>
        </w:tc>
        <w:tc>
          <w:tcPr>
            <w:tcW w:w="993" w:type="dxa"/>
            <w:noWrap/>
            <w:vAlign w:val="top"/>
            <w:hideMark/>
          </w:tcPr>
          <w:p w14:paraId="410BC96E" w14:textId="126DAC78" w:rsidR="00781D75" w:rsidRPr="00124786" w:rsidRDefault="00781D75" w:rsidP="00781D75">
            <w:pPr>
              <w:pStyle w:val="TableofAuthorities"/>
              <w:rPr>
                <w:rFonts w:cs="Arial"/>
                <w:sz w:val="20"/>
                <w:szCs w:val="20"/>
              </w:rPr>
            </w:pPr>
            <w:r w:rsidRPr="00124786">
              <w:rPr>
                <w:rFonts w:cs="Arial"/>
                <w:sz w:val="20"/>
                <w:szCs w:val="20"/>
              </w:rPr>
              <w:t>$11.38</w:t>
            </w:r>
          </w:p>
        </w:tc>
      </w:tr>
      <w:tr w:rsidR="00781D75" w:rsidRPr="00727E8E" w14:paraId="09AB1CC8" w14:textId="77777777" w:rsidTr="003F107E">
        <w:trPr>
          <w:trHeight w:val="326"/>
        </w:trPr>
        <w:tc>
          <w:tcPr>
            <w:tcW w:w="4395" w:type="dxa"/>
            <w:noWrap/>
            <w:hideMark/>
          </w:tcPr>
          <w:p w14:paraId="0E28245A" w14:textId="77777777" w:rsidR="00781D75" w:rsidRPr="00124786" w:rsidRDefault="00781D75" w:rsidP="00781D75">
            <w:pPr>
              <w:pStyle w:val="TableofAuthorities"/>
              <w:rPr>
                <w:rFonts w:cs="Arial"/>
                <w:sz w:val="20"/>
                <w:szCs w:val="20"/>
              </w:rPr>
            </w:pPr>
            <w:r w:rsidRPr="00124786">
              <w:rPr>
                <w:rFonts w:cs="Arial"/>
                <w:sz w:val="20"/>
                <w:szCs w:val="20"/>
              </w:rPr>
              <w:t>Package management service fees</w:t>
            </w:r>
          </w:p>
        </w:tc>
        <w:tc>
          <w:tcPr>
            <w:tcW w:w="992" w:type="dxa"/>
            <w:vAlign w:val="top"/>
            <w:hideMark/>
          </w:tcPr>
          <w:p w14:paraId="35074CDD" w14:textId="4A27021A" w:rsidR="00781D75" w:rsidRPr="00124786" w:rsidRDefault="00781D75" w:rsidP="00781D75">
            <w:pPr>
              <w:pStyle w:val="TableofAuthorities"/>
              <w:rPr>
                <w:rFonts w:cs="Arial"/>
                <w:sz w:val="20"/>
                <w:szCs w:val="20"/>
              </w:rPr>
            </w:pPr>
            <w:r w:rsidRPr="00124786">
              <w:rPr>
                <w:rFonts w:cs="Arial"/>
                <w:sz w:val="20"/>
                <w:szCs w:val="20"/>
              </w:rPr>
              <w:t>$11.49</w:t>
            </w:r>
          </w:p>
        </w:tc>
        <w:tc>
          <w:tcPr>
            <w:tcW w:w="992" w:type="dxa"/>
            <w:noWrap/>
            <w:vAlign w:val="top"/>
            <w:hideMark/>
          </w:tcPr>
          <w:p w14:paraId="741C8EA7" w14:textId="727056DB" w:rsidR="00781D75" w:rsidRPr="00124786" w:rsidRDefault="00781D75" w:rsidP="00781D75">
            <w:pPr>
              <w:pStyle w:val="TableofAuthorities"/>
              <w:rPr>
                <w:rFonts w:cs="Arial"/>
                <w:sz w:val="20"/>
                <w:szCs w:val="20"/>
              </w:rPr>
            </w:pPr>
            <w:r w:rsidRPr="00124786">
              <w:rPr>
                <w:rFonts w:cs="Arial"/>
                <w:sz w:val="20"/>
                <w:szCs w:val="20"/>
              </w:rPr>
              <w:t>$8.55</w:t>
            </w:r>
          </w:p>
        </w:tc>
        <w:tc>
          <w:tcPr>
            <w:tcW w:w="992" w:type="dxa"/>
            <w:noWrap/>
            <w:vAlign w:val="top"/>
            <w:hideMark/>
          </w:tcPr>
          <w:p w14:paraId="06998ABE" w14:textId="3C49F4CB" w:rsidR="00781D75" w:rsidRPr="00124786" w:rsidRDefault="00781D75" w:rsidP="00781D75">
            <w:pPr>
              <w:pStyle w:val="TableofAuthorities"/>
              <w:rPr>
                <w:rFonts w:cs="Arial"/>
                <w:sz w:val="20"/>
                <w:szCs w:val="20"/>
              </w:rPr>
            </w:pPr>
            <w:r w:rsidRPr="00124786">
              <w:rPr>
                <w:rFonts w:cs="Arial"/>
                <w:sz w:val="20"/>
                <w:szCs w:val="20"/>
              </w:rPr>
              <w:t>$7.11</w:t>
            </w:r>
          </w:p>
        </w:tc>
        <w:tc>
          <w:tcPr>
            <w:tcW w:w="992" w:type="dxa"/>
            <w:noWrap/>
            <w:vAlign w:val="top"/>
            <w:hideMark/>
          </w:tcPr>
          <w:p w14:paraId="4B6C480E" w14:textId="60879A16" w:rsidR="00781D75" w:rsidRPr="00124786" w:rsidRDefault="00781D75" w:rsidP="00781D75">
            <w:pPr>
              <w:pStyle w:val="TableofAuthorities"/>
              <w:rPr>
                <w:rFonts w:cs="Arial"/>
                <w:sz w:val="20"/>
                <w:szCs w:val="20"/>
              </w:rPr>
            </w:pPr>
            <w:r w:rsidRPr="00124786">
              <w:rPr>
                <w:rFonts w:cs="Arial"/>
                <w:sz w:val="20"/>
                <w:szCs w:val="20"/>
              </w:rPr>
              <w:t>$7.62</w:t>
            </w:r>
          </w:p>
        </w:tc>
        <w:tc>
          <w:tcPr>
            <w:tcW w:w="993" w:type="dxa"/>
            <w:noWrap/>
            <w:vAlign w:val="top"/>
            <w:hideMark/>
          </w:tcPr>
          <w:p w14:paraId="1415214C" w14:textId="25023D69" w:rsidR="00781D75" w:rsidRPr="00124786" w:rsidRDefault="00781D75" w:rsidP="00781D75">
            <w:pPr>
              <w:pStyle w:val="TableofAuthorities"/>
              <w:rPr>
                <w:rFonts w:cs="Arial"/>
                <w:sz w:val="20"/>
                <w:szCs w:val="20"/>
              </w:rPr>
            </w:pPr>
            <w:r w:rsidRPr="00124786">
              <w:rPr>
                <w:rFonts w:cs="Arial"/>
                <w:sz w:val="20"/>
                <w:szCs w:val="20"/>
              </w:rPr>
              <w:t>$7.87</w:t>
            </w:r>
          </w:p>
        </w:tc>
      </w:tr>
      <w:tr w:rsidR="00781D75" w:rsidRPr="00727E8E" w14:paraId="044BB81C" w14:textId="77777777" w:rsidTr="003F107E">
        <w:trPr>
          <w:trHeight w:val="326"/>
        </w:trPr>
        <w:tc>
          <w:tcPr>
            <w:tcW w:w="4395" w:type="dxa"/>
            <w:noWrap/>
            <w:hideMark/>
          </w:tcPr>
          <w:p w14:paraId="047BD2AB" w14:textId="77777777" w:rsidR="00781D75" w:rsidRPr="00124786" w:rsidRDefault="00781D75" w:rsidP="00781D75">
            <w:pPr>
              <w:pStyle w:val="TableofAuthorities"/>
              <w:rPr>
                <w:rFonts w:cs="Arial"/>
                <w:sz w:val="20"/>
                <w:szCs w:val="20"/>
              </w:rPr>
            </w:pPr>
            <w:r w:rsidRPr="00124786">
              <w:rPr>
                <w:rFonts w:cs="Arial"/>
                <w:sz w:val="20"/>
                <w:szCs w:val="20"/>
              </w:rPr>
              <w:t>Unspent funds and exit amounts deducted</w:t>
            </w:r>
          </w:p>
        </w:tc>
        <w:tc>
          <w:tcPr>
            <w:tcW w:w="992" w:type="dxa"/>
            <w:vAlign w:val="top"/>
            <w:hideMark/>
          </w:tcPr>
          <w:p w14:paraId="1D4D8B77" w14:textId="6AAEA487" w:rsidR="00781D75" w:rsidRPr="00124786" w:rsidRDefault="00781D75" w:rsidP="00781D75">
            <w:pPr>
              <w:pStyle w:val="TableofAuthorities"/>
              <w:rPr>
                <w:rFonts w:cs="Arial"/>
                <w:sz w:val="20"/>
                <w:szCs w:val="20"/>
              </w:rPr>
            </w:pPr>
            <w:r w:rsidRPr="00124786">
              <w:rPr>
                <w:rFonts w:cs="Arial"/>
                <w:sz w:val="20"/>
                <w:szCs w:val="20"/>
              </w:rPr>
              <w:t>$0.15</w:t>
            </w:r>
          </w:p>
        </w:tc>
        <w:tc>
          <w:tcPr>
            <w:tcW w:w="992" w:type="dxa"/>
            <w:noWrap/>
            <w:vAlign w:val="top"/>
            <w:hideMark/>
          </w:tcPr>
          <w:p w14:paraId="42EC278D" w14:textId="718547EC" w:rsidR="00781D75" w:rsidRPr="00124786" w:rsidRDefault="00781D75" w:rsidP="00781D75">
            <w:pPr>
              <w:pStyle w:val="TableofAuthorities"/>
              <w:rPr>
                <w:rFonts w:cs="Arial"/>
                <w:sz w:val="20"/>
                <w:szCs w:val="20"/>
              </w:rPr>
            </w:pPr>
            <w:r w:rsidRPr="00124786">
              <w:rPr>
                <w:rFonts w:cs="Arial"/>
                <w:sz w:val="20"/>
                <w:szCs w:val="20"/>
              </w:rPr>
              <w:t>$0.11</w:t>
            </w:r>
          </w:p>
        </w:tc>
        <w:tc>
          <w:tcPr>
            <w:tcW w:w="992" w:type="dxa"/>
            <w:noWrap/>
            <w:vAlign w:val="top"/>
            <w:hideMark/>
          </w:tcPr>
          <w:p w14:paraId="78B62576" w14:textId="2545031D" w:rsidR="00781D75" w:rsidRPr="00124786" w:rsidRDefault="00781D75" w:rsidP="00781D75">
            <w:pPr>
              <w:pStyle w:val="TableofAuthorities"/>
              <w:rPr>
                <w:rFonts w:cs="Arial"/>
                <w:sz w:val="20"/>
                <w:szCs w:val="20"/>
              </w:rPr>
            </w:pPr>
            <w:r w:rsidRPr="00124786">
              <w:rPr>
                <w:rFonts w:cs="Arial"/>
                <w:sz w:val="20"/>
                <w:szCs w:val="20"/>
              </w:rPr>
              <w:t>$0.12</w:t>
            </w:r>
          </w:p>
        </w:tc>
        <w:tc>
          <w:tcPr>
            <w:tcW w:w="992" w:type="dxa"/>
            <w:noWrap/>
            <w:vAlign w:val="top"/>
            <w:hideMark/>
          </w:tcPr>
          <w:p w14:paraId="7EC80684" w14:textId="704F6381" w:rsidR="00781D75" w:rsidRPr="00124786" w:rsidRDefault="00781D75" w:rsidP="00781D75">
            <w:pPr>
              <w:pStyle w:val="TableofAuthorities"/>
              <w:rPr>
                <w:rFonts w:cs="Arial"/>
                <w:sz w:val="20"/>
                <w:szCs w:val="20"/>
              </w:rPr>
            </w:pPr>
            <w:r w:rsidRPr="00124786">
              <w:rPr>
                <w:rFonts w:cs="Arial"/>
                <w:sz w:val="20"/>
                <w:szCs w:val="20"/>
              </w:rPr>
              <w:t>$0.06</w:t>
            </w:r>
          </w:p>
        </w:tc>
        <w:tc>
          <w:tcPr>
            <w:tcW w:w="993" w:type="dxa"/>
            <w:noWrap/>
            <w:vAlign w:val="top"/>
            <w:hideMark/>
          </w:tcPr>
          <w:p w14:paraId="5AAEF076" w14:textId="65968ADC" w:rsidR="00781D75" w:rsidRPr="00124786" w:rsidRDefault="00781D75" w:rsidP="00781D75">
            <w:pPr>
              <w:pStyle w:val="TableofAuthorities"/>
              <w:rPr>
                <w:rFonts w:cs="Arial"/>
                <w:sz w:val="20"/>
                <w:szCs w:val="20"/>
              </w:rPr>
            </w:pPr>
            <w:r w:rsidRPr="00124786">
              <w:rPr>
                <w:rFonts w:cs="Arial"/>
                <w:sz w:val="20"/>
                <w:szCs w:val="20"/>
              </w:rPr>
              <w:t>$0.03</w:t>
            </w:r>
          </w:p>
        </w:tc>
      </w:tr>
      <w:tr w:rsidR="00781D75" w:rsidRPr="00727E8E" w14:paraId="4F99C44D" w14:textId="77777777" w:rsidTr="003F107E">
        <w:trPr>
          <w:trHeight w:val="326"/>
        </w:trPr>
        <w:tc>
          <w:tcPr>
            <w:tcW w:w="4395" w:type="dxa"/>
            <w:noWrap/>
            <w:hideMark/>
          </w:tcPr>
          <w:p w14:paraId="67E2CA75" w14:textId="77777777" w:rsidR="00781D75" w:rsidRPr="00124786" w:rsidRDefault="00781D75" w:rsidP="00781D75">
            <w:pPr>
              <w:pStyle w:val="TableofAuthorities"/>
              <w:rPr>
                <w:rFonts w:cs="Arial"/>
                <w:sz w:val="20"/>
                <w:szCs w:val="20"/>
              </w:rPr>
            </w:pPr>
            <w:r w:rsidRPr="00124786">
              <w:rPr>
                <w:rFonts w:cs="Arial"/>
                <w:sz w:val="20"/>
                <w:szCs w:val="20"/>
              </w:rPr>
              <w:t>COVID-19 funding</w:t>
            </w:r>
          </w:p>
        </w:tc>
        <w:tc>
          <w:tcPr>
            <w:tcW w:w="992" w:type="dxa"/>
            <w:vAlign w:val="top"/>
            <w:hideMark/>
          </w:tcPr>
          <w:p w14:paraId="027DE4DE" w14:textId="28F14316" w:rsidR="00781D75" w:rsidRPr="00124786" w:rsidRDefault="00781D75" w:rsidP="00781D75">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32C1BD84" w14:textId="131CCF34" w:rsidR="00781D75" w:rsidRPr="00124786" w:rsidRDefault="00781D75" w:rsidP="00781D75">
            <w:pPr>
              <w:pStyle w:val="TableofAuthorities"/>
              <w:rPr>
                <w:rFonts w:cs="Arial"/>
                <w:sz w:val="20"/>
                <w:szCs w:val="20"/>
              </w:rPr>
            </w:pPr>
            <w:r w:rsidRPr="00124786">
              <w:rPr>
                <w:rFonts w:cs="Arial"/>
                <w:sz w:val="20"/>
                <w:szCs w:val="20"/>
              </w:rPr>
              <w:t>$0.56</w:t>
            </w:r>
          </w:p>
        </w:tc>
        <w:tc>
          <w:tcPr>
            <w:tcW w:w="992" w:type="dxa"/>
            <w:noWrap/>
            <w:vAlign w:val="top"/>
            <w:hideMark/>
          </w:tcPr>
          <w:p w14:paraId="4D903284" w14:textId="3797A7F2" w:rsidR="00781D75" w:rsidRPr="00124786" w:rsidRDefault="00781D75" w:rsidP="00781D75">
            <w:pPr>
              <w:pStyle w:val="TableofAuthorities"/>
              <w:rPr>
                <w:rFonts w:cs="Arial"/>
                <w:sz w:val="20"/>
                <w:szCs w:val="20"/>
              </w:rPr>
            </w:pPr>
            <w:r w:rsidRPr="00124786">
              <w:rPr>
                <w:rFonts w:cs="Arial"/>
                <w:sz w:val="20"/>
                <w:szCs w:val="20"/>
              </w:rPr>
              <w:t>$1.17</w:t>
            </w:r>
          </w:p>
        </w:tc>
        <w:tc>
          <w:tcPr>
            <w:tcW w:w="992" w:type="dxa"/>
            <w:noWrap/>
            <w:vAlign w:val="top"/>
            <w:hideMark/>
          </w:tcPr>
          <w:p w14:paraId="2FEEE053" w14:textId="7A05D8CB" w:rsidR="00781D75" w:rsidRPr="00124786" w:rsidRDefault="00781D75" w:rsidP="00781D75">
            <w:pPr>
              <w:pStyle w:val="TableofAuthorities"/>
              <w:rPr>
                <w:rFonts w:cs="Arial"/>
                <w:sz w:val="20"/>
                <w:szCs w:val="20"/>
              </w:rPr>
            </w:pPr>
            <w:r w:rsidRPr="00124786">
              <w:rPr>
                <w:rFonts w:cs="Arial"/>
                <w:sz w:val="20"/>
                <w:szCs w:val="20"/>
              </w:rPr>
              <w:t>$0.26</w:t>
            </w:r>
          </w:p>
        </w:tc>
        <w:tc>
          <w:tcPr>
            <w:tcW w:w="993" w:type="dxa"/>
            <w:noWrap/>
            <w:vAlign w:val="top"/>
            <w:hideMark/>
          </w:tcPr>
          <w:p w14:paraId="7A2098FB" w14:textId="31A2E1B7" w:rsidR="00781D75" w:rsidRPr="00124786" w:rsidRDefault="00781D75" w:rsidP="00781D75">
            <w:pPr>
              <w:pStyle w:val="TableofAuthorities"/>
              <w:rPr>
                <w:rFonts w:cs="Arial"/>
                <w:sz w:val="20"/>
                <w:szCs w:val="20"/>
              </w:rPr>
            </w:pPr>
            <w:r w:rsidRPr="00124786">
              <w:rPr>
                <w:rFonts w:cs="Arial"/>
                <w:sz w:val="20"/>
                <w:szCs w:val="20"/>
              </w:rPr>
              <w:t>$0.04</w:t>
            </w:r>
          </w:p>
        </w:tc>
      </w:tr>
      <w:tr w:rsidR="00781D75" w:rsidRPr="00727E8E" w14:paraId="0806F938" w14:textId="77777777" w:rsidTr="003F107E">
        <w:trPr>
          <w:trHeight w:val="326"/>
        </w:trPr>
        <w:tc>
          <w:tcPr>
            <w:tcW w:w="4395" w:type="dxa"/>
            <w:noWrap/>
            <w:hideMark/>
          </w:tcPr>
          <w:p w14:paraId="590CA632" w14:textId="77777777" w:rsidR="00781D75" w:rsidRPr="00124786" w:rsidRDefault="00781D75" w:rsidP="00781D75">
            <w:pPr>
              <w:pStyle w:val="TableofAuthorities"/>
              <w:rPr>
                <w:rFonts w:cs="Arial"/>
                <w:sz w:val="20"/>
                <w:szCs w:val="20"/>
              </w:rPr>
            </w:pPr>
            <w:r w:rsidRPr="00124786">
              <w:rPr>
                <w:rFonts w:cs="Arial"/>
                <w:sz w:val="20"/>
                <w:szCs w:val="20"/>
              </w:rPr>
              <w:t>Other revenue</w:t>
            </w:r>
          </w:p>
        </w:tc>
        <w:tc>
          <w:tcPr>
            <w:tcW w:w="992" w:type="dxa"/>
            <w:vAlign w:val="top"/>
            <w:hideMark/>
          </w:tcPr>
          <w:p w14:paraId="5550BF67" w14:textId="082FF438" w:rsidR="00781D75" w:rsidRPr="00124786" w:rsidRDefault="00781D75" w:rsidP="00781D75">
            <w:pPr>
              <w:pStyle w:val="TableofAuthorities"/>
              <w:rPr>
                <w:rFonts w:cs="Arial"/>
                <w:sz w:val="20"/>
                <w:szCs w:val="20"/>
              </w:rPr>
            </w:pPr>
            <w:r w:rsidRPr="00124786">
              <w:rPr>
                <w:rFonts w:cs="Arial"/>
                <w:sz w:val="20"/>
                <w:szCs w:val="20"/>
              </w:rPr>
              <w:t>$2.07</w:t>
            </w:r>
          </w:p>
        </w:tc>
        <w:tc>
          <w:tcPr>
            <w:tcW w:w="992" w:type="dxa"/>
            <w:noWrap/>
            <w:vAlign w:val="top"/>
            <w:hideMark/>
          </w:tcPr>
          <w:p w14:paraId="15CBBA32" w14:textId="742F9747" w:rsidR="00781D75" w:rsidRPr="00124786" w:rsidRDefault="00781D75" w:rsidP="00781D75">
            <w:pPr>
              <w:pStyle w:val="TableofAuthorities"/>
              <w:rPr>
                <w:rFonts w:cs="Arial"/>
                <w:sz w:val="20"/>
                <w:szCs w:val="20"/>
              </w:rPr>
            </w:pPr>
            <w:r w:rsidRPr="00124786">
              <w:rPr>
                <w:rFonts w:cs="Arial"/>
                <w:sz w:val="20"/>
                <w:szCs w:val="20"/>
              </w:rPr>
              <w:t>$0.97</w:t>
            </w:r>
          </w:p>
        </w:tc>
        <w:tc>
          <w:tcPr>
            <w:tcW w:w="992" w:type="dxa"/>
            <w:noWrap/>
            <w:vAlign w:val="top"/>
            <w:hideMark/>
          </w:tcPr>
          <w:p w14:paraId="43B2D998" w14:textId="777B097C" w:rsidR="00781D75" w:rsidRPr="00124786" w:rsidRDefault="00781D75" w:rsidP="00781D75">
            <w:pPr>
              <w:pStyle w:val="TableofAuthorities"/>
              <w:rPr>
                <w:rFonts w:cs="Arial"/>
                <w:sz w:val="20"/>
                <w:szCs w:val="20"/>
              </w:rPr>
            </w:pPr>
            <w:r w:rsidRPr="00124786">
              <w:rPr>
                <w:rFonts w:cs="Arial"/>
                <w:sz w:val="20"/>
                <w:szCs w:val="20"/>
              </w:rPr>
              <w:t>$0.73</w:t>
            </w:r>
          </w:p>
        </w:tc>
        <w:tc>
          <w:tcPr>
            <w:tcW w:w="992" w:type="dxa"/>
            <w:noWrap/>
            <w:vAlign w:val="top"/>
            <w:hideMark/>
          </w:tcPr>
          <w:p w14:paraId="3F52765C" w14:textId="00CA4823" w:rsidR="00781D75" w:rsidRPr="00124786" w:rsidRDefault="00781D75" w:rsidP="00781D75">
            <w:pPr>
              <w:pStyle w:val="TableofAuthorities"/>
              <w:rPr>
                <w:rFonts w:cs="Arial"/>
                <w:sz w:val="20"/>
                <w:szCs w:val="20"/>
              </w:rPr>
            </w:pPr>
            <w:r w:rsidRPr="00124786">
              <w:rPr>
                <w:rFonts w:cs="Arial"/>
                <w:sz w:val="20"/>
                <w:szCs w:val="20"/>
              </w:rPr>
              <w:t>$3.74</w:t>
            </w:r>
          </w:p>
        </w:tc>
        <w:tc>
          <w:tcPr>
            <w:tcW w:w="993" w:type="dxa"/>
            <w:noWrap/>
            <w:vAlign w:val="top"/>
            <w:hideMark/>
          </w:tcPr>
          <w:p w14:paraId="59936E9A" w14:textId="49A7AE27" w:rsidR="00781D75" w:rsidRPr="00124786" w:rsidRDefault="00781D75" w:rsidP="00781D75">
            <w:pPr>
              <w:pStyle w:val="TableofAuthorities"/>
              <w:rPr>
                <w:rFonts w:cs="Arial"/>
                <w:sz w:val="20"/>
                <w:szCs w:val="20"/>
              </w:rPr>
            </w:pPr>
            <w:r w:rsidRPr="00124786">
              <w:rPr>
                <w:rFonts w:cs="Arial"/>
                <w:sz w:val="20"/>
                <w:szCs w:val="20"/>
              </w:rPr>
              <w:t>$3.73</w:t>
            </w:r>
          </w:p>
        </w:tc>
      </w:tr>
      <w:tr w:rsidR="00706D0A" w:rsidRPr="00727E8E" w14:paraId="13CF13E8" w14:textId="77777777" w:rsidTr="003F107E">
        <w:trPr>
          <w:trHeight w:val="326"/>
        </w:trPr>
        <w:tc>
          <w:tcPr>
            <w:tcW w:w="4395" w:type="dxa"/>
            <w:shd w:val="clear" w:color="auto" w:fill="D8DBDB" w:themeFill="background1" w:themeFillShade="E6"/>
            <w:noWrap/>
            <w:hideMark/>
          </w:tcPr>
          <w:p w14:paraId="0E9382B5" w14:textId="77777777" w:rsidR="00781D75" w:rsidRPr="00124786" w:rsidRDefault="00781D75" w:rsidP="00706D0A">
            <w:pPr>
              <w:pStyle w:val="TableParagraphbold"/>
              <w:rPr>
                <w:rFonts w:cs="Arial"/>
                <w:szCs w:val="20"/>
              </w:rPr>
            </w:pPr>
            <w:r w:rsidRPr="00124786">
              <w:rPr>
                <w:rFonts w:cs="Arial"/>
                <w:szCs w:val="20"/>
              </w:rPr>
              <w:t>Total income</w:t>
            </w:r>
          </w:p>
        </w:tc>
        <w:tc>
          <w:tcPr>
            <w:tcW w:w="992" w:type="dxa"/>
            <w:shd w:val="clear" w:color="auto" w:fill="D8DBDB" w:themeFill="background1" w:themeFillShade="E6"/>
            <w:noWrap/>
            <w:vAlign w:val="top"/>
            <w:hideMark/>
          </w:tcPr>
          <w:p w14:paraId="4C0A176B" w14:textId="2AAED766" w:rsidR="00781D75" w:rsidRPr="00124786" w:rsidRDefault="00781D75" w:rsidP="00706D0A">
            <w:pPr>
              <w:pStyle w:val="TableParagraphbold"/>
              <w:rPr>
                <w:rFonts w:cs="Arial"/>
                <w:szCs w:val="20"/>
                <w:lang w:eastAsia="en-AU"/>
              </w:rPr>
            </w:pPr>
            <w:r w:rsidRPr="00124786">
              <w:rPr>
                <w:rFonts w:cs="Arial"/>
                <w:szCs w:val="20"/>
              </w:rPr>
              <w:t>$73.63</w:t>
            </w:r>
          </w:p>
        </w:tc>
        <w:tc>
          <w:tcPr>
            <w:tcW w:w="992" w:type="dxa"/>
            <w:shd w:val="clear" w:color="auto" w:fill="D8DBDB" w:themeFill="background1" w:themeFillShade="E6"/>
            <w:noWrap/>
            <w:vAlign w:val="top"/>
            <w:hideMark/>
          </w:tcPr>
          <w:p w14:paraId="3A315085" w14:textId="1FBDAB2A" w:rsidR="00781D75" w:rsidRPr="00124786" w:rsidRDefault="00781D75" w:rsidP="00706D0A">
            <w:pPr>
              <w:pStyle w:val="TableParagraphbold"/>
              <w:rPr>
                <w:rFonts w:cs="Arial"/>
                <w:szCs w:val="20"/>
                <w:lang w:eastAsia="en-AU"/>
              </w:rPr>
            </w:pPr>
            <w:r w:rsidRPr="00124786">
              <w:rPr>
                <w:rFonts w:cs="Arial"/>
                <w:szCs w:val="20"/>
              </w:rPr>
              <w:t>$68.37</w:t>
            </w:r>
          </w:p>
        </w:tc>
        <w:tc>
          <w:tcPr>
            <w:tcW w:w="992" w:type="dxa"/>
            <w:shd w:val="clear" w:color="auto" w:fill="D8DBDB" w:themeFill="background1" w:themeFillShade="E6"/>
            <w:noWrap/>
            <w:vAlign w:val="top"/>
            <w:hideMark/>
          </w:tcPr>
          <w:p w14:paraId="10EAC055" w14:textId="4AD68801" w:rsidR="00781D75" w:rsidRPr="00124786" w:rsidRDefault="00781D75" w:rsidP="00706D0A">
            <w:pPr>
              <w:pStyle w:val="TableParagraphbold"/>
              <w:rPr>
                <w:rFonts w:cs="Arial"/>
                <w:szCs w:val="20"/>
                <w:lang w:eastAsia="en-AU"/>
              </w:rPr>
            </w:pPr>
            <w:r w:rsidRPr="00124786">
              <w:rPr>
                <w:rFonts w:cs="Arial"/>
                <w:szCs w:val="20"/>
              </w:rPr>
              <w:t>$68.77</w:t>
            </w:r>
          </w:p>
        </w:tc>
        <w:tc>
          <w:tcPr>
            <w:tcW w:w="992" w:type="dxa"/>
            <w:shd w:val="clear" w:color="auto" w:fill="D8DBDB" w:themeFill="background1" w:themeFillShade="E6"/>
            <w:noWrap/>
            <w:vAlign w:val="top"/>
            <w:hideMark/>
          </w:tcPr>
          <w:p w14:paraId="18E13155" w14:textId="23DF0197" w:rsidR="00781D75" w:rsidRPr="00124786" w:rsidRDefault="00781D75" w:rsidP="00706D0A">
            <w:pPr>
              <w:pStyle w:val="TableParagraphbold"/>
              <w:rPr>
                <w:rFonts w:cs="Arial"/>
                <w:szCs w:val="20"/>
                <w:lang w:eastAsia="en-AU"/>
              </w:rPr>
            </w:pPr>
            <w:r w:rsidRPr="00124786">
              <w:rPr>
                <w:rFonts w:cs="Arial"/>
                <w:szCs w:val="20"/>
              </w:rPr>
              <w:t>$65.9</w:t>
            </w:r>
            <w:r w:rsidR="009A64FA">
              <w:rPr>
                <w:rFonts w:cs="Arial"/>
                <w:szCs w:val="20"/>
              </w:rPr>
              <w:t>4</w:t>
            </w:r>
          </w:p>
        </w:tc>
        <w:tc>
          <w:tcPr>
            <w:tcW w:w="993" w:type="dxa"/>
            <w:shd w:val="clear" w:color="auto" w:fill="D8DBDB" w:themeFill="background1" w:themeFillShade="E6"/>
            <w:noWrap/>
            <w:vAlign w:val="top"/>
            <w:hideMark/>
          </w:tcPr>
          <w:p w14:paraId="122E430D" w14:textId="090F74E1" w:rsidR="00781D75" w:rsidRPr="00124786" w:rsidRDefault="00781D75" w:rsidP="00706D0A">
            <w:pPr>
              <w:pStyle w:val="TableParagraphbold"/>
              <w:rPr>
                <w:rFonts w:cs="Arial"/>
                <w:color w:val="000000"/>
                <w:szCs w:val="20"/>
                <w:lang w:eastAsia="en-AU"/>
              </w:rPr>
            </w:pPr>
            <w:r w:rsidRPr="00124786">
              <w:rPr>
                <w:rFonts w:cs="Arial"/>
                <w:szCs w:val="20"/>
              </w:rPr>
              <w:t>$67.64</w:t>
            </w:r>
          </w:p>
        </w:tc>
      </w:tr>
      <w:tr w:rsidR="00727E8E" w:rsidRPr="00727E8E" w14:paraId="52AB0F04" w14:textId="77777777" w:rsidTr="003F107E">
        <w:trPr>
          <w:trHeight w:val="326"/>
        </w:trPr>
        <w:tc>
          <w:tcPr>
            <w:tcW w:w="4395" w:type="dxa"/>
            <w:noWrap/>
            <w:hideMark/>
          </w:tcPr>
          <w:p w14:paraId="0A3B5804" w14:textId="77777777" w:rsidR="00727E8E" w:rsidRPr="00124786" w:rsidRDefault="00727E8E" w:rsidP="00706D0A">
            <w:pPr>
              <w:pStyle w:val="TableParagraphbold"/>
              <w:rPr>
                <w:rFonts w:cs="Arial"/>
                <w:szCs w:val="20"/>
              </w:rPr>
            </w:pPr>
            <w:r w:rsidRPr="00124786">
              <w:rPr>
                <w:rFonts w:cs="Arial"/>
                <w:szCs w:val="20"/>
              </w:rPr>
              <w:t>Expenses</w:t>
            </w:r>
          </w:p>
        </w:tc>
        <w:tc>
          <w:tcPr>
            <w:tcW w:w="992" w:type="dxa"/>
            <w:noWrap/>
            <w:hideMark/>
          </w:tcPr>
          <w:p w14:paraId="21AC55CA"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6B63F308"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746F7323"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72A10205"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3" w:type="dxa"/>
            <w:noWrap/>
            <w:hideMark/>
          </w:tcPr>
          <w:p w14:paraId="25D760D8"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r>
      <w:tr w:rsidR="00727E8E" w:rsidRPr="00727E8E" w14:paraId="6161CA6B" w14:textId="77777777" w:rsidTr="003F107E">
        <w:trPr>
          <w:trHeight w:val="326"/>
        </w:trPr>
        <w:tc>
          <w:tcPr>
            <w:tcW w:w="4395" w:type="dxa"/>
            <w:noWrap/>
            <w:hideMark/>
          </w:tcPr>
          <w:p w14:paraId="076BF069" w14:textId="77777777" w:rsidR="00727E8E" w:rsidRPr="00124786" w:rsidRDefault="00727E8E" w:rsidP="00706D0A">
            <w:pPr>
              <w:pStyle w:val="TableParagraphbold"/>
              <w:rPr>
                <w:rFonts w:cs="Arial"/>
                <w:szCs w:val="20"/>
              </w:rPr>
            </w:pPr>
            <w:r w:rsidRPr="00124786">
              <w:rPr>
                <w:rFonts w:cs="Arial"/>
                <w:szCs w:val="20"/>
              </w:rPr>
              <w:t>Internal direct care services expenses</w:t>
            </w:r>
          </w:p>
        </w:tc>
        <w:tc>
          <w:tcPr>
            <w:tcW w:w="992" w:type="dxa"/>
            <w:hideMark/>
          </w:tcPr>
          <w:p w14:paraId="52F2AB75"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42A89400"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58429E70"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2" w:type="dxa"/>
            <w:noWrap/>
            <w:hideMark/>
          </w:tcPr>
          <w:p w14:paraId="0EC511BF"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c>
          <w:tcPr>
            <w:tcW w:w="993" w:type="dxa"/>
            <w:noWrap/>
            <w:hideMark/>
          </w:tcPr>
          <w:p w14:paraId="394684CF" w14:textId="77777777" w:rsidR="00727E8E" w:rsidRPr="00124786" w:rsidRDefault="00727E8E" w:rsidP="00706D0A">
            <w:pPr>
              <w:pStyle w:val="TableParagraphbold"/>
              <w:rPr>
                <w:rFonts w:cs="Arial"/>
                <w:szCs w:val="20"/>
                <w:lang w:eastAsia="en-AU"/>
              </w:rPr>
            </w:pPr>
            <w:r w:rsidRPr="00124786">
              <w:rPr>
                <w:rFonts w:cs="Arial"/>
                <w:szCs w:val="20"/>
                <w:lang w:eastAsia="en-AU"/>
              </w:rPr>
              <w:t> </w:t>
            </w:r>
          </w:p>
        </w:tc>
      </w:tr>
      <w:tr w:rsidR="009C5E04" w:rsidRPr="00727E8E" w14:paraId="7B4D93CE" w14:textId="77777777" w:rsidTr="003F107E">
        <w:trPr>
          <w:trHeight w:val="326"/>
        </w:trPr>
        <w:tc>
          <w:tcPr>
            <w:tcW w:w="4395" w:type="dxa"/>
            <w:noWrap/>
            <w:hideMark/>
          </w:tcPr>
          <w:p w14:paraId="7F9F672C" w14:textId="77777777" w:rsidR="009C5E04" w:rsidRPr="00124786" w:rsidRDefault="009C5E04" w:rsidP="009C5E04">
            <w:pPr>
              <w:pStyle w:val="TableofAuthorities"/>
              <w:rPr>
                <w:rFonts w:cs="Arial"/>
                <w:sz w:val="20"/>
                <w:szCs w:val="20"/>
              </w:rPr>
            </w:pPr>
            <w:r w:rsidRPr="00124786">
              <w:rPr>
                <w:rFonts w:cs="Arial"/>
                <w:sz w:val="20"/>
                <w:szCs w:val="20"/>
              </w:rPr>
              <w:t>Employee and agency staff labour costs</w:t>
            </w:r>
          </w:p>
        </w:tc>
        <w:tc>
          <w:tcPr>
            <w:tcW w:w="992" w:type="dxa"/>
            <w:vAlign w:val="top"/>
            <w:hideMark/>
          </w:tcPr>
          <w:p w14:paraId="2146104D" w14:textId="30C750BF" w:rsidR="009C5E04" w:rsidRPr="00124786" w:rsidRDefault="009C5E04" w:rsidP="009C5E04">
            <w:pPr>
              <w:pStyle w:val="TableofAuthorities"/>
              <w:rPr>
                <w:rFonts w:cs="Arial"/>
                <w:sz w:val="20"/>
                <w:szCs w:val="20"/>
              </w:rPr>
            </w:pPr>
            <w:r w:rsidRPr="00124786">
              <w:rPr>
                <w:rFonts w:cs="Arial"/>
                <w:sz w:val="20"/>
                <w:szCs w:val="20"/>
              </w:rPr>
              <w:t>$28.83</w:t>
            </w:r>
          </w:p>
        </w:tc>
        <w:tc>
          <w:tcPr>
            <w:tcW w:w="992" w:type="dxa"/>
            <w:noWrap/>
            <w:vAlign w:val="top"/>
            <w:hideMark/>
          </w:tcPr>
          <w:p w14:paraId="17EC23A1" w14:textId="41A4DF05" w:rsidR="009C5E04" w:rsidRPr="00124786" w:rsidRDefault="009C5E04" w:rsidP="009C5E04">
            <w:pPr>
              <w:pStyle w:val="TableofAuthorities"/>
              <w:rPr>
                <w:rFonts w:cs="Arial"/>
                <w:sz w:val="20"/>
                <w:szCs w:val="20"/>
              </w:rPr>
            </w:pPr>
            <w:r w:rsidRPr="00124786">
              <w:rPr>
                <w:rFonts w:cs="Arial"/>
                <w:sz w:val="20"/>
                <w:szCs w:val="20"/>
              </w:rPr>
              <w:t>$25.49</w:t>
            </w:r>
          </w:p>
        </w:tc>
        <w:tc>
          <w:tcPr>
            <w:tcW w:w="992" w:type="dxa"/>
            <w:noWrap/>
            <w:vAlign w:val="top"/>
            <w:hideMark/>
          </w:tcPr>
          <w:p w14:paraId="591FA02B" w14:textId="19BFD53D" w:rsidR="009C5E04" w:rsidRPr="00124786" w:rsidRDefault="009C5E04" w:rsidP="009C5E04">
            <w:pPr>
              <w:pStyle w:val="TableofAuthorities"/>
              <w:rPr>
                <w:rFonts w:cs="Arial"/>
                <w:sz w:val="20"/>
                <w:szCs w:val="20"/>
              </w:rPr>
            </w:pPr>
            <w:r w:rsidRPr="00124786">
              <w:rPr>
                <w:rFonts w:cs="Arial"/>
                <w:sz w:val="20"/>
                <w:szCs w:val="20"/>
              </w:rPr>
              <w:t>$24.13</w:t>
            </w:r>
          </w:p>
        </w:tc>
        <w:tc>
          <w:tcPr>
            <w:tcW w:w="992" w:type="dxa"/>
            <w:noWrap/>
            <w:vAlign w:val="top"/>
            <w:hideMark/>
          </w:tcPr>
          <w:p w14:paraId="2D5072CE" w14:textId="73C38C8A" w:rsidR="009C5E04" w:rsidRPr="00124786" w:rsidRDefault="009C5E04" w:rsidP="009C5E04">
            <w:pPr>
              <w:pStyle w:val="TableofAuthorities"/>
              <w:rPr>
                <w:rFonts w:cs="Arial"/>
                <w:sz w:val="20"/>
                <w:szCs w:val="20"/>
              </w:rPr>
            </w:pPr>
            <w:r w:rsidRPr="00124786">
              <w:rPr>
                <w:rFonts w:cs="Arial"/>
                <w:sz w:val="20"/>
                <w:szCs w:val="20"/>
              </w:rPr>
              <w:t>$18.81</w:t>
            </w:r>
          </w:p>
        </w:tc>
        <w:tc>
          <w:tcPr>
            <w:tcW w:w="993" w:type="dxa"/>
            <w:noWrap/>
            <w:vAlign w:val="top"/>
            <w:hideMark/>
          </w:tcPr>
          <w:p w14:paraId="025112DF" w14:textId="29997ED3" w:rsidR="009C5E04" w:rsidRPr="00124786" w:rsidRDefault="009C5E04" w:rsidP="009C5E04">
            <w:pPr>
              <w:pStyle w:val="TableofAuthorities"/>
              <w:rPr>
                <w:rFonts w:cs="Arial"/>
                <w:sz w:val="20"/>
                <w:szCs w:val="20"/>
              </w:rPr>
            </w:pPr>
            <w:r w:rsidRPr="00124786">
              <w:rPr>
                <w:rFonts w:cs="Arial"/>
                <w:sz w:val="20"/>
                <w:szCs w:val="20"/>
              </w:rPr>
              <w:t>$18.21</w:t>
            </w:r>
          </w:p>
        </w:tc>
      </w:tr>
      <w:tr w:rsidR="009C5E04" w:rsidRPr="00727E8E" w14:paraId="5FEFA311" w14:textId="77777777" w:rsidTr="003F107E">
        <w:trPr>
          <w:trHeight w:val="326"/>
        </w:trPr>
        <w:tc>
          <w:tcPr>
            <w:tcW w:w="4395" w:type="dxa"/>
            <w:noWrap/>
            <w:hideMark/>
          </w:tcPr>
          <w:p w14:paraId="6A2C38C7" w14:textId="77777777" w:rsidR="009C5E04" w:rsidRPr="00124786" w:rsidRDefault="009C5E04" w:rsidP="009C5E04">
            <w:pPr>
              <w:pStyle w:val="TableofAuthorities"/>
              <w:rPr>
                <w:rFonts w:cs="Arial"/>
                <w:sz w:val="20"/>
                <w:szCs w:val="20"/>
              </w:rPr>
            </w:pPr>
            <w:r w:rsidRPr="00124786">
              <w:rPr>
                <w:rFonts w:cs="Arial"/>
                <w:sz w:val="20"/>
                <w:szCs w:val="20"/>
              </w:rPr>
              <w:t>Other internal direct care services expenses</w:t>
            </w:r>
          </w:p>
        </w:tc>
        <w:tc>
          <w:tcPr>
            <w:tcW w:w="992" w:type="dxa"/>
            <w:vAlign w:val="top"/>
            <w:hideMark/>
          </w:tcPr>
          <w:p w14:paraId="3D8B0D46" w14:textId="0D5A0AB9"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1A890E40" w14:textId="6376924F"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16F45C3C" w14:textId="2D0DB274"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37831901" w14:textId="39601F48" w:rsidR="009C5E04" w:rsidRPr="00124786" w:rsidRDefault="009C5E04" w:rsidP="009C5E04">
            <w:pPr>
              <w:pStyle w:val="TableofAuthorities"/>
              <w:rPr>
                <w:rFonts w:cs="Arial"/>
                <w:sz w:val="20"/>
                <w:szCs w:val="20"/>
              </w:rPr>
            </w:pPr>
            <w:r w:rsidRPr="00124786">
              <w:rPr>
                <w:rFonts w:cs="Arial"/>
                <w:sz w:val="20"/>
                <w:szCs w:val="20"/>
              </w:rPr>
              <w:t>$2.00</w:t>
            </w:r>
          </w:p>
        </w:tc>
        <w:tc>
          <w:tcPr>
            <w:tcW w:w="993" w:type="dxa"/>
            <w:noWrap/>
            <w:vAlign w:val="top"/>
            <w:hideMark/>
          </w:tcPr>
          <w:p w14:paraId="3B62FF79" w14:textId="19DDBBB2" w:rsidR="009C5E04" w:rsidRPr="00124786" w:rsidRDefault="009C5E04" w:rsidP="009C5E04">
            <w:pPr>
              <w:pStyle w:val="TableofAuthorities"/>
              <w:rPr>
                <w:rFonts w:cs="Arial"/>
                <w:sz w:val="20"/>
                <w:szCs w:val="20"/>
              </w:rPr>
            </w:pPr>
            <w:r w:rsidRPr="00124786">
              <w:rPr>
                <w:rFonts w:cs="Arial"/>
                <w:sz w:val="20"/>
                <w:szCs w:val="20"/>
              </w:rPr>
              <w:t>$1.52</w:t>
            </w:r>
          </w:p>
        </w:tc>
      </w:tr>
      <w:tr w:rsidR="009C5E04" w:rsidRPr="00727E8E" w14:paraId="7316A8C1" w14:textId="77777777" w:rsidTr="003F107E">
        <w:trPr>
          <w:trHeight w:val="326"/>
        </w:trPr>
        <w:tc>
          <w:tcPr>
            <w:tcW w:w="4395" w:type="dxa"/>
            <w:noWrap/>
            <w:hideMark/>
          </w:tcPr>
          <w:p w14:paraId="074FA26A" w14:textId="77777777" w:rsidR="009C5E04" w:rsidRPr="00124786" w:rsidRDefault="009C5E04" w:rsidP="00706D0A">
            <w:pPr>
              <w:pStyle w:val="TableParagraphbold"/>
              <w:rPr>
                <w:rFonts w:cs="Arial"/>
                <w:szCs w:val="20"/>
                <w:lang w:eastAsia="en-AU"/>
              </w:rPr>
            </w:pPr>
            <w:r w:rsidRPr="00124786">
              <w:rPr>
                <w:rFonts w:cs="Arial"/>
                <w:szCs w:val="20"/>
                <w:lang w:eastAsia="en-AU"/>
              </w:rPr>
              <w:t>Total internal direct care services expenses</w:t>
            </w:r>
          </w:p>
        </w:tc>
        <w:tc>
          <w:tcPr>
            <w:tcW w:w="992" w:type="dxa"/>
            <w:vAlign w:val="top"/>
            <w:hideMark/>
          </w:tcPr>
          <w:p w14:paraId="15166AD1" w14:textId="5BF9F961" w:rsidR="009C5E04" w:rsidRPr="00DD32CC" w:rsidRDefault="009C5E04" w:rsidP="009C5E04">
            <w:pPr>
              <w:pStyle w:val="TableofAuthorities"/>
              <w:rPr>
                <w:rFonts w:cs="Arial"/>
                <w:b/>
                <w:color w:val="313131"/>
                <w:sz w:val="20"/>
                <w:szCs w:val="20"/>
                <w:lang w:eastAsia="en-AU"/>
              </w:rPr>
            </w:pPr>
            <w:r w:rsidRPr="00DD32CC">
              <w:rPr>
                <w:rFonts w:cs="Arial"/>
                <w:b/>
                <w:sz w:val="20"/>
                <w:szCs w:val="20"/>
              </w:rPr>
              <w:t>$28.83</w:t>
            </w:r>
          </w:p>
        </w:tc>
        <w:tc>
          <w:tcPr>
            <w:tcW w:w="992" w:type="dxa"/>
            <w:noWrap/>
            <w:vAlign w:val="top"/>
            <w:hideMark/>
          </w:tcPr>
          <w:p w14:paraId="180C9125" w14:textId="147A1324" w:rsidR="009C5E04" w:rsidRPr="00DD32CC" w:rsidRDefault="009C5E04" w:rsidP="009C5E04">
            <w:pPr>
              <w:pStyle w:val="TableofAuthorities"/>
              <w:rPr>
                <w:rFonts w:cs="Arial"/>
                <w:b/>
                <w:color w:val="313131"/>
                <w:sz w:val="20"/>
                <w:szCs w:val="20"/>
                <w:lang w:eastAsia="en-AU"/>
              </w:rPr>
            </w:pPr>
            <w:r w:rsidRPr="00DD32CC">
              <w:rPr>
                <w:rFonts w:cs="Arial"/>
                <w:b/>
                <w:sz w:val="20"/>
                <w:szCs w:val="20"/>
              </w:rPr>
              <w:t>$25.49</w:t>
            </w:r>
          </w:p>
        </w:tc>
        <w:tc>
          <w:tcPr>
            <w:tcW w:w="992" w:type="dxa"/>
            <w:noWrap/>
            <w:vAlign w:val="top"/>
            <w:hideMark/>
          </w:tcPr>
          <w:p w14:paraId="3528FB47" w14:textId="02DF6858" w:rsidR="009C5E04" w:rsidRPr="00DD32CC" w:rsidRDefault="009C5E04" w:rsidP="009C5E04">
            <w:pPr>
              <w:pStyle w:val="TableofAuthorities"/>
              <w:rPr>
                <w:rFonts w:cs="Arial"/>
                <w:b/>
                <w:color w:val="313131"/>
                <w:sz w:val="20"/>
                <w:szCs w:val="20"/>
                <w:lang w:eastAsia="en-AU"/>
              </w:rPr>
            </w:pPr>
            <w:r w:rsidRPr="00DD32CC">
              <w:rPr>
                <w:rFonts w:cs="Arial"/>
                <w:b/>
                <w:sz w:val="20"/>
                <w:szCs w:val="20"/>
              </w:rPr>
              <w:t>$24.13</w:t>
            </w:r>
          </w:p>
        </w:tc>
        <w:tc>
          <w:tcPr>
            <w:tcW w:w="992" w:type="dxa"/>
            <w:noWrap/>
            <w:vAlign w:val="top"/>
            <w:hideMark/>
          </w:tcPr>
          <w:p w14:paraId="003CAD89" w14:textId="16F7689B" w:rsidR="009C5E04" w:rsidRPr="00DD32CC" w:rsidRDefault="009C5E04" w:rsidP="009C5E04">
            <w:pPr>
              <w:pStyle w:val="TableofAuthorities"/>
              <w:rPr>
                <w:rFonts w:cs="Arial"/>
                <w:b/>
                <w:color w:val="313131"/>
                <w:sz w:val="20"/>
                <w:szCs w:val="20"/>
                <w:lang w:eastAsia="en-AU"/>
              </w:rPr>
            </w:pPr>
            <w:r w:rsidRPr="00DD32CC">
              <w:rPr>
                <w:rFonts w:cs="Arial"/>
                <w:b/>
                <w:sz w:val="20"/>
                <w:szCs w:val="20"/>
              </w:rPr>
              <w:t>$20.81</w:t>
            </w:r>
          </w:p>
        </w:tc>
        <w:tc>
          <w:tcPr>
            <w:tcW w:w="993" w:type="dxa"/>
            <w:noWrap/>
            <w:vAlign w:val="top"/>
            <w:hideMark/>
          </w:tcPr>
          <w:p w14:paraId="32DA12F9" w14:textId="14FB8B5B" w:rsidR="009C5E04" w:rsidRPr="00DD32CC" w:rsidRDefault="009C5E04" w:rsidP="009C5E04">
            <w:pPr>
              <w:pStyle w:val="TableofAuthorities"/>
              <w:rPr>
                <w:rFonts w:cs="Arial"/>
                <w:b/>
                <w:color w:val="313131"/>
                <w:sz w:val="20"/>
                <w:szCs w:val="20"/>
                <w:lang w:eastAsia="en-AU"/>
              </w:rPr>
            </w:pPr>
            <w:r w:rsidRPr="00DD32CC">
              <w:rPr>
                <w:rFonts w:cs="Arial"/>
                <w:b/>
                <w:sz w:val="20"/>
                <w:szCs w:val="20"/>
              </w:rPr>
              <w:t>$19.73</w:t>
            </w:r>
          </w:p>
        </w:tc>
      </w:tr>
      <w:tr w:rsidR="009C5E04" w:rsidRPr="00727E8E" w14:paraId="46928323" w14:textId="77777777" w:rsidTr="003F107E">
        <w:trPr>
          <w:trHeight w:val="326"/>
        </w:trPr>
        <w:tc>
          <w:tcPr>
            <w:tcW w:w="4395" w:type="dxa"/>
            <w:noWrap/>
            <w:hideMark/>
          </w:tcPr>
          <w:p w14:paraId="4754FB95" w14:textId="77777777" w:rsidR="009C5E04" w:rsidRPr="00124786" w:rsidRDefault="009C5E04" w:rsidP="00706D0A">
            <w:pPr>
              <w:pStyle w:val="TableParagraphbold"/>
              <w:rPr>
                <w:rFonts w:cs="Arial"/>
                <w:szCs w:val="20"/>
                <w:lang w:eastAsia="en-AU"/>
              </w:rPr>
            </w:pPr>
            <w:r w:rsidRPr="00124786">
              <w:rPr>
                <w:rFonts w:cs="Arial"/>
                <w:szCs w:val="20"/>
                <w:lang w:eastAsia="en-AU"/>
              </w:rPr>
              <w:t>External direct care services expenses</w:t>
            </w:r>
          </w:p>
        </w:tc>
        <w:tc>
          <w:tcPr>
            <w:tcW w:w="992" w:type="dxa"/>
            <w:vAlign w:val="top"/>
            <w:hideMark/>
          </w:tcPr>
          <w:p w14:paraId="22446C8E" w14:textId="111DF156" w:rsidR="009C5E04" w:rsidRPr="00124786" w:rsidRDefault="009C5E04" w:rsidP="009C5E04">
            <w:pPr>
              <w:pStyle w:val="TableofAuthorities"/>
              <w:rPr>
                <w:rFonts w:cs="Arial"/>
                <w:color w:val="313131"/>
                <w:sz w:val="20"/>
                <w:szCs w:val="20"/>
                <w:lang w:eastAsia="en-AU"/>
              </w:rPr>
            </w:pPr>
          </w:p>
        </w:tc>
        <w:tc>
          <w:tcPr>
            <w:tcW w:w="992" w:type="dxa"/>
            <w:noWrap/>
            <w:vAlign w:val="top"/>
            <w:hideMark/>
          </w:tcPr>
          <w:p w14:paraId="36054CDE" w14:textId="44C02A76" w:rsidR="009C5E04" w:rsidRPr="00124786" w:rsidRDefault="009C5E04" w:rsidP="009C5E04">
            <w:pPr>
              <w:pStyle w:val="TableofAuthorities"/>
              <w:rPr>
                <w:rFonts w:cs="Arial"/>
                <w:color w:val="313131"/>
                <w:sz w:val="20"/>
                <w:szCs w:val="20"/>
                <w:lang w:eastAsia="en-AU"/>
              </w:rPr>
            </w:pPr>
          </w:p>
        </w:tc>
        <w:tc>
          <w:tcPr>
            <w:tcW w:w="992" w:type="dxa"/>
            <w:noWrap/>
            <w:vAlign w:val="top"/>
            <w:hideMark/>
          </w:tcPr>
          <w:p w14:paraId="0462ACDB" w14:textId="1B29CFE1" w:rsidR="009C5E04" w:rsidRPr="00124786" w:rsidRDefault="009C5E04" w:rsidP="009C5E04">
            <w:pPr>
              <w:pStyle w:val="TableofAuthorities"/>
              <w:rPr>
                <w:rFonts w:cs="Arial"/>
                <w:color w:val="313131"/>
                <w:sz w:val="20"/>
                <w:szCs w:val="20"/>
                <w:lang w:eastAsia="en-AU"/>
              </w:rPr>
            </w:pPr>
          </w:p>
        </w:tc>
        <w:tc>
          <w:tcPr>
            <w:tcW w:w="992" w:type="dxa"/>
            <w:noWrap/>
            <w:vAlign w:val="top"/>
            <w:hideMark/>
          </w:tcPr>
          <w:p w14:paraId="588DF69E" w14:textId="2E18AA81" w:rsidR="009C5E04" w:rsidRPr="00124786" w:rsidRDefault="009C5E04" w:rsidP="009C5E04">
            <w:pPr>
              <w:pStyle w:val="TableofAuthorities"/>
              <w:rPr>
                <w:rFonts w:cs="Arial"/>
                <w:color w:val="313131"/>
                <w:sz w:val="20"/>
                <w:szCs w:val="20"/>
                <w:lang w:eastAsia="en-AU"/>
              </w:rPr>
            </w:pPr>
          </w:p>
        </w:tc>
        <w:tc>
          <w:tcPr>
            <w:tcW w:w="993" w:type="dxa"/>
            <w:noWrap/>
            <w:vAlign w:val="top"/>
            <w:hideMark/>
          </w:tcPr>
          <w:p w14:paraId="593AF9EB" w14:textId="0351E072" w:rsidR="009C5E04" w:rsidRPr="00124786" w:rsidRDefault="009C5E04" w:rsidP="009C5E04">
            <w:pPr>
              <w:pStyle w:val="TableofAuthorities"/>
              <w:rPr>
                <w:rFonts w:cs="Arial"/>
                <w:color w:val="313131"/>
                <w:sz w:val="20"/>
                <w:szCs w:val="20"/>
                <w:lang w:eastAsia="en-AU"/>
              </w:rPr>
            </w:pPr>
          </w:p>
        </w:tc>
      </w:tr>
      <w:tr w:rsidR="009C5E04" w:rsidRPr="00727E8E" w14:paraId="1A297832" w14:textId="77777777" w:rsidTr="003F107E">
        <w:trPr>
          <w:trHeight w:val="326"/>
        </w:trPr>
        <w:tc>
          <w:tcPr>
            <w:tcW w:w="4395" w:type="dxa"/>
            <w:noWrap/>
            <w:hideMark/>
          </w:tcPr>
          <w:p w14:paraId="7DBDBC97" w14:textId="77777777" w:rsidR="009C5E04" w:rsidRPr="00124786" w:rsidRDefault="009C5E04" w:rsidP="009C5E04">
            <w:pPr>
              <w:pStyle w:val="TableofAuthorities"/>
              <w:rPr>
                <w:rFonts w:cs="Arial"/>
                <w:sz w:val="20"/>
                <w:szCs w:val="20"/>
              </w:rPr>
            </w:pPr>
            <w:r w:rsidRPr="00124786">
              <w:rPr>
                <w:rFonts w:cs="Arial"/>
                <w:sz w:val="20"/>
                <w:szCs w:val="20"/>
              </w:rPr>
              <w:t>Sub-contracted or brokered client services</w:t>
            </w:r>
          </w:p>
        </w:tc>
        <w:tc>
          <w:tcPr>
            <w:tcW w:w="992" w:type="dxa"/>
            <w:vAlign w:val="top"/>
            <w:hideMark/>
          </w:tcPr>
          <w:p w14:paraId="72F8D5C1" w14:textId="107BABEF" w:rsidR="009C5E04" w:rsidRPr="00124786" w:rsidRDefault="009C5E04" w:rsidP="009C5E04">
            <w:pPr>
              <w:pStyle w:val="TableofAuthorities"/>
              <w:rPr>
                <w:rFonts w:cs="Arial"/>
                <w:sz w:val="20"/>
                <w:szCs w:val="20"/>
              </w:rPr>
            </w:pPr>
            <w:r w:rsidRPr="00124786">
              <w:rPr>
                <w:rFonts w:cs="Arial"/>
                <w:sz w:val="20"/>
                <w:szCs w:val="20"/>
              </w:rPr>
              <w:t>$11.47</w:t>
            </w:r>
          </w:p>
        </w:tc>
        <w:tc>
          <w:tcPr>
            <w:tcW w:w="992" w:type="dxa"/>
            <w:noWrap/>
            <w:vAlign w:val="top"/>
            <w:hideMark/>
          </w:tcPr>
          <w:p w14:paraId="4F2D3257" w14:textId="03B106C0" w:rsidR="009C5E04" w:rsidRPr="00124786" w:rsidRDefault="009C5E04" w:rsidP="009C5E04">
            <w:pPr>
              <w:pStyle w:val="TableofAuthorities"/>
              <w:rPr>
                <w:rFonts w:cs="Arial"/>
                <w:sz w:val="20"/>
                <w:szCs w:val="20"/>
              </w:rPr>
            </w:pPr>
            <w:r w:rsidRPr="00124786">
              <w:rPr>
                <w:rFonts w:cs="Arial"/>
                <w:sz w:val="20"/>
                <w:szCs w:val="20"/>
              </w:rPr>
              <w:t>$11.50</w:t>
            </w:r>
          </w:p>
        </w:tc>
        <w:tc>
          <w:tcPr>
            <w:tcW w:w="992" w:type="dxa"/>
            <w:noWrap/>
            <w:vAlign w:val="top"/>
            <w:hideMark/>
          </w:tcPr>
          <w:p w14:paraId="13F11CBC" w14:textId="33292680" w:rsidR="009C5E04" w:rsidRPr="00124786" w:rsidRDefault="009C5E04" w:rsidP="009C5E04">
            <w:pPr>
              <w:pStyle w:val="TableofAuthorities"/>
              <w:rPr>
                <w:rFonts w:cs="Arial"/>
                <w:sz w:val="20"/>
                <w:szCs w:val="20"/>
              </w:rPr>
            </w:pPr>
            <w:r w:rsidRPr="00124786">
              <w:rPr>
                <w:rFonts w:cs="Arial"/>
                <w:sz w:val="20"/>
                <w:szCs w:val="20"/>
              </w:rPr>
              <w:t>$13.60</w:t>
            </w:r>
          </w:p>
        </w:tc>
        <w:tc>
          <w:tcPr>
            <w:tcW w:w="992" w:type="dxa"/>
            <w:noWrap/>
            <w:vAlign w:val="top"/>
            <w:hideMark/>
          </w:tcPr>
          <w:p w14:paraId="23E805B5" w14:textId="1D215B17" w:rsidR="009C5E04" w:rsidRPr="00124786" w:rsidRDefault="009C5E04" w:rsidP="009C5E04">
            <w:pPr>
              <w:pStyle w:val="TableofAuthorities"/>
              <w:rPr>
                <w:rFonts w:cs="Arial"/>
                <w:sz w:val="20"/>
                <w:szCs w:val="20"/>
              </w:rPr>
            </w:pPr>
            <w:r w:rsidRPr="00124786">
              <w:rPr>
                <w:rFonts w:cs="Arial"/>
                <w:sz w:val="20"/>
                <w:szCs w:val="20"/>
              </w:rPr>
              <w:t>$10.83</w:t>
            </w:r>
          </w:p>
        </w:tc>
        <w:tc>
          <w:tcPr>
            <w:tcW w:w="993" w:type="dxa"/>
            <w:noWrap/>
            <w:vAlign w:val="top"/>
            <w:hideMark/>
          </w:tcPr>
          <w:p w14:paraId="172FA714" w14:textId="3CBC0076" w:rsidR="009C5E04" w:rsidRPr="00124786" w:rsidRDefault="009C5E04" w:rsidP="009C5E04">
            <w:pPr>
              <w:pStyle w:val="TableofAuthorities"/>
              <w:rPr>
                <w:rFonts w:cs="Arial"/>
                <w:sz w:val="20"/>
                <w:szCs w:val="20"/>
              </w:rPr>
            </w:pPr>
            <w:r w:rsidRPr="00124786">
              <w:rPr>
                <w:rFonts w:cs="Arial"/>
                <w:sz w:val="20"/>
                <w:szCs w:val="20"/>
              </w:rPr>
              <w:t>$12.82</w:t>
            </w:r>
          </w:p>
        </w:tc>
      </w:tr>
      <w:tr w:rsidR="009C5E04" w:rsidRPr="00727E8E" w14:paraId="10DFF1DA" w14:textId="77777777" w:rsidTr="003F107E">
        <w:trPr>
          <w:trHeight w:val="326"/>
        </w:trPr>
        <w:tc>
          <w:tcPr>
            <w:tcW w:w="4395" w:type="dxa"/>
            <w:noWrap/>
            <w:hideMark/>
          </w:tcPr>
          <w:p w14:paraId="43F4C60B" w14:textId="77777777" w:rsidR="009C5E04" w:rsidRPr="00124786" w:rsidRDefault="009C5E04" w:rsidP="009C5E04">
            <w:pPr>
              <w:pStyle w:val="TableofAuthorities"/>
              <w:rPr>
                <w:rFonts w:cs="Arial"/>
                <w:sz w:val="20"/>
                <w:szCs w:val="20"/>
              </w:rPr>
            </w:pPr>
            <w:r w:rsidRPr="00124786">
              <w:rPr>
                <w:rFonts w:cs="Arial"/>
                <w:sz w:val="20"/>
                <w:szCs w:val="20"/>
              </w:rPr>
              <w:t>Other external direct service expenses</w:t>
            </w:r>
          </w:p>
        </w:tc>
        <w:tc>
          <w:tcPr>
            <w:tcW w:w="992" w:type="dxa"/>
            <w:vAlign w:val="top"/>
            <w:hideMark/>
          </w:tcPr>
          <w:p w14:paraId="205E7076" w14:textId="78929EDB"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620D17E3" w14:textId="10B926B2"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2B5A4212" w14:textId="00E6E065"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40A587E0" w14:textId="5F6BB7DA" w:rsidR="009C5E04" w:rsidRPr="00124786" w:rsidRDefault="009C5E04" w:rsidP="009C5E04">
            <w:pPr>
              <w:pStyle w:val="TableofAuthorities"/>
              <w:rPr>
                <w:rFonts w:cs="Arial"/>
                <w:sz w:val="20"/>
                <w:szCs w:val="20"/>
              </w:rPr>
            </w:pPr>
            <w:r w:rsidRPr="00124786">
              <w:rPr>
                <w:rFonts w:cs="Arial"/>
                <w:sz w:val="20"/>
                <w:szCs w:val="20"/>
              </w:rPr>
              <w:t>$8.53</w:t>
            </w:r>
          </w:p>
        </w:tc>
        <w:tc>
          <w:tcPr>
            <w:tcW w:w="993" w:type="dxa"/>
            <w:noWrap/>
            <w:vAlign w:val="top"/>
            <w:hideMark/>
          </w:tcPr>
          <w:p w14:paraId="295A8653" w14:textId="3993FD5B" w:rsidR="009C5E04" w:rsidRPr="00124786" w:rsidRDefault="009C5E04" w:rsidP="009C5E04">
            <w:pPr>
              <w:pStyle w:val="TableofAuthorities"/>
              <w:rPr>
                <w:rFonts w:cs="Arial"/>
                <w:sz w:val="20"/>
                <w:szCs w:val="20"/>
              </w:rPr>
            </w:pPr>
            <w:r w:rsidRPr="00124786">
              <w:rPr>
                <w:rFonts w:cs="Arial"/>
                <w:sz w:val="20"/>
                <w:szCs w:val="20"/>
              </w:rPr>
              <w:t>$8.62</w:t>
            </w:r>
          </w:p>
        </w:tc>
      </w:tr>
      <w:tr w:rsidR="009C5E04" w:rsidRPr="00727E8E" w14:paraId="02725AEC" w14:textId="77777777" w:rsidTr="003F107E">
        <w:trPr>
          <w:trHeight w:val="326"/>
        </w:trPr>
        <w:tc>
          <w:tcPr>
            <w:tcW w:w="4395" w:type="dxa"/>
            <w:noWrap/>
            <w:hideMark/>
          </w:tcPr>
          <w:p w14:paraId="7A4DE78C" w14:textId="77777777" w:rsidR="009C5E04" w:rsidRPr="00124786" w:rsidRDefault="009C5E04" w:rsidP="00706D0A">
            <w:pPr>
              <w:pStyle w:val="TableParagraphbold"/>
              <w:rPr>
                <w:rFonts w:cs="Arial"/>
                <w:szCs w:val="20"/>
              </w:rPr>
            </w:pPr>
            <w:r w:rsidRPr="00124786">
              <w:rPr>
                <w:rFonts w:cs="Arial"/>
                <w:szCs w:val="20"/>
              </w:rPr>
              <w:t>Total external direct care service expenses</w:t>
            </w:r>
          </w:p>
        </w:tc>
        <w:tc>
          <w:tcPr>
            <w:tcW w:w="992" w:type="dxa"/>
            <w:vAlign w:val="top"/>
            <w:hideMark/>
          </w:tcPr>
          <w:p w14:paraId="19B8DE46" w14:textId="1876A52A" w:rsidR="009C5E04" w:rsidRPr="00124786" w:rsidRDefault="009C5E04" w:rsidP="00706D0A">
            <w:pPr>
              <w:pStyle w:val="TableParagraphbold"/>
              <w:rPr>
                <w:rFonts w:cs="Arial"/>
                <w:szCs w:val="20"/>
              </w:rPr>
            </w:pPr>
            <w:r w:rsidRPr="00124786">
              <w:rPr>
                <w:rFonts w:cs="Arial"/>
                <w:szCs w:val="20"/>
              </w:rPr>
              <w:t>$11.47</w:t>
            </w:r>
          </w:p>
        </w:tc>
        <w:tc>
          <w:tcPr>
            <w:tcW w:w="992" w:type="dxa"/>
            <w:noWrap/>
            <w:vAlign w:val="top"/>
            <w:hideMark/>
          </w:tcPr>
          <w:p w14:paraId="6433D302" w14:textId="2E81A584" w:rsidR="009C5E04" w:rsidRPr="00124786" w:rsidRDefault="009C5E04" w:rsidP="00706D0A">
            <w:pPr>
              <w:pStyle w:val="TableParagraphbold"/>
              <w:rPr>
                <w:rFonts w:cs="Arial"/>
                <w:szCs w:val="20"/>
              </w:rPr>
            </w:pPr>
            <w:r w:rsidRPr="00124786">
              <w:rPr>
                <w:rFonts w:cs="Arial"/>
                <w:szCs w:val="20"/>
              </w:rPr>
              <w:t>$11.50</w:t>
            </w:r>
          </w:p>
        </w:tc>
        <w:tc>
          <w:tcPr>
            <w:tcW w:w="992" w:type="dxa"/>
            <w:noWrap/>
            <w:vAlign w:val="top"/>
            <w:hideMark/>
          </w:tcPr>
          <w:p w14:paraId="3332DAAE" w14:textId="22EC0E67" w:rsidR="009C5E04" w:rsidRPr="00124786" w:rsidRDefault="009C5E04" w:rsidP="00706D0A">
            <w:pPr>
              <w:pStyle w:val="TableParagraphbold"/>
              <w:rPr>
                <w:rFonts w:cs="Arial"/>
                <w:szCs w:val="20"/>
              </w:rPr>
            </w:pPr>
            <w:r w:rsidRPr="00124786">
              <w:rPr>
                <w:rFonts w:cs="Arial"/>
                <w:szCs w:val="20"/>
              </w:rPr>
              <w:t>$13.60</w:t>
            </w:r>
          </w:p>
        </w:tc>
        <w:tc>
          <w:tcPr>
            <w:tcW w:w="992" w:type="dxa"/>
            <w:noWrap/>
            <w:vAlign w:val="top"/>
            <w:hideMark/>
          </w:tcPr>
          <w:p w14:paraId="40FC0EB7" w14:textId="49A9C69E" w:rsidR="009C5E04" w:rsidRPr="00124786" w:rsidRDefault="009C5E04" w:rsidP="00706D0A">
            <w:pPr>
              <w:pStyle w:val="TableParagraphbold"/>
              <w:rPr>
                <w:rFonts w:cs="Arial"/>
                <w:szCs w:val="20"/>
              </w:rPr>
            </w:pPr>
            <w:r w:rsidRPr="00124786">
              <w:rPr>
                <w:rFonts w:cs="Arial"/>
                <w:szCs w:val="20"/>
              </w:rPr>
              <w:t>$19.36</w:t>
            </w:r>
          </w:p>
        </w:tc>
        <w:tc>
          <w:tcPr>
            <w:tcW w:w="993" w:type="dxa"/>
            <w:noWrap/>
            <w:vAlign w:val="top"/>
            <w:hideMark/>
          </w:tcPr>
          <w:p w14:paraId="20CD6397" w14:textId="4883D1FD" w:rsidR="009C5E04" w:rsidRPr="00124786" w:rsidRDefault="009C5E04" w:rsidP="00706D0A">
            <w:pPr>
              <w:pStyle w:val="TableParagraphbold"/>
              <w:rPr>
                <w:rFonts w:cs="Arial"/>
                <w:szCs w:val="20"/>
              </w:rPr>
            </w:pPr>
            <w:r w:rsidRPr="00124786">
              <w:rPr>
                <w:rFonts w:cs="Arial"/>
                <w:szCs w:val="20"/>
              </w:rPr>
              <w:t>$21.44</w:t>
            </w:r>
          </w:p>
        </w:tc>
      </w:tr>
      <w:tr w:rsidR="009C5E04" w:rsidRPr="00727E8E" w14:paraId="663B3098" w14:textId="77777777" w:rsidTr="003F107E">
        <w:trPr>
          <w:trHeight w:val="326"/>
        </w:trPr>
        <w:tc>
          <w:tcPr>
            <w:tcW w:w="4395" w:type="dxa"/>
            <w:noWrap/>
            <w:hideMark/>
          </w:tcPr>
          <w:p w14:paraId="7816B2A6" w14:textId="77777777" w:rsidR="009C5E04" w:rsidRPr="00124786" w:rsidRDefault="009C5E04" w:rsidP="009C5E04">
            <w:pPr>
              <w:pStyle w:val="TableofAuthorities"/>
              <w:rPr>
                <w:rFonts w:cs="Arial"/>
                <w:sz w:val="20"/>
                <w:szCs w:val="20"/>
              </w:rPr>
            </w:pPr>
            <w:r w:rsidRPr="00124786">
              <w:rPr>
                <w:rFonts w:cs="Arial"/>
                <w:sz w:val="20"/>
                <w:szCs w:val="20"/>
              </w:rPr>
              <w:t>Care related expenses</w:t>
            </w:r>
          </w:p>
        </w:tc>
        <w:tc>
          <w:tcPr>
            <w:tcW w:w="992" w:type="dxa"/>
            <w:vAlign w:val="top"/>
            <w:hideMark/>
          </w:tcPr>
          <w:p w14:paraId="19D07CE0" w14:textId="387D6336" w:rsidR="009C5E04" w:rsidRPr="00124786" w:rsidRDefault="009C5E04" w:rsidP="009C5E04">
            <w:pPr>
              <w:pStyle w:val="TableofAuthorities"/>
              <w:rPr>
                <w:rFonts w:cs="Arial"/>
                <w:sz w:val="20"/>
                <w:szCs w:val="20"/>
              </w:rPr>
            </w:pPr>
            <w:r w:rsidRPr="00124786">
              <w:rPr>
                <w:rFonts w:cs="Arial"/>
                <w:sz w:val="20"/>
                <w:szCs w:val="20"/>
              </w:rPr>
              <w:t>$8.01</w:t>
            </w:r>
          </w:p>
        </w:tc>
        <w:tc>
          <w:tcPr>
            <w:tcW w:w="992" w:type="dxa"/>
            <w:noWrap/>
            <w:vAlign w:val="top"/>
            <w:hideMark/>
          </w:tcPr>
          <w:p w14:paraId="6E535D70" w14:textId="56856820" w:rsidR="009C5E04" w:rsidRPr="00124786" w:rsidRDefault="009C5E04" w:rsidP="009C5E04">
            <w:pPr>
              <w:pStyle w:val="TableofAuthorities"/>
              <w:rPr>
                <w:rFonts w:cs="Arial"/>
                <w:sz w:val="20"/>
                <w:szCs w:val="20"/>
              </w:rPr>
            </w:pPr>
            <w:r w:rsidRPr="00124786">
              <w:rPr>
                <w:rFonts w:cs="Arial"/>
                <w:sz w:val="20"/>
                <w:szCs w:val="20"/>
              </w:rPr>
              <w:t>$7.69</w:t>
            </w:r>
          </w:p>
        </w:tc>
        <w:tc>
          <w:tcPr>
            <w:tcW w:w="992" w:type="dxa"/>
            <w:noWrap/>
            <w:vAlign w:val="top"/>
            <w:hideMark/>
          </w:tcPr>
          <w:p w14:paraId="0F347725" w14:textId="1324C490" w:rsidR="009C5E04" w:rsidRPr="00124786" w:rsidRDefault="009C5E04" w:rsidP="009C5E04">
            <w:pPr>
              <w:pStyle w:val="TableofAuthorities"/>
              <w:rPr>
                <w:rFonts w:cs="Arial"/>
                <w:sz w:val="20"/>
                <w:szCs w:val="20"/>
              </w:rPr>
            </w:pPr>
            <w:r w:rsidRPr="00124786">
              <w:rPr>
                <w:rFonts w:cs="Arial"/>
                <w:sz w:val="20"/>
                <w:szCs w:val="20"/>
              </w:rPr>
              <w:t>$7.05</w:t>
            </w:r>
          </w:p>
        </w:tc>
        <w:tc>
          <w:tcPr>
            <w:tcW w:w="992" w:type="dxa"/>
            <w:noWrap/>
            <w:vAlign w:val="top"/>
            <w:hideMark/>
          </w:tcPr>
          <w:p w14:paraId="6ACB77D1" w14:textId="74E60F9F" w:rsidR="009C5E04" w:rsidRPr="00124786" w:rsidRDefault="009C5E04" w:rsidP="009C5E04">
            <w:pPr>
              <w:pStyle w:val="TableofAuthorities"/>
              <w:rPr>
                <w:rFonts w:cs="Arial"/>
                <w:sz w:val="20"/>
                <w:szCs w:val="20"/>
              </w:rPr>
            </w:pPr>
            <w:r w:rsidRPr="00124786">
              <w:rPr>
                <w:rFonts w:cs="Arial"/>
                <w:sz w:val="20"/>
                <w:szCs w:val="20"/>
              </w:rPr>
              <w:t xml:space="preserve"> -   </w:t>
            </w:r>
          </w:p>
        </w:tc>
        <w:tc>
          <w:tcPr>
            <w:tcW w:w="993" w:type="dxa"/>
            <w:noWrap/>
            <w:vAlign w:val="top"/>
            <w:hideMark/>
          </w:tcPr>
          <w:p w14:paraId="1AC081AB" w14:textId="2B457243" w:rsidR="009C5E04" w:rsidRPr="00124786" w:rsidRDefault="009C5E04" w:rsidP="009C5E04">
            <w:pPr>
              <w:pStyle w:val="TableofAuthorities"/>
              <w:rPr>
                <w:rFonts w:cs="Arial"/>
                <w:sz w:val="20"/>
                <w:szCs w:val="20"/>
              </w:rPr>
            </w:pPr>
            <w:r w:rsidRPr="00124786">
              <w:rPr>
                <w:rFonts w:cs="Arial"/>
                <w:sz w:val="20"/>
                <w:szCs w:val="20"/>
              </w:rPr>
              <w:t>-</w:t>
            </w:r>
          </w:p>
        </w:tc>
      </w:tr>
      <w:tr w:rsidR="00706D0A" w:rsidRPr="00727E8E" w14:paraId="4E4A60F5" w14:textId="77777777" w:rsidTr="003F107E">
        <w:trPr>
          <w:trHeight w:val="326"/>
        </w:trPr>
        <w:tc>
          <w:tcPr>
            <w:tcW w:w="4395" w:type="dxa"/>
            <w:shd w:val="clear" w:color="auto" w:fill="D8DBDB" w:themeFill="background1" w:themeFillShade="E6"/>
            <w:noWrap/>
            <w:hideMark/>
          </w:tcPr>
          <w:p w14:paraId="07C42F42" w14:textId="77777777" w:rsidR="009C5E04" w:rsidRPr="00124786" w:rsidRDefault="009C5E04" w:rsidP="00706D0A">
            <w:pPr>
              <w:pStyle w:val="TableParagraphbold"/>
              <w:rPr>
                <w:rFonts w:cs="Arial"/>
                <w:szCs w:val="20"/>
              </w:rPr>
            </w:pPr>
            <w:r w:rsidRPr="00124786">
              <w:rPr>
                <w:rFonts w:cs="Arial"/>
                <w:szCs w:val="20"/>
              </w:rPr>
              <w:t>Total direct service expenses</w:t>
            </w:r>
          </w:p>
        </w:tc>
        <w:tc>
          <w:tcPr>
            <w:tcW w:w="992" w:type="dxa"/>
            <w:shd w:val="clear" w:color="auto" w:fill="D8DBDB" w:themeFill="background1" w:themeFillShade="E6"/>
            <w:noWrap/>
            <w:vAlign w:val="top"/>
            <w:hideMark/>
          </w:tcPr>
          <w:p w14:paraId="0C55AA02" w14:textId="66F1432D" w:rsidR="009C5E04" w:rsidRPr="00124786" w:rsidRDefault="009C5E04" w:rsidP="00706D0A">
            <w:pPr>
              <w:pStyle w:val="TableParagraphbold"/>
              <w:rPr>
                <w:rFonts w:cs="Arial"/>
                <w:szCs w:val="20"/>
              </w:rPr>
            </w:pPr>
            <w:r w:rsidRPr="00124786">
              <w:rPr>
                <w:rFonts w:cs="Arial"/>
                <w:szCs w:val="20"/>
              </w:rPr>
              <w:t>$48.31</w:t>
            </w:r>
          </w:p>
        </w:tc>
        <w:tc>
          <w:tcPr>
            <w:tcW w:w="992" w:type="dxa"/>
            <w:shd w:val="clear" w:color="auto" w:fill="D8DBDB" w:themeFill="background1" w:themeFillShade="E6"/>
            <w:noWrap/>
            <w:vAlign w:val="top"/>
            <w:hideMark/>
          </w:tcPr>
          <w:p w14:paraId="4D67B697" w14:textId="4A3F03BF" w:rsidR="009C5E04" w:rsidRPr="00124786" w:rsidRDefault="009C5E04" w:rsidP="00706D0A">
            <w:pPr>
              <w:pStyle w:val="TableParagraphbold"/>
              <w:rPr>
                <w:rFonts w:cs="Arial"/>
                <w:szCs w:val="20"/>
              </w:rPr>
            </w:pPr>
            <w:r w:rsidRPr="00124786">
              <w:rPr>
                <w:rFonts w:cs="Arial"/>
                <w:szCs w:val="20"/>
              </w:rPr>
              <w:t>$44.68</w:t>
            </w:r>
          </w:p>
        </w:tc>
        <w:tc>
          <w:tcPr>
            <w:tcW w:w="992" w:type="dxa"/>
            <w:shd w:val="clear" w:color="auto" w:fill="D8DBDB" w:themeFill="background1" w:themeFillShade="E6"/>
            <w:noWrap/>
            <w:vAlign w:val="top"/>
            <w:hideMark/>
          </w:tcPr>
          <w:p w14:paraId="1ED48A9C" w14:textId="2D45E455" w:rsidR="009C5E04" w:rsidRPr="00124786" w:rsidRDefault="009C5E04" w:rsidP="00706D0A">
            <w:pPr>
              <w:pStyle w:val="TableParagraphbold"/>
              <w:rPr>
                <w:rFonts w:cs="Arial"/>
                <w:szCs w:val="20"/>
              </w:rPr>
            </w:pPr>
            <w:r w:rsidRPr="00124786">
              <w:rPr>
                <w:rFonts w:cs="Arial"/>
                <w:szCs w:val="20"/>
              </w:rPr>
              <w:t>$44.78</w:t>
            </w:r>
          </w:p>
        </w:tc>
        <w:tc>
          <w:tcPr>
            <w:tcW w:w="992" w:type="dxa"/>
            <w:shd w:val="clear" w:color="auto" w:fill="D8DBDB" w:themeFill="background1" w:themeFillShade="E6"/>
            <w:noWrap/>
            <w:vAlign w:val="top"/>
            <w:hideMark/>
          </w:tcPr>
          <w:p w14:paraId="5AD64EA6" w14:textId="7EA180E5" w:rsidR="009C5E04" w:rsidRPr="00124786" w:rsidRDefault="009C5E04" w:rsidP="00706D0A">
            <w:pPr>
              <w:pStyle w:val="TableParagraphbold"/>
              <w:rPr>
                <w:rFonts w:cs="Arial"/>
                <w:szCs w:val="20"/>
              </w:rPr>
            </w:pPr>
            <w:r w:rsidRPr="00124786">
              <w:rPr>
                <w:rFonts w:cs="Arial"/>
                <w:szCs w:val="20"/>
              </w:rPr>
              <w:t>$40.17</w:t>
            </w:r>
          </w:p>
        </w:tc>
        <w:tc>
          <w:tcPr>
            <w:tcW w:w="993" w:type="dxa"/>
            <w:shd w:val="clear" w:color="auto" w:fill="D8DBDB" w:themeFill="background1" w:themeFillShade="E6"/>
            <w:noWrap/>
            <w:vAlign w:val="top"/>
            <w:hideMark/>
          </w:tcPr>
          <w:p w14:paraId="6A94172F" w14:textId="2915E7A6" w:rsidR="009C5E04" w:rsidRPr="00124786" w:rsidRDefault="009C5E04" w:rsidP="00706D0A">
            <w:pPr>
              <w:pStyle w:val="TableParagraphbold"/>
              <w:rPr>
                <w:rFonts w:cs="Arial"/>
                <w:szCs w:val="20"/>
              </w:rPr>
            </w:pPr>
            <w:r w:rsidRPr="00124786">
              <w:rPr>
                <w:rFonts w:cs="Arial"/>
                <w:szCs w:val="20"/>
              </w:rPr>
              <w:t>$41.17</w:t>
            </w:r>
          </w:p>
        </w:tc>
      </w:tr>
      <w:tr w:rsidR="009C5E04" w:rsidRPr="00727E8E" w14:paraId="6CC184D6" w14:textId="77777777" w:rsidTr="003F107E">
        <w:trPr>
          <w:trHeight w:val="326"/>
        </w:trPr>
        <w:tc>
          <w:tcPr>
            <w:tcW w:w="4395" w:type="dxa"/>
            <w:noWrap/>
            <w:hideMark/>
          </w:tcPr>
          <w:p w14:paraId="16766CA6" w14:textId="77777777" w:rsidR="009C5E04" w:rsidRPr="00124786" w:rsidRDefault="009C5E04" w:rsidP="009C5E04">
            <w:pPr>
              <w:pStyle w:val="TableofAuthorities"/>
              <w:rPr>
                <w:rFonts w:cs="Arial"/>
                <w:sz w:val="20"/>
                <w:szCs w:val="20"/>
              </w:rPr>
            </w:pPr>
            <w:r w:rsidRPr="00124786">
              <w:rPr>
                <w:rFonts w:cs="Arial"/>
                <w:sz w:val="20"/>
                <w:szCs w:val="20"/>
              </w:rPr>
              <w:t>Care management expenses</w:t>
            </w:r>
          </w:p>
        </w:tc>
        <w:tc>
          <w:tcPr>
            <w:tcW w:w="992" w:type="dxa"/>
            <w:vAlign w:val="top"/>
            <w:hideMark/>
          </w:tcPr>
          <w:p w14:paraId="5832E762" w14:textId="54409ABB" w:rsidR="009C5E04" w:rsidRPr="00124786" w:rsidRDefault="009C5E04" w:rsidP="009C5E04">
            <w:pPr>
              <w:pStyle w:val="TableofAuthorities"/>
              <w:rPr>
                <w:rFonts w:cs="Arial"/>
                <w:sz w:val="20"/>
                <w:szCs w:val="20"/>
              </w:rPr>
            </w:pPr>
            <w:r w:rsidRPr="00124786">
              <w:rPr>
                <w:rFonts w:cs="Arial"/>
                <w:sz w:val="20"/>
                <w:szCs w:val="20"/>
              </w:rPr>
              <w:t>$10.28</w:t>
            </w:r>
          </w:p>
        </w:tc>
        <w:tc>
          <w:tcPr>
            <w:tcW w:w="992" w:type="dxa"/>
            <w:noWrap/>
            <w:vAlign w:val="top"/>
            <w:hideMark/>
          </w:tcPr>
          <w:p w14:paraId="33E37497" w14:textId="48D0475E" w:rsidR="009C5E04" w:rsidRPr="00124786" w:rsidRDefault="009C5E04" w:rsidP="009C5E04">
            <w:pPr>
              <w:pStyle w:val="TableofAuthorities"/>
              <w:rPr>
                <w:rFonts w:cs="Arial"/>
                <w:sz w:val="20"/>
                <w:szCs w:val="20"/>
              </w:rPr>
            </w:pPr>
            <w:r w:rsidRPr="00124786">
              <w:rPr>
                <w:rFonts w:cs="Arial"/>
                <w:sz w:val="20"/>
                <w:szCs w:val="20"/>
              </w:rPr>
              <w:t>$7.96</w:t>
            </w:r>
          </w:p>
        </w:tc>
        <w:tc>
          <w:tcPr>
            <w:tcW w:w="992" w:type="dxa"/>
            <w:noWrap/>
            <w:vAlign w:val="top"/>
            <w:hideMark/>
          </w:tcPr>
          <w:p w14:paraId="37FCA477" w14:textId="5E25D989" w:rsidR="009C5E04" w:rsidRPr="00124786" w:rsidRDefault="009C5E04" w:rsidP="009C5E04">
            <w:pPr>
              <w:pStyle w:val="TableofAuthorities"/>
              <w:rPr>
                <w:rFonts w:cs="Arial"/>
                <w:sz w:val="20"/>
                <w:szCs w:val="20"/>
              </w:rPr>
            </w:pPr>
            <w:r w:rsidRPr="00124786">
              <w:rPr>
                <w:rFonts w:cs="Arial"/>
                <w:sz w:val="20"/>
                <w:szCs w:val="20"/>
              </w:rPr>
              <w:t>$7.08</w:t>
            </w:r>
          </w:p>
        </w:tc>
        <w:tc>
          <w:tcPr>
            <w:tcW w:w="992" w:type="dxa"/>
            <w:noWrap/>
            <w:vAlign w:val="top"/>
            <w:hideMark/>
          </w:tcPr>
          <w:p w14:paraId="723E3A60" w14:textId="308AF9D8" w:rsidR="009C5E04" w:rsidRPr="00124786" w:rsidRDefault="009C5E04" w:rsidP="009C5E04">
            <w:pPr>
              <w:pStyle w:val="TableofAuthorities"/>
              <w:rPr>
                <w:rFonts w:cs="Arial"/>
                <w:sz w:val="20"/>
                <w:szCs w:val="20"/>
              </w:rPr>
            </w:pPr>
            <w:r w:rsidRPr="00124786">
              <w:rPr>
                <w:rFonts w:cs="Arial"/>
                <w:sz w:val="20"/>
                <w:szCs w:val="20"/>
              </w:rPr>
              <w:t>$7.24</w:t>
            </w:r>
          </w:p>
        </w:tc>
        <w:tc>
          <w:tcPr>
            <w:tcW w:w="993" w:type="dxa"/>
            <w:noWrap/>
            <w:vAlign w:val="top"/>
            <w:hideMark/>
          </w:tcPr>
          <w:p w14:paraId="58526A36" w14:textId="2ABDAFEE" w:rsidR="009C5E04" w:rsidRPr="00124786" w:rsidRDefault="009C5E04" w:rsidP="009C5E04">
            <w:pPr>
              <w:pStyle w:val="TableofAuthorities"/>
              <w:rPr>
                <w:rFonts w:cs="Arial"/>
                <w:sz w:val="20"/>
                <w:szCs w:val="20"/>
              </w:rPr>
            </w:pPr>
            <w:r w:rsidRPr="00124786">
              <w:rPr>
                <w:rFonts w:cs="Arial"/>
                <w:sz w:val="20"/>
                <w:szCs w:val="20"/>
              </w:rPr>
              <w:t>$7.24</w:t>
            </w:r>
          </w:p>
        </w:tc>
      </w:tr>
      <w:tr w:rsidR="00727E8E" w:rsidRPr="00727E8E" w14:paraId="06F0FD0E" w14:textId="77777777" w:rsidTr="003F107E">
        <w:trPr>
          <w:trHeight w:val="326"/>
        </w:trPr>
        <w:tc>
          <w:tcPr>
            <w:tcW w:w="4395" w:type="dxa"/>
            <w:noWrap/>
            <w:hideMark/>
          </w:tcPr>
          <w:p w14:paraId="5712032C" w14:textId="77777777" w:rsidR="00727E8E" w:rsidRPr="00124786" w:rsidRDefault="00727E8E" w:rsidP="00706D0A">
            <w:pPr>
              <w:pStyle w:val="TableParagraphbold"/>
              <w:rPr>
                <w:rFonts w:cs="Arial"/>
                <w:szCs w:val="20"/>
              </w:rPr>
            </w:pPr>
            <w:r w:rsidRPr="00124786">
              <w:rPr>
                <w:rFonts w:cs="Arial"/>
                <w:szCs w:val="20"/>
              </w:rPr>
              <w:t>Administration and support expenses</w:t>
            </w:r>
          </w:p>
        </w:tc>
        <w:tc>
          <w:tcPr>
            <w:tcW w:w="992" w:type="dxa"/>
            <w:hideMark/>
          </w:tcPr>
          <w:p w14:paraId="69108B85" w14:textId="77777777" w:rsidR="00727E8E" w:rsidRPr="00124786" w:rsidRDefault="00727E8E" w:rsidP="00706D0A">
            <w:pPr>
              <w:pStyle w:val="TableParagraphbold"/>
              <w:rPr>
                <w:rFonts w:cs="Arial"/>
                <w:szCs w:val="20"/>
              </w:rPr>
            </w:pPr>
            <w:r w:rsidRPr="00124786">
              <w:rPr>
                <w:rFonts w:cs="Arial"/>
                <w:szCs w:val="20"/>
              </w:rPr>
              <w:t> </w:t>
            </w:r>
          </w:p>
        </w:tc>
        <w:tc>
          <w:tcPr>
            <w:tcW w:w="992" w:type="dxa"/>
            <w:noWrap/>
            <w:hideMark/>
          </w:tcPr>
          <w:p w14:paraId="3AC553AB" w14:textId="77777777" w:rsidR="00727E8E" w:rsidRPr="00124786" w:rsidRDefault="00727E8E" w:rsidP="00706D0A">
            <w:pPr>
              <w:pStyle w:val="TableParagraphbold"/>
              <w:rPr>
                <w:rFonts w:cs="Arial"/>
                <w:szCs w:val="20"/>
              </w:rPr>
            </w:pPr>
            <w:r w:rsidRPr="00124786">
              <w:rPr>
                <w:rFonts w:cs="Arial"/>
                <w:szCs w:val="20"/>
              </w:rPr>
              <w:t> </w:t>
            </w:r>
          </w:p>
        </w:tc>
        <w:tc>
          <w:tcPr>
            <w:tcW w:w="992" w:type="dxa"/>
            <w:noWrap/>
            <w:hideMark/>
          </w:tcPr>
          <w:p w14:paraId="3F27A59B" w14:textId="77777777" w:rsidR="00727E8E" w:rsidRPr="00124786" w:rsidRDefault="00727E8E" w:rsidP="00706D0A">
            <w:pPr>
              <w:pStyle w:val="TableParagraphbold"/>
              <w:rPr>
                <w:rFonts w:cs="Arial"/>
                <w:szCs w:val="20"/>
              </w:rPr>
            </w:pPr>
            <w:r w:rsidRPr="00124786">
              <w:rPr>
                <w:rFonts w:cs="Arial"/>
                <w:szCs w:val="20"/>
              </w:rPr>
              <w:t> </w:t>
            </w:r>
          </w:p>
        </w:tc>
        <w:tc>
          <w:tcPr>
            <w:tcW w:w="992" w:type="dxa"/>
            <w:noWrap/>
            <w:hideMark/>
          </w:tcPr>
          <w:p w14:paraId="6F090705" w14:textId="77777777" w:rsidR="00727E8E" w:rsidRPr="00124786" w:rsidRDefault="00727E8E" w:rsidP="00706D0A">
            <w:pPr>
              <w:pStyle w:val="TableParagraphbold"/>
              <w:rPr>
                <w:rFonts w:cs="Arial"/>
                <w:szCs w:val="20"/>
              </w:rPr>
            </w:pPr>
            <w:r w:rsidRPr="00124786">
              <w:rPr>
                <w:rFonts w:cs="Arial"/>
                <w:szCs w:val="20"/>
              </w:rPr>
              <w:t> </w:t>
            </w:r>
          </w:p>
        </w:tc>
        <w:tc>
          <w:tcPr>
            <w:tcW w:w="993" w:type="dxa"/>
            <w:noWrap/>
            <w:hideMark/>
          </w:tcPr>
          <w:p w14:paraId="485F313E" w14:textId="77777777" w:rsidR="00727E8E" w:rsidRPr="00124786" w:rsidRDefault="00727E8E" w:rsidP="00706D0A">
            <w:pPr>
              <w:pStyle w:val="TableParagraphbold"/>
              <w:rPr>
                <w:rFonts w:cs="Arial"/>
                <w:szCs w:val="20"/>
              </w:rPr>
            </w:pPr>
            <w:r w:rsidRPr="00124786">
              <w:rPr>
                <w:rFonts w:cs="Arial"/>
                <w:szCs w:val="20"/>
              </w:rPr>
              <w:t> </w:t>
            </w:r>
          </w:p>
        </w:tc>
      </w:tr>
      <w:tr w:rsidR="00BE00FF" w:rsidRPr="00727E8E" w14:paraId="173D0D0B" w14:textId="77777777" w:rsidTr="003F107E">
        <w:trPr>
          <w:trHeight w:val="326"/>
        </w:trPr>
        <w:tc>
          <w:tcPr>
            <w:tcW w:w="4395" w:type="dxa"/>
            <w:noWrap/>
            <w:hideMark/>
          </w:tcPr>
          <w:p w14:paraId="6628BA48" w14:textId="77777777" w:rsidR="00BE00FF" w:rsidRPr="00124786" w:rsidRDefault="00BE00FF" w:rsidP="00BE00FF">
            <w:pPr>
              <w:pStyle w:val="TableofAuthorities"/>
              <w:rPr>
                <w:rFonts w:cs="Arial"/>
                <w:sz w:val="20"/>
                <w:szCs w:val="20"/>
              </w:rPr>
            </w:pPr>
            <w:r w:rsidRPr="00124786">
              <w:rPr>
                <w:rFonts w:cs="Arial"/>
                <w:sz w:val="20"/>
                <w:szCs w:val="20"/>
              </w:rPr>
              <w:t>Administration and support labour expenses</w:t>
            </w:r>
          </w:p>
        </w:tc>
        <w:tc>
          <w:tcPr>
            <w:tcW w:w="992" w:type="dxa"/>
            <w:vAlign w:val="top"/>
            <w:hideMark/>
          </w:tcPr>
          <w:p w14:paraId="437F3ED6" w14:textId="23A96455" w:rsidR="00BE00FF" w:rsidRPr="00124786" w:rsidRDefault="00BE00FF" w:rsidP="00BE00FF">
            <w:pPr>
              <w:pStyle w:val="TableofAuthorities"/>
              <w:rPr>
                <w:rFonts w:cs="Arial"/>
                <w:sz w:val="20"/>
                <w:szCs w:val="20"/>
              </w:rPr>
            </w:pPr>
            <w:r w:rsidRPr="00124786">
              <w:rPr>
                <w:rFonts w:cs="Arial"/>
                <w:sz w:val="20"/>
                <w:szCs w:val="20"/>
              </w:rPr>
              <w:t>$9.58</w:t>
            </w:r>
          </w:p>
        </w:tc>
        <w:tc>
          <w:tcPr>
            <w:tcW w:w="992" w:type="dxa"/>
            <w:noWrap/>
            <w:vAlign w:val="top"/>
            <w:hideMark/>
          </w:tcPr>
          <w:p w14:paraId="039A7A0D" w14:textId="690757F9" w:rsidR="00BE00FF" w:rsidRPr="00124786" w:rsidRDefault="00BE00FF" w:rsidP="00BE00FF">
            <w:pPr>
              <w:pStyle w:val="TableofAuthorities"/>
              <w:rPr>
                <w:rFonts w:cs="Arial"/>
                <w:sz w:val="20"/>
                <w:szCs w:val="20"/>
              </w:rPr>
            </w:pPr>
            <w:r w:rsidRPr="00124786">
              <w:rPr>
                <w:rFonts w:cs="Arial"/>
                <w:sz w:val="20"/>
                <w:szCs w:val="20"/>
              </w:rPr>
              <w:t>$9.52</w:t>
            </w:r>
          </w:p>
        </w:tc>
        <w:tc>
          <w:tcPr>
            <w:tcW w:w="992" w:type="dxa"/>
            <w:noWrap/>
            <w:vAlign w:val="top"/>
            <w:hideMark/>
          </w:tcPr>
          <w:p w14:paraId="58490430" w14:textId="3C5D45D2" w:rsidR="00BE00FF" w:rsidRPr="00124786" w:rsidRDefault="00BE00FF" w:rsidP="00BE00FF">
            <w:pPr>
              <w:pStyle w:val="TableofAuthorities"/>
              <w:rPr>
                <w:rFonts w:cs="Arial"/>
                <w:sz w:val="20"/>
                <w:szCs w:val="20"/>
              </w:rPr>
            </w:pPr>
            <w:r w:rsidRPr="00124786">
              <w:rPr>
                <w:rFonts w:cs="Arial"/>
                <w:sz w:val="20"/>
                <w:szCs w:val="20"/>
              </w:rPr>
              <w:t>$9.37</w:t>
            </w:r>
          </w:p>
        </w:tc>
        <w:tc>
          <w:tcPr>
            <w:tcW w:w="992" w:type="dxa"/>
            <w:noWrap/>
            <w:vAlign w:val="top"/>
            <w:hideMark/>
          </w:tcPr>
          <w:p w14:paraId="04327983" w14:textId="4AA918FB" w:rsidR="00BE00FF" w:rsidRPr="00124786" w:rsidRDefault="00BE00FF" w:rsidP="00BE00FF">
            <w:pPr>
              <w:pStyle w:val="TableofAuthorities"/>
              <w:rPr>
                <w:rFonts w:cs="Arial"/>
                <w:sz w:val="20"/>
                <w:szCs w:val="20"/>
              </w:rPr>
            </w:pPr>
            <w:r w:rsidRPr="00124786">
              <w:rPr>
                <w:rFonts w:cs="Arial"/>
                <w:sz w:val="20"/>
                <w:szCs w:val="20"/>
              </w:rPr>
              <w:t>$10.54</w:t>
            </w:r>
          </w:p>
        </w:tc>
        <w:tc>
          <w:tcPr>
            <w:tcW w:w="993" w:type="dxa"/>
            <w:noWrap/>
            <w:vAlign w:val="top"/>
            <w:hideMark/>
          </w:tcPr>
          <w:p w14:paraId="1F6C426D" w14:textId="553005E1" w:rsidR="00BE00FF" w:rsidRPr="00124786" w:rsidRDefault="00BE00FF" w:rsidP="00BE00FF">
            <w:pPr>
              <w:pStyle w:val="TableofAuthorities"/>
              <w:rPr>
                <w:rFonts w:cs="Arial"/>
                <w:sz w:val="20"/>
                <w:szCs w:val="20"/>
              </w:rPr>
            </w:pPr>
            <w:r w:rsidRPr="00124786">
              <w:rPr>
                <w:rFonts w:cs="Arial"/>
                <w:sz w:val="20"/>
                <w:szCs w:val="20"/>
              </w:rPr>
              <w:t>$11.53</w:t>
            </w:r>
          </w:p>
        </w:tc>
      </w:tr>
      <w:tr w:rsidR="00BE00FF" w:rsidRPr="00727E8E" w14:paraId="298921BD" w14:textId="77777777" w:rsidTr="003F107E">
        <w:trPr>
          <w:trHeight w:val="326"/>
        </w:trPr>
        <w:tc>
          <w:tcPr>
            <w:tcW w:w="4395" w:type="dxa"/>
            <w:noWrap/>
            <w:hideMark/>
          </w:tcPr>
          <w:p w14:paraId="1C2A1060" w14:textId="77777777" w:rsidR="00BE00FF" w:rsidRPr="00124786" w:rsidRDefault="00BE00FF" w:rsidP="00BE00FF">
            <w:pPr>
              <w:pStyle w:val="TableofAuthorities"/>
              <w:rPr>
                <w:rFonts w:cs="Arial"/>
                <w:sz w:val="20"/>
                <w:szCs w:val="20"/>
              </w:rPr>
            </w:pPr>
            <w:r w:rsidRPr="00124786">
              <w:rPr>
                <w:rFonts w:cs="Arial"/>
                <w:sz w:val="20"/>
                <w:szCs w:val="20"/>
              </w:rPr>
              <w:t>Other administration and support expenses</w:t>
            </w:r>
          </w:p>
        </w:tc>
        <w:tc>
          <w:tcPr>
            <w:tcW w:w="992" w:type="dxa"/>
            <w:vAlign w:val="top"/>
            <w:hideMark/>
          </w:tcPr>
          <w:p w14:paraId="14C30141" w14:textId="787F5C56" w:rsidR="00BE00FF" w:rsidRPr="00124786" w:rsidRDefault="00BE00FF" w:rsidP="00BE00FF">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1813CDF1" w14:textId="11174644" w:rsidR="00BE00FF" w:rsidRPr="00124786" w:rsidRDefault="00BE00FF" w:rsidP="00BE00FF">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4AD05A49" w14:textId="2E2789C1" w:rsidR="00BE00FF" w:rsidRPr="00124786" w:rsidRDefault="00BE00FF" w:rsidP="00BE00FF">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36248427" w14:textId="4C2299FB" w:rsidR="00BE00FF" w:rsidRPr="00124786" w:rsidRDefault="00BE00FF" w:rsidP="00BE00FF">
            <w:pPr>
              <w:pStyle w:val="TableofAuthorities"/>
              <w:rPr>
                <w:rFonts w:cs="Arial"/>
                <w:sz w:val="20"/>
                <w:szCs w:val="20"/>
              </w:rPr>
            </w:pPr>
            <w:r w:rsidRPr="00124786">
              <w:rPr>
                <w:rFonts w:cs="Arial"/>
                <w:sz w:val="20"/>
                <w:szCs w:val="20"/>
              </w:rPr>
              <w:t>$2.96</w:t>
            </w:r>
          </w:p>
        </w:tc>
        <w:tc>
          <w:tcPr>
            <w:tcW w:w="993" w:type="dxa"/>
            <w:noWrap/>
            <w:vAlign w:val="top"/>
            <w:hideMark/>
          </w:tcPr>
          <w:p w14:paraId="31EE99A5" w14:textId="76708E37" w:rsidR="00BE00FF" w:rsidRPr="00124786" w:rsidRDefault="00BE00FF" w:rsidP="00BE00FF">
            <w:pPr>
              <w:pStyle w:val="TableofAuthorities"/>
              <w:rPr>
                <w:rFonts w:cs="Arial"/>
                <w:sz w:val="20"/>
                <w:szCs w:val="20"/>
              </w:rPr>
            </w:pPr>
            <w:r w:rsidRPr="00124786">
              <w:rPr>
                <w:rFonts w:cs="Arial"/>
                <w:sz w:val="20"/>
                <w:szCs w:val="20"/>
              </w:rPr>
              <w:t>$3.26</w:t>
            </w:r>
          </w:p>
        </w:tc>
      </w:tr>
      <w:tr w:rsidR="00BE00FF" w:rsidRPr="00727E8E" w14:paraId="7204BF1D" w14:textId="77777777" w:rsidTr="003F107E">
        <w:trPr>
          <w:trHeight w:val="326"/>
        </w:trPr>
        <w:tc>
          <w:tcPr>
            <w:tcW w:w="4395" w:type="dxa"/>
            <w:shd w:val="clear" w:color="auto" w:fill="D8DBDB" w:themeFill="background1" w:themeFillShade="E6"/>
            <w:noWrap/>
            <w:hideMark/>
          </w:tcPr>
          <w:p w14:paraId="0CE01E7D" w14:textId="77777777" w:rsidR="00BE00FF" w:rsidRPr="00124786" w:rsidRDefault="00BE00FF" w:rsidP="00706D0A">
            <w:pPr>
              <w:pStyle w:val="TableParagraphbold"/>
              <w:rPr>
                <w:rFonts w:cs="Arial"/>
                <w:szCs w:val="20"/>
                <w:lang w:eastAsia="en-AU"/>
              </w:rPr>
            </w:pPr>
            <w:r w:rsidRPr="00124786">
              <w:rPr>
                <w:rFonts w:cs="Arial"/>
                <w:szCs w:val="20"/>
                <w:lang w:eastAsia="en-AU"/>
              </w:rPr>
              <w:t>Total administration and support expenses</w:t>
            </w:r>
          </w:p>
        </w:tc>
        <w:tc>
          <w:tcPr>
            <w:tcW w:w="992" w:type="dxa"/>
            <w:shd w:val="clear" w:color="auto" w:fill="D8DBDB" w:themeFill="background1" w:themeFillShade="E6"/>
            <w:noWrap/>
            <w:vAlign w:val="top"/>
            <w:hideMark/>
          </w:tcPr>
          <w:p w14:paraId="0CFE5830" w14:textId="20A552B9" w:rsidR="00BE00FF" w:rsidRPr="00124786" w:rsidRDefault="00BE00FF" w:rsidP="00706D0A">
            <w:pPr>
              <w:pStyle w:val="TableParagraphbold"/>
              <w:rPr>
                <w:rFonts w:cs="Arial"/>
                <w:color w:val="1E1545"/>
                <w:szCs w:val="20"/>
                <w:lang w:eastAsia="en-AU"/>
              </w:rPr>
            </w:pPr>
            <w:r w:rsidRPr="00124786">
              <w:rPr>
                <w:rFonts w:cs="Arial"/>
                <w:szCs w:val="20"/>
              </w:rPr>
              <w:t>$9.58</w:t>
            </w:r>
          </w:p>
        </w:tc>
        <w:tc>
          <w:tcPr>
            <w:tcW w:w="992" w:type="dxa"/>
            <w:shd w:val="clear" w:color="auto" w:fill="D8DBDB" w:themeFill="background1" w:themeFillShade="E6"/>
            <w:noWrap/>
            <w:vAlign w:val="top"/>
            <w:hideMark/>
          </w:tcPr>
          <w:p w14:paraId="1489D473" w14:textId="5B7F8C55" w:rsidR="00BE00FF" w:rsidRPr="00124786" w:rsidRDefault="00BE00FF" w:rsidP="00706D0A">
            <w:pPr>
              <w:pStyle w:val="TableParagraphbold"/>
              <w:rPr>
                <w:rFonts w:cs="Arial"/>
                <w:color w:val="1E1545"/>
                <w:szCs w:val="20"/>
                <w:lang w:eastAsia="en-AU"/>
              </w:rPr>
            </w:pPr>
            <w:r w:rsidRPr="00124786">
              <w:rPr>
                <w:rFonts w:cs="Arial"/>
                <w:szCs w:val="20"/>
              </w:rPr>
              <w:t>$9.52</w:t>
            </w:r>
          </w:p>
        </w:tc>
        <w:tc>
          <w:tcPr>
            <w:tcW w:w="992" w:type="dxa"/>
            <w:shd w:val="clear" w:color="auto" w:fill="D8DBDB" w:themeFill="background1" w:themeFillShade="E6"/>
            <w:noWrap/>
            <w:vAlign w:val="top"/>
            <w:hideMark/>
          </w:tcPr>
          <w:p w14:paraId="06A7FD4C" w14:textId="377A9FFC" w:rsidR="00BE00FF" w:rsidRPr="00124786" w:rsidRDefault="00BE00FF" w:rsidP="00706D0A">
            <w:pPr>
              <w:pStyle w:val="TableParagraphbold"/>
              <w:rPr>
                <w:rFonts w:cs="Arial"/>
                <w:color w:val="1E1545"/>
                <w:szCs w:val="20"/>
                <w:lang w:eastAsia="en-AU"/>
              </w:rPr>
            </w:pPr>
            <w:r w:rsidRPr="00124786">
              <w:rPr>
                <w:rFonts w:cs="Arial"/>
                <w:szCs w:val="20"/>
              </w:rPr>
              <w:t>$9.37</w:t>
            </w:r>
          </w:p>
        </w:tc>
        <w:tc>
          <w:tcPr>
            <w:tcW w:w="992" w:type="dxa"/>
            <w:shd w:val="clear" w:color="auto" w:fill="D8DBDB" w:themeFill="background1" w:themeFillShade="E6"/>
            <w:noWrap/>
            <w:vAlign w:val="top"/>
            <w:hideMark/>
          </w:tcPr>
          <w:p w14:paraId="75AD04F4" w14:textId="388A7B39" w:rsidR="00BE00FF" w:rsidRPr="00124786" w:rsidRDefault="00BE00FF" w:rsidP="00706D0A">
            <w:pPr>
              <w:pStyle w:val="TableParagraphbold"/>
              <w:rPr>
                <w:rFonts w:cs="Arial"/>
                <w:color w:val="1E1545"/>
                <w:szCs w:val="20"/>
                <w:lang w:eastAsia="en-AU"/>
              </w:rPr>
            </w:pPr>
            <w:r w:rsidRPr="00124786">
              <w:rPr>
                <w:rFonts w:cs="Arial"/>
                <w:szCs w:val="20"/>
              </w:rPr>
              <w:t>$13.50</w:t>
            </w:r>
          </w:p>
        </w:tc>
        <w:tc>
          <w:tcPr>
            <w:tcW w:w="993" w:type="dxa"/>
            <w:shd w:val="clear" w:color="auto" w:fill="D8DBDB" w:themeFill="background1" w:themeFillShade="E6"/>
            <w:noWrap/>
            <w:vAlign w:val="top"/>
            <w:hideMark/>
          </w:tcPr>
          <w:p w14:paraId="09A3F543" w14:textId="037148BF" w:rsidR="00BE00FF" w:rsidRPr="00124786" w:rsidRDefault="00BE00FF" w:rsidP="00706D0A">
            <w:pPr>
              <w:pStyle w:val="TableParagraphbold"/>
              <w:rPr>
                <w:rFonts w:cs="Arial"/>
                <w:szCs w:val="20"/>
                <w:lang w:eastAsia="en-AU"/>
              </w:rPr>
            </w:pPr>
            <w:r w:rsidRPr="00124786">
              <w:rPr>
                <w:rFonts w:cs="Arial"/>
                <w:szCs w:val="20"/>
              </w:rPr>
              <w:t>$14.78</w:t>
            </w:r>
          </w:p>
        </w:tc>
      </w:tr>
      <w:tr w:rsidR="00BE00FF" w:rsidRPr="00727E8E" w14:paraId="49C18D0E" w14:textId="77777777" w:rsidTr="003F107E">
        <w:trPr>
          <w:trHeight w:val="326"/>
        </w:trPr>
        <w:tc>
          <w:tcPr>
            <w:tcW w:w="4395" w:type="dxa"/>
            <w:noWrap/>
            <w:hideMark/>
          </w:tcPr>
          <w:p w14:paraId="3B24A915" w14:textId="77777777" w:rsidR="00BE00FF" w:rsidRPr="00124786" w:rsidRDefault="00BE00FF" w:rsidP="00BE00FF">
            <w:pPr>
              <w:pStyle w:val="TableofAuthorities"/>
              <w:rPr>
                <w:rFonts w:cs="Arial"/>
                <w:sz w:val="20"/>
                <w:szCs w:val="20"/>
              </w:rPr>
            </w:pPr>
            <w:r w:rsidRPr="00124786">
              <w:rPr>
                <w:rFonts w:cs="Arial"/>
                <w:sz w:val="20"/>
                <w:szCs w:val="20"/>
              </w:rPr>
              <w:t>Depreciation and interest costs</w:t>
            </w:r>
          </w:p>
        </w:tc>
        <w:tc>
          <w:tcPr>
            <w:tcW w:w="992" w:type="dxa"/>
            <w:vAlign w:val="top"/>
            <w:hideMark/>
          </w:tcPr>
          <w:p w14:paraId="087753B0" w14:textId="27319C15" w:rsidR="00BE00FF" w:rsidRPr="00124786" w:rsidRDefault="00BE00FF" w:rsidP="00BE00FF">
            <w:pPr>
              <w:pStyle w:val="TableofAuthorities"/>
              <w:rPr>
                <w:rFonts w:cs="Arial"/>
                <w:sz w:val="20"/>
                <w:szCs w:val="20"/>
              </w:rPr>
            </w:pPr>
            <w:r w:rsidRPr="00124786">
              <w:rPr>
                <w:rFonts w:cs="Arial"/>
                <w:sz w:val="20"/>
                <w:szCs w:val="20"/>
              </w:rPr>
              <w:t>$0.69</w:t>
            </w:r>
          </w:p>
        </w:tc>
        <w:tc>
          <w:tcPr>
            <w:tcW w:w="992" w:type="dxa"/>
            <w:noWrap/>
            <w:vAlign w:val="top"/>
            <w:hideMark/>
          </w:tcPr>
          <w:p w14:paraId="64D23E3C" w14:textId="181C00F6" w:rsidR="00BE00FF" w:rsidRPr="00124786" w:rsidRDefault="00BE00FF" w:rsidP="00BE00FF">
            <w:pPr>
              <w:pStyle w:val="TableofAuthorities"/>
              <w:rPr>
                <w:rFonts w:cs="Arial"/>
                <w:sz w:val="20"/>
                <w:szCs w:val="20"/>
              </w:rPr>
            </w:pPr>
            <w:r w:rsidRPr="00124786">
              <w:rPr>
                <w:rFonts w:cs="Arial"/>
                <w:sz w:val="20"/>
                <w:szCs w:val="20"/>
              </w:rPr>
              <w:t>$0.58</w:t>
            </w:r>
          </w:p>
        </w:tc>
        <w:tc>
          <w:tcPr>
            <w:tcW w:w="992" w:type="dxa"/>
            <w:noWrap/>
            <w:vAlign w:val="top"/>
            <w:hideMark/>
          </w:tcPr>
          <w:p w14:paraId="70AA5F95" w14:textId="728D3480" w:rsidR="00BE00FF" w:rsidRPr="00124786" w:rsidRDefault="00BE00FF" w:rsidP="00BE00FF">
            <w:pPr>
              <w:pStyle w:val="TableofAuthorities"/>
              <w:rPr>
                <w:rFonts w:cs="Arial"/>
                <w:sz w:val="20"/>
                <w:szCs w:val="20"/>
              </w:rPr>
            </w:pPr>
            <w:r w:rsidRPr="00124786">
              <w:rPr>
                <w:rFonts w:cs="Arial"/>
                <w:sz w:val="20"/>
                <w:szCs w:val="20"/>
              </w:rPr>
              <w:t>$0.62</w:t>
            </w:r>
          </w:p>
        </w:tc>
        <w:tc>
          <w:tcPr>
            <w:tcW w:w="992" w:type="dxa"/>
            <w:noWrap/>
            <w:vAlign w:val="top"/>
            <w:hideMark/>
          </w:tcPr>
          <w:p w14:paraId="5321C486" w14:textId="35060225" w:rsidR="00BE00FF" w:rsidRPr="00124786" w:rsidRDefault="00BE00FF" w:rsidP="00BE00FF">
            <w:pPr>
              <w:pStyle w:val="TableofAuthorities"/>
              <w:rPr>
                <w:rFonts w:cs="Arial"/>
                <w:sz w:val="20"/>
                <w:szCs w:val="20"/>
              </w:rPr>
            </w:pPr>
            <w:r w:rsidRPr="00124786">
              <w:rPr>
                <w:rFonts w:cs="Arial"/>
                <w:sz w:val="20"/>
                <w:szCs w:val="20"/>
              </w:rPr>
              <w:t>$0.60</w:t>
            </w:r>
          </w:p>
        </w:tc>
        <w:tc>
          <w:tcPr>
            <w:tcW w:w="993" w:type="dxa"/>
            <w:noWrap/>
            <w:vAlign w:val="top"/>
            <w:hideMark/>
          </w:tcPr>
          <w:p w14:paraId="517D2A03" w14:textId="38639C72" w:rsidR="00BE00FF" w:rsidRPr="00124786" w:rsidRDefault="00BE00FF" w:rsidP="00BE00FF">
            <w:pPr>
              <w:pStyle w:val="TableofAuthorities"/>
              <w:rPr>
                <w:rFonts w:cs="Arial"/>
                <w:sz w:val="20"/>
                <w:szCs w:val="20"/>
              </w:rPr>
            </w:pPr>
            <w:r w:rsidRPr="00124786">
              <w:rPr>
                <w:rFonts w:cs="Arial"/>
                <w:sz w:val="20"/>
                <w:szCs w:val="20"/>
              </w:rPr>
              <w:t>$0.59</w:t>
            </w:r>
          </w:p>
        </w:tc>
      </w:tr>
      <w:tr w:rsidR="00BE00FF" w:rsidRPr="00727E8E" w14:paraId="626475DA" w14:textId="77777777" w:rsidTr="003F107E">
        <w:trPr>
          <w:trHeight w:val="326"/>
        </w:trPr>
        <w:tc>
          <w:tcPr>
            <w:tcW w:w="4395" w:type="dxa"/>
            <w:noWrap/>
            <w:hideMark/>
          </w:tcPr>
          <w:p w14:paraId="214D355E" w14:textId="77777777" w:rsidR="00BE00FF" w:rsidRPr="00124786" w:rsidRDefault="00BE00FF" w:rsidP="00BE00FF">
            <w:pPr>
              <w:pStyle w:val="TableofAuthorities"/>
              <w:rPr>
                <w:rFonts w:cs="Arial"/>
                <w:sz w:val="20"/>
                <w:szCs w:val="20"/>
              </w:rPr>
            </w:pPr>
            <w:r w:rsidRPr="00124786">
              <w:rPr>
                <w:rFonts w:cs="Arial"/>
                <w:sz w:val="20"/>
                <w:szCs w:val="20"/>
              </w:rPr>
              <w:t>COVID-19 expenses</w:t>
            </w:r>
          </w:p>
        </w:tc>
        <w:tc>
          <w:tcPr>
            <w:tcW w:w="992" w:type="dxa"/>
            <w:vAlign w:val="top"/>
            <w:hideMark/>
          </w:tcPr>
          <w:p w14:paraId="2A05247A" w14:textId="18735993" w:rsidR="00BE00FF" w:rsidRPr="00124786" w:rsidRDefault="00BE00FF" w:rsidP="00BE00FF">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2255212E" w14:textId="6470F116" w:rsidR="00BE00FF" w:rsidRPr="00124786" w:rsidRDefault="00BE00FF" w:rsidP="00BE00FF">
            <w:pPr>
              <w:pStyle w:val="TableofAuthorities"/>
              <w:rPr>
                <w:rFonts w:cs="Arial"/>
                <w:sz w:val="20"/>
                <w:szCs w:val="20"/>
              </w:rPr>
            </w:pPr>
            <w:r w:rsidRPr="00124786">
              <w:rPr>
                <w:rFonts w:cs="Arial"/>
                <w:sz w:val="20"/>
                <w:szCs w:val="20"/>
              </w:rPr>
              <w:t>$0.39</w:t>
            </w:r>
          </w:p>
        </w:tc>
        <w:tc>
          <w:tcPr>
            <w:tcW w:w="992" w:type="dxa"/>
            <w:noWrap/>
            <w:vAlign w:val="top"/>
            <w:hideMark/>
          </w:tcPr>
          <w:p w14:paraId="36E6B8C7" w14:textId="632546EB" w:rsidR="00BE00FF" w:rsidRPr="00124786" w:rsidRDefault="00BE00FF" w:rsidP="00BE00FF">
            <w:pPr>
              <w:pStyle w:val="TableofAuthorities"/>
              <w:rPr>
                <w:rFonts w:cs="Arial"/>
                <w:sz w:val="20"/>
                <w:szCs w:val="20"/>
              </w:rPr>
            </w:pPr>
            <w:r w:rsidRPr="00124786">
              <w:rPr>
                <w:rFonts w:cs="Arial"/>
                <w:sz w:val="20"/>
                <w:szCs w:val="20"/>
              </w:rPr>
              <w:t>$0.65</w:t>
            </w:r>
          </w:p>
        </w:tc>
        <w:tc>
          <w:tcPr>
            <w:tcW w:w="992" w:type="dxa"/>
            <w:noWrap/>
            <w:vAlign w:val="top"/>
            <w:hideMark/>
          </w:tcPr>
          <w:p w14:paraId="4C4B86AE" w14:textId="3A1371F7" w:rsidR="00BE00FF" w:rsidRPr="00124786" w:rsidRDefault="00BE00FF" w:rsidP="00BE00FF">
            <w:pPr>
              <w:pStyle w:val="TableofAuthorities"/>
              <w:rPr>
                <w:rFonts w:cs="Arial"/>
                <w:sz w:val="20"/>
                <w:szCs w:val="20"/>
              </w:rPr>
            </w:pPr>
            <w:r w:rsidRPr="00124786">
              <w:rPr>
                <w:rFonts w:cs="Arial"/>
                <w:sz w:val="20"/>
                <w:szCs w:val="20"/>
              </w:rPr>
              <w:t>$0.41</w:t>
            </w:r>
          </w:p>
        </w:tc>
        <w:tc>
          <w:tcPr>
            <w:tcW w:w="993" w:type="dxa"/>
            <w:noWrap/>
            <w:vAlign w:val="top"/>
            <w:hideMark/>
          </w:tcPr>
          <w:p w14:paraId="087A99A1" w14:textId="231B331B" w:rsidR="00BE00FF" w:rsidRPr="00124786" w:rsidRDefault="00BE00FF" w:rsidP="00BE00FF">
            <w:pPr>
              <w:pStyle w:val="TableofAuthorities"/>
              <w:rPr>
                <w:rFonts w:cs="Arial"/>
                <w:sz w:val="20"/>
                <w:szCs w:val="20"/>
              </w:rPr>
            </w:pPr>
            <w:r w:rsidRPr="00124786">
              <w:rPr>
                <w:rFonts w:cs="Arial"/>
                <w:sz w:val="20"/>
                <w:szCs w:val="20"/>
              </w:rPr>
              <w:t>$0.12</w:t>
            </w:r>
          </w:p>
        </w:tc>
      </w:tr>
      <w:tr w:rsidR="00BE00FF" w:rsidRPr="00727E8E" w14:paraId="650BA9BD" w14:textId="77777777" w:rsidTr="003F107E">
        <w:trPr>
          <w:trHeight w:val="326"/>
        </w:trPr>
        <w:tc>
          <w:tcPr>
            <w:tcW w:w="4395" w:type="dxa"/>
            <w:noWrap/>
            <w:hideMark/>
          </w:tcPr>
          <w:p w14:paraId="430A0729" w14:textId="77777777" w:rsidR="00BE00FF" w:rsidRPr="00124786" w:rsidRDefault="00BE00FF" w:rsidP="00BE00FF">
            <w:pPr>
              <w:pStyle w:val="TableofAuthorities"/>
              <w:rPr>
                <w:rFonts w:cs="Arial"/>
                <w:sz w:val="20"/>
                <w:szCs w:val="20"/>
              </w:rPr>
            </w:pPr>
            <w:r w:rsidRPr="00124786">
              <w:rPr>
                <w:rFonts w:cs="Arial"/>
                <w:sz w:val="20"/>
                <w:szCs w:val="20"/>
              </w:rPr>
              <w:t>Motor vehicle expenses</w:t>
            </w:r>
          </w:p>
        </w:tc>
        <w:tc>
          <w:tcPr>
            <w:tcW w:w="992" w:type="dxa"/>
            <w:vAlign w:val="top"/>
            <w:hideMark/>
          </w:tcPr>
          <w:p w14:paraId="72C17700" w14:textId="1FDF40CE" w:rsidR="00BE00FF" w:rsidRPr="00124786" w:rsidRDefault="00BE00FF" w:rsidP="00BE00FF">
            <w:pPr>
              <w:pStyle w:val="TableofAuthorities"/>
              <w:rPr>
                <w:rFonts w:cs="Arial"/>
                <w:sz w:val="20"/>
                <w:szCs w:val="20"/>
              </w:rPr>
            </w:pPr>
            <w:r w:rsidRPr="00124786">
              <w:rPr>
                <w:rFonts w:cs="Arial"/>
                <w:sz w:val="20"/>
                <w:szCs w:val="20"/>
              </w:rPr>
              <w:t xml:space="preserve"> -   </w:t>
            </w:r>
          </w:p>
        </w:tc>
        <w:tc>
          <w:tcPr>
            <w:tcW w:w="992" w:type="dxa"/>
            <w:noWrap/>
            <w:vAlign w:val="top"/>
            <w:hideMark/>
          </w:tcPr>
          <w:p w14:paraId="02FF234E" w14:textId="0B4FEB29" w:rsidR="00BE00FF" w:rsidRPr="00124786" w:rsidRDefault="00BE00FF" w:rsidP="00BE00FF">
            <w:pPr>
              <w:pStyle w:val="TableofAuthorities"/>
              <w:rPr>
                <w:rFonts w:cs="Arial"/>
                <w:sz w:val="20"/>
                <w:szCs w:val="20"/>
              </w:rPr>
            </w:pPr>
            <w:r w:rsidRPr="00124786">
              <w:rPr>
                <w:rFonts w:cs="Arial"/>
                <w:sz w:val="20"/>
                <w:szCs w:val="20"/>
              </w:rPr>
              <w:t>$0.62</w:t>
            </w:r>
          </w:p>
        </w:tc>
        <w:tc>
          <w:tcPr>
            <w:tcW w:w="992" w:type="dxa"/>
            <w:noWrap/>
            <w:vAlign w:val="top"/>
            <w:hideMark/>
          </w:tcPr>
          <w:p w14:paraId="10FA14D2" w14:textId="7295BC73" w:rsidR="00BE00FF" w:rsidRPr="00124786" w:rsidRDefault="00BE00FF" w:rsidP="00BE00FF">
            <w:pPr>
              <w:pStyle w:val="TableofAuthorities"/>
              <w:rPr>
                <w:rFonts w:cs="Arial"/>
                <w:sz w:val="20"/>
                <w:szCs w:val="20"/>
              </w:rPr>
            </w:pPr>
            <w:r w:rsidRPr="00124786">
              <w:rPr>
                <w:rFonts w:cs="Arial"/>
                <w:sz w:val="20"/>
                <w:szCs w:val="20"/>
              </w:rPr>
              <w:t>$0.57</w:t>
            </w:r>
          </w:p>
        </w:tc>
        <w:tc>
          <w:tcPr>
            <w:tcW w:w="992" w:type="dxa"/>
            <w:noWrap/>
            <w:vAlign w:val="top"/>
            <w:hideMark/>
          </w:tcPr>
          <w:p w14:paraId="64FD7995" w14:textId="3943DA3F" w:rsidR="00BE00FF" w:rsidRPr="00124786" w:rsidRDefault="00BE00FF" w:rsidP="00BE00FF">
            <w:pPr>
              <w:pStyle w:val="TableofAuthorities"/>
              <w:rPr>
                <w:rFonts w:cs="Arial"/>
                <w:sz w:val="20"/>
                <w:szCs w:val="20"/>
              </w:rPr>
            </w:pPr>
            <w:r w:rsidRPr="00124786">
              <w:rPr>
                <w:rFonts w:cs="Arial"/>
                <w:sz w:val="20"/>
                <w:szCs w:val="20"/>
              </w:rPr>
              <w:t>$0.69</w:t>
            </w:r>
          </w:p>
        </w:tc>
        <w:tc>
          <w:tcPr>
            <w:tcW w:w="993" w:type="dxa"/>
            <w:noWrap/>
            <w:vAlign w:val="top"/>
            <w:hideMark/>
          </w:tcPr>
          <w:p w14:paraId="6B2E29EF" w14:textId="7181EAC3" w:rsidR="00BE00FF" w:rsidRPr="00124786" w:rsidRDefault="00BE00FF" w:rsidP="00BE00FF">
            <w:pPr>
              <w:pStyle w:val="TableofAuthorities"/>
              <w:rPr>
                <w:rFonts w:cs="Arial"/>
                <w:sz w:val="20"/>
                <w:szCs w:val="20"/>
              </w:rPr>
            </w:pPr>
            <w:r w:rsidRPr="00124786">
              <w:rPr>
                <w:rFonts w:cs="Arial"/>
                <w:sz w:val="20"/>
                <w:szCs w:val="20"/>
              </w:rPr>
              <w:t>$0.67</w:t>
            </w:r>
          </w:p>
        </w:tc>
      </w:tr>
      <w:tr w:rsidR="00BE00FF" w:rsidRPr="00727E8E" w14:paraId="489C3DBF" w14:textId="77777777" w:rsidTr="003F107E">
        <w:trPr>
          <w:trHeight w:val="326"/>
        </w:trPr>
        <w:tc>
          <w:tcPr>
            <w:tcW w:w="4395" w:type="dxa"/>
            <w:noWrap/>
            <w:hideMark/>
          </w:tcPr>
          <w:p w14:paraId="0B7B9181" w14:textId="77777777" w:rsidR="00BE00FF" w:rsidRPr="00124786" w:rsidRDefault="00BE00FF" w:rsidP="00BE00FF">
            <w:pPr>
              <w:pStyle w:val="TableofAuthorities"/>
              <w:rPr>
                <w:rFonts w:cs="Arial"/>
                <w:sz w:val="20"/>
                <w:szCs w:val="20"/>
              </w:rPr>
            </w:pPr>
            <w:r w:rsidRPr="00124786">
              <w:rPr>
                <w:rFonts w:cs="Arial"/>
                <w:sz w:val="20"/>
                <w:szCs w:val="20"/>
              </w:rPr>
              <w:t>Other expenses</w:t>
            </w:r>
          </w:p>
        </w:tc>
        <w:tc>
          <w:tcPr>
            <w:tcW w:w="992" w:type="dxa"/>
            <w:vAlign w:val="top"/>
            <w:hideMark/>
          </w:tcPr>
          <w:p w14:paraId="1E89AD2D" w14:textId="5B7E73AD" w:rsidR="00BE00FF" w:rsidRPr="00124786" w:rsidRDefault="00BE00FF" w:rsidP="00BE00FF">
            <w:pPr>
              <w:pStyle w:val="TableofAuthorities"/>
              <w:rPr>
                <w:rFonts w:cs="Arial"/>
                <w:sz w:val="20"/>
                <w:szCs w:val="20"/>
              </w:rPr>
            </w:pPr>
            <w:r w:rsidRPr="00124786">
              <w:rPr>
                <w:rFonts w:cs="Arial"/>
                <w:sz w:val="20"/>
                <w:szCs w:val="20"/>
              </w:rPr>
              <w:t>$2.03</w:t>
            </w:r>
          </w:p>
        </w:tc>
        <w:tc>
          <w:tcPr>
            <w:tcW w:w="992" w:type="dxa"/>
            <w:noWrap/>
            <w:vAlign w:val="top"/>
            <w:hideMark/>
          </w:tcPr>
          <w:p w14:paraId="22C54A60" w14:textId="374F106E" w:rsidR="00BE00FF" w:rsidRPr="00124786" w:rsidRDefault="00BE00FF" w:rsidP="00BE00FF">
            <w:pPr>
              <w:pStyle w:val="TableofAuthorities"/>
              <w:rPr>
                <w:rFonts w:cs="Arial"/>
                <w:sz w:val="20"/>
                <w:szCs w:val="20"/>
              </w:rPr>
            </w:pPr>
            <w:r w:rsidRPr="00124786">
              <w:rPr>
                <w:rFonts w:cs="Arial"/>
                <w:sz w:val="20"/>
                <w:szCs w:val="20"/>
              </w:rPr>
              <w:t>$1.45</w:t>
            </w:r>
          </w:p>
        </w:tc>
        <w:tc>
          <w:tcPr>
            <w:tcW w:w="992" w:type="dxa"/>
            <w:noWrap/>
            <w:vAlign w:val="top"/>
            <w:hideMark/>
          </w:tcPr>
          <w:p w14:paraId="05C3131B" w14:textId="0A4F66EB" w:rsidR="00BE00FF" w:rsidRPr="00124786" w:rsidRDefault="00BE00FF" w:rsidP="00BE00FF">
            <w:pPr>
              <w:pStyle w:val="TableofAuthorities"/>
              <w:rPr>
                <w:rFonts w:cs="Arial"/>
                <w:sz w:val="20"/>
                <w:szCs w:val="20"/>
              </w:rPr>
            </w:pPr>
            <w:r w:rsidRPr="00124786">
              <w:rPr>
                <w:rFonts w:cs="Arial"/>
                <w:sz w:val="20"/>
                <w:szCs w:val="20"/>
              </w:rPr>
              <w:t>$1.42</w:t>
            </w:r>
          </w:p>
        </w:tc>
        <w:tc>
          <w:tcPr>
            <w:tcW w:w="992" w:type="dxa"/>
            <w:noWrap/>
            <w:vAlign w:val="top"/>
            <w:hideMark/>
          </w:tcPr>
          <w:p w14:paraId="27C09833" w14:textId="679D7E05" w:rsidR="00BE00FF" w:rsidRPr="00124786" w:rsidRDefault="00BE00FF" w:rsidP="00BE00FF">
            <w:pPr>
              <w:pStyle w:val="TableofAuthorities"/>
              <w:rPr>
                <w:rFonts w:cs="Arial"/>
                <w:sz w:val="20"/>
                <w:szCs w:val="20"/>
              </w:rPr>
            </w:pPr>
            <w:r w:rsidRPr="00124786">
              <w:rPr>
                <w:rFonts w:cs="Arial"/>
                <w:sz w:val="20"/>
                <w:szCs w:val="20"/>
              </w:rPr>
              <w:t>$0.55</w:t>
            </w:r>
          </w:p>
        </w:tc>
        <w:tc>
          <w:tcPr>
            <w:tcW w:w="993" w:type="dxa"/>
            <w:noWrap/>
            <w:vAlign w:val="top"/>
            <w:hideMark/>
          </w:tcPr>
          <w:p w14:paraId="229BA882" w14:textId="1B880782" w:rsidR="00BE00FF" w:rsidRPr="00124786" w:rsidRDefault="00BE00FF" w:rsidP="00BE00FF">
            <w:pPr>
              <w:pStyle w:val="TableofAuthorities"/>
              <w:rPr>
                <w:rFonts w:cs="Arial"/>
                <w:sz w:val="20"/>
                <w:szCs w:val="20"/>
              </w:rPr>
            </w:pPr>
            <w:r w:rsidRPr="00124786">
              <w:rPr>
                <w:rFonts w:cs="Arial"/>
                <w:sz w:val="20"/>
                <w:szCs w:val="20"/>
              </w:rPr>
              <w:t>$0.90</w:t>
            </w:r>
          </w:p>
        </w:tc>
      </w:tr>
      <w:tr w:rsidR="00BE00FF" w:rsidRPr="00727E8E" w14:paraId="47FC5559" w14:textId="77777777" w:rsidTr="003F107E">
        <w:trPr>
          <w:trHeight w:val="326"/>
        </w:trPr>
        <w:tc>
          <w:tcPr>
            <w:tcW w:w="4395" w:type="dxa"/>
            <w:shd w:val="clear" w:color="auto" w:fill="D8DBDB" w:themeFill="background1" w:themeFillShade="E6"/>
            <w:noWrap/>
            <w:hideMark/>
          </w:tcPr>
          <w:p w14:paraId="2CF99CE8" w14:textId="77777777" w:rsidR="00BE00FF" w:rsidRPr="00124786" w:rsidRDefault="00BE00FF" w:rsidP="00706D0A">
            <w:pPr>
              <w:pStyle w:val="TableParagraphbold"/>
              <w:rPr>
                <w:rFonts w:cs="Arial"/>
                <w:szCs w:val="20"/>
                <w:lang w:eastAsia="en-AU"/>
              </w:rPr>
            </w:pPr>
            <w:r w:rsidRPr="00124786">
              <w:rPr>
                <w:rFonts w:cs="Arial"/>
                <w:szCs w:val="20"/>
                <w:lang w:eastAsia="en-AU"/>
              </w:rPr>
              <w:t>Total expenses</w:t>
            </w:r>
          </w:p>
        </w:tc>
        <w:tc>
          <w:tcPr>
            <w:tcW w:w="992" w:type="dxa"/>
            <w:shd w:val="clear" w:color="auto" w:fill="D8DBDB" w:themeFill="background1" w:themeFillShade="E6"/>
            <w:noWrap/>
            <w:vAlign w:val="top"/>
            <w:hideMark/>
          </w:tcPr>
          <w:p w14:paraId="7F0545EC" w14:textId="045F5521" w:rsidR="00BE00FF" w:rsidRPr="00124786" w:rsidRDefault="00BE00FF" w:rsidP="00706D0A">
            <w:pPr>
              <w:pStyle w:val="TableParagraphbold"/>
              <w:rPr>
                <w:rFonts w:cs="Arial"/>
                <w:color w:val="1E1545"/>
                <w:szCs w:val="20"/>
                <w:lang w:eastAsia="en-AU"/>
              </w:rPr>
            </w:pPr>
            <w:r w:rsidRPr="00124786">
              <w:rPr>
                <w:rFonts w:cs="Arial"/>
                <w:szCs w:val="20"/>
              </w:rPr>
              <w:t>$70.89</w:t>
            </w:r>
          </w:p>
        </w:tc>
        <w:tc>
          <w:tcPr>
            <w:tcW w:w="992" w:type="dxa"/>
            <w:shd w:val="clear" w:color="auto" w:fill="D8DBDB" w:themeFill="background1" w:themeFillShade="E6"/>
            <w:noWrap/>
            <w:vAlign w:val="top"/>
            <w:hideMark/>
          </w:tcPr>
          <w:p w14:paraId="0858602E" w14:textId="4C7D7F6F" w:rsidR="00BE00FF" w:rsidRPr="00124786" w:rsidRDefault="00BE00FF" w:rsidP="00706D0A">
            <w:pPr>
              <w:pStyle w:val="TableParagraphbold"/>
              <w:rPr>
                <w:rFonts w:cs="Arial"/>
                <w:color w:val="1E1545"/>
                <w:szCs w:val="20"/>
                <w:lang w:eastAsia="en-AU"/>
              </w:rPr>
            </w:pPr>
            <w:r w:rsidRPr="00124786">
              <w:rPr>
                <w:rFonts w:cs="Arial"/>
                <w:szCs w:val="20"/>
              </w:rPr>
              <w:t>$65.20</w:t>
            </w:r>
          </w:p>
        </w:tc>
        <w:tc>
          <w:tcPr>
            <w:tcW w:w="992" w:type="dxa"/>
            <w:shd w:val="clear" w:color="auto" w:fill="D8DBDB" w:themeFill="background1" w:themeFillShade="E6"/>
            <w:noWrap/>
            <w:vAlign w:val="top"/>
            <w:hideMark/>
          </w:tcPr>
          <w:p w14:paraId="416E787D" w14:textId="4C62D595" w:rsidR="00BE00FF" w:rsidRPr="00124786" w:rsidRDefault="00BE00FF" w:rsidP="00706D0A">
            <w:pPr>
              <w:pStyle w:val="TableParagraphbold"/>
              <w:rPr>
                <w:rFonts w:cs="Arial"/>
                <w:color w:val="1E1545"/>
                <w:szCs w:val="20"/>
                <w:lang w:eastAsia="en-AU"/>
              </w:rPr>
            </w:pPr>
            <w:r w:rsidRPr="00124786">
              <w:rPr>
                <w:rFonts w:cs="Arial"/>
                <w:szCs w:val="20"/>
              </w:rPr>
              <w:t>$64.49</w:t>
            </w:r>
          </w:p>
        </w:tc>
        <w:tc>
          <w:tcPr>
            <w:tcW w:w="992" w:type="dxa"/>
            <w:shd w:val="clear" w:color="auto" w:fill="D8DBDB" w:themeFill="background1" w:themeFillShade="E6"/>
            <w:noWrap/>
            <w:vAlign w:val="top"/>
            <w:hideMark/>
          </w:tcPr>
          <w:p w14:paraId="46111A98" w14:textId="0DC637A5" w:rsidR="00BE00FF" w:rsidRPr="00124786" w:rsidRDefault="00BE00FF" w:rsidP="00706D0A">
            <w:pPr>
              <w:pStyle w:val="TableParagraphbold"/>
              <w:rPr>
                <w:rFonts w:cs="Arial"/>
                <w:color w:val="1E1545"/>
                <w:szCs w:val="20"/>
                <w:lang w:eastAsia="en-AU"/>
              </w:rPr>
            </w:pPr>
            <w:r w:rsidRPr="00124786">
              <w:rPr>
                <w:rFonts w:cs="Arial"/>
                <w:szCs w:val="20"/>
              </w:rPr>
              <w:t>$63.16</w:t>
            </w:r>
          </w:p>
        </w:tc>
        <w:tc>
          <w:tcPr>
            <w:tcW w:w="993" w:type="dxa"/>
            <w:shd w:val="clear" w:color="auto" w:fill="D8DBDB" w:themeFill="background1" w:themeFillShade="E6"/>
            <w:noWrap/>
            <w:vAlign w:val="top"/>
            <w:hideMark/>
          </w:tcPr>
          <w:p w14:paraId="19360220" w14:textId="37C90F67" w:rsidR="00BE00FF" w:rsidRPr="00124786" w:rsidRDefault="00BE00FF" w:rsidP="00706D0A">
            <w:pPr>
              <w:pStyle w:val="TableParagraphbold"/>
              <w:rPr>
                <w:rFonts w:cs="Arial"/>
                <w:szCs w:val="20"/>
                <w:lang w:eastAsia="en-AU"/>
              </w:rPr>
            </w:pPr>
            <w:r w:rsidRPr="00124786">
              <w:rPr>
                <w:rFonts w:cs="Arial"/>
                <w:szCs w:val="20"/>
              </w:rPr>
              <w:t>$65.47</w:t>
            </w:r>
          </w:p>
        </w:tc>
      </w:tr>
      <w:tr w:rsidR="00BE00FF" w:rsidRPr="00727E8E" w14:paraId="58558A8C" w14:textId="77777777" w:rsidTr="003F107E">
        <w:trPr>
          <w:trHeight w:val="326"/>
        </w:trPr>
        <w:tc>
          <w:tcPr>
            <w:tcW w:w="4395" w:type="dxa"/>
            <w:shd w:val="clear" w:color="auto" w:fill="D8DBDB" w:themeFill="background1" w:themeFillShade="E6"/>
            <w:noWrap/>
            <w:hideMark/>
          </w:tcPr>
          <w:p w14:paraId="36631B5D" w14:textId="77777777" w:rsidR="00BE00FF" w:rsidRPr="00124786" w:rsidRDefault="00BE00FF" w:rsidP="00706D0A">
            <w:pPr>
              <w:pStyle w:val="TableParagraphbold"/>
              <w:rPr>
                <w:rFonts w:cs="Arial"/>
                <w:szCs w:val="20"/>
                <w:lang w:eastAsia="en-AU"/>
              </w:rPr>
            </w:pPr>
            <w:r w:rsidRPr="00124786">
              <w:rPr>
                <w:rFonts w:cs="Arial"/>
                <w:szCs w:val="20"/>
                <w:lang w:eastAsia="en-AU"/>
              </w:rPr>
              <w:t>Home care segment profit/(loss)</w:t>
            </w:r>
          </w:p>
        </w:tc>
        <w:tc>
          <w:tcPr>
            <w:tcW w:w="992" w:type="dxa"/>
            <w:shd w:val="clear" w:color="auto" w:fill="D8DBDB" w:themeFill="background1" w:themeFillShade="E6"/>
            <w:noWrap/>
            <w:vAlign w:val="top"/>
            <w:hideMark/>
          </w:tcPr>
          <w:p w14:paraId="131D8512" w14:textId="15A73BB4" w:rsidR="00BE00FF" w:rsidRPr="00124786" w:rsidRDefault="00BE00FF" w:rsidP="00706D0A">
            <w:pPr>
              <w:pStyle w:val="TableParagraphbold"/>
              <w:rPr>
                <w:rFonts w:cs="Arial"/>
                <w:color w:val="1E1545"/>
                <w:szCs w:val="20"/>
                <w:lang w:eastAsia="en-AU"/>
              </w:rPr>
            </w:pPr>
            <w:r w:rsidRPr="00124786">
              <w:rPr>
                <w:rFonts w:cs="Arial"/>
                <w:szCs w:val="20"/>
              </w:rPr>
              <w:t>$2.74</w:t>
            </w:r>
          </w:p>
        </w:tc>
        <w:tc>
          <w:tcPr>
            <w:tcW w:w="992" w:type="dxa"/>
            <w:shd w:val="clear" w:color="auto" w:fill="D8DBDB" w:themeFill="background1" w:themeFillShade="E6"/>
            <w:noWrap/>
            <w:vAlign w:val="top"/>
            <w:hideMark/>
          </w:tcPr>
          <w:p w14:paraId="6E86C58C" w14:textId="5840E237" w:rsidR="00BE00FF" w:rsidRPr="00124786" w:rsidRDefault="00BE00FF" w:rsidP="00706D0A">
            <w:pPr>
              <w:pStyle w:val="TableParagraphbold"/>
              <w:rPr>
                <w:rFonts w:cs="Arial"/>
                <w:color w:val="1E1545"/>
                <w:szCs w:val="20"/>
                <w:lang w:eastAsia="en-AU"/>
              </w:rPr>
            </w:pPr>
            <w:r w:rsidRPr="00124786">
              <w:rPr>
                <w:rFonts w:cs="Arial"/>
                <w:szCs w:val="20"/>
              </w:rPr>
              <w:t>$3.17</w:t>
            </w:r>
          </w:p>
        </w:tc>
        <w:tc>
          <w:tcPr>
            <w:tcW w:w="992" w:type="dxa"/>
            <w:shd w:val="clear" w:color="auto" w:fill="D8DBDB" w:themeFill="background1" w:themeFillShade="E6"/>
            <w:noWrap/>
            <w:vAlign w:val="top"/>
            <w:hideMark/>
          </w:tcPr>
          <w:p w14:paraId="43558D09" w14:textId="6566BBCD" w:rsidR="00BE00FF" w:rsidRPr="00124786" w:rsidRDefault="00BE00FF" w:rsidP="00706D0A">
            <w:pPr>
              <w:pStyle w:val="TableParagraphbold"/>
              <w:rPr>
                <w:rFonts w:cs="Arial"/>
                <w:color w:val="1E1545"/>
                <w:szCs w:val="20"/>
                <w:lang w:eastAsia="en-AU"/>
              </w:rPr>
            </w:pPr>
            <w:r w:rsidRPr="00124786">
              <w:rPr>
                <w:rFonts w:cs="Arial"/>
                <w:szCs w:val="20"/>
              </w:rPr>
              <w:t>$4.28</w:t>
            </w:r>
          </w:p>
        </w:tc>
        <w:tc>
          <w:tcPr>
            <w:tcW w:w="992" w:type="dxa"/>
            <w:shd w:val="clear" w:color="auto" w:fill="D8DBDB" w:themeFill="background1" w:themeFillShade="E6"/>
            <w:noWrap/>
            <w:vAlign w:val="top"/>
            <w:hideMark/>
          </w:tcPr>
          <w:p w14:paraId="441071CE" w14:textId="31D6FACD" w:rsidR="00BE00FF" w:rsidRPr="00124786" w:rsidRDefault="00BE00FF" w:rsidP="00706D0A">
            <w:pPr>
              <w:pStyle w:val="TableParagraphbold"/>
              <w:rPr>
                <w:rFonts w:cs="Arial"/>
                <w:color w:val="1E1545"/>
                <w:szCs w:val="20"/>
                <w:lang w:eastAsia="en-AU"/>
              </w:rPr>
            </w:pPr>
            <w:r w:rsidRPr="00124786">
              <w:rPr>
                <w:rFonts w:cs="Arial"/>
                <w:szCs w:val="20"/>
              </w:rPr>
              <w:t>$2.</w:t>
            </w:r>
            <w:r w:rsidR="00D536AB" w:rsidRPr="00124786">
              <w:rPr>
                <w:rFonts w:cs="Arial"/>
                <w:szCs w:val="20"/>
              </w:rPr>
              <w:t>7</w:t>
            </w:r>
            <w:r w:rsidR="00D536AB">
              <w:rPr>
                <w:rFonts w:cs="Arial"/>
                <w:szCs w:val="20"/>
              </w:rPr>
              <w:t>8</w:t>
            </w:r>
          </w:p>
        </w:tc>
        <w:tc>
          <w:tcPr>
            <w:tcW w:w="993" w:type="dxa"/>
            <w:shd w:val="clear" w:color="auto" w:fill="D8DBDB" w:themeFill="background1" w:themeFillShade="E6"/>
            <w:noWrap/>
            <w:vAlign w:val="top"/>
            <w:hideMark/>
          </w:tcPr>
          <w:p w14:paraId="45EAB604" w14:textId="13F62ED9" w:rsidR="00BE00FF" w:rsidRPr="00124786" w:rsidRDefault="00BE00FF" w:rsidP="00706D0A">
            <w:pPr>
              <w:pStyle w:val="TableParagraphbold"/>
              <w:rPr>
                <w:rFonts w:cs="Arial"/>
                <w:szCs w:val="20"/>
                <w:lang w:eastAsia="en-AU"/>
              </w:rPr>
            </w:pPr>
            <w:r w:rsidRPr="00124786">
              <w:rPr>
                <w:rFonts w:cs="Arial"/>
                <w:szCs w:val="20"/>
              </w:rPr>
              <w:t>$2.17</w:t>
            </w:r>
          </w:p>
        </w:tc>
      </w:tr>
    </w:tbl>
    <w:p w14:paraId="3F2B1D72" w14:textId="77777777" w:rsidR="00727E8E" w:rsidRDefault="00727E8E" w:rsidP="00727E8E">
      <w:pPr>
        <w:pStyle w:val="FootnoteText"/>
      </w:pPr>
    </w:p>
    <w:p w14:paraId="02EAA6E0" w14:textId="563B61FD" w:rsidR="00727E8E" w:rsidRPr="007D6F87" w:rsidRDefault="00727E8E" w:rsidP="00727E8E">
      <w:pPr>
        <w:pStyle w:val="FootnoteText"/>
      </w:pPr>
      <w:r w:rsidRPr="007D6F87">
        <w:t>Notes:</w:t>
      </w:r>
    </w:p>
    <w:p w14:paraId="7F1082AA" w14:textId="77777777" w:rsidR="00727E8E" w:rsidRPr="007D6F87" w:rsidRDefault="00727E8E" w:rsidP="00CD1E1B">
      <w:pPr>
        <w:pStyle w:val="Footnotetextlist"/>
        <w:numPr>
          <w:ilvl w:val="0"/>
          <w:numId w:val="22"/>
        </w:numPr>
      </w:pPr>
      <w:r w:rsidRPr="007D6F87">
        <w:t>Provision of care/services charged to recipients includes income recognised from recipients’ packages and private home care recipients. This amount will include Government subsidies and supplements, recipient contributions in the form of the basic daily fee, income tested care fees, top-ups and private contributions.</w:t>
      </w:r>
    </w:p>
    <w:p w14:paraId="3771A2CE" w14:textId="77777777" w:rsidR="00727E8E" w:rsidRPr="007D6F87" w:rsidRDefault="00727E8E" w:rsidP="00CD1E1B">
      <w:pPr>
        <w:pStyle w:val="Footnotetextlist"/>
        <w:numPr>
          <w:ilvl w:val="0"/>
          <w:numId w:val="22"/>
        </w:numPr>
      </w:pPr>
      <w:r w:rsidRPr="007D6F87">
        <w:t>Management fees charged to recipients is the amount of income recognised for ongoing management and coordination of the recipients’ packages and care requirements.</w:t>
      </w:r>
    </w:p>
    <w:p w14:paraId="1D7F8ABC" w14:textId="77777777" w:rsidR="00727E8E" w:rsidRPr="007D6F87" w:rsidRDefault="00727E8E" w:rsidP="00CD1E1B">
      <w:pPr>
        <w:pStyle w:val="Footnotetextlist"/>
        <w:numPr>
          <w:ilvl w:val="0"/>
          <w:numId w:val="22"/>
        </w:numPr>
      </w:pPr>
      <w:r w:rsidRPr="007D6F87">
        <w:t>Administration fees charged to recipients is the amount of income recognised for ongoing administration of recipients’ packages.</w:t>
      </w:r>
    </w:p>
    <w:p w14:paraId="40FA163A" w14:textId="670C583F" w:rsidR="00727E8E" w:rsidRPr="007D6F87" w:rsidRDefault="00727E8E" w:rsidP="00CD1E1B">
      <w:pPr>
        <w:pStyle w:val="Footnotetextlist"/>
        <w:numPr>
          <w:ilvl w:val="0"/>
          <w:numId w:val="22"/>
        </w:numPr>
      </w:pPr>
      <w:r w:rsidRPr="007D6F87">
        <w:t>Income derived from unspent package funds reflects income remaining from a recipient’s care package when a recipient left the home care service (prior to the February 2017 changes). No income can be derived from unspent funds since the change. Exit amounts deducted by the provider when ceasing to provide home care to a recipient may be charged after this date.</w:t>
      </w:r>
      <w:r w:rsidR="00C13984">
        <w:t xml:space="preserve"> </w:t>
      </w:r>
      <w:r w:rsidR="00C10DC6">
        <w:t>Providers cannot charge an exit amount from 1 January 2023.</w:t>
      </w:r>
    </w:p>
    <w:p w14:paraId="5533974B" w14:textId="02B22883" w:rsidR="00727E8E" w:rsidRPr="007D6F87" w:rsidRDefault="00727E8E" w:rsidP="00CD1E1B">
      <w:pPr>
        <w:pStyle w:val="Footnotetextlist"/>
        <w:numPr>
          <w:ilvl w:val="0"/>
          <w:numId w:val="22"/>
        </w:numPr>
      </w:pPr>
      <w:r w:rsidRPr="007D6F87">
        <w:t>Other revenue includes other sources of income generated from running the home care services such as state and territory payments, recipient payments for non-home care services, trust distribution, donations and bequests, interest earned on investments, insurance and gains from the sale of assets.</w:t>
      </w:r>
    </w:p>
    <w:p w14:paraId="46056B5D" w14:textId="77777777" w:rsidR="00727E8E" w:rsidRDefault="00727E8E" w:rsidP="009C1802">
      <w:pPr>
        <w:pStyle w:val="Heading2"/>
      </w:pPr>
      <w:bookmarkStart w:id="29" w:name="_Toc149245307"/>
      <w:bookmarkStart w:id="30" w:name="_Toc173428597"/>
      <w:r>
        <w:t>Financial performance – revenue</w:t>
      </w:r>
      <w:bookmarkEnd w:id="29"/>
      <w:bookmarkEnd w:id="30"/>
    </w:p>
    <w:p w14:paraId="7BD5F022" w14:textId="0E30FACC" w:rsidR="009C1802" w:rsidRPr="00B24D21" w:rsidRDefault="009C1802" w:rsidP="00706D0A">
      <w:r w:rsidRPr="00B24D21">
        <w:t>Home care revenue consists of Australian Government contributions in the form of subsidies and supplements paid on behalf of home care package holders, and a contribution from recipients (the basic daily fee and income tested fees). Total revenue can also include other revenue sources (such as recipient contributions for non-home care related services, interest income and state and territory government payments).</w:t>
      </w:r>
    </w:p>
    <w:p w14:paraId="596A3BD1" w14:textId="205A5014" w:rsidR="009C1802" w:rsidRPr="00382C35" w:rsidRDefault="009C1802" w:rsidP="00706D0A">
      <w:r w:rsidRPr="00382C35">
        <w:t>Recipient contributions in 2022</w:t>
      </w:r>
      <w:r w:rsidR="00B24D21" w:rsidRPr="00382C35">
        <w:t>-23</w:t>
      </w:r>
      <w:r w:rsidRPr="00382C35">
        <w:t xml:space="preserve"> reported by providers totalled around $1</w:t>
      </w:r>
      <w:r w:rsidR="00A775CA">
        <w:t>67</w:t>
      </w:r>
      <w:r w:rsidRPr="00382C35">
        <w:t xml:space="preserve"> million.</w:t>
      </w:r>
      <w:r w:rsidR="00A10881">
        <w:t xml:space="preserve"> This r</w:t>
      </w:r>
      <w:r w:rsidR="00F066E9">
        <w:t>epresents</w:t>
      </w:r>
      <w:r w:rsidR="002957D6">
        <w:t xml:space="preserve"> </w:t>
      </w:r>
      <w:r w:rsidR="001B5589">
        <w:t>3</w:t>
      </w:r>
      <w:r w:rsidR="008C6803">
        <w:t xml:space="preserve">% of </w:t>
      </w:r>
      <w:r w:rsidR="007B2572">
        <w:t xml:space="preserve">the </w:t>
      </w:r>
      <w:r w:rsidR="008C6803">
        <w:t>total revenue</w:t>
      </w:r>
      <w:r w:rsidR="007B2572">
        <w:t xml:space="preserve"> received by home care providers</w:t>
      </w:r>
      <w:r w:rsidR="00A711D4">
        <w:t xml:space="preserve"> in 2022-23</w:t>
      </w:r>
      <w:r w:rsidR="00E30845">
        <w:t>.</w:t>
      </w:r>
      <w:r w:rsidR="00EA6359">
        <w:t xml:space="preserve"> </w:t>
      </w:r>
      <w:r w:rsidR="00E66AB9">
        <w:t>I</w:t>
      </w:r>
      <w:r w:rsidR="0097686D">
        <w:t>n comparison</w:t>
      </w:r>
      <w:r w:rsidR="008C40E9">
        <w:t>,</w:t>
      </w:r>
      <w:r w:rsidR="0097686D">
        <w:t xml:space="preserve"> the Australian Government expenditure </w:t>
      </w:r>
      <w:r w:rsidR="00172B4A">
        <w:t>represented 9</w:t>
      </w:r>
      <w:r w:rsidR="001B5589">
        <w:t>7</w:t>
      </w:r>
      <w:r w:rsidR="00172B4A">
        <w:t>% of total revenue</w:t>
      </w:r>
      <w:r w:rsidR="00E66AB9">
        <w:t xml:space="preserve"> for home care providers in 2022-23</w:t>
      </w:r>
      <w:r w:rsidR="00E30845">
        <w:t>.</w:t>
      </w:r>
    </w:p>
    <w:p w14:paraId="3E990DA9" w14:textId="42F11691" w:rsidR="0027085B" w:rsidRDefault="009C1802" w:rsidP="0027085B">
      <w:r w:rsidRPr="003B00FD">
        <w:t>In 2022</w:t>
      </w:r>
      <w:r w:rsidR="00382C35" w:rsidRPr="003B00FD">
        <w:t>-23</w:t>
      </w:r>
      <w:r w:rsidRPr="003B00FD">
        <w:t>, total sector revenue (including Australian Government funding) for all home care providers was $</w:t>
      </w:r>
      <w:r w:rsidR="005E17FD" w:rsidRPr="003B00FD">
        <w:t>5.</w:t>
      </w:r>
      <w:r w:rsidR="00604E9A">
        <w:t>8</w:t>
      </w:r>
      <w:r w:rsidR="00D5737F">
        <w:t xml:space="preserve"> </w:t>
      </w:r>
      <w:r w:rsidRPr="003B00FD">
        <w:t>billion, up from $</w:t>
      </w:r>
      <w:r w:rsidR="00382C35" w:rsidRPr="003B00FD">
        <w:t>4.</w:t>
      </w:r>
      <w:r w:rsidR="00DF6334">
        <w:t>7</w:t>
      </w:r>
      <w:r w:rsidRPr="003B00FD">
        <w:t xml:space="preserve"> billion in 20</w:t>
      </w:r>
      <w:r w:rsidR="00382C35" w:rsidRPr="003B00FD">
        <w:t>21-22</w:t>
      </w:r>
      <w:r w:rsidRPr="003B00FD">
        <w:t xml:space="preserve">, an increase of </w:t>
      </w:r>
      <w:r w:rsidR="003B00FD" w:rsidRPr="003B00FD">
        <w:t>2</w:t>
      </w:r>
      <w:r w:rsidR="00AA3556">
        <w:t>3</w:t>
      </w:r>
      <w:r w:rsidR="008D56E9">
        <w:t>%</w:t>
      </w:r>
      <w:r w:rsidRPr="003B00FD">
        <w:t xml:space="preserve">. </w:t>
      </w:r>
      <w:r w:rsidR="00CB69DC">
        <w:t>T</w:t>
      </w:r>
      <w:r w:rsidRPr="00402767">
        <w:t xml:space="preserve">he increase mainly reflects the </w:t>
      </w:r>
      <w:r w:rsidR="00E76D3A" w:rsidRPr="00402767">
        <w:t>2</w:t>
      </w:r>
      <w:r w:rsidR="00486116">
        <w:t>0</w:t>
      </w:r>
      <w:r w:rsidR="00A06131">
        <w:t>%</w:t>
      </w:r>
      <w:r w:rsidR="00E76D3A" w:rsidRPr="00402767">
        <w:t xml:space="preserve"> </w:t>
      </w:r>
      <w:r w:rsidRPr="00402767">
        <w:t xml:space="preserve">increase in the number of home care </w:t>
      </w:r>
      <w:r w:rsidR="00507595" w:rsidRPr="00402767">
        <w:t>recipients</w:t>
      </w:r>
      <w:r w:rsidRPr="00402767">
        <w:t xml:space="preserve">. </w:t>
      </w:r>
      <w:r w:rsidR="00F02EF0">
        <w:t xml:space="preserve">The Provider Held Portion of Australian Government unspent funds </w:t>
      </w:r>
      <w:r>
        <w:br/>
      </w:r>
      <w:r w:rsidRPr="00FD1D14">
        <w:t>($</w:t>
      </w:r>
      <w:r w:rsidR="00B24D88" w:rsidRPr="00FD1D14">
        <w:t>0.64</w:t>
      </w:r>
      <w:r w:rsidRPr="00FD1D14">
        <w:t xml:space="preserve"> billion at 30 June 202</w:t>
      </w:r>
      <w:r w:rsidR="00B24D88" w:rsidRPr="00FD1D14">
        <w:t>3</w:t>
      </w:r>
      <w:r w:rsidRPr="00FD1D14">
        <w:t>) are not treated as revenue.</w:t>
      </w:r>
    </w:p>
    <w:p w14:paraId="2F0AE8D3" w14:textId="79E13D73" w:rsidR="009C1802" w:rsidRPr="0017077A" w:rsidRDefault="0027085B" w:rsidP="00706D0A">
      <w:r>
        <w:fldChar w:fldCharType="begin"/>
      </w:r>
      <w:r>
        <w:instrText xml:space="preserve"> REF _Ref172529298 \h </w:instrText>
      </w:r>
      <w:r>
        <w:fldChar w:fldCharType="separate"/>
      </w:r>
      <w:r w:rsidR="001377BE">
        <w:t xml:space="preserve">Table </w:t>
      </w:r>
      <w:r w:rsidR="001377BE">
        <w:rPr>
          <w:noProof/>
        </w:rPr>
        <w:t>1</w:t>
      </w:r>
      <w:r w:rsidR="001377BE">
        <w:t>.</w:t>
      </w:r>
      <w:r w:rsidR="001377BE">
        <w:rPr>
          <w:noProof/>
        </w:rPr>
        <w:t>5</w:t>
      </w:r>
      <w:r>
        <w:fldChar w:fldCharType="end"/>
      </w:r>
      <w:r w:rsidR="009C1802" w:rsidRPr="0017077A">
        <w:t xml:space="preserve"> provides a breakdown of revenue according to provider ownership type, location and scale per recipient per day for</w:t>
      </w:r>
      <w:r w:rsidR="009C1802" w:rsidRPr="0017077A">
        <w:rPr>
          <w:spacing w:val="-11"/>
        </w:rPr>
        <w:t xml:space="preserve"> </w:t>
      </w:r>
      <w:r w:rsidR="009C1802" w:rsidRPr="0017077A">
        <w:t>2022</w:t>
      </w:r>
      <w:r w:rsidR="00382C35" w:rsidRPr="0017077A">
        <w:t>-23</w:t>
      </w:r>
      <w:r w:rsidR="009C1802" w:rsidRPr="0017077A">
        <w:t>.</w:t>
      </w:r>
      <w:r w:rsidR="009C1802" w:rsidRPr="0017077A">
        <w:rPr>
          <w:spacing w:val="-11"/>
        </w:rPr>
        <w:t xml:space="preserve"> </w:t>
      </w:r>
      <w:r w:rsidR="009C1802" w:rsidRPr="0017077A">
        <w:t>In</w:t>
      </w:r>
      <w:r w:rsidR="009C1802" w:rsidRPr="0017077A">
        <w:rPr>
          <w:spacing w:val="-11"/>
        </w:rPr>
        <w:t xml:space="preserve"> </w:t>
      </w:r>
      <w:r w:rsidR="009C1802" w:rsidRPr="0017077A">
        <w:t>terms</w:t>
      </w:r>
      <w:r w:rsidR="009C1802" w:rsidRPr="0017077A">
        <w:rPr>
          <w:spacing w:val="-11"/>
        </w:rPr>
        <w:t xml:space="preserve"> </w:t>
      </w:r>
      <w:r w:rsidR="009C1802" w:rsidRPr="0017077A">
        <w:t>of</w:t>
      </w:r>
      <w:r w:rsidR="009C1802" w:rsidRPr="0017077A">
        <w:rPr>
          <w:spacing w:val="-11"/>
        </w:rPr>
        <w:t xml:space="preserve"> </w:t>
      </w:r>
      <w:r w:rsidR="009C1802" w:rsidRPr="0017077A">
        <w:t>ownership type,</w:t>
      </w:r>
      <w:r w:rsidR="009C1802" w:rsidRPr="0017077A">
        <w:rPr>
          <w:spacing w:val="-11"/>
        </w:rPr>
        <w:t xml:space="preserve"> </w:t>
      </w:r>
      <w:r w:rsidR="008814AA">
        <w:rPr>
          <w:spacing w:val="-11"/>
        </w:rPr>
        <w:br/>
      </w:r>
      <w:r w:rsidR="00D640C2" w:rsidRPr="0017077A">
        <w:rPr>
          <w:spacing w:val="-11"/>
        </w:rPr>
        <w:t>no</w:t>
      </w:r>
      <w:r w:rsidR="00E73B77">
        <w:rPr>
          <w:spacing w:val="-11"/>
        </w:rPr>
        <w:t>t</w:t>
      </w:r>
      <w:r w:rsidR="00D640C2" w:rsidRPr="0017077A">
        <w:rPr>
          <w:spacing w:val="-11"/>
        </w:rPr>
        <w:t>-</w:t>
      </w:r>
      <w:r w:rsidR="009C1802" w:rsidRPr="0017077A">
        <w:t>for-profit providers have higher revenue per recipient per day than for-profit providers ($6</w:t>
      </w:r>
      <w:r w:rsidR="00D640C2" w:rsidRPr="0017077A">
        <w:t>8.42</w:t>
      </w:r>
      <w:r w:rsidR="009C1802" w:rsidRPr="0017077A">
        <w:t xml:space="preserve"> per recipient per day compared</w:t>
      </w:r>
      <w:r w:rsidR="009C1802" w:rsidRPr="0017077A">
        <w:rPr>
          <w:spacing w:val="-8"/>
        </w:rPr>
        <w:t xml:space="preserve"> </w:t>
      </w:r>
      <w:r w:rsidR="009C1802" w:rsidRPr="0017077A">
        <w:t>with</w:t>
      </w:r>
      <w:r w:rsidR="009C1802" w:rsidRPr="0017077A">
        <w:rPr>
          <w:spacing w:val="-8"/>
        </w:rPr>
        <w:t xml:space="preserve"> </w:t>
      </w:r>
      <w:r w:rsidR="009C1802" w:rsidRPr="0017077A">
        <w:t>$6</w:t>
      </w:r>
      <w:r w:rsidR="00D1540E" w:rsidRPr="0017077A">
        <w:t>6.80</w:t>
      </w:r>
      <w:r w:rsidR="009C1802" w:rsidRPr="0017077A">
        <w:t>).</w:t>
      </w:r>
      <w:r w:rsidR="009C1802" w:rsidRPr="0017077A">
        <w:rPr>
          <w:spacing w:val="-8"/>
        </w:rPr>
        <w:t xml:space="preserve"> </w:t>
      </w:r>
      <w:r w:rsidR="009C1802" w:rsidRPr="0017077A">
        <w:t>Metropolitan providers reported a higher average income per recipient per day ($6</w:t>
      </w:r>
      <w:r w:rsidR="00D1540E" w:rsidRPr="0017077A">
        <w:t>9.21</w:t>
      </w:r>
      <w:r w:rsidR="009C1802" w:rsidRPr="0017077A">
        <w:t>)</w:t>
      </w:r>
      <w:r w:rsidR="009C1802" w:rsidRPr="0017077A">
        <w:rPr>
          <w:spacing w:val="-11"/>
        </w:rPr>
        <w:t xml:space="preserve"> </w:t>
      </w:r>
      <w:r w:rsidR="009C1802" w:rsidRPr="0017077A">
        <w:t>than</w:t>
      </w:r>
      <w:r w:rsidR="009C1802" w:rsidRPr="0017077A">
        <w:rPr>
          <w:spacing w:val="-11"/>
        </w:rPr>
        <w:t xml:space="preserve"> </w:t>
      </w:r>
      <w:r w:rsidR="009C1802" w:rsidRPr="0017077A">
        <w:t>their</w:t>
      </w:r>
      <w:r w:rsidR="009C1802" w:rsidRPr="0017077A">
        <w:rPr>
          <w:spacing w:val="-11"/>
        </w:rPr>
        <w:t xml:space="preserve"> </w:t>
      </w:r>
      <w:r w:rsidR="009C1802" w:rsidRPr="0017077A">
        <w:t>regional</w:t>
      </w:r>
      <w:r w:rsidR="009C1802" w:rsidRPr="0017077A">
        <w:rPr>
          <w:spacing w:val="-11"/>
        </w:rPr>
        <w:t xml:space="preserve"> </w:t>
      </w:r>
      <w:r w:rsidR="009C1802" w:rsidRPr="0017077A">
        <w:t>counterparts</w:t>
      </w:r>
      <w:r w:rsidR="009C1802" w:rsidRPr="0017077A">
        <w:rPr>
          <w:spacing w:val="-11"/>
        </w:rPr>
        <w:t xml:space="preserve"> </w:t>
      </w:r>
      <w:r w:rsidR="009C1802" w:rsidRPr="0017077A">
        <w:t>($</w:t>
      </w:r>
      <w:r w:rsidR="00E3287D" w:rsidRPr="0017077A">
        <w:t>61.89</w:t>
      </w:r>
      <w:r w:rsidR="009C1802" w:rsidRPr="0017077A">
        <w:t xml:space="preserve">). </w:t>
      </w:r>
    </w:p>
    <w:p w14:paraId="6D13548D" w14:textId="0E069664" w:rsidR="009C1802" w:rsidRPr="0095177D" w:rsidRDefault="009C1802" w:rsidP="00706D0A">
      <w:r w:rsidRPr="0017077A">
        <w:t>In terms of scale, providers</w:t>
      </w:r>
      <w:r w:rsidR="00E3287D" w:rsidRPr="0017077A">
        <w:t xml:space="preserve"> with two</w:t>
      </w:r>
      <w:r w:rsidR="00FD5744">
        <w:t xml:space="preserve"> to </w:t>
      </w:r>
      <w:r w:rsidR="00E3287D" w:rsidRPr="0017077A">
        <w:t>six services</w:t>
      </w:r>
      <w:r w:rsidRPr="0017077A">
        <w:t xml:space="preserve"> recorded the highest revenue per recipient per day with $6</w:t>
      </w:r>
      <w:r w:rsidR="00E3287D" w:rsidRPr="0017077A">
        <w:t>8.92</w:t>
      </w:r>
      <w:r w:rsidRPr="0017077A">
        <w:t xml:space="preserve"> compared with</w:t>
      </w:r>
      <w:r w:rsidR="00E3287D" w:rsidRPr="0017077A">
        <w:t xml:space="preserve"> single service providers ($67.29) and</w:t>
      </w:r>
      <w:r w:rsidRPr="0017077A">
        <w:t xml:space="preserve"> larger scale providers</w:t>
      </w:r>
      <w:r w:rsidR="00E3287D" w:rsidRPr="0017077A">
        <w:t xml:space="preserve"> with seven or more </w:t>
      </w:r>
      <w:r w:rsidR="0017077A" w:rsidRPr="0017077A">
        <w:t>services</w:t>
      </w:r>
      <w:r w:rsidRPr="0017077A">
        <w:t xml:space="preserve"> ($6</w:t>
      </w:r>
      <w:r w:rsidR="0017077A" w:rsidRPr="0017077A">
        <w:t>7.31).</w:t>
      </w:r>
    </w:p>
    <w:p w14:paraId="6BB54C2F" w14:textId="3EC077DC" w:rsidR="00385C81" w:rsidRDefault="00346565" w:rsidP="00D6443E">
      <w:r>
        <w:t xml:space="preserve">Variations </w:t>
      </w:r>
      <w:r w:rsidR="00676A74">
        <w:t xml:space="preserve">in revenue are primarily driven by different </w:t>
      </w:r>
      <w:r w:rsidR="00C9586E">
        <w:t xml:space="preserve">care recipient case mixes across the different ownership types. </w:t>
      </w:r>
      <w:bookmarkStart w:id="31" w:name="_Ref160720375"/>
    </w:p>
    <w:p w14:paraId="7EA9C5E4" w14:textId="77777777" w:rsidR="006F4F12" w:rsidRDefault="006F4F12" w:rsidP="006F4F12">
      <w:pPr>
        <w:spacing w:before="0" w:after="0" w:line="240" w:lineRule="auto"/>
      </w:pPr>
      <w:bookmarkStart w:id="32" w:name="_Ref172529298"/>
      <w:bookmarkStart w:id="33" w:name="_Toc173428876"/>
      <w:r>
        <w:br w:type="page"/>
      </w:r>
    </w:p>
    <w:p w14:paraId="7A09053C" w14:textId="3E9EF2A8" w:rsidR="009C1802" w:rsidRPr="009C1802" w:rsidRDefault="009C1802" w:rsidP="00706D0A">
      <w:pPr>
        <w:pStyle w:val="Caption"/>
      </w:pPr>
      <w:r>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5</w:t>
      </w:r>
      <w:r w:rsidR="00AE19AA">
        <w:rPr>
          <w:noProof/>
        </w:rPr>
        <w:fldChar w:fldCharType="end"/>
      </w:r>
      <w:bookmarkEnd w:id="31"/>
      <w:bookmarkEnd w:id="32"/>
      <w:r>
        <w:t xml:space="preserve">: </w:t>
      </w:r>
      <w:r w:rsidRPr="00BD57B9">
        <w:t>Home care revenue per care recipient per day, by ownership type, location and scale, 202</w:t>
      </w:r>
      <w:r>
        <w:t>2-23</w:t>
      </w:r>
      <w:bookmarkEnd w:id="33"/>
    </w:p>
    <w:tbl>
      <w:tblPr>
        <w:tblStyle w:val="DepartmentofHealthtable"/>
        <w:tblW w:w="9214" w:type="dxa"/>
        <w:tblLayout w:type="fixed"/>
        <w:tblLook w:val="04A0" w:firstRow="1" w:lastRow="0" w:firstColumn="1" w:lastColumn="0" w:noHBand="0" w:noVBand="1"/>
      </w:tblPr>
      <w:tblGrid>
        <w:gridCol w:w="1581"/>
        <w:gridCol w:w="1090"/>
        <w:gridCol w:w="1090"/>
        <w:gridCol w:w="1091"/>
        <w:gridCol w:w="1090"/>
        <w:gridCol w:w="1091"/>
        <w:gridCol w:w="1090"/>
        <w:gridCol w:w="1091"/>
      </w:tblGrid>
      <w:tr w:rsidR="009C1802" w:rsidRPr="00D74432" w14:paraId="00CFA065" w14:textId="77777777" w:rsidTr="003F107E">
        <w:trPr>
          <w:cnfStyle w:val="100000000000" w:firstRow="1" w:lastRow="0" w:firstColumn="0" w:lastColumn="0" w:oddVBand="0" w:evenVBand="0" w:oddHBand="0" w:evenHBand="0" w:firstRowFirstColumn="0" w:firstRowLastColumn="0" w:lastRowFirstColumn="0" w:lastRowLastColumn="0"/>
          <w:trHeight w:val="863"/>
        </w:trPr>
        <w:tc>
          <w:tcPr>
            <w:tcW w:w="1581" w:type="dxa"/>
            <w:hideMark/>
          </w:tcPr>
          <w:p w14:paraId="6A1521DA" w14:textId="77777777" w:rsidR="009C1802" w:rsidRPr="008A648A" w:rsidRDefault="009C1802" w:rsidP="00706D0A">
            <w:pPr>
              <w:pStyle w:val="TableHeaderWhite"/>
              <w:rPr>
                <w:sz w:val="21"/>
                <w:szCs w:val="21"/>
                <w:lang w:eastAsia="en-AU"/>
              </w:rPr>
            </w:pPr>
            <w:r w:rsidRPr="008A648A">
              <w:rPr>
                <w:sz w:val="21"/>
                <w:szCs w:val="21"/>
                <w:lang w:eastAsia="en-AU"/>
              </w:rPr>
              <w:t> </w:t>
            </w:r>
          </w:p>
        </w:tc>
        <w:tc>
          <w:tcPr>
            <w:tcW w:w="1090" w:type="dxa"/>
            <w:hideMark/>
          </w:tcPr>
          <w:p w14:paraId="47C0A9BF" w14:textId="77777777" w:rsidR="009C1802" w:rsidRPr="008A648A" w:rsidRDefault="009C1802" w:rsidP="00706D0A">
            <w:pPr>
              <w:pStyle w:val="TableHeaderWhite"/>
              <w:rPr>
                <w:sz w:val="21"/>
                <w:szCs w:val="21"/>
                <w:lang w:eastAsia="en-AU"/>
              </w:rPr>
            </w:pPr>
            <w:r w:rsidRPr="008A648A">
              <w:rPr>
                <w:sz w:val="21"/>
                <w:szCs w:val="21"/>
                <w:lang w:eastAsia="en-AU"/>
              </w:rPr>
              <w:t>Direct care services</w:t>
            </w:r>
          </w:p>
        </w:tc>
        <w:tc>
          <w:tcPr>
            <w:tcW w:w="1090" w:type="dxa"/>
            <w:hideMark/>
          </w:tcPr>
          <w:p w14:paraId="453CE066" w14:textId="6AEF9D06" w:rsidR="009C1802" w:rsidRPr="008A648A" w:rsidRDefault="009C1802" w:rsidP="00706D0A">
            <w:pPr>
              <w:pStyle w:val="TableHeaderWhite"/>
              <w:rPr>
                <w:sz w:val="21"/>
                <w:szCs w:val="21"/>
                <w:lang w:eastAsia="en-AU"/>
              </w:rPr>
            </w:pPr>
            <w:r w:rsidRPr="008A648A">
              <w:rPr>
                <w:sz w:val="21"/>
                <w:szCs w:val="21"/>
                <w:lang w:eastAsia="en-AU"/>
              </w:rPr>
              <w:t>Sub-contract</w:t>
            </w:r>
            <w:r w:rsidR="008A648A" w:rsidRPr="008A648A">
              <w:rPr>
                <w:sz w:val="21"/>
                <w:szCs w:val="21"/>
                <w:lang w:eastAsia="en-AU"/>
              </w:rPr>
              <w:t>-</w:t>
            </w:r>
            <w:r w:rsidRPr="008A648A">
              <w:rPr>
                <w:sz w:val="21"/>
                <w:szCs w:val="21"/>
                <w:lang w:eastAsia="en-AU"/>
              </w:rPr>
              <w:t>ed services</w:t>
            </w:r>
          </w:p>
        </w:tc>
        <w:tc>
          <w:tcPr>
            <w:tcW w:w="1091" w:type="dxa"/>
            <w:hideMark/>
          </w:tcPr>
          <w:p w14:paraId="4B7984FE" w14:textId="538DC1F4" w:rsidR="009C1802" w:rsidRPr="008A648A" w:rsidRDefault="009C1802" w:rsidP="00706D0A">
            <w:pPr>
              <w:pStyle w:val="TableHeaderWhite"/>
              <w:rPr>
                <w:sz w:val="21"/>
                <w:szCs w:val="21"/>
                <w:lang w:eastAsia="en-AU"/>
              </w:rPr>
            </w:pPr>
            <w:r w:rsidRPr="008A648A">
              <w:rPr>
                <w:sz w:val="21"/>
                <w:szCs w:val="21"/>
                <w:lang w:eastAsia="en-AU"/>
              </w:rPr>
              <w:t>Care manage</w:t>
            </w:r>
            <w:r w:rsidR="008A648A" w:rsidRPr="008A648A">
              <w:rPr>
                <w:sz w:val="21"/>
                <w:szCs w:val="21"/>
                <w:lang w:eastAsia="en-AU"/>
              </w:rPr>
              <w:t>-</w:t>
            </w:r>
            <w:proofErr w:type="spellStart"/>
            <w:r w:rsidRPr="008A648A">
              <w:rPr>
                <w:sz w:val="21"/>
                <w:szCs w:val="21"/>
                <w:lang w:eastAsia="en-AU"/>
              </w:rPr>
              <w:t>ment</w:t>
            </w:r>
            <w:proofErr w:type="spellEnd"/>
            <w:r w:rsidRPr="008A648A">
              <w:rPr>
                <w:sz w:val="21"/>
                <w:szCs w:val="21"/>
                <w:lang w:eastAsia="en-AU"/>
              </w:rPr>
              <w:t xml:space="preserve"> service fees</w:t>
            </w:r>
          </w:p>
        </w:tc>
        <w:tc>
          <w:tcPr>
            <w:tcW w:w="1090" w:type="dxa"/>
            <w:hideMark/>
          </w:tcPr>
          <w:p w14:paraId="0FEFD93F" w14:textId="77777777" w:rsidR="009C1802" w:rsidRPr="008A648A" w:rsidRDefault="009C1802" w:rsidP="00706D0A">
            <w:pPr>
              <w:pStyle w:val="TableHeaderWhite"/>
              <w:rPr>
                <w:sz w:val="21"/>
                <w:szCs w:val="21"/>
                <w:lang w:eastAsia="en-AU"/>
              </w:rPr>
            </w:pPr>
            <w:r w:rsidRPr="008A648A">
              <w:rPr>
                <w:sz w:val="21"/>
                <w:szCs w:val="21"/>
                <w:lang w:eastAsia="en-AU"/>
              </w:rPr>
              <w:t>Package management service fees</w:t>
            </w:r>
          </w:p>
        </w:tc>
        <w:tc>
          <w:tcPr>
            <w:tcW w:w="1091" w:type="dxa"/>
            <w:hideMark/>
          </w:tcPr>
          <w:p w14:paraId="7F6DF89C" w14:textId="77777777" w:rsidR="009C1802" w:rsidRPr="008A648A" w:rsidRDefault="009C1802" w:rsidP="00706D0A">
            <w:pPr>
              <w:pStyle w:val="TableHeaderWhite"/>
              <w:rPr>
                <w:sz w:val="21"/>
                <w:szCs w:val="21"/>
                <w:lang w:eastAsia="en-AU"/>
              </w:rPr>
            </w:pPr>
            <w:r w:rsidRPr="008A648A">
              <w:rPr>
                <w:sz w:val="21"/>
                <w:szCs w:val="21"/>
                <w:lang w:eastAsia="en-AU"/>
              </w:rPr>
              <w:t>COVID-19 funding</w:t>
            </w:r>
          </w:p>
        </w:tc>
        <w:tc>
          <w:tcPr>
            <w:tcW w:w="1090" w:type="dxa"/>
            <w:hideMark/>
          </w:tcPr>
          <w:p w14:paraId="38E777C0" w14:textId="77777777" w:rsidR="009C1802" w:rsidRPr="008A648A" w:rsidRDefault="009C1802" w:rsidP="00706D0A">
            <w:pPr>
              <w:pStyle w:val="TableHeaderWhite"/>
              <w:rPr>
                <w:sz w:val="21"/>
                <w:szCs w:val="21"/>
                <w:lang w:eastAsia="en-AU"/>
              </w:rPr>
            </w:pPr>
            <w:r w:rsidRPr="008A648A">
              <w:rPr>
                <w:sz w:val="21"/>
                <w:szCs w:val="21"/>
                <w:lang w:eastAsia="en-AU"/>
              </w:rPr>
              <w:t>Other income</w:t>
            </w:r>
          </w:p>
        </w:tc>
        <w:tc>
          <w:tcPr>
            <w:tcW w:w="1091" w:type="dxa"/>
            <w:hideMark/>
          </w:tcPr>
          <w:p w14:paraId="22E9DCFD" w14:textId="77777777" w:rsidR="009C1802" w:rsidRPr="008A648A" w:rsidRDefault="009C1802" w:rsidP="00706D0A">
            <w:pPr>
              <w:pStyle w:val="TableHeaderWhite"/>
              <w:rPr>
                <w:sz w:val="21"/>
                <w:szCs w:val="21"/>
                <w:lang w:eastAsia="en-AU"/>
              </w:rPr>
            </w:pPr>
            <w:r w:rsidRPr="008A648A">
              <w:rPr>
                <w:sz w:val="21"/>
                <w:szCs w:val="21"/>
                <w:lang w:eastAsia="en-AU"/>
              </w:rPr>
              <w:t>Total</w:t>
            </w:r>
          </w:p>
        </w:tc>
      </w:tr>
      <w:tr w:rsidR="009C1802" w:rsidRPr="00D74432" w14:paraId="59853FAC" w14:textId="77777777" w:rsidTr="003F107E">
        <w:trPr>
          <w:trHeight w:val="294"/>
        </w:trPr>
        <w:tc>
          <w:tcPr>
            <w:tcW w:w="1581" w:type="dxa"/>
            <w:shd w:val="clear" w:color="auto" w:fill="D8DBDB" w:themeFill="background2" w:themeFillShade="E6"/>
            <w:noWrap/>
            <w:hideMark/>
          </w:tcPr>
          <w:p w14:paraId="3848E4EF" w14:textId="77777777" w:rsidR="009C1802" w:rsidRPr="008A648A" w:rsidRDefault="009C1802" w:rsidP="00706D0A">
            <w:pPr>
              <w:pStyle w:val="TableParagraphbold"/>
              <w:rPr>
                <w:sz w:val="21"/>
                <w:szCs w:val="21"/>
                <w:lang w:eastAsia="en-AU"/>
              </w:rPr>
            </w:pPr>
            <w:r w:rsidRPr="008A648A">
              <w:rPr>
                <w:sz w:val="21"/>
                <w:szCs w:val="21"/>
                <w:lang w:eastAsia="en-AU"/>
              </w:rPr>
              <w:t>Ownership</w:t>
            </w:r>
          </w:p>
        </w:tc>
        <w:tc>
          <w:tcPr>
            <w:tcW w:w="1090" w:type="dxa"/>
            <w:shd w:val="clear" w:color="auto" w:fill="D8DBDB" w:themeFill="background2" w:themeFillShade="E6"/>
            <w:noWrap/>
            <w:hideMark/>
          </w:tcPr>
          <w:p w14:paraId="5F837F0A"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0" w:type="dxa"/>
            <w:shd w:val="clear" w:color="auto" w:fill="D8DBDB" w:themeFill="background2" w:themeFillShade="E6"/>
            <w:noWrap/>
            <w:hideMark/>
          </w:tcPr>
          <w:p w14:paraId="52AD7C3F"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1" w:type="dxa"/>
            <w:shd w:val="clear" w:color="auto" w:fill="D8DBDB" w:themeFill="background2" w:themeFillShade="E6"/>
            <w:noWrap/>
            <w:hideMark/>
          </w:tcPr>
          <w:p w14:paraId="64846004"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0" w:type="dxa"/>
            <w:shd w:val="clear" w:color="auto" w:fill="D8DBDB" w:themeFill="background2" w:themeFillShade="E6"/>
            <w:noWrap/>
            <w:hideMark/>
          </w:tcPr>
          <w:p w14:paraId="45645F35"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1" w:type="dxa"/>
            <w:shd w:val="clear" w:color="auto" w:fill="D8DBDB" w:themeFill="background2" w:themeFillShade="E6"/>
            <w:noWrap/>
            <w:hideMark/>
          </w:tcPr>
          <w:p w14:paraId="36A5415B"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0" w:type="dxa"/>
            <w:shd w:val="clear" w:color="auto" w:fill="D8DBDB" w:themeFill="background2" w:themeFillShade="E6"/>
            <w:noWrap/>
            <w:hideMark/>
          </w:tcPr>
          <w:p w14:paraId="7CC9165F" w14:textId="77777777" w:rsidR="009C1802" w:rsidRPr="008A648A" w:rsidRDefault="009C1802" w:rsidP="00706D0A">
            <w:pPr>
              <w:pStyle w:val="TableParagraphbold"/>
              <w:rPr>
                <w:sz w:val="21"/>
                <w:szCs w:val="21"/>
                <w:lang w:eastAsia="en-AU"/>
              </w:rPr>
            </w:pPr>
            <w:r w:rsidRPr="008A648A">
              <w:rPr>
                <w:sz w:val="21"/>
                <w:szCs w:val="21"/>
                <w:lang w:eastAsia="en-AU"/>
              </w:rPr>
              <w:t> </w:t>
            </w:r>
          </w:p>
        </w:tc>
        <w:tc>
          <w:tcPr>
            <w:tcW w:w="1091" w:type="dxa"/>
            <w:shd w:val="clear" w:color="auto" w:fill="D8DBDB" w:themeFill="background2" w:themeFillShade="E6"/>
            <w:noWrap/>
            <w:hideMark/>
          </w:tcPr>
          <w:p w14:paraId="496C444E" w14:textId="77777777" w:rsidR="009C1802" w:rsidRPr="008A648A" w:rsidRDefault="009C1802" w:rsidP="00706D0A">
            <w:pPr>
              <w:pStyle w:val="TableParagraphbold"/>
              <w:rPr>
                <w:sz w:val="21"/>
                <w:szCs w:val="21"/>
                <w:lang w:eastAsia="en-AU"/>
              </w:rPr>
            </w:pPr>
            <w:r w:rsidRPr="008A648A">
              <w:rPr>
                <w:sz w:val="21"/>
                <w:szCs w:val="21"/>
                <w:lang w:eastAsia="en-AU"/>
              </w:rPr>
              <w:t> </w:t>
            </w:r>
          </w:p>
        </w:tc>
      </w:tr>
      <w:tr w:rsidR="00B24D21" w:rsidRPr="00D74432" w14:paraId="15D54C67" w14:textId="77777777" w:rsidTr="003F107E">
        <w:trPr>
          <w:trHeight w:val="294"/>
        </w:trPr>
        <w:tc>
          <w:tcPr>
            <w:tcW w:w="1581" w:type="dxa"/>
            <w:noWrap/>
            <w:hideMark/>
          </w:tcPr>
          <w:p w14:paraId="67E8936E" w14:textId="77777777" w:rsidR="00B24D21" w:rsidRPr="008A648A" w:rsidRDefault="00B24D21" w:rsidP="00B24D21">
            <w:pPr>
              <w:pStyle w:val="TableofAuthorities"/>
              <w:rPr>
                <w:rFonts w:cs="Arial"/>
                <w:szCs w:val="21"/>
                <w:lang w:eastAsia="en-AU"/>
              </w:rPr>
            </w:pPr>
            <w:r w:rsidRPr="008A648A">
              <w:rPr>
                <w:rFonts w:cs="Arial"/>
                <w:szCs w:val="21"/>
                <w:lang w:eastAsia="en-AU"/>
              </w:rPr>
              <w:t>For-profit</w:t>
            </w:r>
          </w:p>
        </w:tc>
        <w:tc>
          <w:tcPr>
            <w:tcW w:w="1090" w:type="dxa"/>
            <w:noWrap/>
            <w:vAlign w:val="top"/>
            <w:hideMark/>
          </w:tcPr>
          <w:p w14:paraId="606CDD04" w14:textId="64D314A5" w:rsidR="00B24D21" w:rsidRPr="008A648A" w:rsidRDefault="00B24D21" w:rsidP="00B24D21">
            <w:pPr>
              <w:pStyle w:val="TableofAuthorities"/>
              <w:rPr>
                <w:rFonts w:cs="Arial"/>
                <w:szCs w:val="21"/>
                <w:lang w:eastAsia="en-AU"/>
              </w:rPr>
            </w:pPr>
            <w:r w:rsidRPr="008A648A">
              <w:rPr>
                <w:rFonts w:cs="Arial"/>
                <w:szCs w:val="21"/>
              </w:rPr>
              <w:t>$26.39</w:t>
            </w:r>
          </w:p>
        </w:tc>
        <w:tc>
          <w:tcPr>
            <w:tcW w:w="1090" w:type="dxa"/>
            <w:noWrap/>
            <w:vAlign w:val="top"/>
            <w:hideMark/>
          </w:tcPr>
          <w:p w14:paraId="4B67DE89" w14:textId="7C40AA5A" w:rsidR="00B24D21" w:rsidRPr="008A648A" w:rsidRDefault="00B24D21" w:rsidP="00B24D21">
            <w:pPr>
              <w:pStyle w:val="TableofAuthorities"/>
              <w:rPr>
                <w:rFonts w:cs="Arial"/>
                <w:szCs w:val="21"/>
                <w:lang w:eastAsia="en-AU"/>
              </w:rPr>
            </w:pPr>
            <w:r w:rsidRPr="008A648A">
              <w:rPr>
                <w:rFonts w:cs="Arial"/>
                <w:szCs w:val="21"/>
              </w:rPr>
              <w:t>$16.08</w:t>
            </w:r>
          </w:p>
        </w:tc>
        <w:tc>
          <w:tcPr>
            <w:tcW w:w="1091" w:type="dxa"/>
            <w:noWrap/>
            <w:vAlign w:val="top"/>
            <w:hideMark/>
          </w:tcPr>
          <w:p w14:paraId="6AD0FFD0" w14:textId="04838F0C" w:rsidR="00B24D21" w:rsidRPr="008A648A" w:rsidRDefault="00B24D21" w:rsidP="00B24D21">
            <w:pPr>
              <w:pStyle w:val="TableofAuthorities"/>
              <w:rPr>
                <w:rFonts w:cs="Arial"/>
                <w:szCs w:val="21"/>
                <w:lang w:eastAsia="en-AU"/>
              </w:rPr>
            </w:pPr>
            <w:r w:rsidRPr="008A648A">
              <w:rPr>
                <w:rFonts w:cs="Arial"/>
                <w:szCs w:val="21"/>
              </w:rPr>
              <w:t>$9.27</w:t>
            </w:r>
          </w:p>
        </w:tc>
        <w:tc>
          <w:tcPr>
            <w:tcW w:w="1090" w:type="dxa"/>
            <w:noWrap/>
            <w:vAlign w:val="top"/>
            <w:hideMark/>
          </w:tcPr>
          <w:p w14:paraId="6EF2CACB" w14:textId="72E73063" w:rsidR="00B24D21" w:rsidRPr="008A648A" w:rsidRDefault="00B24D21" w:rsidP="00B24D21">
            <w:pPr>
              <w:pStyle w:val="TableofAuthorities"/>
              <w:rPr>
                <w:rFonts w:cs="Arial"/>
                <w:szCs w:val="21"/>
                <w:lang w:eastAsia="en-AU"/>
              </w:rPr>
            </w:pPr>
            <w:r w:rsidRPr="008A648A">
              <w:rPr>
                <w:rFonts w:cs="Arial"/>
                <w:szCs w:val="21"/>
              </w:rPr>
              <w:t>$7.15</w:t>
            </w:r>
          </w:p>
        </w:tc>
        <w:tc>
          <w:tcPr>
            <w:tcW w:w="1091" w:type="dxa"/>
            <w:noWrap/>
            <w:vAlign w:val="top"/>
            <w:hideMark/>
          </w:tcPr>
          <w:p w14:paraId="735AADE0" w14:textId="48CC7544" w:rsidR="00B24D21" w:rsidRPr="008A648A" w:rsidRDefault="00B24D21" w:rsidP="00B24D21">
            <w:pPr>
              <w:pStyle w:val="TableofAuthorities"/>
              <w:rPr>
                <w:rFonts w:cs="Arial"/>
                <w:szCs w:val="21"/>
                <w:lang w:eastAsia="en-AU"/>
              </w:rPr>
            </w:pPr>
            <w:r w:rsidRPr="008A648A">
              <w:rPr>
                <w:rFonts w:cs="Arial"/>
                <w:szCs w:val="21"/>
              </w:rPr>
              <w:t>$0.04</w:t>
            </w:r>
          </w:p>
        </w:tc>
        <w:tc>
          <w:tcPr>
            <w:tcW w:w="1090" w:type="dxa"/>
            <w:noWrap/>
            <w:vAlign w:val="top"/>
            <w:hideMark/>
          </w:tcPr>
          <w:p w14:paraId="78CD6C5F" w14:textId="44833E0E" w:rsidR="00B24D21" w:rsidRPr="008A648A" w:rsidRDefault="00B24D21" w:rsidP="00B24D21">
            <w:pPr>
              <w:pStyle w:val="TableofAuthorities"/>
              <w:rPr>
                <w:rFonts w:cs="Arial"/>
                <w:szCs w:val="21"/>
                <w:lang w:eastAsia="en-AU"/>
              </w:rPr>
            </w:pPr>
            <w:r w:rsidRPr="008A648A">
              <w:rPr>
                <w:rFonts w:cs="Arial"/>
                <w:szCs w:val="21"/>
              </w:rPr>
              <w:t>$7.87</w:t>
            </w:r>
          </w:p>
        </w:tc>
        <w:tc>
          <w:tcPr>
            <w:tcW w:w="1091" w:type="dxa"/>
            <w:noWrap/>
            <w:vAlign w:val="top"/>
            <w:hideMark/>
          </w:tcPr>
          <w:p w14:paraId="7BC37E68" w14:textId="19D1C878" w:rsidR="00B24D21" w:rsidRPr="008A648A" w:rsidRDefault="00B24D21" w:rsidP="00B24D21">
            <w:pPr>
              <w:pStyle w:val="TableofAuthorities"/>
              <w:rPr>
                <w:rFonts w:cs="Arial"/>
                <w:szCs w:val="21"/>
                <w:lang w:eastAsia="en-AU"/>
              </w:rPr>
            </w:pPr>
            <w:r w:rsidRPr="008A648A">
              <w:rPr>
                <w:rFonts w:cs="Arial"/>
                <w:szCs w:val="21"/>
              </w:rPr>
              <w:t>$66.80</w:t>
            </w:r>
          </w:p>
        </w:tc>
      </w:tr>
      <w:tr w:rsidR="00B24D21" w:rsidRPr="00D74432" w14:paraId="3F342E4E" w14:textId="77777777" w:rsidTr="003F107E">
        <w:trPr>
          <w:trHeight w:val="294"/>
        </w:trPr>
        <w:tc>
          <w:tcPr>
            <w:tcW w:w="1581" w:type="dxa"/>
            <w:noWrap/>
            <w:hideMark/>
          </w:tcPr>
          <w:p w14:paraId="32E0BF32" w14:textId="77777777" w:rsidR="00B24D21" w:rsidRPr="008A648A" w:rsidRDefault="00B24D21" w:rsidP="00B24D21">
            <w:pPr>
              <w:pStyle w:val="TableofAuthorities"/>
              <w:rPr>
                <w:rFonts w:cs="Arial"/>
                <w:szCs w:val="21"/>
                <w:lang w:eastAsia="en-AU"/>
              </w:rPr>
            </w:pPr>
            <w:r w:rsidRPr="008A648A">
              <w:rPr>
                <w:rFonts w:cs="Arial"/>
                <w:szCs w:val="21"/>
                <w:lang w:eastAsia="en-AU"/>
              </w:rPr>
              <w:t>Not-for-profit</w:t>
            </w:r>
          </w:p>
        </w:tc>
        <w:tc>
          <w:tcPr>
            <w:tcW w:w="1090" w:type="dxa"/>
            <w:noWrap/>
            <w:vAlign w:val="top"/>
            <w:hideMark/>
          </w:tcPr>
          <w:p w14:paraId="7313A858" w14:textId="64EB7869" w:rsidR="00B24D21" w:rsidRPr="008A648A" w:rsidRDefault="00B24D21" w:rsidP="00B24D21">
            <w:pPr>
              <w:pStyle w:val="TableofAuthorities"/>
              <w:rPr>
                <w:rFonts w:cs="Arial"/>
                <w:szCs w:val="21"/>
                <w:lang w:eastAsia="en-AU"/>
              </w:rPr>
            </w:pPr>
            <w:r w:rsidRPr="008A648A">
              <w:rPr>
                <w:rFonts w:cs="Arial"/>
                <w:szCs w:val="21"/>
              </w:rPr>
              <w:t>$31.20</w:t>
            </w:r>
          </w:p>
        </w:tc>
        <w:tc>
          <w:tcPr>
            <w:tcW w:w="1090" w:type="dxa"/>
            <w:noWrap/>
            <w:vAlign w:val="top"/>
            <w:hideMark/>
          </w:tcPr>
          <w:p w14:paraId="542E273D" w14:textId="538CFBC8" w:rsidR="00B24D21" w:rsidRPr="008A648A" w:rsidRDefault="00B24D21" w:rsidP="00B24D21">
            <w:pPr>
              <w:pStyle w:val="TableofAuthorities"/>
              <w:rPr>
                <w:rFonts w:cs="Arial"/>
                <w:szCs w:val="21"/>
                <w:lang w:eastAsia="en-AU"/>
              </w:rPr>
            </w:pPr>
            <w:r w:rsidRPr="008A648A">
              <w:rPr>
                <w:rFonts w:cs="Arial"/>
                <w:szCs w:val="21"/>
              </w:rPr>
              <w:t>$14.94</w:t>
            </w:r>
          </w:p>
        </w:tc>
        <w:tc>
          <w:tcPr>
            <w:tcW w:w="1091" w:type="dxa"/>
            <w:noWrap/>
            <w:vAlign w:val="top"/>
            <w:hideMark/>
          </w:tcPr>
          <w:p w14:paraId="09A41EF6" w14:textId="4964309A" w:rsidR="00B24D21" w:rsidRPr="008A648A" w:rsidRDefault="00B24D21" w:rsidP="00B24D21">
            <w:pPr>
              <w:pStyle w:val="TableofAuthorities"/>
              <w:rPr>
                <w:rFonts w:cs="Arial"/>
                <w:szCs w:val="21"/>
                <w:lang w:eastAsia="en-AU"/>
              </w:rPr>
            </w:pPr>
            <w:r w:rsidRPr="008A648A">
              <w:rPr>
                <w:rFonts w:cs="Arial"/>
                <w:szCs w:val="21"/>
              </w:rPr>
              <w:t>$12.55</w:t>
            </w:r>
          </w:p>
        </w:tc>
        <w:tc>
          <w:tcPr>
            <w:tcW w:w="1090" w:type="dxa"/>
            <w:noWrap/>
            <w:vAlign w:val="top"/>
            <w:hideMark/>
          </w:tcPr>
          <w:p w14:paraId="78448800" w14:textId="328884D1" w:rsidR="00B24D21" w:rsidRPr="008A648A" w:rsidRDefault="00B24D21" w:rsidP="00B24D21">
            <w:pPr>
              <w:pStyle w:val="TableofAuthorities"/>
              <w:rPr>
                <w:rFonts w:cs="Arial"/>
                <w:szCs w:val="21"/>
                <w:lang w:eastAsia="en-AU"/>
              </w:rPr>
            </w:pPr>
            <w:r w:rsidRPr="008A648A">
              <w:rPr>
                <w:rFonts w:cs="Arial"/>
                <w:szCs w:val="21"/>
              </w:rPr>
              <w:t>$8.09</w:t>
            </w:r>
          </w:p>
        </w:tc>
        <w:tc>
          <w:tcPr>
            <w:tcW w:w="1091" w:type="dxa"/>
            <w:noWrap/>
            <w:vAlign w:val="top"/>
            <w:hideMark/>
          </w:tcPr>
          <w:p w14:paraId="78225086" w14:textId="76C92716" w:rsidR="00B24D21" w:rsidRPr="008A648A" w:rsidRDefault="00B24D21" w:rsidP="00B24D21">
            <w:pPr>
              <w:pStyle w:val="TableofAuthorities"/>
              <w:rPr>
                <w:rFonts w:cs="Arial"/>
                <w:szCs w:val="21"/>
                <w:lang w:eastAsia="en-AU"/>
              </w:rPr>
            </w:pPr>
            <w:r w:rsidRPr="008A648A">
              <w:rPr>
                <w:rFonts w:cs="Arial"/>
                <w:szCs w:val="21"/>
              </w:rPr>
              <w:t>$0.03</w:t>
            </w:r>
          </w:p>
        </w:tc>
        <w:tc>
          <w:tcPr>
            <w:tcW w:w="1090" w:type="dxa"/>
            <w:noWrap/>
            <w:vAlign w:val="top"/>
            <w:hideMark/>
          </w:tcPr>
          <w:p w14:paraId="57780D81" w14:textId="374AEA35" w:rsidR="00B24D21" w:rsidRPr="008A648A" w:rsidRDefault="00B24D21" w:rsidP="00B24D21">
            <w:pPr>
              <w:pStyle w:val="TableofAuthorities"/>
              <w:rPr>
                <w:rFonts w:cs="Arial"/>
                <w:szCs w:val="21"/>
                <w:lang w:eastAsia="en-AU"/>
              </w:rPr>
            </w:pPr>
            <w:r w:rsidRPr="008A648A">
              <w:rPr>
                <w:rFonts w:cs="Arial"/>
                <w:szCs w:val="21"/>
              </w:rPr>
              <w:t>$1.60</w:t>
            </w:r>
          </w:p>
        </w:tc>
        <w:tc>
          <w:tcPr>
            <w:tcW w:w="1091" w:type="dxa"/>
            <w:noWrap/>
            <w:vAlign w:val="top"/>
            <w:hideMark/>
          </w:tcPr>
          <w:p w14:paraId="33AAEC33" w14:textId="57483866" w:rsidR="00B24D21" w:rsidRPr="008A648A" w:rsidRDefault="00B24D21" w:rsidP="00B24D21">
            <w:pPr>
              <w:pStyle w:val="TableofAuthorities"/>
              <w:rPr>
                <w:rFonts w:cs="Arial"/>
                <w:szCs w:val="21"/>
                <w:lang w:eastAsia="en-AU"/>
              </w:rPr>
            </w:pPr>
            <w:r w:rsidRPr="008A648A">
              <w:rPr>
                <w:rFonts w:cs="Arial"/>
                <w:szCs w:val="21"/>
              </w:rPr>
              <w:t>$68.42</w:t>
            </w:r>
          </w:p>
        </w:tc>
      </w:tr>
      <w:tr w:rsidR="00B24D21" w:rsidRPr="00D74432" w14:paraId="36950C09" w14:textId="77777777" w:rsidTr="003F107E">
        <w:trPr>
          <w:trHeight w:val="294"/>
        </w:trPr>
        <w:tc>
          <w:tcPr>
            <w:tcW w:w="1581" w:type="dxa"/>
            <w:noWrap/>
            <w:hideMark/>
          </w:tcPr>
          <w:p w14:paraId="4FE12EA4" w14:textId="77777777" w:rsidR="00B24D21" w:rsidRPr="008A648A" w:rsidRDefault="00B24D21" w:rsidP="00B24D21">
            <w:pPr>
              <w:pStyle w:val="TableofAuthorities"/>
              <w:rPr>
                <w:rFonts w:cs="Arial"/>
                <w:szCs w:val="21"/>
                <w:lang w:eastAsia="en-AU"/>
              </w:rPr>
            </w:pPr>
            <w:r w:rsidRPr="008A648A">
              <w:rPr>
                <w:rFonts w:cs="Arial"/>
                <w:szCs w:val="21"/>
                <w:lang w:eastAsia="en-AU"/>
              </w:rPr>
              <w:t>LST government</w:t>
            </w:r>
          </w:p>
        </w:tc>
        <w:tc>
          <w:tcPr>
            <w:tcW w:w="1090" w:type="dxa"/>
            <w:noWrap/>
            <w:vAlign w:val="top"/>
            <w:hideMark/>
          </w:tcPr>
          <w:p w14:paraId="0CC72E49" w14:textId="41AD9E4E" w:rsidR="00B24D21" w:rsidRPr="008A648A" w:rsidRDefault="00B24D21" w:rsidP="00B24D21">
            <w:pPr>
              <w:pStyle w:val="TableofAuthorities"/>
              <w:rPr>
                <w:rFonts w:cs="Arial"/>
                <w:szCs w:val="21"/>
                <w:lang w:eastAsia="en-AU"/>
              </w:rPr>
            </w:pPr>
            <w:r w:rsidRPr="008A648A">
              <w:rPr>
                <w:rFonts w:cs="Arial"/>
                <w:szCs w:val="21"/>
              </w:rPr>
              <w:t>$15.76</w:t>
            </w:r>
          </w:p>
        </w:tc>
        <w:tc>
          <w:tcPr>
            <w:tcW w:w="1090" w:type="dxa"/>
            <w:noWrap/>
            <w:vAlign w:val="top"/>
            <w:hideMark/>
          </w:tcPr>
          <w:p w14:paraId="50475ECA" w14:textId="3776AB46" w:rsidR="00B24D21" w:rsidRPr="008A648A" w:rsidRDefault="00B24D21" w:rsidP="00B24D21">
            <w:pPr>
              <w:pStyle w:val="TableofAuthorities"/>
              <w:rPr>
                <w:rFonts w:cs="Arial"/>
                <w:szCs w:val="21"/>
                <w:lang w:eastAsia="en-AU"/>
              </w:rPr>
            </w:pPr>
            <w:r w:rsidRPr="008A648A">
              <w:rPr>
                <w:rFonts w:cs="Arial"/>
                <w:szCs w:val="21"/>
              </w:rPr>
              <w:t>$25.33</w:t>
            </w:r>
          </w:p>
        </w:tc>
        <w:tc>
          <w:tcPr>
            <w:tcW w:w="1091" w:type="dxa"/>
            <w:noWrap/>
            <w:vAlign w:val="top"/>
            <w:hideMark/>
          </w:tcPr>
          <w:p w14:paraId="5D0C5508" w14:textId="2312D2D7" w:rsidR="00B24D21" w:rsidRPr="008A648A" w:rsidRDefault="00B24D21" w:rsidP="00B24D21">
            <w:pPr>
              <w:pStyle w:val="TableofAuthorities"/>
              <w:rPr>
                <w:rFonts w:cs="Arial"/>
                <w:szCs w:val="21"/>
                <w:lang w:eastAsia="en-AU"/>
              </w:rPr>
            </w:pPr>
            <w:r w:rsidRPr="008A648A">
              <w:rPr>
                <w:rFonts w:cs="Arial"/>
                <w:szCs w:val="21"/>
              </w:rPr>
              <w:t>$12.15</w:t>
            </w:r>
          </w:p>
        </w:tc>
        <w:tc>
          <w:tcPr>
            <w:tcW w:w="1090" w:type="dxa"/>
            <w:noWrap/>
            <w:vAlign w:val="top"/>
            <w:hideMark/>
          </w:tcPr>
          <w:p w14:paraId="3D26F217" w14:textId="45B69DCE" w:rsidR="00B24D21" w:rsidRPr="008A648A" w:rsidRDefault="00B24D21" w:rsidP="00B24D21">
            <w:pPr>
              <w:pStyle w:val="TableofAuthorities"/>
              <w:rPr>
                <w:rFonts w:cs="Arial"/>
                <w:szCs w:val="21"/>
                <w:lang w:eastAsia="en-AU"/>
              </w:rPr>
            </w:pPr>
            <w:r w:rsidRPr="008A648A">
              <w:rPr>
                <w:rFonts w:cs="Arial"/>
                <w:szCs w:val="21"/>
              </w:rPr>
              <w:t>$10.07</w:t>
            </w:r>
          </w:p>
        </w:tc>
        <w:tc>
          <w:tcPr>
            <w:tcW w:w="1091" w:type="dxa"/>
            <w:noWrap/>
            <w:vAlign w:val="top"/>
            <w:hideMark/>
          </w:tcPr>
          <w:p w14:paraId="1A22428F" w14:textId="2843FFCA" w:rsidR="00B24D21" w:rsidRPr="008A648A" w:rsidRDefault="00B24D21" w:rsidP="00B24D21">
            <w:pPr>
              <w:pStyle w:val="TableofAuthorities"/>
              <w:rPr>
                <w:rFonts w:cs="Arial"/>
                <w:szCs w:val="21"/>
                <w:lang w:eastAsia="en-AU"/>
              </w:rPr>
            </w:pPr>
            <w:r w:rsidRPr="008A648A">
              <w:rPr>
                <w:rFonts w:cs="Arial"/>
                <w:szCs w:val="21"/>
              </w:rPr>
              <w:t>$0.09</w:t>
            </w:r>
          </w:p>
        </w:tc>
        <w:tc>
          <w:tcPr>
            <w:tcW w:w="1090" w:type="dxa"/>
            <w:noWrap/>
            <w:vAlign w:val="top"/>
            <w:hideMark/>
          </w:tcPr>
          <w:p w14:paraId="2F603880" w14:textId="6F50D549" w:rsidR="00B24D21" w:rsidRPr="008A648A" w:rsidRDefault="00B24D21" w:rsidP="00B24D21">
            <w:pPr>
              <w:pStyle w:val="TableofAuthorities"/>
              <w:rPr>
                <w:rFonts w:cs="Arial"/>
                <w:szCs w:val="21"/>
                <w:lang w:eastAsia="en-AU"/>
              </w:rPr>
            </w:pPr>
            <w:r w:rsidRPr="008A648A">
              <w:rPr>
                <w:rFonts w:cs="Arial"/>
                <w:szCs w:val="21"/>
              </w:rPr>
              <w:t>$0.94</w:t>
            </w:r>
          </w:p>
        </w:tc>
        <w:tc>
          <w:tcPr>
            <w:tcW w:w="1091" w:type="dxa"/>
            <w:noWrap/>
            <w:vAlign w:val="top"/>
            <w:hideMark/>
          </w:tcPr>
          <w:p w14:paraId="19644418" w14:textId="7D41AE66" w:rsidR="00B24D21" w:rsidRPr="008A648A" w:rsidRDefault="00B24D21" w:rsidP="00B24D21">
            <w:pPr>
              <w:pStyle w:val="TableofAuthorities"/>
              <w:rPr>
                <w:rFonts w:cs="Arial"/>
                <w:szCs w:val="21"/>
                <w:lang w:eastAsia="en-AU"/>
              </w:rPr>
            </w:pPr>
            <w:r w:rsidRPr="008A648A">
              <w:rPr>
                <w:rFonts w:cs="Arial"/>
                <w:szCs w:val="21"/>
              </w:rPr>
              <w:t>$64.33</w:t>
            </w:r>
          </w:p>
        </w:tc>
      </w:tr>
      <w:tr w:rsidR="00B24D21" w:rsidRPr="00D74432" w14:paraId="38510FF2" w14:textId="77777777" w:rsidTr="003F107E">
        <w:trPr>
          <w:trHeight w:val="294"/>
        </w:trPr>
        <w:tc>
          <w:tcPr>
            <w:tcW w:w="1581" w:type="dxa"/>
            <w:shd w:val="clear" w:color="auto" w:fill="D8DBDB" w:themeFill="background2" w:themeFillShade="E6"/>
            <w:noWrap/>
            <w:hideMark/>
          </w:tcPr>
          <w:p w14:paraId="0EFB7B68" w14:textId="77777777" w:rsidR="00B24D21" w:rsidRPr="008A648A" w:rsidRDefault="00B24D21" w:rsidP="00706D0A">
            <w:pPr>
              <w:pStyle w:val="TableParagraphbold"/>
              <w:rPr>
                <w:sz w:val="21"/>
                <w:szCs w:val="21"/>
                <w:lang w:eastAsia="en-AU"/>
              </w:rPr>
            </w:pPr>
            <w:r w:rsidRPr="008A648A">
              <w:rPr>
                <w:sz w:val="21"/>
                <w:szCs w:val="21"/>
                <w:lang w:eastAsia="en-AU"/>
              </w:rPr>
              <w:t>Location</w:t>
            </w:r>
          </w:p>
        </w:tc>
        <w:tc>
          <w:tcPr>
            <w:tcW w:w="1090" w:type="dxa"/>
            <w:shd w:val="clear" w:color="auto" w:fill="D8DBDB" w:themeFill="background2" w:themeFillShade="E6"/>
            <w:noWrap/>
            <w:vAlign w:val="top"/>
            <w:hideMark/>
          </w:tcPr>
          <w:p w14:paraId="60B9F8DB" w14:textId="785283A7"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598CCC9D" w14:textId="10919568"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099281D3" w14:textId="3C1D7473"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548B2683" w14:textId="5109260F"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79514588" w14:textId="6705F5D3"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3DE5595C" w14:textId="6AB47A77"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22A1E814" w14:textId="28CB06C4" w:rsidR="00B24D21" w:rsidRPr="008A648A" w:rsidRDefault="00B24D21" w:rsidP="00706D0A">
            <w:pPr>
              <w:pStyle w:val="TableParagraphbold"/>
              <w:rPr>
                <w:sz w:val="21"/>
                <w:szCs w:val="21"/>
                <w:lang w:eastAsia="en-AU"/>
              </w:rPr>
            </w:pPr>
          </w:p>
        </w:tc>
      </w:tr>
      <w:tr w:rsidR="00B24D21" w:rsidRPr="00D74432" w14:paraId="16704CBB" w14:textId="77777777" w:rsidTr="003F107E">
        <w:trPr>
          <w:trHeight w:val="294"/>
        </w:trPr>
        <w:tc>
          <w:tcPr>
            <w:tcW w:w="1581" w:type="dxa"/>
            <w:noWrap/>
            <w:hideMark/>
          </w:tcPr>
          <w:p w14:paraId="18DD9819" w14:textId="77777777" w:rsidR="00B24D21" w:rsidRPr="008A648A" w:rsidRDefault="00B24D21" w:rsidP="00B24D21">
            <w:pPr>
              <w:pStyle w:val="TableofAuthorities"/>
              <w:rPr>
                <w:rFonts w:cs="Arial"/>
                <w:szCs w:val="21"/>
                <w:lang w:eastAsia="en-AU"/>
              </w:rPr>
            </w:pPr>
            <w:r w:rsidRPr="008A648A">
              <w:rPr>
                <w:rFonts w:cs="Arial"/>
                <w:szCs w:val="21"/>
                <w:lang w:eastAsia="en-AU"/>
              </w:rPr>
              <w:t>Metropolitan</w:t>
            </w:r>
          </w:p>
        </w:tc>
        <w:tc>
          <w:tcPr>
            <w:tcW w:w="1090" w:type="dxa"/>
            <w:noWrap/>
            <w:vAlign w:val="top"/>
            <w:hideMark/>
          </w:tcPr>
          <w:p w14:paraId="0820C11D" w14:textId="4EDBFD11" w:rsidR="00B24D21" w:rsidRPr="008A648A" w:rsidRDefault="00B24D21" w:rsidP="00B24D21">
            <w:pPr>
              <w:pStyle w:val="TableofAuthorities"/>
              <w:rPr>
                <w:rFonts w:cs="Arial"/>
                <w:szCs w:val="21"/>
                <w:lang w:eastAsia="en-AU"/>
              </w:rPr>
            </w:pPr>
            <w:r w:rsidRPr="008A648A">
              <w:rPr>
                <w:rFonts w:cs="Arial"/>
                <w:szCs w:val="21"/>
              </w:rPr>
              <w:t>$28.58</w:t>
            </w:r>
          </w:p>
        </w:tc>
        <w:tc>
          <w:tcPr>
            <w:tcW w:w="1090" w:type="dxa"/>
            <w:noWrap/>
            <w:vAlign w:val="top"/>
            <w:hideMark/>
          </w:tcPr>
          <w:p w14:paraId="6B9D3AB1" w14:textId="4FB3C4FB" w:rsidR="00B24D21" w:rsidRPr="008A648A" w:rsidRDefault="00B24D21" w:rsidP="00B24D21">
            <w:pPr>
              <w:pStyle w:val="TableofAuthorities"/>
              <w:rPr>
                <w:rFonts w:cs="Arial"/>
                <w:szCs w:val="21"/>
                <w:lang w:eastAsia="en-AU"/>
              </w:rPr>
            </w:pPr>
            <w:r w:rsidRPr="008A648A">
              <w:rPr>
                <w:rFonts w:cs="Arial"/>
                <w:szCs w:val="21"/>
              </w:rPr>
              <w:t>$16.42</w:t>
            </w:r>
          </w:p>
        </w:tc>
        <w:tc>
          <w:tcPr>
            <w:tcW w:w="1091" w:type="dxa"/>
            <w:noWrap/>
            <w:vAlign w:val="top"/>
            <w:hideMark/>
          </w:tcPr>
          <w:p w14:paraId="09E18B3F" w14:textId="00114BF0" w:rsidR="00B24D21" w:rsidRPr="008A648A" w:rsidRDefault="00B24D21" w:rsidP="00B24D21">
            <w:pPr>
              <w:pStyle w:val="TableofAuthorities"/>
              <w:rPr>
                <w:rFonts w:cs="Arial"/>
                <w:szCs w:val="21"/>
                <w:lang w:eastAsia="en-AU"/>
              </w:rPr>
            </w:pPr>
            <w:r w:rsidRPr="008A648A">
              <w:rPr>
                <w:rFonts w:cs="Arial"/>
                <w:szCs w:val="21"/>
              </w:rPr>
              <w:t>$11.06</w:t>
            </w:r>
          </w:p>
        </w:tc>
        <w:tc>
          <w:tcPr>
            <w:tcW w:w="1090" w:type="dxa"/>
            <w:noWrap/>
            <w:vAlign w:val="top"/>
            <w:hideMark/>
          </w:tcPr>
          <w:p w14:paraId="2CA79594" w14:textId="792031AA" w:rsidR="00B24D21" w:rsidRPr="008A648A" w:rsidRDefault="00B24D21" w:rsidP="00B24D21">
            <w:pPr>
              <w:pStyle w:val="TableofAuthorities"/>
              <w:rPr>
                <w:rFonts w:cs="Arial"/>
                <w:szCs w:val="21"/>
                <w:lang w:eastAsia="en-AU"/>
              </w:rPr>
            </w:pPr>
            <w:r w:rsidRPr="008A648A">
              <w:rPr>
                <w:rFonts w:cs="Arial"/>
                <w:szCs w:val="21"/>
              </w:rPr>
              <w:t>$7.93</w:t>
            </w:r>
          </w:p>
        </w:tc>
        <w:tc>
          <w:tcPr>
            <w:tcW w:w="1091" w:type="dxa"/>
            <w:noWrap/>
            <w:vAlign w:val="top"/>
            <w:hideMark/>
          </w:tcPr>
          <w:p w14:paraId="34221041" w14:textId="1B4D406D" w:rsidR="00B24D21" w:rsidRPr="008A648A" w:rsidRDefault="00B24D21" w:rsidP="00B24D21">
            <w:pPr>
              <w:pStyle w:val="TableofAuthorities"/>
              <w:rPr>
                <w:rFonts w:cs="Arial"/>
                <w:szCs w:val="21"/>
                <w:lang w:eastAsia="en-AU"/>
              </w:rPr>
            </w:pPr>
            <w:r w:rsidRPr="008A648A">
              <w:rPr>
                <w:rFonts w:cs="Arial"/>
                <w:szCs w:val="21"/>
              </w:rPr>
              <w:t>$0.04</w:t>
            </w:r>
          </w:p>
        </w:tc>
        <w:tc>
          <w:tcPr>
            <w:tcW w:w="1090" w:type="dxa"/>
            <w:noWrap/>
            <w:vAlign w:val="top"/>
            <w:hideMark/>
          </w:tcPr>
          <w:p w14:paraId="19D65E04" w14:textId="7C0FCD1D" w:rsidR="00B24D21" w:rsidRPr="008A648A" w:rsidRDefault="00B24D21" w:rsidP="00B24D21">
            <w:pPr>
              <w:pStyle w:val="TableofAuthorities"/>
              <w:rPr>
                <w:rFonts w:cs="Arial"/>
                <w:szCs w:val="21"/>
                <w:lang w:eastAsia="en-AU"/>
              </w:rPr>
            </w:pPr>
            <w:r w:rsidRPr="008A648A">
              <w:rPr>
                <w:rFonts w:cs="Arial"/>
                <w:szCs w:val="21"/>
              </w:rPr>
              <w:t>$5.18</w:t>
            </w:r>
          </w:p>
        </w:tc>
        <w:tc>
          <w:tcPr>
            <w:tcW w:w="1091" w:type="dxa"/>
            <w:noWrap/>
            <w:vAlign w:val="top"/>
            <w:hideMark/>
          </w:tcPr>
          <w:p w14:paraId="4FE16F1B" w14:textId="08FC54C6" w:rsidR="00B24D21" w:rsidRPr="008A648A" w:rsidRDefault="00B24D21" w:rsidP="00B24D21">
            <w:pPr>
              <w:pStyle w:val="TableofAuthorities"/>
              <w:rPr>
                <w:rFonts w:cs="Arial"/>
                <w:szCs w:val="21"/>
                <w:lang w:eastAsia="en-AU"/>
              </w:rPr>
            </w:pPr>
            <w:r w:rsidRPr="008A648A">
              <w:rPr>
                <w:rFonts w:cs="Arial"/>
                <w:szCs w:val="21"/>
              </w:rPr>
              <w:t>$69.21</w:t>
            </w:r>
          </w:p>
        </w:tc>
      </w:tr>
      <w:tr w:rsidR="00B24D21" w:rsidRPr="00D74432" w14:paraId="01B91076" w14:textId="77777777" w:rsidTr="003F107E">
        <w:trPr>
          <w:trHeight w:val="294"/>
        </w:trPr>
        <w:tc>
          <w:tcPr>
            <w:tcW w:w="1581" w:type="dxa"/>
            <w:noWrap/>
            <w:hideMark/>
          </w:tcPr>
          <w:p w14:paraId="6D3C6751" w14:textId="77777777" w:rsidR="00B24D21" w:rsidRPr="008A648A" w:rsidRDefault="00B24D21" w:rsidP="00B24D21">
            <w:pPr>
              <w:pStyle w:val="TableofAuthorities"/>
              <w:rPr>
                <w:rFonts w:cs="Arial"/>
                <w:szCs w:val="21"/>
                <w:lang w:eastAsia="en-AU"/>
              </w:rPr>
            </w:pPr>
            <w:r w:rsidRPr="008A648A">
              <w:rPr>
                <w:rFonts w:cs="Arial"/>
                <w:szCs w:val="21"/>
                <w:lang w:eastAsia="en-AU"/>
              </w:rPr>
              <w:t>Regional</w:t>
            </w:r>
          </w:p>
        </w:tc>
        <w:tc>
          <w:tcPr>
            <w:tcW w:w="1090" w:type="dxa"/>
            <w:noWrap/>
            <w:vAlign w:val="top"/>
            <w:hideMark/>
          </w:tcPr>
          <w:p w14:paraId="41546FE8" w14:textId="478640E9" w:rsidR="00B24D21" w:rsidRPr="008A648A" w:rsidRDefault="00B24D21" w:rsidP="00B24D21">
            <w:pPr>
              <w:pStyle w:val="TableofAuthorities"/>
              <w:rPr>
                <w:rFonts w:cs="Arial"/>
                <w:szCs w:val="21"/>
                <w:lang w:eastAsia="en-AU"/>
              </w:rPr>
            </w:pPr>
            <w:r w:rsidRPr="008A648A">
              <w:rPr>
                <w:rFonts w:cs="Arial"/>
                <w:szCs w:val="21"/>
              </w:rPr>
              <w:t>$26.97</w:t>
            </w:r>
          </w:p>
        </w:tc>
        <w:tc>
          <w:tcPr>
            <w:tcW w:w="1090" w:type="dxa"/>
            <w:noWrap/>
            <w:vAlign w:val="top"/>
            <w:hideMark/>
          </w:tcPr>
          <w:p w14:paraId="5F55FD42" w14:textId="1864F8C8" w:rsidR="00B24D21" w:rsidRPr="008A648A" w:rsidRDefault="00B24D21" w:rsidP="00B24D21">
            <w:pPr>
              <w:pStyle w:val="TableofAuthorities"/>
              <w:rPr>
                <w:rFonts w:cs="Arial"/>
                <w:szCs w:val="21"/>
                <w:lang w:eastAsia="en-AU"/>
              </w:rPr>
            </w:pPr>
            <w:r w:rsidRPr="008A648A">
              <w:rPr>
                <w:rFonts w:cs="Arial"/>
                <w:szCs w:val="21"/>
              </w:rPr>
              <w:t>$14.44</w:t>
            </w:r>
          </w:p>
        </w:tc>
        <w:tc>
          <w:tcPr>
            <w:tcW w:w="1091" w:type="dxa"/>
            <w:noWrap/>
            <w:vAlign w:val="top"/>
            <w:hideMark/>
          </w:tcPr>
          <w:p w14:paraId="00E1AEFD" w14:textId="0BA3E511" w:rsidR="00B24D21" w:rsidRPr="008A648A" w:rsidRDefault="00B24D21" w:rsidP="00B24D21">
            <w:pPr>
              <w:pStyle w:val="TableofAuthorities"/>
              <w:rPr>
                <w:rFonts w:cs="Arial"/>
                <w:szCs w:val="21"/>
                <w:lang w:eastAsia="en-AU"/>
              </w:rPr>
            </w:pPr>
            <w:r w:rsidRPr="008A648A">
              <w:rPr>
                <w:rFonts w:cs="Arial"/>
                <w:szCs w:val="21"/>
              </w:rPr>
              <w:t>$11.89</w:t>
            </w:r>
          </w:p>
        </w:tc>
        <w:tc>
          <w:tcPr>
            <w:tcW w:w="1090" w:type="dxa"/>
            <w:noWrap/>
            <w:vAlign w:val="top"/>
            <w:hideMark/>
          </w:tcPr>
          <w:p w14:paraId="6D02C380" w14:textId="3344F745" w:rsidR="00B24D21" w:rsidRPr="008A648A" w:rsidRDefault="00B24D21" w:rsidP="00B24D21">
            <w:pPr>
              <w:pStyle w:val="TableofAuthorities"/>
              <w:rPr>
                <w:rFonts w:cs="Arial"/>
                <w:szCs w:val="21"/>
                <w:lang w:eastAsia="en-AU"/>
              </w:rPr>
            </w:pPr>
            <w:r w:rsidRPr="008A648A">
              <w:rPr>
                <w:rFonts w:cs="Arial"/>
                <w:szCs w:val="21"/>
              </w:rPr>
              <w:t>$7.29</w:t>
            </w:r>
          </w:p>
        </w:tc>
        <w:tc>
          <w:tcPr>
            <w:tcW w:w="1091" w:type="dxa"/>
            <w:noWrap/>
            <w:vAlign w:val="top"/>
            <w:hideMark/>
          </w:tcPr>
          <w:p w14:paraId="1E12EA0F" w14:textId="572341A0" w:rsidR="00B24D21" w:rsidRPr="008A648A" w:rsidRDefault="00B24D21" w:rsidP="00B24D21">
            <w:pPr>
              <w:pStyle w:val="TableofAuthorities"/>
              <w:rPr>
                <w:rFonts w:cs="Arial"/>
                <w:szCs w:val="21"/>
                <w:lang w:eastAsia="en-AU"/>
              </w:rPr>
            </w:pPr>
            <w:r w:rsidRPr="008A648A">
              <w:rPr>
                <w:rFonts w:cs="Arial"/>
                <w:szCs w:val="21"/>
              </w:rPr>
              <w:t>$0.05</w:t>
            </w:r>
          </w:p>
        </w:tc>
        <w:tc>
          <w:tcPr>
            <w:tcW w:w="1090" w:type="dxa"/>
            <w:noWrap/>
            <w:vAlign w:val="top"/>
            <w:hideMark/>
          </w:tcPr>
          <w:p w14:paraId="56A9F752" w14:textId="62866342" w:rsidR="00B24D21" w:rsidRPr="008A648A" w:rsidRDefault="00B24D21" w:rsidP="00B24D21">
            <w:pPr>
              <w:pStyle w:val="TableofAuthorities"/>
              <w:rPr>
                <w:rFonts w:cs="Arial"/>
                <w:szCs w:val="21"/>
                <w:lang w:eastAsia="en-AU"/>
              </w:rPr>
            </w:pPr>
            <w:r w:rsidRPr="008A648A">
              <w:rPr>
                <w:rFonts w:cs="Arial"/>
                <w:szCs w:val="21"/>
              </w:rPr>
              <w:t>$1.24</w:t>
            </w:r>
          </w:p>
        </w:tc>
        <w:tc>
          <w:tcPr>
            <w:tcW w:w="1091" w:type="dxa"/>
            <w:noWrap/>
            <w:vAlign w:val="top"/>
            <w:hideMark/>
          </w:tcPr>
          <w:p w14:paraId="5181F5A1" w14:textId="45BADDB2" w:rsidR="00B24D21" w:rsidRPr="008A648A" w:rsidRDefault="00B24D21" w:rsidP="00B24D21">
            <w:pPr>
              <w:pStyle w:val="TableofAuthorities"/>
              <w:rPr>
                <w:rFonts w:cs="Arial"/>
                <w:szCs w:val="21"/>
                <w:lang w:eastAsia="en-AU"/>
              </w:rPr>
            </w:pPr>
            <w:r w:rsidRPr="008A648A">
              <w:rPr>
                <w:rFonts w:cs="Arial"/>
                <w:szCs w:val="21"/>
              </w:rPr>
              <w:t>$61.89</w:t>
            </w:r>
          </w:p>
        </w:tc>
      </w:tr>
      <w:tr w:rsidR="00B24D21" w:rsidRPr="00D74432" w14:paraId="50D56DF5" w14:textId="77777777" w:rsidTr="003F107E">
        <w:trPr>
          <w:trHeight w:val="294"/>
        </w:trPr>
        <w:tc>
          <w:tcPr>
            <w:tcW w:w="1581" w:type="dxa"/>
            <w:noWrap/>
            <w:hideMark/>
          </w:tcPr>
          <w:p w14:paraId="33B932B8" w14:textId="77777777" w:rsidR="00B24D21" w:rsidRPr="008A648A" w:rsidRDefault="00B24D21" w:rsidP="00B24D21">
            <w:pPr>
              <w:pStyle w:val="TableofAuthorities"/>
              <w:rPr>
                <w:rFonts w:cs="Arial"/>
                <w:szCs w:val="21"/>
                <w:lang w:eastAsia="en-AU"/>
              </w:rPr>
            </w:pPr>
            <w:r w:rsidRPr="008A648A">
              <w:rPr>
                <w:rFonts w:cs="Arial"/>
                <w:szCs w:val="21"/>
                <w:lang w:eastAsia="en-AU"/>
              </w:rPr>
              <w:t>Metropolitan and regional</w:t>
            </w:r>
          </w:p>
        </w:tc>
        <w:tc>
          <w:tcPr>
            <w:tcW w:w="1090" w:type="dxa"/>
            <w:noWrap/>
            <w:vAlign w:val="top"/>
            <w:hideMark/>
          </w:tcPr>
          <w:p w14:paraId="62DB8AFF" w14:textId="6F4E8D60" w:rsidR="00B24D21" w:rsidRPr="008A648A" w:rsidRDefault="00B24D21" w:rsidP="00B24D21">
            <w:pPr>
              <w:pStyle w:val="TableofAuthorities"/>
              <w:rPr>
                <w:rFonts w:cs="Arial"/>
                <w:szCs w:val="21"/>
                <w:lang w:eastAsia="en-AU"/>
              </w:rPr>
            </w:pPr>
            <w:r w:rsidRPr="008A648A">
              <w:rPr>
                <w:rFonts w:cs="Arial"/>
                <w:szCs w:val="21"/>
              </w:rPr>
              <w:t>$31.08</w:t>
            </w:r>
          </w:p>
        </w:tc>
        <w:tc>
          <w:tcPr>
            <w:tcW w:w="1090" w:type="dxa"/>
            <w:noWrap/>
            <w:vAlign w:val="top"/>
            <w:hideMark/>
          </w:tcPr>
          <w:p w14:paraId="1B70346D" w14:textId="19D98442" w:rsidR="00B24D21" w:rsidRPr="008A648A" w:rsidRDefault="00B24D21" w:rsidP="00B24D21">
            <w:pPr>
              <w:pStyle w:val="TableofAuthorities"/>
              <w:rPr>
                <w:rFonts w:cs="Arial"/>
                <w:szCs w:val="21"/>
                <w:lang w:eastAsia="en-AU"/>
              </w:rPr>
            </w:pPr>
            <w:r w:rsidRPr="008A648A">
              <w:rPr>
                <w:rFonts w:cs="Arial"/>
                <w:szCs w:val="21"/>
              </w:rPr>
              <w:t>$15.36</w:t>
            </w:r>
          </w:p>
        </w:tc>
        <w:tc>
          <w:tcPr>
            <w:tcW w:w="1091" w:type="dxa"/>
            <w:noWrap/>
            <w:vAlign w:val="top"/>
            <w:hideMark/>
          </w:tcPr>
          <w:p w14:paraId="3A9800A1" w14:textId="2C0AC687" w:rsidR="00B24D21" w:rsidRPr="008A648A" w:rsidRDefault="00B24D21" w:rsidP="00B24D21">
            <w:pPr>
              <w:pStyle w:val="TableofAuthorities"/>
              <w:rPr>
                <w:rFonts w:cs="Arial"/>
                <w:szCs w:val="21"/>
                <w:lang w:eastAsia="en-AU"/>
              </w:rPr>
            </w:pPr>
            <w:r w:rsidRPr="008A648A">
              <w:rPr>
                <w:rFonts w:cs="Arial"/>
                <w:szCs w:val="21"/>
              </w:rPr>
              <w:t>$12.07</w:t>
            </w:r>
          </w:p>
        </w:tc>
        <w:tc>
          <w:tcPr>
            <w:tcW w:w="1090" w:type="dxa"/>
            <w:noWrap/>
            <w:vAlign w:val="top"/>
            <w:hideMark/>
          </w:tcPr>
          <w:p w14:paraId="745D01D1" w14:textId="208F5821" w:rsidR="00B24D21" w:rsidRPr="008A648A" w:rsidRDefault="00B24D21" w:rsidP="00B24D21">
            <w:pPr>
              <w:pStyle w:val="TableofAuthorities"/>
              <w:rPr>
                <w:rFonts w:cs="Arial"/>
                <w:szCs w:val="21"/>
                <w:lang w:eastAsia="en-AU"/>
              </w:rPr>
            </w:pPr>
            <w:r w:rsidRPr="008A648A">
              <w:rPr>
                <w:rFonts w:cs="Arial"/>
                <w:szCs w:val="21"/>
              </w:rPr>
              <w:t>$8.25</w:t>
            </w:r>
          </w:p>
        </w:tc>
        <w:tc>
          <w:tcPr>
            <w:tcW w:w="1091" w:type="dxa"/>
            <w:noWrap/>
            <w:vAlign w:val="top"/>
            <w:hideMark/>
          </w:tcPr>
          <w:p w14:paraId="2F1BAD42" w14:textId="20C81382" w:rsidR="00B24D21" w:rsidRPr="008A648A" w:rsidRDefault="00B24D21" w:rsidP="00B24D21">
            <w:pPr>
              <w:pStyle w:val="TableofAuthorities"/>
              <w:rPr>
                <w:rFonts w:cs="Arial"/>
                <w:szCs w:val="21"/>
                <w:lang w:eastAsia="en-AU"/>
              </w:rPr>
            </w:pPr>
            <w:r w:rsidRPr="008A648A">
              <w:rPr>
                <w:rFonts w:cs="Arial"/>
                <w:szCs w:val="21"/>
              </w:rPr>
              <w:t>$0.02</w:t>
            </w:r>
          </w:p>
        </w:tc>
        <w:tc>
          <w:tcPr>
            <w:tcW w:w="1090" w:type="dxa"/>
            <w:noWrap/>
            <w:vAlign w:val="top"/>
            <w:hideMark/>
          </w:tcPr>
          <w:p w14:paraId="53D27A0B" w14:textId="6184959D" w:rsidR="00B24D21" w:rsidRPr="008A648A" w:rsidRDefault="00B24D21" w:rsidP="00B24D21">
            <w:pPr>
              <w:pStyle w:val="TableofAuthorities"/>
              <w:rPr>
                <w:rFonts w:cs="Arial"/>
                <w:szCs w:val="21"/>
                <w:lang w:eastAsia="en-AU"/>
              </w:rPr>
            </w:pPr>
            <w:r w:rsidRPr="008A648A">
              <w:rPr>
                <w:rFonts w:cs="Arial"/>
                <w:szCs w:val="21"/>
              </w:rPr>
              <w:t>$1.06</w:t>
            </w:r>
          </w:p>
        </w:tc>
        <w:tc>
          <w:tcPr>
            <w:tcW w:w="1091" w:type="dxa"/>
            <w:noWrap/>
            <w:vAlign w:val="top"/>
            <w:hideMark/>
          </w:tcPr>
          <w:p w14:paraId="4CA0D342" w14:textId="00232D7C" w:rsidR="00B24D21" w:rsidRPr="008A648A" w:rsidRDefault="00B24D21" w:rsidP="00B24D21">
            <w:pPr>
              <w:pStyle w:val="TableofAuthorities"/>
              <w:rPr>
                <w:rFonts w:cs="Arial"/>
                <w:szCs w:val="21"/>
                <w:lang w:eastAsia="en-AU"/>
              </w:rPr>
            </w:pPr>
            <w:r w:rsidRPr="008A648A">
              <w:rPr>
                <w:rFonts w:cs="Arial"/>
                <w:szCs w:val="21"/>
              </w:rPr>
              <w:t>$67.83</w:t>
            </w:r>
          </w:p>
        </w:tc>
      </w:tr>
      <w:tr w:rsidR="00B24D21" w:rsidRPr="00D74432" w14:paraId="6D6054FC" w14:textId="77777777" w:rsidTr="003F107E">
        <w:trPr>
          <w:trHeight w:val="294"/>
        </w:trPr>
        <w:tc>
          <w:tcPr>
            <w:tcW w:w="1581" w:type="dxa"/>
            <w:shd w:val="clear" w:color="auto" w:fill="D8DBDB" w:themeFill="background2" w:themeFillShade="E6"/>
            <w:noWrap/>
            <w:hideMark/>
          </w:tcPr>
          <w:p w14:paraId="26E827D2" w14:textId="77777777" w:rsidR="00B24D21" w:rsidRPr="008A648A" w:rsidRDefault="00B24D21" w:rsidP="00706D0A">
            <w:pPr>
              <w:pStyle w:val="TableParagraphbold"/>
              <w:rPr>
                <w:sz w:val="21"/>
                <w:szCs w:val="21"/>
                <w:lang w:eastAsia="en-AU"/>
              </w:rPr>
            </w:pPr>
            <w:r w:rsidRPr="008A648A">
              <w:rPr>
                <w:sz w:val="21"/>
                <w:szCs w:val="21"/>
                <w:lang w:eastAsia="en-AU"/>
              </w:rPr>
              <w:t>Scale</w:t>
            </w:r>
          </w:p>
        </w:tc>
        <w:tc>
          <w:tcPr>
            <w:tcW w:w="1090" w:type="dxa"/>
            <w:shd w:val="clear" w:color="auto" w:fill="D8DBDB" w:themeFill="background2" w:themeFillShade="E6"/>
            <w:noWrap/>
            <w:vAlign w:val="top"/>
            <w:hideMark/>
          </w:tcPr>
          <w:p w14:paraId="334C78A2" w14:textId="33AB8A83"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17BCB46C" w14:textId="56ED8886"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3D625758" w14:textId="719B5AB6"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00BDA915" w14:textId="6FF3F6BE"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070C4381" w14:textId="7D4DD653" w:rsidR="00B24D21" w:rsidRPr="008A648A" w:rsidRDefault="00B24D21" w:rsidP="00706D0A">
            <w:pPr>
              <w:pStyle w:val="TableParagraphbold"/>
              <w:rPr>
                <w:sz w:val="21"/>
                <w:szCs w:val="21"/>
                <w:lang w:eastAsia="en-AU"/>
              </w:rPr>
            </w:pPr>
          </w:p>
        </w:tc>
        <w:tc>
          <w:tcPr>
            <w:tcW w:w="1090" w:type="dxa"/>
            <w:shd w:val="clear" w:color="auto" w:fill="D8DBDB" w:themeFill="background2" w:themeFillShade="E6"/>
            <w:noWrap/>
            <w:vAlign w:val="top"/>
            <w:hideMark/>
          </w:tcPr>
          <w:p w14:paraId="7C865A2B" w14:textId="2E241F5F" w:rsidR="00B24D21" w:rsidRPr="008A648A" w:rsidRDefault="00B24D21" w:rsidP="00706D0A">
            <w:pPr>
              <w:pStyle w:val="TableParagraphbold"/>
              <w:rPr>
                <w:sz w:val="21"/>
                <w:szCs w:val="21"/>
                <w:lang w:eastAsia="en-AU"/>
              </w:rPr>
            </w:pPr>
          </w:p>
        </w:tc>
        <w:tc>
          <w:tcPr>
            <w:tcW w:w="1091" w:type="dxa"/>
            <w:shd w:val="clear" w:color="auto" w:fill="D8DBDB" w:themeFill="background2" w:themeFillShade="E6"/>
            <w:noWrap/>
            <w:vAlign w:val="top"/>
            <w:hideMark/>
          </w:tcPr>
          <w:p w14:paraId="493E12B4" w14:textId="3AD444AC" w:rsidR="00B24D21" w:rsidRPr="008A648A" w:rsidRDefault="00B24D21" w:rsidP="00706D0A">
            <w:pPr>
              <w:pStyle w:val="TableParagraphbold"/>
              <w:rPr>
                <w:sz w:val="21"/>
                <w:szCs w:val="21"/>
                <w:lang w:eastAsia="en-AU"/>
              </w:rPr>
            </w:pPr>
          </w:p>
        </w:tc>
      </w:tr>
      <w:tr w:rsidR="00B24D21" w:rsidRPr="00D74432" w14:paraId="7C7EDD8E" w14:textId="77777777" w:rsidTr="003F107E">
        <w:trPr>
          <w:trHeight w:val="294"/>
        </w:trPr>
        <w:tc>
          <w:tcPr>
            <w:tcW w:w="1581" w:type="dxa"/>
            <w:noWrap/>
            <w:hideMark/>
          </w:tcPr>
          <w:p w14:paraId="23A94055" w14:textId="77777777" w:rsidR="00B24D21" w:rsidRPr="008A648A" w:rsidRDefault="00B24D21" w:rsidP="00B24D21">
            <w:pPr>
              <w:pStyle w:val="TableofAuthorities"/>
              <w:rPr>
                <w:rFonts w:cs="Arial"/>
                <w:szCs w:val="21"/>
                <w:lang w:eastAsia="en-AU"/>
              </w:rPr>
            </w:pPr>
            <w:r w:rsidRPr="008A648A">
              <w:rPr>
                <w:rFonts w:cs="Arial"/>
                <w:szCs w:val="21"/>
                <w:lang w:eastAsia="en-AU"/>
              </w:rPr>
              <w:t>Single service</w:t>
            </w:r>
          </w:p>
        </w:tc>
        <w:tc>
          <w:tcPr>
            <w:tcW w:w="1090" w:type="dxa"/>
            <w:noWrap/>
            <w:vAlign w:val="top"/>
            <w:hideMark/>
          </w:tcPr>
          <w:p w14:paraId="2F15CF3A" w14:textId="40F14442" w:rsidR="00B24D21" w:rsidRPr="008A648A" w:rsidRDefault="00B24D21" w:rsidP="00B24D21">
            <w:pPr>
              <w:pStyle w:val="TableofAuthorities"/>
              <w:rPr>
                <w:rFonts w:cs="Arial"/>
                <w:szCs w:val="21"/>
                <w:lang w:eastAsia="en-AU"/>
              </w:rPr>
            </w:pPr>
            <w:r w:rsidRPr="008A648A">
              <w:rPr>
                <w:rFonts w:cs="Arial"/>
                <w:szCs w:val="21"/>
              </w:rPr>
              <w:t>$29.19</w:t>
            </w:r>
          </w:p>
        </w:tc>
        <w:tc>
          <w:tcPr>
            <w:tcW w:w="1090" w:type="dxa"/>
            <w:noWrap/>
            <w:vAlign w:val="top"/>
            <w:hideMark/>
          </w:tcPr>
          <w:p w14:paraId="72BBAF72" w14:textId="2BC8C8F8" w:rsidR="00B24D21" w:rsidRPr="008A648A" w:rsidRDefault="00B24D21" w:rsidP="00B24D21">
            <w:pPr>
              <w:pStyle w:val="TableofAuthorities"/>
              <w:rPr>
                <w:rFonts w:cs="Arial"/>
                <w:szCs w:val="21"/>
                <w:lang w:eastAsia="en-AU"/>
              </w:rPr>
            </w:pPr>
            <w:r w:rsidRPr="008A648A">
              <w:rPr>
                <w:rFonts w:cs="Arial"/>
                <w:szCs w:val="21"/>
              </w:rPr>
              <w:t>$17.80</w:t>
            </w:r>
          </w:p>
        </w:tc>
        <w:tc>
          <w:tcPr>
            <w:tcW w:w="1091" w:type="dxa"/>
            <w:noWrap/>
            <w:vAlign w:val="top"/>
            <w:hideMark/>
          </w:tcPr>
          <w:p w14:paraId="25469E47" w14:textId="3B184FA6" w:rsidR="00B24D21" w:rsidRPr="008A648A" w:rsidRDefault="00B24D21" w:rsidP="00B24D21">
            <w:pPr>
              <w:pStyle w:val="TableofAuthorities"/>
              <w:rPr>
                <w:rFonts w:cs="Arial"/>
                <w:szCs w:val="21"/>
                <w:lang w:eastAsia="en-AU"/>
              </w:rPr>
            </w:pPr>
            <w:r w:rsidRPr="008A648A">
              <w:rPr>
                <w:rFonts w:cs="Arial"/>
                <w:szCs w:val="21"/>
              </w:rPr>
              <w:t>$10.59</w:t>
            </w:r>
          </w:p>
        </w:tc>
        <w:tc>
          <w:tcPr>
            <w:tcW w:w="1090" w:type="dxa"/>
            <w:noWrap/>
            <w:vAlign w:val="top"/>
            <w:hideMark/>
          </w:tcPr>
          <w:p w14:paraId="2132D8FF" w14:textId="5AAF3768" w:rsidR="00B24D21" w:rsidRPr="008A648A" w:rsidRDefault="00B24D21" w:rsidP="00B24D21">
            <w:pPr>
              <w:pStyle w:val="TableofAuthorities"/>
              <w:rPr>
                <w:rFonts w:cs="Arial"/>
                <w:szCs w:val="21"/>
                <w:lang w:eastAsia="en-AU"/>
              </w:rPr>
            </w:pPr>
            <w:r w:rsidRPr="008A648A">
              <w:rPr>
                <w:rFonts w:cs="Arial"/>
                <w:szCs w:val="21"/>
              </w:rPr>
              <w:t>$7.56</w:t>
            </w:r>
          </w:p>
        </w:tc>
        <w:tc>
          <w:tcPr>
            <w:tcW w:w="1091" w:type="dxa"/>
            <w:noWrap/>
            <w:vAlign w:val="top"/>
            <w:hideMark/>
          </w:tcPr>
          <w:p w14:paraId="36BB61E3" w14:textId="457C234C" w:rsidR="00B24D21" w:rsidRPr="008A648A" w:rsidRDefault="00B24D21" w:rsidP="00B24D21">
            <w:pPr>
              <w:pStyle w:val="TableofAuthorities"/>
              <w:rPr>
                <w:rFonts w:cs="Arial"/>
                <w:szCs w:val="21"/>
                <w:lang w:eastAsia="en-AU"/>
              </w:rPr>
            </w:pPr>
            <w:r w:rsidRPr="008A648A">
              <w:rPr>
                <w:rFonts w:cs="Arial"/>
                <w:szCs w:val="21"/>
              </w:rPr>
              <w:t>$0.08</w:t>
            </w:r>
          </w:p>
        </w:tc>
        <w:tc>
          <w:tcPr>
            <w:tcW w:w="1090" w:type="dxa"/>
            <w:noWrap/>
            <w:vAlign w:val="top"/>
            <w:hideMark/>
          </w:tcPr>
          <w:p w14:paraId="4DA72498" w14:textId="5AB38F31" w:rsidR="00B24D21" w:rsidRPr="008A648A" w:rsidRDefault="00B24D21" w:rsidP="00B24D21">
            <w:pPr>
              <w:pStyle w:val="TableofAuthorities"/>
              <w:rPr>
                <w:rFonts w:cs="Arial"/>
                <w:szCs w:val="21"/>
                <w:lang w:eastAsia="en-AU"/>
              </w:rPr>
            </w:pPr>
            <w:r w:rsidRPr="008A648A">
              <w:rPr>
                <w:rFonts w:cs="Arial"/>
                <w:szCs w:val="21"/>
              </w:rPr>
              <w:t>$2.08</w:t>
            </w:r>
          </w:p>
        </w:tc>
        <w:tc>
          <w:tcPr>
            <w:tcW w:w="1091" w:type="dxa"/>
            <w:noWrap/>
            <w:vAlign w:val="top"/>
            <w:hideMark/>
          </w:tcPr>
          <w:p w14:paraId="2033C0F9" w14:textId="6D4ECB35" w:rsidR="00B24D21" w:rsidRPr="008A648A" w:rsidRDefault="00B24D21" w:rsidP="00B24D21">
            <w:pPr>
              <w:pStyle w:val="TableofAuthorities"/>
              <w:rPr>
                <w:rFonts w:cs="Arial"/>
                <w:szCs w:val="21"/>
                <w:lang w:eastAsia="en-AU"/>
              </w:rPr>
            </w:pPr>
            <w:r w:rsidRPr="008A648A">
              <w:rPr>
                <w:rFonts w:cs="Arial"/>
                <w:szCs w:val="21"/>
              </w:rPr>
              <w:t>$67.29</w:t>
            </w:r>
          </w:p>
        </w:tc>
      </w:tr>
      <w:tr w:rsidR="00B24D21" w:rsidRPr="00D74432" w14:paraId="3982215A" w14:textId="77777777" w:rsidTr="003F107E">
        <w:trPr>
          <w:trHeight w:val="294"/>
        </w:trPr>
        <w:tc>
          <w:tcPr>
            <w:tcW w:w="1581" w:type="dxa"/>
            <w:noWrap/>
            <w:hideMark/>
          </w:tcPr>
          <w:p w14:paraId="2A068D45" w14:textId="77777777" w:rsidR="00B24D21" w:rsidRPr="008A648A" w:rsidRDefault="00B24D21" w:rsidP="00B24D21">
            <w:pPr>
              <w:pStyle w:val="TableofAuthorities"/>
              <w:rPr>
                <w:rFonts w:cs="Arial"/>
                <w:szCs w:val="21"/>
                <w:lang w:eastAsia="en-AU"/>
              </w:rPr>
            </w:pPr>
            <w:r w:rsidRPr="008A648A">
              <w:rPr>
                <w:rFonts w:cs="Arial"/>
                <w:szCs w:val="21"/>
                <w:lang w:eastAsia="en-AU"/>
              </w:rPr>
              <w:t>2 to 6 services</w:t>
            </w:r>
          </w:p>
        </w:tc>
        <w:tc>
          <w:tcPr>
            <w:tcW w:w="1090" w:type="dxa"/>
            <w:noWrap/>
            <w:vAlign w:val="top"/>
            <w:hideMark/>
          </w:tcPr>
          <w:p w14:paraId="58664D22" w14:textId="7FC69B0F" w:rsidR="00B24D21" w:rsidRPr="008A648A" w:rsidRDefault="00B24D21" w:rsidP="00B24D21">
            <w:pPr>
              <w:pStyle w:val="TableofAuthorities"/>
              <w:rPr>
                <w:rFonts w:cs="Arial"/>
                <w:szCs w:val="21"/>
                <w:lang w:eastAsia="en-AU"/>
              </w:rPr>
            </w:pPr>
            <w:r w:rsidRPr="008A648A">
              <w:rPr>
                <w:rFonts w:cs="Arial"/>
                <w:szCs w:val="21"/>
              </w:rPr>
              <w:t>$25.01</w:t>
            </w:r>
          </w:p>
        </w:tc>
        <w:tc>
          <w:tcPr>
            <w:tcW w:w="1090" w:type="dxa"/>
            <w:noWrap/>
            <w:vAlign w:val="top"/>
            <w:hideMark/>
          </w:tcPr>
          <w:p w14:paraId="67A9EC9D" w14:textId="4C2EDC7E" w:rsidR="00B24D21" w:rsidRPr="008A648A" w:rsidRDefault="00B24D21" w:rsidP="00B24D21">
            <w:pPr>
              <w:pStyle w:val="TableofAuthorities"/>
              <w:rPr>
                <w:rFonts w:cs="Arial"/>
                <w:szCs w:val="21"/>
                <w:lang w:eastAsia="en-AU"/>
              </w:rPr>
            </w:pPr>
            <w:r w:rsidRPr="008A648A">
              <w:rPr>
                <w:rFonts w:cs="Arial"/>
                <w:szCs w:val="21"/>
              </w:rPr>
              <w:t>$13.72</w:t>
            </w:r>
          </w:p>
        </w:tc>
        <w:tc>
          <w:tcPr>
            <w:tcW w:w="1091" w:type="dxa"/>
            <w:noWrap/>
            <w:vAlign w:val="top"/>
            <w:hideMark/>
          </w:tcPr>
          <w:p w14:paraId="7CE72603" w14:textId="3BA38CA4" w:rsidR="00B24D21" w:rsidRPr="008A648A" w:rsidRDefault="00B24D21" w:rsidP="00B24D21">
            <w:pPr>
              <w:pStyle w:val="TableofAuthorities"/>
              <w:rPr>
                <w:rFonts w:cs="Arial"/>
                <w:szCs w:val="21"/>
                <w:lang w:eastAsia="en-AU"/>
              </w:rPr>
            </w:pPr>
            <w:r w:rsidRPr="008A648A">
              <w:rPr>
                <w:rFonts w:cs="Arial"/>
                <w:szCs w:val="21"/>
              </w:rPr>
              <w:t>$10.24</w:t>
            </w:r>
          </w:p>
        </w:tc>
        <w:tc>
          <w:tcPr>
            <w:tcW w:w="1090" w:type="dxa"/>
            <w:noWrap/>
            <w:vAlign w:val="top"/>
            <w:hideMark/>
          </w:tcPr>
          <w:p w14:paraId="4AAA3F45" w14:textId="0C381915" w:rsidR="00B24D21" w:rsidRPr="008A648A" w:rsidRDefault="00B24D21" w:rsidP="00B24D21">
            <w:pPr>
              <w:pStyle w:val="TableofAuthorities"/>
              <w:rPr>
                <w:rFonts w:cs="Arial"/>
                <w:szCs w:val="21"/>
                <w:lang w:eastAsia="en-AU"/>
              </w:rPr>
            </w:pPr>
            <w:r w:rsidRPr="008A648A">
              <w:rPr>
                <w:rFonts w:cs="Arial"/>
                <w:szCs w:val="21"/>
              </w:rPr>
              <w:t>$7.79</w:t>
            </w:r>
          </w:p>
        </w:tc>
        <w:tc>
          <w:tcPr>
            <w:tcW w:w="1091" w:type="dxa"/>
            <w:noWrap/>
            <w:vAlign w:val="top"/>
            <w:hideMark/>
          </w:tcPr>
          <w:p w14:paraId="004A0F6A" w14:textId="7155ECD3" w:rsidR="00B24D21" w:rsidRPr="008A648A" w:rsidRDefault="00B24D21" w:rsidP="00B24D21">
            <w:pPr>
              <w:pStyle w:val="TableofAuthorities"/>
              <w:rPr>
                <w:rFonts w:cs="Arial"/>
                <w:szCs w:val="21"/>
                <w:lang w:eastAsia="en-AU"/>
              </w:rPr>
            </w:pPr>
            <w:r w:rsidRPr="008A648A">
              <w:rPr>
                <w:rFonts w:cs="Arial"/>
                <w:szCs w:val="21"/>
              </w:rPr>
              <w:t>$0.03</w:t>
            </w:r>
          </w:p>
        </w:tc>
        <w:tc>
          <w:tcPr>
            <w:tcW w:w="1090" w:type="dxa"/>
            <w:noWrap/>
            <w:vAlign w:val="top"/>
            <w:hideMark/>
          </w:tcPr>
          <w:p w14:paraId="343E04B7" w14:textId="19C89276" w:rsidR="00B24D21" w:rsidRPr="008A648A" w:rsidRDefault="00B24D21" w:rsidP="00B24D21">
            <w:pPr>
              <w:pStyle w:val="TableofAuthorities"/>
              <w:rPr>
                <w:rFonts w:cs="Arial"/>
                <w:szCs w:val="21"/>
                <w:lang w:eastAsia="en-AU"/>
              </w:rPr>
            </w:pPr>
            <w:r w:rsidRPr="008A648A">
              <w:rPr>
                <w:rFonts w:cs="Arial"/>
                <w:szCs w:val="21"/>
              </w:rPr>
              <w:t>$12.12</w:t>
            </w:r>
          </w:p>
        </w:tc>
        <w:tc>
          <w:tcPr>
            <w:tcW w:w="1091" w:type="dxa"/>
            <w:noWrap/>
            <w:vAlign w:val="top"/>
            <w:hideMark/>
          </w:tcPr>
          <w:p w14:paraId="4A47A497" w14:textId="3C97683B" w:rsidR="00B24D21" w:rsidRPr="008A648A" w:rsidRDefault="00B24D21" w:rsidP="00B24D21">
            <w:pPr>
              <w:pStyle w:val="TableofAuthorities"/>
              <w:rPr>
                <w:rFonts w:cs="Arial"/>
                <w:szCs w:val="21"/>
                <w:lang w:eastAsia="en-AU"/>
              </w:rPr>
            </w:pPr>
            <w:r w:rsidRPr="008A648A">
              <w:rPr>
                <w:rFonts w:cs="Arial"/>
                <w:szCs w:val="21"/>
              </w:rPr>
              <w:t>$68.92</w:t>
            </w:r>
          </w:p>
        </w:tc>
      </w:tr>
      <w:tr w:rsidR="00B24D21" w:rsidRPr="00D74432" w14:paraId="254913F8" w14:textId="77777777" w:rsidTr="003F107E">
        <w:trPr>
          <w:trHeight w:val="294"/>
        </w:trPr>
        <w:tc>
          <w:tcPr>
            <w:tcW w:w="1581" w:type="dxa"/>
            <w:noWrap/>
            <w:hideMark/>
          </w:tcPr>
          <w:p w14:paraId="50465422" w14:textId="4C423EBD" w:rsidR="00B24D21" w:rsidRPr="008A648A" w:rsidRDefault="00B24D21" w:rsidP="00B24D21">
            <w:pPr>
              <w:pStyle w:val="TableofAuthorities"/>
              <w:rPr>
                <w:rFonts w:cs="Arial"/>
                <w:szCs w:val="21"/>
                <w:lang w:eastAsia="en-AU"/>
              </w:rPr>
            </w:pPr>
            <w:r w:rsidRPr="008A648A">
              <w:rPr>
                <w:rFonts w:cs="Arial"/>
                <w:szCs w:val="21"/>
                <w:lang w:eastAsia="en-AU"/>
              </w:rPr>
              <w:t xml:space="preserve">7 </w:t>
            </w:r>
            <w:r w:rsidR="008848FA">
              <w:rPr>
                <w:rFonts w:cs="Arial"/>
                <w:szCs w:val="21"/>
                <w:lang w:eastAsia="en-AU"/>
              </w:rPr>
              <w:t>or</w:t>
            </w:r>
            <w:r w:rsidR="008848FA" w:rsidRPr="008A648A">
              <w:rPr>
                <w:rFonts w:cs="Arial"/>
                <w:szCs w:val="21"/>
                <w:lang w:eastAsia="en-AU"/>
              </w:rPr>
              <w:t xml:space="preserve"> </w:t>
            </w:r>
            <w:r w:rsidRPr="008A648A">
              <w:rPr>
                <w:rFonts w:cs="Arial"/>
                <w:szCs w:val="21"/>
                <w:lang w:eastAsia="en-AU"/>
              </w:rPr>
              <w:t>more services</w:t>
            </w:r>
          </w:p>
        </w:tc>
        <w:tc>
          <w:tcPr>
            <w:tcW w:w="1090" w:type="dxa"/>
            <w:noWrap/>
            <w:vAlign w:val="top"/>
            <w:hideMark/>
          </w:tcPr>
          <w:p w14:paraId="35167F68" w14:textId="1ABC7D10" w:rsidR="00B24D21" w:rsidRPr="008A648A" w:rsidRDefault="00B24D21" w:rsidP="00B24D21">
            <w:pPr>
              <w:pStyle w:val="TableofAuthorities"/>
              <w:rPr>
                <w:rFonts w:cs="Arial"/>
                <w:szCs w:val="21"/>
                <w:lang w:eastAsia="en-AU"/>
              </w:rPr>
            </w:pPr>
            <w:r w:rsidRPr="008A648A">
              <w:rPr>
                <w:rFonts w:cs="Arial"/>
                <w:szCs w:val="21"/>
              </w:rPr>
              <w:t>$30.15</w:t>
            </w:r>
          </w:p>
        </w:tc>
        <w:tc>
          <w:tcPr>
            <w:tcW w:w="1090" w:type="dxa"/>
            <w:noWrap/>
            <w:vAlign w:val="top"/>
            <w:hideMark/>
          </w:tcPr>
          <w:p w14:paraId="3B229791" w14:textId="1AB5D2D6" w:rsidR="00B24D21" w:rsidRPr="008A648A" w:rsidRDefault="00B24D21" w:rsidP="00B24D21">
            <w:pPr>
              <w:pStyle w:val="TableofAuthorities"/>
              <w:rPr>
                <w:rFonts w:cs="Arial"/>
                <w:szCs w:val="21"/>
                <w:lang w:eastAsia="en-AU"/>
              </w:rPr>
            </w:pPr>
            <w:r w:rsidRPr="008A648A">
              <w:rPr>
                <w:rFonts w:cs="Arial"/>
                <w:szCs w:val="21"/>
              </w:rPr>
              <w:t>$15.28</w:t>
            </w:r>
          </w:p>
        </w:tc>
        <w:tc>
          <w:tcPr>
            <w:tcW w:w="1091" w:type="dxa"/>
            <w:noWrap/>
            <w:vAlign w:val="top"/>
            <w:hideMark/>
          </w:tcPr>
          <w:p w14:paraId="391D66E6" w14:textId="046531DF" w:rsidR="00B24D21" w:rsidRPr="008A648A" w:rsidRDefault="00B24D21" w:rsidP="00B24D21">
            <w:pPr>
              <w:pStyle w:val="TableofAuthorities"/>
              <w:rPr>
                <w:rFonts w:cs="Arial"/>
                <w:szCs w:val="21"/>
                <w:lang w:eastAsia="en-AU"/>
              </w:rPr>
            </w:pPr>
            <w:r w:rsidRPr="008A648A">
              <w:rPr>
                <w:rFonts w:cs="Arial"/>
                <w:szCs w:val="21"/>
              </w:rPr>
              <w:t>$12.63</w:t>
            </w:r>
          </w:p>
        </w:tc>
        <w:tc>
          <w:tcPr>
            <w:tcW w:w="1090" w:type="dxa"/>
            <w:noWrap/>
            <w:vAlign w:val="top"/>
            <w:hideMark/>
          </w:tcPr>
          <w:p w14:paraId="38015B80" w14:textId="09935BFE" w:rsidR="00B24D21" w:rsidRPr="008A648A" w:rsidRDefault="00B24D21" w:rsidP="00B24D21">
            <w:pPr>
              <w:pStyle w:val="TableofAuthorities"/>
              <w:rPr>
                <w:rFonts w:cs="Arial"/>
                <w:szCs w:val="21"/>
                <w:lang w:eastAsia="en-AU"/>
              </w:rPr>
            </w:pPr>
            <w:r w:rsidRPr="008A648A">
              <w:rPr>
                <w:rFonts w:cs="Arial"/>
                <w:szCs w:val="21"/>
              </w:rPr>
              <w:t>$8.17</w:t>
            </w:r>
          </w:p>
        </w:tc>
        <w:tc>
          <w:tcPr>
            <w:tcW w:w="1091" w:type="dxa"/>
            <w:noWrap/>
            <w:vAlign w:val="top"/>
            <w:hideMark/>
          </w:tcPr>
          <w:p w14:paraId="271FFE17" w14:textId="3A95F41A" w:rsidR="00B24D21" w:rsidRPr="008A648A" w:rsidRDefault="00B24D21" w:rsidP="00B24D21">
            <w:pPr>
              <w:pStyle w:val="TableofAuthorities"/>
              <w:rPr>
                <w:rFonts w:cs="Arial"/>
                <w:szCs w:val="21"/>
                <w:lang w:eastAsia="en-AU"/>
              </w:rPr>
            </w:pPr>
            <w:r w:rsidRPr="008A648A">
              <w:rPr>
                <w:rFonts w:cs="Arial"/>
                <w:szCs w:val="21"/>
              </w:rPr>
              <w:t>$0.01</w:t>
            </w:r>
          </w:p>
        </w:tc>
        <w:tc>
          <w:tcPr>
            <w:tcW w:w="1090" w:type="dxa"/>
            <w:noWrap/>
            <w:vAlign w:val="top"/>
            <w:hideMark/>
          </w:tcPr>
          <w:p w14:paraId="116381DD" w14:textId="2CFA7E1B" w:rsidR="00B24D21" w:rsidRPr="008A648A" w:rsidRDefault="00B24D21" w:rsidP="00B24D21">
            <w:pPr>
              <w:pStyle w:val="TableofAuthorities"/>
              <w:rPr>
                <w:rFonts w:cs="Arial"/>
                <w:szCs w:val="21"/>
                <w:lang w:eastAsia="en-AU"/>
              </w:rPr>
            </w:pPr>
            <w:r w:rsidRPr="008A648A">
              <w:rPr>
                <w:rFonts w:cs="Arial"/>
                <w:szCs w:val="21"/>
              </w:rPr>
              <w:t>$1.07</w:t>
            </w:r>
          </w:p>
        </w:tc>
        <w:tc>
          <w:tcPr>
            <w:tcW w:w="1091" w:type="dxa"/>
            <w:noWrap/>
            <w:vAlign w:val="top"/>
            <w:hideMark/>
          </w:tcPr>
          <w:p w14:paraId="3179B608" w14:textId="34614C52" w:rsidR="00B24D21" w:rsidRPr="008A648A" w:rsidRDefault="00B24D21" w:rsidP="00B24D21">
            <w:pPr>
              <w:pStyle w:val="TableofAuthorities"/>
              <w:rPr>
                <w:rFonts w:cs="Arial"/>
                <w:szCs w:val="21"/>
                <w:lang w:eastAsia="en-AU"/>
              </w:rPr>
            </w:pPr>
            <w:r w:rsidRPr="008A648A">
              <w:rPr>
                <w:rFonts w:cs="Arial"/>
                <w:szCs w:val="21"/>
              </w:rPr>
              <w:t>$67.31</w:t>
            </w:r>
          </w:p>
        </w:tc>
      </w:tr>
      <w:tr w:rsidR="00B24D21" w:rsidRPr="00D74432" w14:paraId="26C08B92" w14:textId="77777777" w:rsidTr="003F107E">
        <w:trPr>
          <w:trHeight w:val="294"/>
        </w:trPr>
        <w:tc>
          <w:tcPr>
            <w:tcW w:w="1581" w:type="dxa"/>
            <w:shd w:val="clear" w:color="auto" w:fill="D8DBDB" w:themeFill="background2" w:themeFillShade="E6"/>
            <w:noWrap/>
            <w:hideMark/>
          </w:tcPr>
          <w:p w14:paraId="7F8FDA5F" w14:textId="77777777" w:rsidR="00B24D21" w:rsidRPr="008A648A" w:rsidRDefault="00B24D21" w:rsidP="00706D0A">
            <w:pPr>
              <w:pStyle w:val="TableParagraphbold"/>
              <w:rPr>
                <w:sz w:val="21"/>
                <w:szCs w:val="21"/>
                <w:lang w:eastAsia="en-AU"/>
              </w:rPr>
            </w:pPr>
            <w:r w:rsidRPr="008A648A">
              <w:rPr>
                <w:sz w:val="21"/>
                <w:szCs w:val="21"/>
                <w:lang w:eastAsia="en-AU"/>
              </w:rPr>
              <w:t>Total sector</w:t>
            </w:r>
          </w:p>
        </w:tc>
        <w:tc>
          <w:tcPr>
            <w:tcW w:w="1090" w:type="dxa"/>
            <w:shd w:val="clear" w:color="auto" w:fill="D8DBDB" w:themeFill="background2" w:themeFillShade="E6"/>
            <w:noWrap/>
            <w:vAlign w:val="top"/>
            <w:hideMark/>
          </w:tcPr>
          <w:p w14:paraId="4CB96114" w14:textId="58AB8D24" w:rsidR="00B24D21" w:rsidRPr="008A648A" w:rsidRDefault="00B24D21" w:rsidP="00706D0A">
            <w:pPr>
              <w:pStyle w:val="TableParagraphbold"/>
              <w:rPr>
                <w:sz w:val="21"/>
                <w:szCs w:val="21"/>
                <w:lang w:eastAsia="en-AU"/>
              </w:rPr>
            </w:pPr>
            <w:r w:rsidRPr="008A648A">
              <w:rPr>
                <w:sz w:val="21"/>
                <w:szCs w:val="21"/>
              </w:rPr>
              <w:t>$28.72</w:t>
            </w:r>
          </w:p>
        </w:tc>
        <w:tc>
          <w:tcPr>
            <w:tcW w:w="1090" w:type="dxa"/>
            <w:shd w:val="clear" w:color="auto" w:fill="D8DBDB" w:themeFill="background2" w:themeFillShade="E6"/>
            <w:noWrap/>
            <w:vAlign w:val="top"/>
            <w:hideMark/>
          </w:tcPr>
          <w:p w14:paraId="7ECE0BC3" w14:textId="20B22E52" w:rsidR="00B24D21" w:rsidRPr="008A648A" w:rsidRDefault="00B24D21" w:rsidP="00706D0A">
            <w:pPr>
              <w:pStyle w:val="TableParagraphbold"/>
              <w:rPr>
                <w:sz w:val="21"/>
                <w:szCs w:val="21"/>
                <w:lang w:eastAsia="en-AU"/>
              </w:rPr>
            </w:pPr>
            <w:r w:rsidRPr="008A648A">
              <w:rPr>
                <w:sz w:val="21"/>
                <w:szCs w:val="21"/>
              </w:rPr>
              <w:t>$15.88</w:t>
            </w:r>
          </w:p>
        </w:tc>
        <w:tc>
          <w:tcPr>
            <w:tcW w:w="1091" w:type="dxa"/>
            <w:shd w:val="clear" w:color="auto" w:fill="D8DBDB" w:themeFill="background2" w:themeFillShade="E6"/>
            <w:noWrap/>
            <w:vAlign w:val="top"/>
            <w:hideMark/>
          </w:tcPr>
          <w:p w14:paraId="41A62D54" w14:textId="323ECD42" w:rsidR="00B24D21" w:rsidRPr="008A648A" w:rsidRDefault="00B24D21" w:rsidP="00706D0A">
            <w:pPr>
              <w:pStyle w:val="TableParagraphbold"/>
              <w:rPr>
                <w:sz w:val="21"/>
                <w:szCs w:val="21"/>
                <w:lang w:eastAsia="en-AU"/>
              </w:rPr>
            </w:pPr>
            <w:r w:rsidRPr="008A648A">
              <w:rPr>
                <w:sz w:val="21"/>
                <w:szCs w:val="21"/>
              </w:rPr>
              <w:t>$11.38</w:t>
            </w:r>
          </w:p>
        </w:tc>
        <w:tc>
          <w:tcPr>
            <w:tcW w:w="1090" w:type="dxa"/>
            <w:shd w:val="clear" w:color="auto" w:fill="D8DBDB" w:themeFill="background2" w:themeFillShade="E6"/>
            <w:noWrap/>
            <w:vAlign w:val="top"/>
            <w:hideMark/>
          </w:tcPr>
          <w:p w14:paraId="1F25C22A" w14:textId="119B75D9" w:rsidR="00B24D21" w:rsidRPr="008A648A" w:rsidRDefault="00B24D21" w:rsidP="00706D0A">
            <w:pPr>
              <w:pStyle w:val="TableParagraphbold"/>
              <w:rPr>
                <w:sz w:val="21"/>
                <w:szCs w:val="21"/>
                <w:lang w:eastAsia="en-AU"/>
              </w:rPr>
            </w:pPr>
            <w:r w:rsidRPr="008A648A">
              <w:rPr>
                <w:sz w:val="21"/>
                <w:szCs w:val="21"/>
              </w:rPr>
              <w:t>$7.87</w:t>
            </w:r>
          </w:p>
        </w:tc>
        <w:tc>
          <w:tcPr>
            <w:tcW w:w="1091" w:type="dxa"/>
            <w:shd w:val="clear" w:color="auto" w:fill="D8DBDB" w:themeFill="background2" w:themeFillShade="E6"/>
            <w:noWrap/>
            <w:vAlign w:val="top"/>
            <w:hideMark/>
          </w:tcPr>
          <w:p w14:paraId="06968626" w14:textId="167F03C4" w:rsidR="00B24D21" w:rsidRPr="008A648A" w:rsidRDefault="00B24D21" w:rsidP="00706D0A">
            <w:pPr>
              <w:pStyle w:val="TableParagraphbold"/>
              <w:rPr>
                <w:sz w:val="21"/>
                <w:szCs w:val="21"/>
                <w:lang w:eastAsia="en-AU"/>
              </w:rPr>
            </w:pPr>
            <w:r w:rsidRPr="008A648A">
              <w:rPr>
                <w:sz w:val="21"/>
                <w:szCs w:val="21"/>
              </w:rPr>
              <w:t>$0.04</w:t>
            </w:r>
          </w:p>
        </w:tc>
        <w:tc>
          <w:tcPr>
            <w:tcW w:w="1090" w:type="dxa"/>
            <w:shd w:val="clear" w:color="auto" w:fill="D8DBDB" w:themeFill="background2" w:themeFillShade="E6"/>
            <w:noWrap/>
            <w:vAlign w:val="top"/>
            <w:hideMark/>
          </w:tcPr>
          <w:p w14:paraId="57A51ED1" w14:textId="682D9A4A" w:rsidR="00B24D21" w:rsidRPr="008A648A" w:rsidRDefault="00B24D21" w:rsidP="00706D0A">
            <w:pPr>
              <w:pStyle w:val="TableParagraphbold"/>
              <w:rPr>
                <w:sz w:val="21"/>
                <w:szCs w:val="21"/>
                <w:lang w:eastAsia="en-AU"/>
              </w:rPr>
            </w:pPr>
            <w:r w:rsidRPr="008A648A">
              <w:rPr>
                <w:sz w:val="21"/>
                <w:szCs w:val="21"/>
              </w:rPr>
              <w:t>$3.76</w:t>
            </w:r>
          </w:p>
        </w:tc>
        <w:tc>
          <w:tcPr>
            <w:tcW w:w="1091" w:type="dxa"/>
            <w:shd w:val="clear" w:color="auto" w:fill="D8DBDB" w:themeFill="background2" w:themeFillShade="E6"/>
            <w:noWrap/>
            <w:vAlign w:val="top"/>
            <w:hideMark/>
          </w:tcPr>
          <w:p w14:paraId="749C2EE9" w14:textId="5F9B469D" w:rsidR="00B24D21" w:rsidRPr="008A648A" w:rsidRDefault="00B24D21" w:rsidP="00706D0A">
            <w:pPr>
              <w:pStyle w:val="TableParagraphbold"/>
              <w:rPr>
                <w:sz w:val="21"/>
                <w:szCs w:val="21"/>
                <w:lang w:eastAsia="en-AU"/>
              </w:rPr>
            </w:pPr>
            <w:r w:rsidRPr="008A648A">
              <w:rPr>
                <w:sz w:val="21"/>
                <w:szCs w:val="21"/>
              </w:rPr>
              <w:t>$67.64</w:t>
            </w:r>
          </w:p>
        </w:tc>
      </w:tr>
    </w:tbl>
    <w:p w14:paraId="780A3A8A" w14:textId="77777777" w:rsidR="006F4F12" w:rsidRDefault="006F4F12" w:rsidP="006F4F12">
      <w:pPr>
        <w:spacing w:before="0" w:after="0" w:line="240" w:lineRule="auto"/>
      </w:pPr>
      <w:bookmarkStart w:id="34" w:name="_Toc149245308"/>
      <w:bookmarkStart w:id="35" w:name="_Toc173428598"/>
      <w:r>
        <w:br w:type="page"/>
      </w:r>
    </w:p>
    <w:p w14:paraId="69F59121" w14:textId="77777777" w:rsidR="001377BE" w:rsidRDefault="009C1802" w:rsidP="001377BE">
      <w:pPr>
        <w:pStyle w:val="Heading2"/>
      </w:pPr>
      <w:r w:rsidRPr="00523F4F">
        <w:t>Financial performance – expenditure</w:t>
      </w:r>
      <w:bookmarkEnd w:id="34"/>
      <w:bookmarkEnd w:id="35"/>
      <w:r w:rsidRPr="0026442E">
        <w:fldChar w:fldCharType="begin"/>
      </w:r>
      <w:r w:rsidRPr="0026442E">
        <w:instrText xml:space="preserve"> REF _Ref160720491 \h </w:instrText>
      </w:r>
      <w:r w:rsidR="0026442E">
        <w:instrText xml:space="preserve"> \* MERGEFORMAT </w:instrText>
      </w:r>
      <w:r w:rsidRPr="0026442E">
        <w:fldChar w:fldCharType="separate"/>
      </w:r>
    </w:p>
    <w:p w14:paraId="23273828" w14:textId="479A69E3" w:rsidR="00F713C7" w:rsidRDefault="001377BE" w:rsidP="00706D0A">
      <w:r>
        <w:t xml:space="preserve">Table </w:t>
      </w:r>
      <w:r>
        <w:rPr>
          <w:noProof/>
        </w:rPr>
        <w:t>1.6</w:t>
      </w:r>
      <w:r w:rsidR="009C1802" w:rsidRPr="0026442E">
        <w:fldChar w:fldCharType="end"/>
      </w:r>
      <w:r w:rsidR="009C1802" w:rsidRPr="0026442E">
        <w:t xml:space="preserve"> provides a breakdown of expenditure according to provider ownership type, location and scale per recipient per day for</w:t>
      </w:r>
      <w:r w:rsidR="009C1802" w:rsidRPr="0026442E">
        <w:rPr>
          <w:spacing w:val="-11"/>
        </w:rPr>
        <w:t xml:space="preserve"> </w:t>
      </w:r>
      <w:r w:rsidR="009C1802" w:rsidRPr="0026442E">
        <w:t>2022</w:t>
      </w:r>
      <w:r w:rsidR="0017077A" w:rsidRPr="0026442E">
        <w:t>-23</w:t>
      </w:r>
      <w:r w:rsidR="009C1802" w:rsidRPr="0026442E">
        <w:t>.</w:t>
      </w:r>
      <w:r w:rsidR="009C1802" w:rsidRPr="0026442E">
        <w:rPr>
          <w:spacing w:val="-11"/>
        </w:rPr>
        <w:t xml:space="preserve"> </w:t>
      </w:r>
      <w:r w:rsidR="009C1802" w:rsidRPr="0026442E">
        <w:t>In</w:t>
      </w:r>
      <w:r w:rsidR="009C1802" w:rsidRPr="0026442E">
        <w:rPr>
          <w:spacing w:val="-11"/>
        </w:rPr>
        <w:t xml:space="preserve"> </w:t>
      </w:r>
      <w:r w:rsidR="009C1802" w:rsidRPr="0026442E">
        <w:t>terms</w:t>
      </w:r>
      <w:r w:rsidR="009C1802" w:rsidRPr="0026442E">
        <w:rPr>
          <w:spacing w:val="-11"/>
        </w:rPr>
        <w:t xml:space="preserve"> </w:t>
      </w:r>
      <w:r w:rsidR="009C1802" w:rsidRPr="0026442E">
        <w:t>of</w:t>
      </w:r>
      <w:r w:rsidR="009C1802" w:rsidRPr="0026442E">
        <w:rPr>
          <w:spacing w:val="-11"/>
        </w:rPr>
        <w:t xml:space="preserve"> </w:t>
      </w:r>
      <w:r w:rsidR="009C1802" w:rsidRPr="0026442E">
        <w:t>ownership,</w:t>
      </w:r>
      <w:r w:rsidR="009C1802" w:rsidRPr="0026442E">
        <w:rPr>
          <w:spacing w:val="-11"/>
        </w:rPr>
        <w:t xml:space="preserve"> </w:t>
      </w:r>
      <w:r w:rsidR="009C1802" w:rsidRPr="0026442E">
        <w:t xml:space="preserve">not-for-profit providers </w:t>
      </w:r>
      <w:r w:rsidR="00AD61D5" w:rsidRPr="0026442E">
        <w:t>have</w:t>
      </w:r>
      <w:r w:rsidR="009C1802" w:rsidRPr="0026442E">
        <w:t xml:space="preserve"> </w:t>
      </w:r>
      <w:r w:rsidR="00AD61D5" w:rsidRPr="0026442E">
        <w:t>highe</w:t>
      </w:r>
      <w:r w:rsidR="009C1802" w:rsidRPr="0026442E">
        <w:t>r expenses per recipient per day than for-profit providers ($6</w:t>
      </w:r>
      <w:r w:rsidR="00AD61D5" w:rsidRPr="0026442E">
        <w:t>6.48</w:t>
      </w:r>
      <w:r w:rsidR="009C1802" w:rsidRPr="0026442E">
        <w:t xml:space="preserve"> per </w:t>
      </w:r>
      <w:r w:rsidR="009C1802" w:rsidRPr="008F6D08">
        <w:t>recipient per day compared</w:t>
      </w:r>
      <w:r w:rsidR="009C1802" w:rsidRPr="008F6D08">
        <w:rPr>
          <w:spacing w:val="-8"/>
        </w:rPr>
        <w:t xml:space="preserve"> </w:t>
      </w:r>
      <w:r w:rsidR="009C1802" w:rsidRPr="008F6D08">
        <w:t>with</w:t>
      </w:r>
      <w:r w:rsidR="009C1802" w:rsidRPr="008F6D08">
        <w:rPr>
          <w:spacing w:val="-8"/>
        </w:rPr>
        <w:t xml:space="preserve"> </w:t>
      </w:r>
      <w:r w:rsidR="009C1802" w:rsidRPr="008F6D08">
        <w:t>$6</w:t>
      </w:r>
      <w:r w:rsidR="00AD61D5" w:rsidRPr="008F6D08">
        <w:t>4.05</w:t>
      </w:r>
      <w:r w:rsidR="009C1802" w:rsidRPr="008F6D08">
        <w:t>).</w:t>
      </w:r>
      <w:r w:rsidR="009C1802" w:rsidRPr="008F6D08">
        <w:rPr>
          <w:spacing w:val="-8"/>
        </w:rPr>
        <w:t xml:space="preserve"> </w:t>
      </w:r>
      <w:r w:rsidR="009C1802" w:rsidRPr="008F6D08">
        <w:t>The</w:t>
      </w:r>
      <w:r w:rsidR="009C1802" w:rsidRPr="008F6D08">
        <w:rPr>
          <w:spacing w:val="-7"/>
        </w:rPr>
        <w:t xml:space="preserve"> </w:t>
      </w:r>
      <w:r w:rsidR="009C1802" w:rsidRPr="008F6D08">
        <w:t>total</w:t>
      </w:r>
      <w:r w:rsidR="009C1802" w:rsidRPr="008F6D08">
        <w:rPr>
          <w:spacing w:val="-7"/>
        </w:rPr>
        <w:t xml:space="preserve"> </w:t>
      </w:r>
      <w:r w:rsidR="009C1802" w:rsidRPr="008F6D08">
        <w:t>expenditure</w:t>
      </w:r>
      <w:r w:rsidR="009C1802" w:rsidRPr="008F6D08">
        <w:rPr>
          <w:spacing w:val="-7"/>
        </w:rPr>
        <w:t xml:space="preserve"> </w:t>
      </w:r>
      <w:r w:rsidR="009C1802" w:rsidRPr="008F6D08">
        <w:t>per</w:t>
      </w:r>
      <w:r w:rsidR="009C1802" w:rsidRPr="008F6D08">
        <w:rPr>
          <w:spacing w:val="-7"/>
        </w:rPr>
        <w:t xml:space="preserve"> </w:t>
      </w:r>
      <w:r w:rsidR="009C1802" w:rsidRPr="008F6D08">
        <w:t xml:space="preserve">recipient per day has </w:t>
      </w:r>
      <w:r w:rsidR="00374B86" w:rsidRPr="008F6D08">
        <w:t>increased</w:t>
      </w:r>
      <w:r w:rsidR="009C1802" w:rsidRPr="008F6D08">
        <w:t xml:space="preserve"> for both for-profit (</w:t>
      </w:r>
      <w:r w:rsidR="00374B86" w:rsidRPr="008F6D08">
        <w:t>an increase</w:t>
      </w:r>
      <w:r w:rsidR="009C1802" w:rsidRPr="008F6D08">
        <w:t xml:space="preserve"> of $</w:t>
      </w:r>
      <w:r w:rsidR="00052084" w:rsidRPr="008F6D08">
        <w:t>0.60</w:t>
      </w:r>
      <w:r w:rsidR="009C1802" w:rsidRPr="008F6D08">
        <w:t xml:space="preserve"> per recipient per day) and not-for-profit </w:t>
      </w:r>
      <w:r w:rsidR="00E50DA5">
        <w:t>providers</w:t>
      </w:r>
      <w:r w:rsidR="009C1802" w:rsidRPr="008F6D08">
        <w:t xml:space="preserve"> (</w:t>
      </w:r>
      <w:r w:rsidR="00052084" w:rsidRPr="008F6D08">
        <w:t>an increase</w:t>
      </w:r>
      <w:r w:rsidR="009C1802" w:rsidRPr="008F6D08">
        <w:t xml:space="preserve"> of $</w:t>
      </w:r>
      <w:r w:rsidR="00FB3836" w:rsidRPr="008F6D08">
        <w:t>3.14</w:t>
      </w:r>
      <w:r w:rsidR="009C1802" w:rsidRPr="008F6D08">
        <w:t xml:space="preserve"> per recipient per day) compared with 2021</w:t>
      </w:r>
      <w:r w:rsidR="00FB3836" w:rsidRPr="008F6D08">
        <w:t>-22</w:t>
      </w:r>
      <w:r w:rsidR="009C1802" w:rsidRPr="008F6D08">
        <w:t xml:space="preserve">. </w:t>
      </w:r>
    </w:p>
    <w:p w14:paraId="525CAD04" w14:textId="42BDED63" w:rsidR="0019024B" w:rsidRDefault="009C1802" w:rsidP="00D6443E">
      <w:r w:rsidRPr="00E85AA7">
        <w:t xml:space="preserve">Regional providers reported </w:t>
      </w:r>
      <w:r w:rsidR="004C365A" w:rsidRPr="00E85AA7">
        <w:t>fewer</w:t>
      </w:r>
      <w:r w:rsidRPr="00E85AA7">
        <w:t xml:space="preserve"> average expenses per recipient per day ($</w:t>
      </w:r>
      <w:r w:rsidR="008F6D08" w:rsidRPr="00E85AA7">
        <w:t>60.05</w:t>
      </w:r>
      <w:r w:rsidRPr="00E85AA7">
        <w:t>)</w:t>
      </w:r>
      <w:r w:rsidRPr="00E85AA7">
        <w:rPr>
          <w:spacing w:val="-11"/>
        </w:rPr>
        <w:t xml:space="preserve"> </w:t>
      </w:r>
      <w:r w:rsidRPr="00E85AA7">
        <w:t>than</w:t>
      </w:r>
      <w:r w:rsidRPr="00E85AA7">
        <w:rPr>
          <w:spacing w:val="-11"/>
        </w:rPr>
        <w:t xml:space="preserve"> </w:t>
      </w:r>
      <w:r w:rsidRPr="00E85AA7">
        <w:t>their</w:t>
      </w:r>
      <w:r w:rsidRPr="00E85AA7">
        <w:rPr>
          <w:spacing w:val="-11"/>
        </w:rPr>
        <w:t xml:space="preserve"> </w:t>
      </w:r>
      <w:r w:rsidRPr="00E85AA7">
        <w:t>metropolitan</w:t>
      </w:r>
      <w:r w:rsidRPr="00E85AA7">
        <w:rPr>
          <w:spacing w:val="-11"/>
        </w:rPr>
        <w:t xml:space="preserve"> </w:t>
      </w:r>
      <w:r w:rsidRPr="00E85AA7">
        <w:t>counterparts</w:t>
      </w:r>
      <w:r w:rsidRPr="00E85AA7">
        <w:rPr>
          <w:spacing w:val="-11"/>
        </w:rPr>
        <w:t xml:space="preserve"> </w:t>
      </w:r>
      <w:r w:rsidRPr="00E85AA7">
        <w:t>($6</w:t>
      </w:r>
      <w:r w:rsidR="008F6D08" w:rsidRPr="00E85AA7">
        <w:t>7.00</w:t>
      </w:r>
      <w:r w:rsidRPr="00E85AA7">
        <w:t xml:space="preserve">). In terms of scale, single service providers recorded the </w:t>
      </w:r>
      <w:r w:rsidR="00E85AA7" w:rsidRPr="00E85AA7">
        <w:t>lowest</w:t>
      </w:r>
      <w:r w:rsidRPr="00E85AA7">
        <w:t xml:space="preserve"> expenses per recipient per day with $64.</w:t>
      </w:r>
      <w:r w:rsidR="00E85AA7" w:rsidRPr="00E85AA7">
        <w:t>65</w:t>
      </w:r>
      <w:r w:rsidRPr="00E85AA7">
        <w:t xml:space="preserve"> compared with larger scale providers ($6</w:t>
      </w:r>
      <w:r w:rsidR="00E85AA7" w:rsidRPr="00E85AA7">
        <w:t>5.59</w:t>
      </w:r>
      <w:r w:rsidRPr="00E85AA7">
        <w:rPr>
          <w:spacing w:val="-6"/>
        </w:rPr>
        <w:t xml:space="preserve"> </w:t>
      </w:r>
      <w:r w:rsidRPr="00E85AA7">
        <w:t>for</w:t>
      </w:r>
      <w:r w:rsidRPr="00E85AA7">
        <w:rPr>
          <w:spacing w:val="-6"/>
        </w:rPr>
        <w:t xml:space="preserve"> </w:t>
      </w:r>
      <w:r w:rsidRPr="00E85AA7">
        <w:t>two</w:t>
      </w:r>
      <w:r w:rsidR="00FD5744" w:rsidRPr="00E85AA7">
        <w:rPr>
          <w:spacing w:val="-6"/>
        </w:rPr>
        <w:t xml:space="preserve"> </w:t>
      </w:r>
      <w:r w:rsidR="00FD5744">
        <w:t>to</w:t>
      </w:r>
      <w:r w:rsidR="00FD5744" w:rsidRPr="00E85AA7">
        <w:rPr>
          <w:spacing w:val="-6"/>
        </w:rPr>
        <w:t xml:space="preserve"> </w:t>
      </w:r>
      <w:r w:rsidRPr="00E85AA7">
        <w:t>six</w:t>
      </w:r>
      <w:r w:rsidRPr="00E85AA7">
        <w:rPr>
          <w:spacing w:val="-6"/>
        </w:rPr>
        <w:t xml:space="preserve"> </w:t>
      </w:r>
      <w:r w:rsidRPr="00E85AA7">
        <w:t>services</w:t>
      </w:r>
      <w:r w:rsidRPr="00E85AA7">
        <w:rPr>
          <w:spacing w:val="-6"/>
        </w:rPr>
        <w:t xml:space="preserve"> </w:t>
      </w:r>
      <w:r w:rsidRPr="00E85AA7">
        <w:t>and</w:t>
      </w:r>
      <w:r w:rsidRPr="00E85AA7">
        <w:rPr>
          <w:spacing w:val="-6"/>
        </w:rPr>
        <w:t xml:space="preserve"> </w:t>
      </w:r>
      <w:r w:rsidRPr="00E85AA7">
        <w:t>$6</w:t>
      </w:r>
      <w:r w:rsidR="00E85AA7" w:rsidRPr="00E85AA7">
        <w:t>6.13</w:t>
      </w:r>
      <w:r w:rsidRPr="00E85AA7">
        <w:rPr>
          <w:spacing w:val="-6"/>
        </w:rPr>
        <w:t xml:space="preserve"> </w:t>
      </w:r>
      <w:r w:rsidRPr="00E85AA7">
        <w:t>for</w:t>
      </w:r>
      <w:r w:rsidRPr="00E85AA7">
        <w:rPr>
          <w:spacing w:val="-6"/>
        </w:rPr>
        <w:t xml:space="preserve"> </w:t>
      </w:r>
      <w:r w:rsidRPr="00E85AA7">
        <w:t>providers with seven or more services).</w:t>
      </w:r>
      <w:bookmarkStart w:id="36" w:name="_Ref160720491"/>
    </w:p>
    <w:p w14:paraId="1C32C023" w14:textId="1B1495CF" w:rsidR="00727E8E" w:rsidRDefault="009C1802" w:rsidP="00F914CC">
      <w:pPr>
        <w:pStyle w:val="Caption"/>
      </w:pPr>
      <w:bookmarkStart w:id="37" w:name="_Toc173428877"/>
      <w:r>
        <w:t xml:space="preserve">Table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6</w:t>
      </w:r>
      <w:r w:rsidR="00AE19AA">
        <w:rPr>
          <w:noProof/>
        </w:rPr>
        <w:fldChar w:fldCharType="end"/>
      </w:r>
      <w:bookmarkEnd w:id="36"/>
      <w:r>
        <w:t xml:space="preserve">: </w:t>
      </w:r>
      <w:r w:rsidRPr="00DC3B71">
        <w:t>Home care expenditure per recipient per day, by ownership type, location and scale, 202</w:t>
      </w:r>
      <w:r>
        <w:t>2-23</w:t>
      </w:r>
      <w:bookmarkEnd w:id="37"/>
    </w:p>
    <w:tbl>
      <w:tblPr>
        <w:tblW w:w="9204" w:type="dxa"/>
        <w:tblLayout w:type="fixed"/>
        <w:tblLook w:val="04A0" w:firstRow="1" w:lastRow="0" w:firstColumn="1" w:lastColumn="0" w:noHBand="0" w:noVBand="1"/>
      </w:tblPr>
      <w:tblGrid>
        <w:gridCol w:w="1691"/>
        <w:gridCol w:w="1252"/>
        <w:gridCol w:w="1252"/>
        <w:gridCol w:w="1252"/>
        <w:gridCol w:w="1252"/>
        <w:gridCol w:w="1252"/>
        <w:gridCol w:w="1253"/>
      </w:tblGrid>
      <w:tr w:rsidR="00F914CC" w:rsidRPr="00F914CC" w14:paraId="464F81F1" w14:textId="77777777" w:rsidTr="00112A57">
        <w:trPr>
          <w:trHeight w:val="1150"/>
        </w:trPr>
        <w:tc>
          <w:tcPr>
            <w:tcW w:w="1691" w:type="dxa"/>
            <w:tcBorders>
              <w:top w:val="single" w:sz="8" w:space="0" w:color="1E1545"/>
              <w:left w:val="single" w:sz="8" w:space="0" w:color="1E1545"/>
              <w:bottom w:val="nil"/>
              <w:right w:val="nil"/>
            </w:tcBorders>
            <w:shd w:val="clear" w:color="000000" w:fill="1E1545"/>
            <w:vAlign w:val="center"/>
            <w:hideMark/>
          </w:tcPr>
          <w:p w14:paraId="33F680F0" w14:textId="77777777" w:rsidR="00F914CC" w:rsidRPr="00F914CC" w:rsidRDefault="00F914CC" w:rsidP="00F914CC">
            <w:pPr>
              <w:spacing w:before="0" w:after="0" w:line="240" w:lineRule="auto"/>
              <w:rPr>
                <w:rFonts w:cs="Arial"/>
                <w:b/>
                <w:color w:val="FFFFFF"/>
                <w:sz w:val="21"/>
                <w:szCs w:val="21"/>
                <w:lang w:eastAsia="en-AU"/>
              </w:rPr>
            </w:pPr>
            <w:r w:rsidRPr="00F914CC">
              <w:rPr>
                <w:rFonts w:cs="Arial"/>
                <w:b/>
                <w:color w:val="FFFFFF"/>
                <w:sz w:val="21"/>
                <w:szCs w:val="21"/>
                <w:lang w:eastAsia="en-AU"/>
              </w:rPr>
              <w:t> </w:t>
            </w:r>
          </w:p>
        </w:tc>
        <w:tc>
          <w:tcPr>
            <w:tcW w:w="1252" w:type="dxa"/>
            <w:tcBorders>
              <w:top w:val="single" w:sz="8" w:space="0" w:color="1E1545"/>
              <w:left w:val="nil"/>
              <w:bottom w:val="nil"/>
              <w:right w:val="nil"/>
            </w:tcBorders>
            <w:shd w:val="clear" w:color="000000" w:fill="1E1545"/>
            <w:vAlign w:val="center"/>
            <w:hideMark/>
          </w:tcPr>
          <w:p w14:paraId="12BD433E" w14:textId="77777777"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Internal direct care service expenses</w:t>
            </w:r>
          </w:p>
        </w:tc>
        <w:tc>
          <w:tcPr>
            <w:tcW w:w="1252" w:type="dxa"/>
            <w:tcBorders>
              <w:top w:val="single" w:sz="8" w:space="0" w:color="1E1545"/>
              <w:left w:val="single" w:sz="8" w:space="0" w:color="1E1545"/>
              <w:bottom w:val="nil"/>
              <w:right w:val="nil"/>
            </w:tcBorders>
            <w:shd w:val="clear" w:color="000000" w:fill="1E1545"/>
            <w:vAlign w:val="center"/>
            <w:hideMark/>
          </w:tcPr>
          <w:p w14:paraId="01C96304" w14:textId="77777777"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External direct care service expenses</w:t>
            </w:r>
          </w:p>
        </w:tc>
        <w:tc>
          <w:tcPr>
            <w:tcW w:w="1252" w:type="dxa"/>
            <w:tcBorders>
              <w:top w:val="single" w:sz="8" w:space="0" w:color="1E1545"/>
              <w:left w:val="nil"/>
              <w:bottom w:val="nil"/>
              <w:right w:val="nil"/>
            </w:tcBorders>
            <w:shd w:val="clear" w:color="000000" w:fill="1E1545"/>
            <w:vAlign w:val="center"/>
            <w:hideMark/>
          </w:tcPr>
          <w:p w14:paraId="25E83A7D" w14:textId="42D03303"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 xml:space="preserve">Care </w:t>
            </w:r>
            <w:proofErr w:type="spellStart"/>
            <w:r w:rsidRPr="00F914CC">
              <w:rPr>
                <w:rFonts w:cs="Arial"/>
                <w:b/>
                <w:color w:val="FFFFFF"/>
                <w:sz w:val="21"/>
                <w:szCs w:val="21"/>
                <w:lang w:eastAsia="en-AU"/>
              </w:rPr>
              <w:t>managem</w:t>
            </w:r>
            <w:r w:rsidR="00983BEF">
              <w:rPr>
                <w:rFonts w:cs="Arial"/>
                <w:b/>
                <w:color w:val="FFFFFF"/>
                <w:sz w:val="21"/>
                <w:szCs w:val="21"/>
                <w:lang w:eastAsia="en-AU"/>
              </w:rPr>
              <w:t>-</w:t>
            </w:r>
            <w:r w:rsidR="00D6443E">
              <w:rPr>
                <w:rFonts w:cs="Arial"/>
                <w:b/>
                <w:color w:val="FFFFFF"/>
                <w:sz w:val="21"/>
                <w:szCs w:val="21"/>
                <w:lang w:eastAsia="en-AU"/>
              </w:rPr>
              <w:t>e</w:t>
            </w:r>
            <w:r w:rsidRPr="00F914CC">
              <w:rPr>
                <w:rFonts w:cs="Arial"/>
                <w:b/>
                <w:color w:val="FFFFFF"/>
                <w:sz w:val="21"/>
                <w:szCs w:val="21"/>
                <w:lang w:eastAsia="en-AU"/>
              </w:rPr>
              <w:t>nt</w:t>
            </w:r>
            <w:proofErr w:type="spellEnd"/>
            <w:r w:rsidRPr="00F914CC">
              <w:rPr>
                <w:rFonts w:cs="Arial"/>
                <w:b/>
                <w:color w:val="FFFFFF"/>
                <w:sz w:val="21"/>
                <w:szCs w:val="21"/>
                <w:lang w:eastAsia="en-AU"/>
              </w:rPr>
              <w:t xml:space="preserve"> </w:t>
            </w:r>
            <w:r w:rsidR="00214390">
              <w:rPr>
                <w:rFonts w:cs="Arial"/>
                <w:b/>
                <w:color w:val="FFFFFF"/>
                <w:sz w:val="21"/>
                <w:szCs w:val="21"/>
                <w:lang w:eastAsia="en-AU"/>
              </w:rPr>
              <w:t>e</w:t>
            </w:r>
            <w:r w:rsidRPr="00F914CC">
              <w:rPr>
                <w:rFonts w:cs="Arial"/>
                <w:b/>
                <w:color w:val="FFFFFF"/>
                <w:sz w:val="21"/>
                <w:szCs w:val="21"/>
                <w:lang w:eastAsia="en-AU"/>
              </w:rPr>
              <w:t>xpenses</w:t>
            </w:r>
          </w:p>
        </w:tc>
        <w:tc>
          <w:tcPr>
            <w:tcW w:w="1252" w:type="dxa"/>
            <w:tcBorders>
              <w:top w:val="single" w:sz="8" w:space="0" w:color="1E1545"/>
              <w:left w:val="nil"/>
              <w:bottom w:val="nil"/>
              <w:right w:val="nil"/>
            </w:tcBorders>
            <w:shd w:val="clear" w:color="000000" w:fill="1E1545"/>
            <w:vAlign w:val="center"/>
            <w:hideMark/>
          </w:tcPr>
          <w:p w14:paraId="5918A36E" w14:textId="77777777"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Admin costs and support expenses</w:t>
            </w:r>
          </w:p>
        </w:tc>
        <w:tc>
          <w:tcPr>
            <w:tcW w:w="1252" w:type="dxa"/>
            <w:tcBorders>
              <w:top w:val="single" w:sz="8" w:space="0" w:color="1E1545"/>
              <w:left w:val="single" w:sz="8" w:space="0" w:color="1E1545"/>
              <w:bottom w:val="nil"/>
              <w:right w:val="nil"/>
            </w:tcBorders>
            <w:shd w:val="clear" w:color="000000" w:fill="1E1545"/>
            <w:vAlign w:val="center"/>
            <w:hideMark/>
          </w:tcPr>
          <w:p w14:paraId="21429186" w14:textId="77777777"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Other expenses and non-direct costs</w:t>
            </w:r>
          </w:p>
        </w:tc>
        <w:tc>
          <w:tcPr>
            <w:tcW w:w="1253" w:type="dxa"/>
            <w:tcBorders>
              <w:top w:val="single" w:sz="8" w:space="0" w:color="1E1545"/>
              <w:left w:val="nil"/>
              <w:bottom w:val="nil"/>
              <w:right w:val="nil"/>
            </w:tcBorders>
            <w:shd w:val="clear" w:color="000000" w:fill="1E1545"/>
            <w:vAlign w:val="center"/>
            <w:hideMark/>
          </w:tcPr>
          <w:p w14:paraId="11D57E00" w14:textId="77777777" w:rsidR="00F914CC" w:rsidRPr="00F914CC" w:rsidRDefault="00F914CC" w:rsidP="00F914CC">
            <w:pPr>
              <w:spacing w:before="0" w:after="0" w:line="240" w:lineRule="auto"/>
              <w:jc w:val="center"/>
              <w:rPr>
                <w:rFonts w:cs="Arial"/>
                <w:b/>
                <w:color w:val="FFFFFF"/>
                <w:sz w:val="21"/>
                <w:szCs w:val="21"/>
                <w:lang w:eastAsia="en-AU"/>
              </w:rPr>
            </w:pPr>
            <w:r w:rsidRPr="00F914CC">
              <w:rPr>
                <w:rFonts w:cs="Arial"/>
                <w:b/>
                <w:color w:val="FFFFFF"/>
                <w:sz w:val="21"/>
                <w:szCs w:val="21"/>
                <w:lang w:eastAsia="en-AU"/>
              </w:rPr>
              <w:t>Total</w:t>
            </w:r>
          </w:p>
        </w:tc>
      </w:tr>
      <w:tr w:rsidR="00F914CC" w:rsidRPr="00F914CC" w14:paraId="07BD0F1F" w14:textId="77777777" w:rsidTr="00112A57">
        <w:trPr>
          <w:trHeight w:val="320"/>
        </w:trPr>
        <w:tc>
          <w:tcPr>
            <w:tcW w:w="1691" w:type="dxa"/>
            <w:tcBorders>
              <w:top w:val="nil"/>
              <w:left w:val="nil"/>
              <w:bottom w:val="single" w:sz="8" w:space="0" w:color="auto"/>
              <w:right w:val="nil"/>
            </w:tcBorders>
            <w:shd w:val="clear" w:color="000000" w:fill="D8DADA"/>
            <w:vAlign w:val="bottom"/>
            <w:hideMark/>
          </w:tcPr>
          <w:p w14:paraId="7338E060" w14:textId="77777777" w:rsidR="00F914CC" w:rsidRPr="00F914CC" w:rsidRDefault="00F914CC" w:rsidP="00F914CC">
            <w:pPr>
              <w:spacing w:before="0" w:after="0" w:line="240" w:lineRule="auto"/>
              <w:rPr>
                <w:rFonts w:cs="Arial"/>
                <w:b/>
                <w:color w:val="313131"/>
                <w:sz w:val="21"/>
                <w:szCs w:val="21"/>
                <w:lang w:eastAsia="en-AU"/>
              </w:rPr>
            </w:pPr>
            <w:r w:rsidRPr="00F914CC">
              <w:rPr>
                <w:rFonts w:cs="Arial"/>
                <w:b/>
                <w:color w:val="313131"/>
                <w:sz w:val="21"/>
                <w:szCs w:val="21"/>
                <w:lang w:eastAsia="en-AU"/>
              </w:rPr>
              <w:t>Ownership</w:t>
            </w:r>
          </w:p>
        </w:tc>
        <w:tc>
          <w:tcPr>
            <w:tcW w:w="1252" w:type="dxa"/>
            <w:tcBorders>
              <w:top w:val="nil"/>
              <w:left w:val="nil"/>
              <w:bottom w:val="single" w:sz="8" w:space="0" w:color="auto"/>
              <w:right w:val="nil"/>
            </w:tcBorders>
            <w:shd w:val="clear" w:color="000000" w:fill="D8DADA"/>
            <w:noWrap/>
            <w:vAlign w:val="bottom"/>
            <w:hideMark/>
          </w:tcPr>
          <w:p w14:paraId="6804BD4E"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18DF520C"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4A5B61BD"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2EC15F29"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4B6C7705"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3" w:type="dxa"/>
            <w:tcBorders>
              <w:top w:val="nil"/>
              <w:left w:val="nil"/>
              <w:bottom w:val="single" w:sz="8" w:space="0" w:color="auto"/>
              <w:right w:val="nil"/>
            </w:tcBorders>
            <w:shd w:val="clear" w:color="000000" w:fill="D8DADA"/>
            <w:noWrap/>
            <w:vAlign w:val="bottom"/>
            <w:hideMark/>
          </w:tcPr>
          <w:p w14:paraId="1B1ECD77"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r>
      <w:tr w:rsidR="00F914CC" w:rsidRPr="00F914CC" w14:paraId="513B3D11" w14:textId="77777777" w:rsidTr="00112A57">
        <w:trPr>
          <w:trHeight w:val="320"/>
        </w:trPr>
        <w:tc>
          <w:tcPr>
            <w:tcW w:w="1691" w:type="dxa"/>
            <w:tcBorders>
              <w:top w:val="nil"/>
              <w:left w:val="nil"/>
              <w:bottom w:val="single" w:sz="8" w:space="0" w:color="auto"/>
              <w:right w:val="nil"/>
            </w:tcBorders>
            <w:shd w:val="clear" w:color="auto" w:fill="auto"/>
            <w:vAlign w:val="bottom"/>
            <w:hideMark/>
          </w:tcPr>
          <w:p w14:paraId="7AF9D746"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For-profit</w:t>
            </w:r>
          </w:p>
        </w:tc>
        <w:tc>
          <w:tcPr>
            <w:tcW w:w="1252" w:type="dxa"/>
            <w:tcBorders>
              <w:top w:val="nil"/>
              <w:left w:val="nil"/>
              <w:bottom w:val="single" w:sz="8" w:space="0" w:color="auto"/>
              <w:right w:val="nil"/>
            </w:tcBorders>
            <w:shd w:val="clear" w:color="000000" w:fill="FFFFFF"/>
            <w:noWrap/>
            <w:vAlign w:val="bottom"/>
            <w:hideMark/>
          </w:tcPr>
          <w:p w14:paraId="5DC48F6A"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$18.76</w:t>
            </w:r>
          </w:p>
        </w:tc>
        <w:tc>
          <w:tcPr>
            <w:tcW w:w="1252" w:type="dxa"/>
            <w:tcBorders>
              <w:top w:val="nil"/>
              <w:left w:val="nil"/>
              <w:bottom w:val="single" w:sz="8" w:space="0" w:color="auto"/>
              <w:right w:val="nil"/>
            </w:tcBorders>
            <w:shd w:val="clear" w:color="000000" w:fill="FFFFFF"/>
            <w:noWrap/>
            <w:vAlign w:val="bottom"/>
            <w:hideMark/>
          </w:tcPr>
          <w:p w14:paraId="58BEC06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$23.50</w:t>
            </w:r>
          </w:p>
        </w:tc>
        <w:tc>
          <w:tcPr>
            <w:tcW w:w="1252" w:type="dxa"/>
            <w:tcBorders>
              <w:top w:val="nil"/>
              <w:left w:val="nil"/>
              <w:bottom w:val="single" w:sz="8" w:space="0" w:color="auto"/>
              <w:right w:val="nil"/>
            </w:tcBorders>
            <w:shd w:val="clear" w:color="000000" w:fill="FFFFFF"/>
            <w:noWrap/>
            <w:vAlign w:val="bottom"/>
            <w:hideMark/>
          </w:tcPr>
          <w:p w14:paraId="28E91D85"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$6.15</w:t>
            </w:r>
          </w:p>
        </w:tc>
        <w:tc>
          <w:tcPr>
            <w:tcW w:w="1252" w:type="dxa"/>
            <w:tcBorders>
              <w:top w:val="nil"/>
              <w:left w:val="nil"/>
              <w:bottom w:val="single" w:sz="8" w:space="0" w:color="auto"/>
              <w:right w:val="nil"/>
            </w:tcBorders>
            <w:shd w:val="clear" w:color="000000" w:fill="FFFFFF"/>
            <w:noWrap/>
            <w:vAlign w:val="bottom"/>
            <w:hideMark/>
          </w:tcPr>
          <w:p w14:paraId="121E3DD4"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$12.78</w:t>
            </w:r>
          </w:p>
        </w:tc>
        <w:tc>
          <w:tcPr>
            <w:tcW w:w="1252" w:type="dxa"/>
            <w:tcBorders>
              <w:top w:val="nil"/>
              <w:left w:val="nil"/>
              <w:bottom w:val="single" w:sz="8" w:space="0" w:color="auto"/>
              <w:right w:val="nil"/>
            </w:tcBorders>
            <w:shd w:val="clear" w:color="000000" w:fill="FFFFFF"/>
            <w:noWrap/>
            <w:vAlign w:val="bottom"/>
            <w:hideMark/>
          </w:tcPr>
          <w:p w14:paraId="2D369E92"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$2.85</w:t>
            </w:r>
          </w:p>
        </w:tc>
        <w:tc>
          <w:tcPr>
            <w:tcW w:w="1253" w:type="dxa"/>
            <w:tcBorders>
              <w:top w:val="nil"/>
              <w:left w:val="nil"/>
              <w:bottom w:val="single" w:sz="8" w:space="0" w:color="auto"/>
              <w:right w:val="nil"/>
            </w:tcBorders>
            <w:shd w:val="clear" w:color="auto" w:fill="auto"/>
            <w:noWrap/>
            <w:vAlign w:val="bottom"/>
            <w:hideMark/>
          </w:tcPr>
          <w:p w14:paraId="236E157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$64.05</w:t>
            </w:r>
          </w:p>
        </w:tc>
      </w:tr>
      <w:tr w:rsidR="00F914CC" w:rsidRPr="00F914CC" w14:paraId="3F539247" w14:textId="77777777" w:rsidTr="00112A57">
        <w:trPr>
          <w:trHeight w:val="320"/>
        </w:trPr>
        <w:tc>
          <w:tcPr>
            <w:tcW w:w="1691" w:type="dxa"/>
            <w:tcBorders>
              <w:top w:val="nil"/>
              <w:left w:val="nil"/>
              <w:bottom w:val="single" w:sz="8" w:space="0" w:color="auto"/>
              <w:right w:val="nil"/>
            </w:tcBorders>
            <w:shd w:val="clear" w:color="auto" w:fill="auto"/>
            <w:vAlign w:val="bottom"/>
            <w:hideMark/>
          </w:tcPr>
          <w:p w14:paraId="68A29B27"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Not-for-profit</w:t>
            </w:r>
          </w:p>
        </w:tc>
        <w:tc>
          <w:tcPr>
            <w:tcW w:w="1252" w:type="dxa"/>
            <w:tcBorders>
              <w:top w:val="nil"/>
              <w:left w:val="nil"/>
              <w:bottom w:val="single" w:sz="8" w:space="0" w:color="auto"/>
              <w:right w:val="nil"/>
            </w:tcBorders>
            <w:shd w:val="clear" w:color="000000" w:fill="FFFFFF"/>
            <w:noWrap/>
            <w:vAlign w:val="bottom"/>
            <w:hideMark/>
          </w:tcPr>
          <w:p w14:paraId="4127092D"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$20.79</w:t>
            </w:r>
          </w:p>
        </w:tc>
        <w:tc>
          <w:tcPr>
            <w:tcW w:w="1252" w:type="dxa"/>
            <w:tcBorders>
              <w:top w:val="nil"/>
              <w:left w:val="nil"/>
              <w:bottom w:val="single" w:sz="8" w:space="0" w:color="auto"/>
              <w:right w:val="nil"/>
            </w:tcBorders>
            <w:shd w:val="clear" w:color="000000" w:fill="FFFFFF"/>
            <w:noWrap/>
            <w:vAlign w:val="bottom"/>
            <w:hideMark/>
          </w:tcPr>
          <w:p w14:paraId="1197CD4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$19.85</w:t>
            </w:r>
          </w:p>
        </w:tc>
        <w:tc>
          <w:tcPr>
            <w:tcW w:w="1252" w:type="dxa"/>
            <w:tcBorders>
              <w:top w:val="nil"/>
              <w:left w:val="nil"/>
              <w:bottom w:val="single" w:sz="8" w:space="0" w:color="auto"/>
              <w:right w:val="nil"/>
            </w:tcBorders>
            <w:shd w:val="clear" w:color="000000" w:fill="FFFFFF"/>
            <w:noWrap/>
            <w:vAlign w:val="bottom"/>
            <w:hideMark/>
          </w:tcPr>
          <w:p w14:paraId="07ABE788"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$7.56</w:t>
            </w:r>
          </w:p>
        </w:tc>
        <w:tc>
          <w:tcPr>
            <w:tcW w:w="1252" w:type="dxa"/>
            <w:tcBorders>
              <w:top w:val="nil"/>
              <w:left w:val="nil"/>
              <w:bottom w:val="single" w:sz="8" w:space="0" w:color="auto"/>
              <w:right w:val="nil"/>
            </w:tcBorders>
            <w:shd w:val="clear" w:color="000000" w:fill="FFFFFF"/>
            <w:noWrap/>
            <w:vAlign w:val="bottom"/>
            <w:hideMark/>
          </w:tcPr>
          <w:p w14:paraId="68DDF6BD"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$16.23</w:t>
            </w:r>
          </w:p>
        </w:tc>
        <w:tc>
          <w:tcPr>
            <w:tcW w:w="1252" w:type="dxa"/>
            <w:tcBorders>
              <w:top w:val="nil"/>
              <w:left w:val="nil"/>
              <w:bottom w:val="single" w:sz="8" w:space="0" w:color="auto"/>
              <w:right w:val="nil"/>
            </w:tcBorders>
            <w:shd w:val="clear" w:color="000000" w:fill="FFFFFF"/>
            <w:noWrap/>
            <w:vAlign w:val="bottom"/>
            <w:hideMark/>
          </w:tcPr>
          <w:p w14:paraId="264FA28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$2.04</w:t>
            </w:r>
          </w:p>
        </w:tc>
        <w:tc>
          <w:tcPr>
            <w:tcW w:w="1253" w:type="dxa"/>
            <w:tcBorders>
              <w:top w:val="nil"/>
              <w:left w:val="nil"/>
              <w:bottom w:val="single" w:sz="8" w:space="0" w:color="auto"/>
              <w:right w:val="nil"/>
            </w:tcBorders>
            <w:shd w:val="clear" w:color="auto" w:fill="auto"/>
            <w:noWrap/>
            <w:vAlign w:val="bottom"/>
            <w:hideMark/>
          </w:tcPr>
          <w:p w14:paraId="581BD8A8"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$66.48</w:t>
            </w:r>
          </w:p>
        </w:tc>
      </w:tr>
      <w:tr w:rsidR="00F914CC" w:rsidRPr="00F914CC" w14:paraId="771D344E" w14:textId="77777777" w:rsidTr="00112A57">
        <w:trPr>
          <w:trHeight w:val="320"/>
        </w:trPr>
        <w:tc>
          <w:tcPr>
            <w:tcW w:w="1691" w:type="dxa"/>
            <w:tcBorders>
              <w:top w:val="nil"/>
              <w:left w:val="nil"/>
              <w:bottom w:val="single" w:sz="8" w:space="0" w:color="auto"/>
              <w:right w:val="nil"/>
            </w:tcBorders>
            <w:shd w:val="clear" w:color="auto" w:fill="auto"/>
            <w:vAlign w:val="bottom"/>
            <w:hideMark/>
          </w:tcPr>
          <w:p w14:paraId="041F8131"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LST government</w:t>
            </w:r>
          </w:p>
        </w:tc>
        <w:tc>
          <w:tcPr>
            <w:tcW w:w="1252" w:type="dxa"/>
            <w:tcBorders>
              <w:top w:val="nil"/>
              <w:left w:val="nil"/>
              <w:bottom w:val="single" w:sz="8" w:space="0" w:color="auto"/>
              <w:right w:val="nil"/>
            </w:tcBorders>
            <w:shd w:val="clear" w:color="000000" w:fill="FFFFFF"/>
            <w:noWrap/>
            <w:vAlign w:val="bottom"/>
            <w:hideMark/>
          </w:tcPr>
          <w:p w14:paraId="47ABEEA5"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$14.02</w:t>
            </w:r>
          </w:p>
        </w:tc>
        <w:tc>
          <w:tcPr>
            <w:tcW w:w="1252" w:type="dxa"/>
            <w:tcBorders>
              <w:top w:val="nil"/>
              <w:left w:val="nil"/>
              <w:bottom w:val="single" w:sz="8" w:space="0" w:color="auto"/>
              <w:right w:val="nil"/>
            </w:tcBorders>
            <w:shd w:val="clear" w:color="000000" w:fill="FFFFFF"/>
            <w:noWrap/>
            <w:vAlign w:val="bottom"/>
            <w:hideMark/>
          </w:tcPr>
          <w:p w14:paraId="29EF1279"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$25.81</w:t>
            </w:r>
          </w:p>
        </w:tc>
        <w:tc>
          <w:tcPr>
            <w:tcW w:w="1252" w:type="dxa"/>
            <w:tcBorders>
              <w:top w:val="nil"/>
              <w:left w:val="nil"/>
              <w:bottom w:val="single" w:sz="8" w:space="0" w:color="auto"/>
              <w:right w:val="nil"/>
            </w:tcBorders>
            <w:shd w:val="clear" w:color="000000" w:fill="FFFFFF"/>
            <w:noWrap/>
            <w:vAlign w:val="bottom"/>
            <w:hideMark/>
          </w:tcPr>
          <w:p w14:paraId="53A48053"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$10.91</w:t>
            </w:r>
          </w:p>
        </w:tc>
        <w:tc>
          <w:tcPr>
            <w:tcW w:w="1252" w:type="dxa"/>
            <w:tcBorders>
              <w:top w:val="nil"/>
              <w:left w:val="nil"/>
              <w:bottom w:val="single" w:sz="8" w:space="0" w:color="auto"/>
              <w:right w:val="nil"/>
            </w:tcBorders>
            <w:shd w:val="clear" w:color="000000" w:fill="FFFFFF"/>
            <w:noWrap/>
            <w:vAlign w:val="bottom"/>
            <w:hideMark/>
          </w:tcPr>
          <w:p w14:paraId="68DBDE38"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$11.50</w:t>
            </w:r>
          </w:p>
        </w:tc>
        <w:tc>
          <w:tcPr>
            <w:tcW w:w="1252" w:type="dxa"/>
            <w:tcBorders>
              <w:top w:val="nil"/>
              <w:left w:val="nil"/>
              <w:bottom w:val="single" w:sz="8" w:space="0" w:color="auto"/>
              <w:right w:val="nil"/>
            </w:tcBorders>
            <w:shd w:val="clear" w:color="000000" w:fill="FFFFFF"/>
            <w:noWrap/>
            <w:vAlign w:val="bottom"/>
            <w:hideMark/>
          </w:tcPr>
          <w:p w14:paraId="55E90407"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$1.14</w:t>
            </w:r>
          </w:p>
        </w:tc>
        <w:tc>
          <w:tcPr>
            <w:tcW w:w="1253" w:type="dxa"/>
            <w:tcBorders>
              <w:top w:val="nil"/>
              <w:left w:val="nil"/>
              <w:bottom w:val="single" w:sz="8" w:space="0" w:color="auto"/>
              <w:right w:val="nil"/>
            </w:tcBorders>
            <w:shd w:val="clear" w:color="auto" w:fill="auto"/>
            <w:noWrap/>
            <w:vAlign w:val="bottom"/>
            <w:hideMark/>
          </w:tcPr>
          <w:p w14:paraId="674C59C8"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$63.38</w:t>
            </w:r>
          </w:p>
        </w:tc>
      </w:tr>
      <w:tr w:rsidR="00F914CC" w:rsidRPr="00F914CC" w14:paraId="4DFD19F5" w14:textId="77777777" w:rsidTr="00112A57">
        <w:trPr>
          <w:trHeight w:val="320"/>
        </w:trPr>
        <w:tc>
          <w:tcPr>
            <w:tcW w:w="1691" w:type="dxa"/>
            <w:tcBorders>
              <w:top w:val="nil"/>
              <w:left w:val="nil"/>
              <w:bottom w:val="single" w:sz="8" w:space="0" w:color="auto"/>
              <w:right w:val="nil"/>
            </w:tcBorders>
            <w:shd w:val="clear" w:color="000000" w:fill="D8DADA"/>
            <w:vAlign w:val="bottom"/>
            <w:hideMark/>
          </w:tcPr>
          <w:p w14:paraId="366C8EB2" w14:textId="77777777" w:rsidR="00F914CC" w:rsidRPr="00F914CC" w:rsidRDefault="00F914CC" w:rsidP="00F914CC">
            <w:pPr>
              <w:spacing w:before="0" w:after="0" w:line="240" w:lineRule="auto"/>
              <w:rPr>
                <w:rFonts w:cs="Arial"/>
                <w:b/>
                <w:color w:val="313131"/>
                <w:sz w:val="21"/>
                <w:szCs w:val="21"/>
                <w:lang w:eastAsia="en-AU"/>
              </w:rPr>
            </w:pPr>
            <w:r w:rsidRPr="00F914CC">
              <w:rPr>
                <w:rFonts w:cs="Arial"/>
                <w:b/>
                <w:color w:val="313131"/>
                <w:sz w:val="21"/>
                <w:szCs w:val="21"/>
                <w:lang w:eastAsia="en-AU"/>
              </w:rPr>
              <w:t>Location</w:t>
            </w:r>
          </w:p>
        </w:tc>
        <w:tc>
          <w:tcPr>
            <w:tcW w:w="1252" w:type="dxa"/>
            <w:tcBorders>
              <w:top w:val="nil"/>
              <w:left w:val="nil"/>
              <w:bottom w:val="single" w:sz="8" w:space="0" w:color="auto"/>
              <w:right w:val="nil"/>
            </w:tcBorders>
            <w:shd w:val="clear" w:color="000000" w:fill="D8DADA"/>
            <w:noWrap/>
            <w:vAlign w:val="bottom"/>
            <w:hideMark/>
          </w:tcPr>
          <w:p w14:paraId="7DAB0DF7"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2643ABA0"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0D1BEC60"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0347CAC9"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743B456D"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3" w:type="dxa"/>
            <w:tcBorders>
              <w:top w:val="nil"/>
              <w:left w:val="nil"/>
              <w:bottom w:val="single" w:sz="8" w:space="0" w:color="auto"/>
              <w:right w:val="nil"/>
            </w:tcBorders>
            <w:shd w:val="clear" w:color="000000" w:fill="D8DADA"/>
            <w:noWrap/>
            <w:vAlign w:val="bottom"/>
            <w:hideMark/>
          </w:tcPr>
          <w:p w14:paraId="20E36096"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r>
      <w:tr w:rsidR="00F914CC" w:rsidRPr="00F914CC" w14:paraId="0E23B368" w14:textId="77777777" w:rsidTr="00112A57">
        <w:trPr>
          <w:trHeight w:val="320"/>
        </w:trPr>
        <w:tc>
          <w:tcPr>
            <w:tcW w:w="1691" w:type="dxa"/>
            <w:tcBorders>
              <w:top w:val="nil"/>
              <w:left w:val="nil"/>
              <w:bottom w:val="single" w:sz="8" w:space="0" w:color="auto"/>
              <w:right w:val="nil"/>
            </w:tcBorders>
            <w:shd w:val="clear" w:color="000000" w:fill="FFFFFF"/>
            <w:vAlign w:val="bottom"/>
            <w:hideMark/>
          </w:tcPr>
          <w:p w14:paraId="01D9A014"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Metropolitan</w:t>
            </w:r>
          </w:p>
        </w:tc>
        <w:tc>
          <w:tcPr>
            <w:tcW w:w="1252" w:type="dxa"/>
            <w:tcBorders>
              <w:top w:val="nil"/>
              <w:left w:val="nil"/>
              <w:bottom w:val="single" w:sz="8" w:space="0" w:color="auto"/>
              <w:right w:val="nil"/>
            </w:tcBorders>
            <w:shd w:val="clear" w:color="000000" w:fill="FFFFFF"/>
            <w:noWrap/>
            <w:vAlign w:val="bottom"/>
            <w:hideMark/>
          </w:tcPr>
          <w:p w14:paraId="14DECB1A"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$19.28</w:t>
            </w:r>
          </w:p>
        </w:tc>
        <w:tc>
          <w:tcPr>
            <w:tcW w:w="1252" w:type="dxa"/>
            <w:tcBorders>
              <w:top w:val="nil"/>
              <w:left w:val="nil"/>
              <w:bottom w:val="single" w:sz="8" w:space="0" w:color="auto"/>
              <w:right w:val="nil"/>
            </w:tcBorders>
            <w:shd w:val="clear" w:color="000000" w:fill="FFFFFF"/>
            <w:noWrap/>
            <w:vAlign w:val="bottom"/>
            <w:hideMark/>
          </w:tcPr>
          <w:p w14:paraId="422261E4"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$22.85</w:t>
            </w:r>
          </w:p>
        </w:tc>
        <w:tc>
          <w:tcPr>
            <w:tcW w:w="1252" w:type="dxa"/>
            <w:tcBorders>
              <w:top w:val="nil"/>
              <w:left w:val="nil"/>
              <w:bottom w:val="single" w:sz="8" w:space="0" w:color="auto"/>
              <w:right w:val="nil"/>
            </w:tcBorders>
            <w:shd w:val="clear" w:color="000000" w:fill="FFFFFF"/>
            <w:noWrap/>
            <w:vAlign w:val="bottom"/>
            <w:hideMark/>
          </w:tcPr>
          <w:p w14:paraId="3C123036"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$7.09</w:t>
            </w:r>
          </w:p>
        </w:tc>
        <w:tc>
          <w:tcPr>
            <w:tcW w:w="1252" w:type="dxa"/>
            <w:tcBorders>
              <w:top w:val="nil"/>
              <w:left w:val="nil"/>
              <w:bottom w:val="single" w:sz="8" w:space="0" w:color="auto"/>
              <w:right w:val="nil"/>
            </w:tcBorders>
            <w:shd w:val="clear" w:color="000000" w:fill="FFFFFF"/>
            <w:noWrap/>
            <w:vAlign w:val="bottom"/>
            <w:hideMark/>
          </w:tcPr>
          <w:p w14:paraId="20D04CE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$15.34</w:t>
            </w:r>
          </w:p>
        </w:tc>
        <w:tc>
          <w:tcPr>
            <w:tcW w:w="1252" w:type="dxa"/>
            <w:tcBorders>
              <w:top w:val="nil"/>
              <w:left w:val="nil"/>
              <w:bottom w:val="single" w:sz="8" w:space="0" w:color="auto"/>
              <w:right w:val="nil"/>
            </w:tcBorders>
            <w:shd w:val="clear" w:color="000000" w:fill="FFFFFF"/>
            <w:noWrap/>
            <w:vAlign w:val="bottom"/>
            <w:hideMark/>
          </w:tcPr>
          <w:p w14:paraId="7223FA9C"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$2.43</w:t>
            </w:r>
          </w:p>
        </w:tc>
        <w:tc>
          <w:tcPr>
            <w:tcW w:w="1253" w:type="dxa"/>
            <w:tcBorders>
              <w:top w:val="nil"/>
              <w:left w:val="nil"/>
              <w:bottom w:val="single" w:sz="8" w:space="0" w:color="auto"/>
              <w:right w:val="nil"/>
            </w:tcBorders>
            <w:shd w:val="clear" w:color="000000" w:fill="FFFFFF"/>
            <w:noWrap/>
            <w:vAlign w:val="bottom"/>
            <w:hideMark/>
          </w:tcPr>
          <w:p w14:paraId="69521CB1"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$67.00</w:t>
            </w:r>
          </w:p>
        </w:tc>
      </w:tr>
      <w:tr w:rsidR="00F914CC" w:rsidRPr="00F914CC" w14:paraId="4507E13D" w14:textId="77777777" w:rsidTr="00112A57">
        <w:trPr>
          <w:trHeight w:val="320"/>
        </w:trPr>
        <w:tc>
          <w:tcPr>
            <w:tcW w:w="1691" w:type="dxa"/>
            <w:tcBorders>
              <w:top w:val="nil"/>
              <w:left w:val="nil"/>
              <w:bottom w:val="single" w:sz="8" w:space="0" w:color="auto"/>
              <w:right w:val="nil"/>
            </w:tcBorders>
            <w:shd w:val="clear" w:color="000000" w:fill="FFFFFF"/>
            <w:vAlign w:val="bottom"/>
            <w:hideMark/>
          </w:tcPr>
          <w:p w14:paraId="0AA64EFD"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Regional</w:t>
            </w:r>
          </w:p>
        </w:tc>
        <w:tc>
          <w:tcPr>
            <w:tcW w:w="1252" w:type="dxa"/>
            <w:tcBorders>
              <w:top w:val="nil"/>
              <w:left w:val="nil"/>
              <w:bottom w:val="single" w:sz="8" w:space="0" w:color="auto"/>
              <w:right w:val="nil"/>
            </w:tcBorders>
            <w:shd w:val="clear" w:color="000000" w:fill="FFFFFF"/>
            <w:noWrap/>
            <w:vAlign w:val="bottom"/>
            <w:hideMark/>
          </w:tcPr>
          <w:p w14:paraId="2930E7D9"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$20.15</w:t>
            </w:r>
          </w:p>
        </w:tc>
        <w:tc>
          <w:tcPr>
            <w:tcW w:w="1252" w:type="dxa"/>
            <w:tcBorders>
              <w:top w:val="nil"/>
              <w:left w:val="nil"/>
              <w:bottom w:val="single" w:sz="8" w:space="0" w:color="auto"/>
              <w:right w:val="nil"/>
            </w:tcBorders>
            <w:shd w:val="clear" w:color="000000" w:fill="FFFFFF"/>
            <w:noWrap/>
            <w:vAlign w:val="bottom"/>
            <w:hideMark/>
          </w:tcPr>
          <w:p w14:paraId="543B428D"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$16.64</w:t>
            </w:r>
          </w:p>
        </w:tc>
        <w:tc>
          <w:tcPr>
            <w:tcW w:w="1252" w:type="dxa"/>
            <w:tcBorders>
              <w:top w:val="nil"/>
              <w:left w:val="nil"/>
              <w:bottom w:val="single" w:sz="8" w:space="0" w:color="auto"/>
              <w:right w:val="nil"/>
            </w:tcBorders>
            <w:shd w:val="clear" w:color="000000" w:fill="FFFFFF"/>
            <w:noWrap/>
            <w:vAlign w:val="bottom"/>
            <w:hideMark/>
          </w:tcPr>
          <w:p w14:paraId="00750972"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$8.70</w:t>
            </w:r>
          </w:p>
        </w:tc>
        <w:tc>
          <w:tcPr>
            <w:tcW w:w="1252" w:type="dxa"/>
            <w:tcBorders>
              <w:top w:val="nil"/>
              <w:left w:val="nil"/>
              <w:bottom w:val="single" w:sz="8" w:space="0" w:color="auto"/>
              <w:right w:val="nil"/>
            </w:tcBorders>
            <w:shd w:val="clear" w:color="000000" w:fill="FFFFFF"/>
            <w:noWrap/>
            <w:vAlign w:val="bottom"/>
            <w:hideMark/>
          </w:tcPr>
          <w:p w14:paraId="24F8154F"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$12.42</w:t>
            </w:r>
          </w:p>
        </w:tc>
        <w:tc>
          <w:tcPr>
            <w:tcW w:w="1252" w:type="dxa"/>
            <w:tcBorders>
              <w:top w:val="nil"/>
              <w:left w:val="nil"/>
              <w:bottom w:val="single" w:sz="8" w:space="0" w:color="auto"/>
              <w:right w:val="nil"/>
            </w:tcBorders>
            <w:shd w:val="clear" w:color="000000" w:fill="FFFFFF"/>
            <w:noWrap/>
            <w:vAlign w:val="bottom"/>
            <w:hideMark/>
          </w:tcPr>
          <w:p w14:paraId="5C5648B2"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$2.13</w:t>
            </w:r>
          </w:p>
        </w:tc>
        <w:tc>
          <w:tcPr>
            <w:tcW w:w="1253" w:type="dxa"/>
            <w:tcBorders>
              <w:top w:val="nil"/>
              <w:left w:val="nil"/>
              <w:bottom w:val="single" w:sz="8" w:space="0" w:color="auto"/>
              <w:right w:val="nil"/>
            </w:tcBorders>
            <w:shd w:val="clear" w:color="000000" w:fill="FFFFFF"/>
            <w:noWrap/>
            <w:vAlign w:val="bottom"/>
            <w:hideMark/>
          </w:tcPr>
          <w:p w14:paraId="752FC790"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$60.05</w:t>
            </w:r>
          </w:p>
        </w:tc>
      </w:tr>
      <w:tr w:rsidR="00F914CC" w:rsidRPr="00F914CC" w14:paraId="73F1B5A2" w14:textId="77777777" w:rsidTr="00112A57">
        <w:trPr>
          <w:trHeight w:val="320"/>
        </w:trPr>
        <w:tc>
          <w:tcPr>
            <w:tcW w:w="1691" w:type="dxa"/>
            <w:tcBorders>
              <w:top w:val="nil"/>
              <w:left w:val="nil"/>
              <w:bottom w:val="single" w:sz="8" w:space="0" w:color="auto"/>
              <w:right w:val="nil"/>
            </w:tcBorders>
            <w:shd w:val="clear" w:color="000000" w:fill="FFFFFF"/>
            <w:vAlign w:val="bottom"/>
            <w:hideMark/>
          </w:tcPr>
          <w:p w14:paraId="5A58B9CD" w14:textId="77777777" w:rsidR="00F914CC" w:rsidRPr="003C7E00" w:rsidRDefault="00F914CC" w:rsidP="00F914CC">
            <w:pPr>
              <w:spacing w:before="0" w:after="0" w:line="240" w:lineRule="auto"/>
              <w:rPr>
                <w:rFonts w:cs="Arial"/>
                <w:bCs w:val="0"/>
                <w:color w:val="1E1545" w:themeColor="text2"/>
                <w:sz w:val="21"/>
                <w:szCs w:val="21"/>
                <w:lang w:eastAsia="en-AU"/>
              </w:rPr>
            </w:pPr>
            <w:r w:rsidRPr="003C7E00">
              <w:rPr>
                <w:rFonts w:cs="Arial"/>
                <w:bCs w:val="0"/>
                <w:color w:val="1E1545" w:themeColor="text2"/>
                <w:sz w:val="21"/>
                <w:szCs w:val="21"/>
                <w:lang w:eastAsia="en-AU"/>
              </w:rPr>
              <w:t>Metropolitan and regional</w:t>
            </w:r>
          </w:p>
        </w:tc>
        <w:tc>
          <w:tcPr>
            <w:tcW w:w="1252" w:type="dxa"/>
            <w:tcBorders>
              <w:top w:val="nil"/>
              <w:left w:val="nil"/>
              <w:bottom w:val="single" w:sz="8" w:space="0" w:color="auto"/>
              <w:right w:val="nil"/>
            </w:tcBorders>
            <w:shd w:val="clear" w:color="000000" w:fill="FFFFFF"/>
            <w:noWrap/>
            <w:vAlign w:val="bottom"/>
            <w:hideMark/>
          </w:tcPr>
          <w:p w14:paraId="18DCC2BE"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$21.01</w:t>
            </w:r>
          </w:p>
        </w:tc>
        <w:tc>
          <w:tcPr>
            <w:tcW w:w="1252" w:type="dxa"/>
            <w:tcBorders>
              <w:top w:val="nil"/>
              <w:left w:val="nil"/>
              <w:bottom w:val="single" w:sz="8" w:space="0" w:color="auto"/>
              <w:right w:val="nil"/>
            </w:tcBorders>
            <w:shd w:val="clear" w:color="000000" w:fill="FFFFFF"/>
            <w:noWrap/>
            <w:vAlign w:val="bottom"/>
            <w:hideMark/>
          </w:tcPr>
          <w:p w14:paraId="6827C19F"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$21.16</w:t>
            </w:r>
          </w:p>
        </w:tc>
        <w:tc>
          <w:tcPr>
            <w:tcW w:w="1252" w:type="dxa"/>
            <w:tcBorders>
              <w:top w:val="nil"/>
              <w:left w:val="nil"/>
              <w:bottom w:val="single" w:sz="8" w:space="0" w:color="auto"/>
              <w:right w:val="nil"/>
            </w:tcBorders>
            <w:shd w:val="clear" w:color="000000" w:fill="FFFFFF"/>
            <w:noWrap/>
            <w:vAlign w:val="bottom"/>
            <w:hideMark/>
          </w:tcPr>
          <w:p w14:paraId="583BDF5B"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$6.26</w:t>
            </w:r>
          </w:p>
        </w:tc>
        <w:tc>
          <w:tcPr>
            <w:tcW w:w="1252" w:type="dxa"/>
            <w:tcBorders>
              <w:top w:val="nil"/>
              <w:left w:val="nil"/>
              <w:bottom w:val="single" w:sz="8" w:space="0" w:color="auto"/>
              <w:right w:val="nil"/>
            </w:tcBorders>
            <w:shd w:val="clear" w:color="000000" w:fill="FFFFFF"/>
            <w:noWrap/>
            <w:vAlign w:val="bottom"/>
            <w:hideMark/>
          </w:tcPr>
          <w:p w14:paraId="0BF483CC"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$15.16</w:t>
            </w:r>
          </w:p>
        </w:tc>
        <w:tc>
          <w:tcPr>
            <w:tcW w:w="1252" w:type="dxa"/>
            <w:tcBorders>
              <w:top w:val="nil"/>
              <w:left w:val="nil"/>
              <w:bottom w:val="single" w:sz="8" w:space="0" w:color="auto"/>
              <w:right w:val="nil"/>
            </w:tcBorders>
            <w:shd w:val="clear" w:color="000000" w:fill="FFFFFF"/>
            <w:noWrap/>
            <w:vAlign w:val="bottom"/>
            <w:hideMark/>
          </w:tcPr>
          <w:p w14:paraId="3E70E581"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$1.87</w:t>
            </w:r>
          </w:p>
        </w:tc>
        <w:tc>
          <w:tcPr>
            <w:tcW w:w="1253" w:type="dxa"/>
            <w:tcBorders>
              <w:top w:val="nil"/>
              <w:left w:val="nil"/>
              <w:bottom w:val="single" w:sz="8" w:space="0" w:color="auto"/>
              <w:right w:val="nil"/>
            </w:tcBorders>
            <w:shd w:val="clear" w:color="000000" w:fill="FFFFFF"/>
            <w:noWrap/>
            <w:vAlign w:val="bottom"/>
            <w:hideMark/>
          </w:tcPr>
          <w:p w14:paraId="0C2148C7" w14:textId="77777777" w:rsidR="00F914CC" w:rsidRPr="003C7E00" w:rsidRDefault="00F914CC" w:rsidP="00F914CC">
            <w:pPr>
              <w:spacing w:before="0" w:after="0" w:line="240" w:lineRule="auto"/>
              <w:jc w:val="right"/>
              <w:rPr>
                <w:rFonts w:cs="Arial"/>
                <w:bCs w:val="0"/>
                <w:color w:val="1E1545" w:themeColor="text2"/>
                <w:sz w:val="21"/>
                <w:szCs w:val="21"/>
                <w:lang w:eastAsia="en-AU"/>
              </w:rPr>
            </w:pPr>
            <w:r w:rsidRPr="003C7E00">
              <w:rPr>
                <w:rFonts w:cs="Arial"/>
                <w:bCs w:val="0"/>
                <w:color w:val="1E1545" w:themeColor="text2"/>
                <w:sz w:val="21"/>
                <w:szCs w:val="21"/>
                <w:lang w:eastAsia="en-AU"/>
              </w:rPr>
              <w:t>$65.45</w:t>
            </w:r>
          </w:p>
        </w:tc>
      </w:tr>
      <w:tr w:rsidR="00F914CC" w:rsidRPr="00F914CC" w14:paraId="01534640" w14:textId="77777777" w:rsidTr="00112A57">
        <w:trPr>
          <w:trHeight w:val="320"/>
        </w:trPr>
        <w:tc>
          <w:tcPr>
            <w:tcW w:w="1691" w:type="dxa"/>
            <w:tcBorders>
              <w:top w:val="nil"/>
              <w:left w:val="nil"/>
              <w:bottom w:val="single" w:sz="8" w:space="0" w:color="auto"/>
              <w:right w:val="nil"/>
            </w:tcBorders>
            <w:shd w:val="clear" w:color="000000" w:fill="D8DADA"/>
            <w:vAlign w:val="bottom"/>
            <w:hideMark/>
          </w:tcPr>
          <w:p w14:paraId="1AD202A9" w14:textId="77777777" w:rsidR="00F914CC" w:rsidRPr="00F914CC" w:rsidRDefault="00F914CC" w:rsidP="00F914CC">
            <w:pPr>
              <w:spacing w:before="0" w:after="0" w:line="240" w:lineRule="auto"/>
              <w:rPr>
                <w:rFonts w:cs="Arial"/>
                <w:b/>
                <w:color w:val="313131"/>
                <w:sz w:val="21"/>
                <w:szCs w:val="21"/>
                <w:lang w:eastAsia="en-AU"/>
              </w:rPr>
            </w:pPr>
            <w:r w:rsidRPr="00F914CC">
              <w:rPr>
                <w:rFonts w:cs="Arial"/>
                <w:b/>
                <w:color w:val="313131"/>
                <w:sz w:val="21"/>
                <w:szCs w:val="21"/>
                <w:lang w:eastAsia="en-AU"/>
              </w:rPr>
              <w:t>Scale</w:t>
            </w:r>
          </w:p>
        </w:tc>
        <w:tc>
          <w:tcPr>
            <w:tcW w:w="1252" w:type="dxa"/>
            <w:tcBorders>
              <w:top w:val="nil"/>
              <w:left w:val="nil"/>
              <w:bottom w:val="single" w:sz="8" w:space="0" w:color="auto"/>
              <w:right w:val="nil"/>
            </w:tcBorders>
            <w:shd w:val="clear" w:color="000000" w:fill="D8DADA"/>
            <w:noWrap/>
            <w:vAlign w:val="bottom"/>
            <w:hideMark/>
          </w:tcPr>
          <w:p w14:paraId="05BCDC26"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39564D9C"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3EEC2F2A"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05DA41C4"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2" w:type="dxa"/>
            <w:tcBorders>
              <w:top w:val="nil"/>
              <w:left w:val="nil"/>
              <w:bottom w:val="single" w:sz="8" w:space="0" w:color="auto"/>
              <w:right w:val="nil"/>
            </w:tcBorders>
            <w:shd w:val="clear" w:color="000000" w:fill="D8DADA"/>
            <w:noWrap/>
            <w:vAlign w:val="bottom"/>
            <w:hideMark/>
          </w:tcPr>
          <w:p w14:paraId="2119B813"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c>
          <w:tcPr>
            <w:tcW w:w="1253" w:type="dxa"/>
            <w:tcBorders>
              <w:top w:val="nil"/>
              <w:left w:val="nil"/>
              <w:bottom w:val="single" w:sz="8" w:space="0" w:color="auto"/>
              <w:right w:val="nil"/>
            </w:tcBorders>
            <w:shd w:val="clear" w:color="000000" w:fill="D8DADA"/>
            <w:noWrap/>
            <w:vAlign w:val="bottom"/>
            <w:hideMark/>
          </w:tcPr>
          <w:p w14:paraId="72B76965" w14:textId="77777777" w:rsidR="00F914CC" w:rsidRPr="00F914CC" w:rsidRDefault="00F914CC" w:rsidP="00F914CC">
            <w:pPr>
              <w:spacing w:before="0" w:after="0" w:line="240" w:lineRule="auto"/>
              <w:rPr>
                <w:rFonts w:cs="Arial"/>
                <w:bCs w:val="0"/>
                <w:color w:val="000000"/>
                <w:sz w:val="21"/>
                <w:szCs w:val="21"/>
                <w:lang w:eastAsia="en-AU"/>
              </w:rPr>
            </w:pPr>
            <w:r w:rsidRPr="00F914CC">
              <w:rPr>
                <w:rFonts w:cs="Arial"/>
                <w:bCs w:val="0"/>
                <w:color w:val="000000"/>
                <w:sz w:val="21"/>
                <w:szCs w:val="21"/>
                <w:lang w:eastAsia="en-AU"/>
              </w:rPr>
              <w:t> </w:t>
            </w:r>
          </w:p>
        </w:tc>
      </w:tr>
      <w:tr w:rsidR="00F914CC" w:rsidRPr="00F914CC" w14:paraId="08EA37EE" w14:textId="77777777" w:rsidTr="00112A57">
        <w:trPr>
          <w:trHeight w:val="320"/>
        </w:trPr>
        <w:tc>
          <w:tcPr>
            <w:tcW w:w="1691" w:type="dxa"/>
            <w:tcBorders>
              <w:top w:val="nil"/>
              <w:left w:val="nil"/>
              <w:bottom w:val="single" w:sz="8" w:space="0" w:color="auto"/>
              <w:right w:val="nil"/>
            </w:tcBorders>
            <w:shd w:val="clear" w:color="000000" w:fill="FFFFFF"/>
            <w:vAlign w:val="bottom"/>
            <w:hideMark/>
          </w:tcPr>
          <w:p w14:paraId="72BAB0C8" w14:textId="77777777" w:rsidR="00F914CC" w:rsidRPr="00FF60D1" w:rsidRDefault="00F914CC" w:rsidP="00F914CC">
            <w:pPr>
              <w:spacing w:before="0" w:after="0" w:line="240" w:lineRule="auto"/>
              <w:rPr>
                <w:rFonts w:cs="Arial"/>
                <w:bCs w:val="0"/>
                <w:color w:val="1E1545" w:themeColor="text2"/>
                <w:sz w:val="21"/>
                <w:szCs w:val="21"/>
                <w:lang w:eastAsia="en-AU"/>
              </w:rPr>
            </w:pPr>
            <w:r w:rsidRPr="00FF60D1">
              <w:rPr>
                <w:rFonts w:cs="Arial"/>
                <w:bCs w:val="0"/>
                <w:color w:val="1E1545" w:themeColor="text2"/>
                <w:sz w:val="21"/>
                <w:szCs w:val="21"/>
                <w:lang w:eastAsia="en-AU"/>
              </w:rPr>
              <w:t>Single service</w:t>
            </w:r>
          </w:p>
        </w:tc>
        <w:tc>
          <w:tcPr>
            <w:tcW w:w="1252" w:type="dxa"/>
            <w:tcBorders>
              <w:top w:val="nil"/>
              <w:left w:val="nil"/>
              <w:bottom w:val="single" w:sz="8" w:space="0" w:color="auto"/>
              <w:right w:val="nil"/>
            </w:tcBorders>
            <w:shd w:val="clear" w:color="000000" w:fill="FFFFFF"/>
            <w:noWrap/>
            <w:vAlign w:val="bottom"/>
            <w:hideMark/>
          </w:tcPr>
          <w:p w14:paraId="7F1CD6F3"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$21.66</w:t>
            </w:r>
          </w:p>
        </w:tc>
        <w:tc>
          <w:tcPr>
            <w:tcW w:w="1252" w:type="dxa"/>
            <w:tcBorders>
              <w:top w:val="nil"/>
              <w:left w:val="nil"/>
              <w:bottom w:val="single" w:sz="8" w:space="0" w:color="auto"/>
              <w:right w:val="nil"/>
            </w:tcBorders>
            <w:shd w:val="clear" w:color="000000" w:fill="FFFFFF"/>
            <w:noWrap/>
            <w:vAlign w:val="bottom"/>
            <w:hideMark/>
          </w:tcPr>
          <w:p w14:paraId="106F1C0B"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$19.72</w:t>
            </w:r>
          </w:p>
        </w:tc>
        <w:tc>
          <w:tcPr>
            <w:tcW w:w="1252" w:type="dxa"/>
            <w:tcBorders>
              <w:top w:val="nil"/>
              <w:left w:val="nil"/>
              <w:bottom w:val="single" w:sz="8" w:space="0" w:color="auto"/>
              <w:right w:val="nil"/>
            </w:tcBorders>
            <w:shd w:val="clear" w:color="000000" w:fill="FFFFFF"/>
            <w:noWrap/>
            <w:vAlign w:val="bottom"/>
            <w:hideMark/>
          </w:tcPr>
          <w:p w14:paraId="11939DE7"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$6.45</w:t>
            </w:r>
          </w:p>
        </w:tc>
        <w:tc>
          <w:tcPr>
            <w:tcW w:w="1252" w:type="dxa"/>
            <w:tcBorders>
              <w:top w:val="nil"/>
              <w:left w:val="nil"/>
              <w:bottom w:val="single" w:sz="8" w:space="0" w:color="auto"/>
              <w:right w:val="nil"/>
            </w:tcBorders>
            <w:shd w:val="clear" w:color="000000" w:fill="FFFFFF"/>
            <w:noWrap/>
            <w:vAlign w:val="bottom"/>
            <w:hideMark/>
          </w:tcPr>
          <w:p w14:paraId="671D5A77"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$14.23</w:t>
            </w:r>
          </w:p>
        </w:tc>
        <w:tc>
          <w:tcPr>
            <w:tcW w:w="1252" w:type="dxa"/>
            <w:tcBorders>
              <w:top w:val="nil"/>
              <w:left w:val="nil"/>
              <w:bottom w:val="single" w:sz="8" w:space="0" w:color="auto"/>
              <w:right w:val="nil"/>
            </w:tcBorders>
            <w:shd w:val="clear" w:color="000000" w:fill="FFFFFF"/>
            <w:noWrap/>
            <w:vAlign w:val="bottom"/>
            <w:hideMark/>
          </w:tcPr>
          <w:p w14:paraId="6C24863B"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$2.58</w:t>
            </w:r>
          </w:p>
        </w:tc>
        <w:tc>
          <w:tcPr>
            <w:tcW w:w="1253" w:type="dxa"/>
            <w:tcBorders>
              <w:top w:val="nil"/>
              <w:left w:val="nil"/>
              <w:bottom w:val="single" w:sz="8" w:space="0" w:color="auto"/>
              <w:right w:val="nil"/>
            </w:tcBorders>
            <w:shd w:val="clear" w:color="000000" w:fill="FFFFFF"/>
            <w:noWrap/>
            <w:vAlign w:val="bottom"/>
            <w:hideMark/>
          </w:tcPr>
          <w:p w14:paraId="503E8111"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$64.65</w:t>
            </w:r>
          </w:p>
        </w:tc>
      </w:tr>
      <w:tr w:rsidR="00F914CC" w:rsidRPr="00F914CC" w14:paraId="64996FDC" w14:textId="77777777" w:rsidTr="00112A57">
        <w:trPr>
          <w:trHeight w:val="320"/>
        </w:trPr>
        <w:tc>
          <w:tcPr>
            <w:tcW w:w="1691" w:type="dxa"/>
            <w:tcBorders>
              <w:top w:val="nil"/>
              <w:left w:val="nil"/>
              <w:bottom w:val="single" w:sz="8" w:space="0" w:color="auto"/>
              <w:right w:val="nil"/>
            </w:tcBorders>
            <w:shd w:val="clear" w:color="000000" w:fill="FFFFFF"/>
            <w:vAlign w:val="bottom"/>
            <w:hideMark/>
          </w:tcPr>
          <w:p w14:paraId="1C705545" w14:textId="77777777" w:rsidR="00F914CC" w:rsidRPr="00FF60D1" w:rsidRDefault="00F914CC" w:rsidP="00F914CC">
            <w:pPr>
              <w:spacing w:before="0" w:after="0" w:line="240" w:lineRule="auto"/>
              <w:rPr>
                <w:rFonts w:cs="Arial"/>
                <w:bCs w:val="0"/>
                <w:color w:val="1E1545" w:themeColor="text2"/>
                <w:sz w:val="21"/>
                <w:szCs w:val="21"/>
                <w:lang w:eastAsia="en-AU"/>
              </w:rPr>
            </w:pPr>
            <w:r w:rsidRPr="00FF60D1">
              <w:rPr>
                <w:rFonts w:cs="Arial"/>
                <w:bCs w:val="0"/>
                <w:color w:val="1E1545" w:themeColor="text2"/>
                <w:sz w:val="21"/>
                <w:szCs w:val="21"/>
                <w:lang w:eastAsia="en-AU"/>
              </w:rPr>
              <w:t>2 to 6 services</w:t>
            </w:r>
          </w:p>
        </w:tc>
        <w:tc>
          <w:tcPr>
            <w:tcW w:w="1252" w:type="dxa"/>
            <w:tcBorders>
              <w:top w:val="nil"/>
              <w:left w:val="nil"/>
              <w:bottom w:val="single" w:sz="8" w:space="0" w:color="auto"/>
              <w:right w:val="nil"/>
            </w:tcBorders>
            <w:shd w:val="clear" w:color="000000" w:fill="FFFFFF"/>
            <w:noWrap/>
            <w:vAlign w:val="bottom"/>
            <w:hideMark/>
          </w:tcPr>
          <w:p w14:paraId="1C83E733"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$17.15</w:t>
            </w:r>
          </w:p>
        </w:tc>
        <w:tc>
          <w:tcPr>
            <w:tcW w:w="1252" w:type="dxa"/>
            <w:tcBorders>
              <w:top w:val="nil"/>
              <w:left w:val="nil"/>
              <w:bottom w:val="single" w:sz="8" w:space="0" w:color="auto"/>
              <w:right w:val="nil"/>
            </w:tcBorders>
            <w:shd w:val="clear" w:color="000000" w:fill="FFFFFF"/>
            <w:noWrap/>
            <w:vAlign w:val="bottom"/>
            <w:hideMark/>
          </w:tcPr>
          <w:p w14:paraId="0B494CAC"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$27.97</w:t>
            </w:r>
          </w:p>
        </w:tc>
        <w:tc>
          <w:tcPr>
            <w:tcW w:w="1252" w:type="dxa"/>
            <w:tcBorders>
              <w:top w:val="nil"/>
              <w:left w:val="nil"/>
              <w:bottom w:val="single" w:sz="8" w:space="0" w:color="auto"/>
              <w:right w:val="nil"/>
            </w:tcBorders>
            <w:shd w:val="clear" w:color="000000" w:fill="FFFFFF"/>
            <w:noWrap/>
            <w:vAlign w:val="bottom"/>
            <w:hideMark/>
          </w:tcPr>
          <w:p w14:paraId="160F1E5B"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$7.09</w:t>
            </w:r>
          </w:p>
        </w:tc>
        <w:tc>
          <w:tcPr>
            <w:tcW w:w="1252" w:type="dxa"/>
            <w:tcBorders>
              <w:top w:val="nil"/>
              <w:left w:val="nil"/>
              <w:bottom w:val="single" w:sz="8" w:space="0" w:color="auto"/>
              <w:right w:val="nil"/>
            </w:tcBorders>
            <w:shd w:val="clear" w:color="000000" w:fill="FFFFFF"/>
            <w:noWrap/>
            <w:vAlign w:val="bottom"/>
            <w:hideMark/>
          </w:tcPr>
          <w:p w14:paraId="5D0C418E"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$11.39</w:t>
            </w:r>
          </w:p>
        </w:tc>
        <w:tc>
          <w:tcPr>
            <w:tcW w:w="1252" w:type="dxa"/>
            <w:tcBorders>
              <w:top w:val="nil"/>
              <w:left w:val="nil"/>
              <w:bottom w:val="single" w:sz="8" w:space="0" w:color="auto"/>
              <w:right w:val="nil"/>
            </w:tcBorders>
            <w:shd w:val="clear" w:color="000000" w:fill="FFFFFF"/>
            <w:noWrap/>
            <w:vAlign w:val="bottom"/>
            <w:hideMark/>
          </w:tcPr>
          <w:p w14:paraId="3A3BBCC7"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$1.99</w:t>
            </w:r>
          </w:p>
        </w:tc>
        <w:tc>
          <w:tcPr>
            <w:tcW w:w="1253" w:type="dxa"/>
            <w:tcBorders>
              <w:top w:val="nil"/>
              <w:left w:val="nil"/>
              <w:bottom w:val="single" w:sz="8" w:space="0" w:color="auto"/>
              <w:right w:val="nil"/>
            </w:tcBorders>
            <w:shd w:val="clear" w:color="000000" w:fill="FFFFFF"/>
            <w:noWrap/>
            <w:vAlign w:val="bottom"/>
            <w:hideMark/>
          </w:tcPr>
          <w:p w14:paraId="20C5F01E"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$65.59</w:t>
            </w:r>
          </w:p>
        </w:tc>
      </w:tr>
      <w:tr w:rsidR="00F914CC" w:rsidRPr="00F914CC" w14:paraId="5A9A7950" w14:textId="77777777" w:rsidTr="00112A57">
        <w:trPr>
          <w:trHeight w:val="320"/>
        </w:trPr>
        <w:tc>
          <w:tcPr>
            <w:tcW w:w="1691" w:type="dxa"/>
            <w:tcBorders>
              <w:top w:val="nil"/>
              <w:left w:val="nil"/>
              <w:bottom w:val="nil"/>
              <w:right w:val="nil"/>
            </w:tcBorders>
            <w:shd w:val="clear" w:color="000000" w:fill="FFFFFF"/>
            <w:vAlign w:val="bottom"/>
            <w:hideMark/>
          </w:tcPr>
          <w:p w14:paraId="6D653744" w14:textId="246DA6F6" w:rsidR="00F914CC" w:rsidRPr="00FF60D1" w:rsidRDefault="00F914CC" w:rsidP="00F914CC">
            <w:pPr>
              <w:spacing w:before="0" w:after="0" w:line="240" w:lineRule="auto"/>
              <w:rPr>
                <w:rFonts w:cs="Arial"/>
                <w:bCs w:val="0"/>
                <w:color w:val="1E1545" w:themeColor="text2"/>
                <w:sz w:val="21"/>
                <w:szCs w:val="21"/>
                <w:lang w:eastAsia="en-AU"/>
              </w:rPr>
            </w:pPr>
            <w:r w:rsidRPr="00FF60D1">
              <w:rPr>
                <w:rFonts w:cs="Arial"/>
                <w:bCs w:val="0"/>
                <w:color w:val="1E1545" w:themeColor="text2"/>
                <w:sz w:val="21"/>
                <w:szCs w:val="21"/>
                <w:lang w:eastAsia="en-AU"/>
              </w:rPr>
              <w:t xml:space="preserve">7 </w:t>
            </w:r>
            <w:r w:rsidR="008848FA" w:rsidRPr="00FF60D1">
              <w:rPr>
                <w:rFonts w:cs="Arial"/>
                <w:bCs w:val="0"/>
                <w:color w:val="1E1545" w:themeColor="text2"/>
                <w:sz w:val="21"/>
                <w:szCs w:val="21"/>
                <w:lang w:eastAsia="en-AU"/>
              </w:rPr>
              <w:t>or</w:t>
            </w:r>
            <w:r w:rsidRPr="00FF60D1">
              <w:rPr>
                <w:rFonts w:cs="Arial"/>
                <w:bCs w:val="0"/>
                <w:color w:val="1E1545" w:themeColor="text2"/>
                <w:sz w:val="21"/>
                <w:szCs w:val="21"/>
                <w:lang w:eastAsia="en-AU"/>
              </w:rPr>
              <w:t xml:space="preserve"> more services</w:t>
            </w:r>
          </w:p>
        </w:tc>
        <w:tc>
          <w:tcPr>
            <w:tcW w:w="1252" w:type="dxa"/>
            <w:tcBorders>
              <w:top w:val="nil"/>
              <w:left w:val="nil"/>
              <w:bottom w:val="single" w:sz="8" w:space="0" w:color="auto"/>
              <w:right w:val="nil"/>
            </w:tcBorders>
            <w:shd w:val="clear" w:color="000000" w:fill="FFFFFF"/>
            <w:noWrap/>
            <w:vAlign w:val="bottom"/>
            <w:hideMark/>
          </w:tcPr>
          <w:p w14:paraId="5F061E91"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$19.34</w:t>
            </w:r>
          </w:p>
        </w:tc>
        <w:tc>
          <w:tcPr>
            <w:tcW w:w="1252" w:type="dxa"/>
            <w:tcBorders>
              <w:top w:val="nil"/>
              <w:left w:val="nil"/>
              <w:bottom w:val="single" w:sz="8" w:space="0" w:color="auto"/>
              <w:right w:val="nil"/>
            </w:tcBorders>
            <w:shd w:val="clear" w:color="000000" w:fill="FFFFFF"/>
            <w:noWrap/>
            <w:vAlign w:val="bottom"/>
            <w:hideMark/>
          </w:tcPr>
          <w:p w14:paraId="08CF8C0D"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$19.69</w:t>
            </w:r>
          </w:p>
        </w:tc>
        <w:tc>
          <w:tcPr>
            <w:tcW w:w="1252" w:type="dxa"/>
            <w:tcBorders>
              <w:top w:val="nil"/>
              <w:left w:val="nil"/>
              <w:bottom w:val="single" w:sz="8" w:space="0" w:color="auto"/>
              <w:right w:val="nil"/>
            </w:tcBorders>
            <w:shd w:val="clear" w:color="000000" w:fill="FFFFFF"/>
            <w:noWrap/>
            <w:vAlign w:val="bottom"/>
            <w:hideMark/>
          </w:tcPr>
          <w:p w14:paraId="1D3C8D5D"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$8.00</w:t>
            </w:r>
          </w:p>
        </w:tc>
        <w:tc>
          <w:tcPr>
            <w:tcW w:w="1252" w:type="dxa"/>
            <w:tcBorders>
              <w:top w:val="nil"/>
              <w:left w:val="nil"/>
              <w:bottom w:val="single" w:sz="8" w:space="0" w:color="auto"/>
              <w:right w:val="nil"/>
            </w:tcBorders>
            <w:shd w:val="clear" w:color="000000" w:fill="FFFFFF"/>
            <w:noWrap/>
            <w:vAlign w:val="bottom"/>
            <w:hideMark/>
          </w:tcPr>
          <w:p w14:paraId="3707FCEE"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$16.93</w:t>
            </w:r>
          </w:p>
        </w:tc>
        <w:tc>
          <w:tcPr>
            <w:tcW w:w="1252" w:type="dxa"/>
            <w:tcBorders>
              <w:top w:val="nil"/>
              <w:left w:val="nil"/>
              <w:bottom w:val="single" w:sz="8" w:space="0" w:color="auto"/>
              <w:right w:val="nil"/>
            </w:tcBorders>
            <w:shd w:val="clear" w:color="000000" w:fill="FFFFFF"/>
            <w:noWrap/>
            <w:vAlign w:val="bottom"/>
            <w:hideMark/>
          </w:tcPr>
          <w:p w14:paraId="487F0FA0"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$2.16</w:t>
            </w:r>
          </w:p>
        </w:tc>
        <w:tc>
          <w:tcPr>
            <w:tcW w:w="1253" w:type="dxa"/>
            <w:tcBorders>
              <w:top w:val="nil"/>
              <w:left w:val="nil"/>
              <w:bottom w:val="single" w:sz="8" w:space="0" w:color="auto"/>
              <w:right w:val="nil"/>
            </w:tcBorders>
            <w:shd w:val="clear" w:color="000000" w:fill="FFFFFF"/>
            <w:noWrap/>
            <w:vAlign w:val="bottom"/>
            <w:hideMark/>
          </w:tcPr>
          <w:p w14:paraId="4D874CCF" w14:textId="77777777" w:rsidR="00F914CC" w:rsidRPr="00FF60D1" w:rsidRDefault="00F914CC" w:rsidP="00F914CC">
            <w:pPr>
              <w:spacing w:before="0" w:after="0" w:line="240" w:lineRule="auto"/>
              <w:jc w:val="right"/>
              <w:rPr>
                <w:rFonts w:cs="Arial"/>
                <w:bCs w:val="0"/>
                <w:color w:val="1E1545" w:themeColor="text2"/>
                <w:sz w:val="21"/>
                <w:szCs w:val="21"/>
                <w:lang w:eastAsia="en-AU"/>
              </w:rPr>
            </w:pPr>
            <w:r w:rsidRPr="00FF60D1">
              <w:rPr>
                <w:rFonts w:cs="Arial"/>
                <w:bCs w:val="0"/>
                <w:color w:val="1E1545" w:themeColor="text2"/>
                <w:sz w:val="21"/>
                <w:szCs w:val="21"/>
                <w:lang w:eastAsia="en-AU"/>
              </w:rPr>
              <w:t>$66.13</w:t>
            </w:r>
          </w:p>
        </w:tc>
      </w:tr>
      <w:tr w:rsidR="00F914CC" w:rsidRPr="00F914CC" w14:paraId="0C36E012" w14:textId="77777777" w:rsidTr="00112A57">
        <w:trPr>
          <w:trHeight w:val="320"/>
        </w:trPr>
        <w:tc>
          <w:tcPr>
            <w:tcW w:w="1691" w:type="dxa"/>
            <w:tcBorders>
              <w:top w:val="single" w:sz="8" w:space="0" w:color="auto"/>
              <w:left w:val="nil"/>
              <w:bottom w:val="single" w:sz="8" w:space="0" w:color="auto"/>
              <w:right w:val="nil"/>
            </w:tcBorders>
            <w:shd w:val="clear" w:color="000000" w:fill="D8DADA"/>
            <w:vAlign w:val="bottom"/>
            <w:hideMark/>
          </w:tcPr>
          <w:p w14:paraId="732CE347" w14:textId="77777777" w:rsidR="00F914CC" w:rsidRPr="00F914CC" w:rsidRDefault="00F914CC" w:rsidP="00F914CC">
            <w:pPr>
              <w:spacing w:before="0" w:after="0" w:line="240" w:lineRule="auto"/>
              <w:rPr>
                <w:rFonts w:cs="Arial"/>
                <w:b/>
                <w:color w:val="313131"/>
                <w:sz w:val="21"/>
                <w:szCs w:val="21"/>
                <w:lang w:eastAsia="en-AU"/>
              </w:rPr>
            </w:pPr>
            <w:r w:rsidRPr="00F914CC">
              <w:rPr>
                <w:rFonts w:cs="Arial"/>
                <w:b/>
                <w:color w:val="313131"/>
                <w:sz w:val="21"/>
                <w:szCs w:val="21"/>
                <w:lang w:eastAsia="en-AU"/>
              </w:rPr>
              <w:t>Total sector</w:t>
            </w:r>
          </w:p>
        </w:tc>
        <w:tc>
          <w:tcPr>
            <w:tcW w:w="1252" w:type="dxa"/>
            <w:tcBorders>
              <w:top w:val="nil"/>
              <w:left w:val="nil"/>
              <w:bottom w:val="single" w:sz="8" w:space="0" w:color="auto"/>
              <w:right w:val="nil"/>
            </w:tcBorders>
            <w:shd w:val="clear" w:color="000000" w:fill="D8DADA"/>
            <w:noWrap/>
            <w:vAlign w:val="bottom"/>
            <w:hideMark/>
          </w:tcPr>
          <w:p w14:paraId="1C18063E"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$19.73</w:t>
            </w:r>
          </w:p>
        </w:tc>
        <w:tc>
          <w:tcPr>
            <w:tcW w:w="1252" w:type="dxa"/>
            <w:tcBorders>
              <w:top w:val="nil"/>
              <w:left w:val="nil"/>
              <w:bottom w:val="single" w:sz="8" w:space="0" w:color="auto"/>
              <w:right w:val="nil"/>
            </w:tcBorders>
            <w:shd w:val="clear" w:color="000000" w:fill="D8DADA"/>
            <w:noWrap/>
            <w:vAlign w:val="bottom"/>
            <w:hideMark/>
          </w:tcPr>
          <w:p w14:paraId="60B43E48"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$21.44</w:t>
            </w:r>
          </w:p>
        </w:tc>
        <w:tc>
          <w:tcPr>
            <w:tcW w:w="1252" w:type="dxa"/>
            <w:tcBorders>
              <w:top w:val="nil"/>
              <w:left w:val="nil"/>
              <w:bottom w:val="single" w:sz="8" w:space="0" w:color="auto"/>
              <w:right w:val="nil"/>
            </w:tcBorders>
            <w:shd w:val="clear" w:color="000000" w:fill="D8DADA"/>
            <w:noWrap/>
            <w:vAlign w:val="bottom"/>
            <w:hideMark/>
          </w:tcPr>
          <w:p w14:paraId="7DC62E1D"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$7.24</w:t>
            </w:r>
          </w:p>
        </w:tc>
        <w:tc>
          <w:tcPr>
            <w:tcW w:w="1252" w:type="dxa"/>
            <w:tcBorders>
              <w:top w:val="nil"/>
              <w:left w:val="nil"/>
              <w:bottom w:val="single" w:sz="8" w:space="0" w:color="auto"/>
              <w:right w:val="nil"/>
            </w:tcBorders>
            <w:shd w:val="clear" w:color="000000" w:fill="D8DADA"/>
            <w:noWrap/>
            <w:vAlign w:val="bottom"/>
            <w:hideMark/>
          </w:tcPr>
          <w:p w14:paraId="36E40632"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$14.78</w:t>
            </w:r>
          </w:p>
        </w:tc>
        <w:tc>
          <w:tcPr>
            <w:tcW w:w="1252" w:type="dxa"/>
            <w:tcBorders>
              <w:top w:val="nil"/>
              <w:left w:val="nil"/>
              <w:bottom w:val="single" w:sz="8" w:space="0" w:color="auto"/>
              <w:right w:val="nil"/>
            </w:tcBorders>
            <w:shd w:val="clear" w:color="000000" w:fill="D8DADA"/>
            <w:noWrap/>
            <w:vAlign w:val="bottom"/>
            <w:hideMark/>
          </w:tcPr>
          <w:p w14:paraId="64CE8926"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$2.28</w:t>
            </w:r>
          </w:p>
        </w:tc>
        <w:tc>
          <w:tcPr>
            <w:tcW w:w="1253" w:type="dxa"/>
            <w:tcBorders>
              <w:top w:val="nil"/>
              <w:left w:val="nil"/>
              <w:bottom w:val="single" w:sz="8" w:space="0" w:color="auto"/>
              <w:right w:val="nil"/>
            </w:tcBorders>
            <w:shd w:val="clear" w:color="000000" w:fill="D8DADA"/>
            <w:noWrap/>
            <w:vAlign w:val="bottom"/>
            <w:hideMark/>
          </w:tcPr>
          <w:p w14:paraId="6270609A" w14:textId="77777777" w:rsidR="00F914CC" w:rsidRPr="00F914CC" w:rsidRDefault="00F914CC" w:rsidP="00F914CC">
            <w:pPr>
              <w:spacing w:before="0" w:after="0" w:line="240" w:lineRule="auto"/>
              <w:jc w:val="right"/>
              <w:rPr>
                <w:rFonts w:cs="Arial"/>
                <w:b/>
                <w:color w:val="313131"/>
                <w:sz w:val="21"/>
                <w:szCs w:val="21"/>
                <w:lang w:eastAsia="en-AU"/>
              </w:rPr>
            </w:pPr>
            <w:r w:rsidRPr="00F914CC">
              <w:rPr>
                <w:rFonts w:cs="Arial"/>
                <w:b/>
                <w:color w:val="313131"/>
                <w:sz w:val="21"/>
                <w:szCs w:val="21"/>
                <w:lang w:eastAsia="en-AU"/>
              </w:rPr>
              <w:t>$65.47</w:t>
            </w:r>
          </w:p>
        </w:tc>
      </w:tr>
    </w:tbl>
    <w:p w14:paraId="3E14B461" w14:textId="77777777" w:rsidR="006F4F12" w:rsidRDefault="006F4F12" w:rsidP="006F4F12">
      <w:pPr>
        <w:spacing w:before="0" w:after="0" w:line="240" w:lineRule="auto"/>
      </w:pPr>
      <w:bookmarkStart w:id="38" w:name="_Toc173428599"/>
      <w:r>
        <w:br w:type="page"/>
      </w:r>
    </w:p>
    <w:p w14:paraId="49B18874" w14:textId="0EF42DC7" w:rsidR="00FE668D" w:rsidRDefault="00FE668D" w:rsidP="00FE668D">
      <w:pPr>
        <w:pStyle w:val="Heading2"/>
      </w:pPr>
      <w:r w:rsidRPr="00FE668D">
        <w:t>Operating performance</w:t>
      </w:r>
      <w:bookmarkEnd w:id="38"/>
    </w:p>
    <w:p w14:paraId="53BD14AD" w14:textId="0E6B6941" w:rsidR="00DF7407" w:rsidRPr="00DF7407" w:rsidRDefault="00AD4435" w:rsidP="00DF7407">
      <w:pPr>
        <w:rPr>
          <w:rFonts w:cs="Arial"/>
          <w:color w:val="auto"/>
          <w:sz w:val="20"/>
          <w:szCs w:val="20"/>
          <w:lang w:eastAsia="en-AU"/>
        </w:rPr>
      </w:pPr>
      <w:r>
        <w:rPr>
          <w:lang w:eastAsia="en-AU"/>
        </w:rPr>
        <w:t xml:space="preserve">Over the last </w:t>
      </w:r>
      <w:r w:rsidR="007269D4" w:rsidRPr="007269D4">
        <w:rPr>
          <w:lang w:eastAsia="en-AU"/>
        </w:rPr>
        <w:t>5</w:t>
      </w:r>
      <w:r>
        <w:rPr>
          <w:lang w:eastAsia="en-AU"/>
        </w:rPr>
        <w:t xml:space="preserve"> years, </w:t>
      </w:r>
      <w:r w:rsidR="005D1224">
        <w:rPr>
          <w:lang w:eastAsia="en-AU"/>
        </w:rPr>
        <w:t xml:space="preserve">the </w:t>
      </w:r>
      <w:r w:rsidR="00FF30F3">
        <w:rPr>
          <w:lang w:eastAsia="en-AU"/>
        </w:rPr>
        <w:t>Australian Government expenditure on home care</w:t>
      </w:r>
      <w:r w:rsidR="007C1128">
        <w:rPr>
          <w:lang w:eastAsia="en-AU"/>
        </w:rPr>
        <w:t xml:space="preserve"> has increased from $2.5 billion in 2018-19 to $5.6 billion in 2022-23. This has mean</w:t>
      </w:r>
      <w:r w:rsidR="00140A05">
        <w:rPr>
          <w:lang w:eastAsia="en-AU"/>
        </w:rPr>
        <w:t>t</w:t>
      </w:r>
      <w:r w:rsidR="00FF30F3">
        <w:rPr>
          <w:lang w:eastAsia="en-AU"/>
        </w:rPr>
        <w:t xml:space="preserve"> </w:t>
      </w:r>
      <w:r>
        <w:rPr>
          <w:lang w:eastAsia="en-AU"/>
        </w:rPr>
        <w:t>t</w:t>
      </w:r>
      <w:r w:rsidR="00DF7407" w:rsidRPr="00DF7407">
        <w:rPr>
          <w:lang w:eastAsia="en-AU"/>
        </w:rPr>
        <w:t>he number of people</w:t>
      </w:r>
      <w:r w:rsidR="00BD16DA">
        <w:rPr>
          <w:lang w:eastAsia="en-AU"/>
        </w:rPr>
        <w:t xml:space="preserve"> accessing home care has increased, </w:t>
      </w:r>
      <w:r w:rsidR="00BD16DA" w:rsidRPr="00DF7407">
        <w:rPr>
          <w:lang w:eastAsia="en-AU"/>
        </w:rPr>
        <w:t>up</w:t>
      </w:r>
      <w:r w:rsidR="00BD16DA">
        <w:rPr>
          <w:lang w:eastAsia="en-AU"/>
        </w:rPr>
        <w:t xml:space="preserve"> from 106,697 recipients at 30 June 2019 to 258,374 recipients at 30 June 2023.</w:t>
      </w:r>
      <w:r w:rsidR="00140A05">
        <w:rPr>
          <w:lang w:eastAsia="en-AU"/>
        </w:rPr>
        <w:t xml:space="preserve"> </w:t>
      </w:r>
    </w:p>
    <w:p w14:paraId="17CF07EB" w14:textId="1DAAFE17" w:rsidR="00DF7407" w:rsidRPr="00DF7407" w:rsidRDefault="00CC255A" w:rsidP="00DF7407">
      <w:pPr>
        <w:rPr>
          <w:rFonts w:cs="Arial"/>
          <w:color w:val="auto"/>
          <w:sz w:val="20"/>
          <w:szCs w:val="20"/>
          <w:lang w:eastAsia="en-AU"/>
        </w:rPr>
      </w:pPr>
      <w:r w:rsidRPr="1327E963">
        <w:rPr>
          <w:lang w:eastAsia="en-AU"/>
        </w:rPr>
        <w:t>O</w:t>
      </w:r>
      <w:r w:rsidR="00DF7407" w:rsidRPr="1327E963">
        <w:rPr>
          <w:lang w:eastAsia="en-AU"/>
        </w:rPr>
        <w:t xml:space="preserve">verall </w:t>
      </w:r>
      <w:r w:rsidR="00392686" w:rsidRPr="1327E963">
        <w:rPr>
          <w:lang w:eastAsia="en-AU"/>
        </w:rPr>
        <w:t>home care</w:t>
      </w:r>
      <w:r w:rsidR="00DF7407" w:rsidRPr="1327E963">
        <w:rPr>
          <w:lang w:eastAsia="en-AU"/>
        </w:rPr>
        <w:t xml:space="preserve"> sector profitability has decreased </w:t>
      </w:r>
      <w:r w:rsidR="00444A0E" w:rsidRPr="1327E963">
        <w:rPr>
          <w:lang w:eastAsia="en-AU"/>
        </w:rPr>
        <w:t>since 202</w:t>
      </w:r>
      <w:r w:rsidR="00EF1E72" w:rsidRPr="1327E963">
        <w:rPr>
          <w:lang w:eastAsia="en-AU"/>
        </w:rPr>
        <w:t>1-22</w:t>
      </w:r>
      <w:r w:rsidR="00DF7407" w:rsidRPr="1327E963">
        <w:rPr>
          <w:lang w:eastAsia="en-AU"/>
        </w:rPr>
        <w:t xml:space="preserve">, with more providers operating at a loss and a reduction in </w:t>
      </w:r>
      <w:r w:rsidR="1896DC7D" w:rsidRPr="24992118">
        <w:rPr>
          <w:lang w:eastAsia="en-AU"/>
        </w:rPr>
        <w:t>NPBT</w:t>
      </w:r>
      <w:r w:rsidR="00DF7407" w:rsidRPr="1327E963">
        <w:rPr>
          <w:lang w:eastAsia="en-AU"/>
        </w:rPr>
        <w:t xml:space="preserve"> for all provider types.</w:t>
      </w:r>
    </w:p>
    <w:p w14:paraId="59E10632" w14:textId="6B7BF5E9" w:rsidR="00FE668D" w:rsidRPr="00547BEB" w:rsidRDefault="00D83BC5" w:rsidP="00706D0A">
      <w:r>
        <w:t>F</w:t>
      </w:r>
      <w:r w:rsidR="00FE668D">
        <w:t>inancial performance in this chapter predominantly relates to EBITDA</w:t>
      </w:r>
      <w:r w:rsidR="00000F2A">
        <w:t>, which</w:t>
      </w:r>
      <w:r w:rsidR="00FE668D">
        <w:t xml:space="preserve"> is the commonly used metric for analysis and comparison of the profitability of providers</w:t>
      </w:r>
      <w:r w:rsidR="00E6637A">
        <w:t>.</w:t>
      </w:r>
      <w:r w:rsidR="00FE668D">
        <w:t xml:space="preserve"> NPBT</w:t>
      </w:r>
      <w:r w:rsidR="00D66993">
        <w:t>,</w:t>
      </w:r>
      <w:r w:rsidR="00FE668D">
        <w:t xml:space="preserve"> which takes interest, depreciation and amortisation into the calculation</w:t>
      </w:r>
      <w:r>
        <w:t xml:space="preserve"> (but removes tax)</w:t>
      </w:r>
      <w:r w:rsidR="00FE668D">
        <w:t xml:space="preserve">, is also used throughout this report. </w:t>
      </w:r>
    </w:p>
    <w:p w14:paraId="76C85A3D" w14:textId="7E81C932" w:rsidR="00FE668D" w:rsidRPr="00150782" w:rsidRDefault="00FE668D" w:rsidP="00706D0A">
      <w:r w:rsidRPr="00204216">
        <w:t>In 20</w:t>
      </w:r>
      <w:r w:rsidR="00F23A1C">
        <w:t>22-23</w:t>
      </w:r>
      <w:r w:rsidR="30066FAB">
        <w:t>,</w:t>
      </w:r>
      <w:r w:rsidRPr="00204216">
        <w:t xml:space="preserve"> providers generated $1</w:t>
      </w:r>
      <w:r w:rsidR="007E1FF0" w:rsidRPr="00204216">
        <w:t>86</w:t>
      </w:r>
      <w:r w:rsidRPr="00204216">
        <w:t xml:space="preserve"> million in </w:t>
      </w:r>
      <w:r w:rsidR="00190902">
        <w:t>NPBT</w:t>
      </w:r>
      <w:r w:rsidRPr="00204216">
        <w:t>, down from</w:t>
      </w:r>
      <w:r w:rsidRPr="00E4229B">
        <w:t xml:space="preserve"> $</w:t>
      </w:r>
      <w:r w:rsidR="00E4229B" w:rsidRPr="00E4229B">
        <w:t>197</w:t>
      </w:r>
      <w:r w:rsidRPr="00E4229B">
        <w:t xml:space="preserve"> million in 2021</w:t>
      </w:r>
      <w:r w:rsidR="00E4229B" w:rsidRPr="00E4229B">
        <w:t>-22.</w:t>
      </w:r>
      <w:r w:rsidR="00385C81">
        <w:t xml:space="preserve"> </w:t>
      </w:r>
      <w:r w:rsidRPr="00150782">
        <w:t xml:space="preserve">As shown in </w:t>
      </w:r>
      <w:r w:rsidR="00FC245E">
        <w:fldChar w:fldCharType="begin"/>
      </w:r>
      <w:r w:rsidR="00FC245E">
        <w:instrText xml:space="preserve"> REF _Ref171494431 \h </w:instrText>
      </w:r>
      <w:r w:rsidR="00FC245E">
        <w:fldChar w:fldCharType="separate"/>
      </w:r>
      <w:r w:rsidR="001377BE">
        <w:t xml:space="preserve">Chart </w:t>
      </w:r>
      <w:r w:rsidR="001377BE">
        <w:rPr>
          <w:noProof/>
        </w:rPr>
        <w:t>1</w:t>
      </w:r>
      <w:r w:rsidR="001377BE">
        <w:t>.</w:t>
      </w:r>
      <w:r w:rsidR="001377BE">
        <w:rPr>
          <w:noProof/>
        </w:rPr>
        <w:t>4</w:t>
      </w:r>
      <w:r w:rsidR="00FC245E">
        <w:fldChar w:fldCharType="end"/>
      </w:r>
      <w:r w:rsidRPr="00150782">
        <w:t xml:space="preserve">, in terms of </w:t>
      </w:r>
      <w:r w:rsidR="00261A8F">
        <w:t>earnings</w:t>
      </w:r>
      <w:r w:rsidRPr="00150782">
        <w:t xml:space="preserve"> per recipient,</w:t>
      </w:r>
      <w:r w:rsidRPr="00150782" w:rsidDel="00254F9E">
        <w:t xml:space="preserve"> </w:t>
      </w:r>
      <w:r w:rsidRPr="00150782">
        <w:t>the average EBITDA decreased to $1,</w:t>
      </w:r>
      <w:r w:rsidR="0067382B" w:rsidRPr="00150782">
        <w:t>007</w:t>
      </w:r>
      <w:r w:rsidRPr="00150782">
        <w:t xml:space="preserve"> from $1,</w:t>
      </w:r>
      <w:r w:rsidR="0067382B" w:rsidRPr="00150782">
        <w:t>232</w:t>
      </w:r>
      <w:r w:rsidRPr="00150782">
        <w:t xml:space="preserve"> in 2021</w:t>
      </w:r>
      <w:r w:rsidR="0067382B" w:rsidRPr="00150782">
        <w:t>-22</w:t>
      </w:r>
      <w:r w:rsidRPr="00150782">
        <w:t>, while the average NPBT decreased to $</w:t>
      </w:r>
      <w:r w:rsidR="0067382B" w:rsidRPr="00150782">
        <w:t>792</w:t>
      </w:r>
      <w:r w:rsidRPr="00150782">
        <w:t xml:space="preserve"> from $</w:t>
      </w:r>
      <w:r w:rsidR="0067382B" w:rsidRPr="00150782">
        <w:t>1,013</w:t>
      </w:r>
      <w:r w:rsidRPr="00150782">
        <w:t>.</w:t>
      </w:r>
    </w:p>
    <w:p w14:paraId="47C88068" w14:textId="5292CDA3" w:rsidR="00955354" w:rsidRDefault="00FE668D" w:rsidP="00385C81">
      <w:r w:rsidRPr="00150782">
        <w:t>Approximately 6</w:t>
      </w:r>
      <w:r w:rsidR="00641766">
        <w:t>8</w:t>
      </w:r>
      <w:r w:rsidR="00150782" w:rsidRPr="00150782">
        <w:t>%</w:t>
      </w:r>
      <w:r w:rsidRPr="00150782">
        <w:t xml:space="preserve"> of home care providers achieved a profit in 2022</w:t>
      </w:r>
      <w:r w:rsidR="00150782" w:rsidRPr="00150782">
        <w:t>-23</w:t>
      </w:r>
      <w:r w:rsidR="00272929">
        <w:t xml:space="preserve"> (defined as</w:t>
      </w:r>
      <w:r w:rsidR="0095549C">
        <w:t xml:space="preserve"> NPBT)</w:t>
      </w:r>
      <w:r w:rsidRPr="00150782">
        <w:t xml:space="preserve">, compared with </w:t>
      </w:r>
      <w:r w:rsidR="00150782" w:rsidRPr="00150782">
        <w:t>69%</w:t>
      </w:r>
      <w:r w:rsidRPr="00150782">
        <w:t xml:space="preserve"> in 2021</w:t>
      </w:r>
      <w:r w:rsidR="00150782" w:rsidRPr="00150782">
        <w:t>-22</w:t>
      </w:r>
      <w:r w:rsidRPr="00150782">
        <w:t>.</w:t>
      </w:r>
      <w:r w:rsidR="00385C81">
        <w:t xml:space="preserve"> </w:t>
      </w:r>
      <w:r w:rsidR="00CE78B9" w:rsidRPr="00CE78B9">
        <w:t xml:space="preserve">In 2022-23, </w:t>
      </w:r>
      <w:r w:rsidR="000B24DB">
        <w:t>overall sector profitability</w:t>
      </w:r>
      <w:r w:rsidR="00CE78B9" w:rsidRPr="00CE78B9">
        <w:t xml:space="preserve"> was impacted because</w:t>
      </w:r>
      <w:r w:rsidR="00750276">
        <w:t xml:space="preserve"> </w:t>
      </w:r>
      <w:r w:rsidR="00833BE3">
        <w:t>expenses</w:t>
      </w:r>
      <w:r w:rsidR="006A7CEF">
        <w:t xml:space="preserve"> </w:t>
      </w:r>
      <w:r w:rsidR="00833BE3">
        <w:t>increased at a higher rate in comparison to revenue on the prior year</w:t>
      </w:r>
      <w:r w:rsidR="00647342">
        <w:t xml:space="preserve">. </w:t>
      </w:r>
      <w:r w:rsidR="004752AE">
        <w:t>Expenses</w:t>
      </w:r>
      <w:r w:rsidR="00802815">
        <w:t xml:space="preserve"> increased by $2.31 per recipient per day and revenue increased by $1.71 per recipient per day. </w:t>
      </w:r>
      <w:bookmarkStart w:id="39" w:name="_Ref160720988"/>
      <w:r w:rsidR="00695741">
        <w:t>This was</w:t>
      </w:r>
      <w:r w:rsidR="00802815">
        <w:t xml:space="preserve"> mainly</w:t>
      </w:r>
      <w:r w:rsidR="00695741">
        <w:t xml:space="preserve"> attributed to an increase in expenses for</w:t>
      </w:r>
      <w:r w:rsidR="00D90ACB">
        <w:t xml:space="preserve"> </w:t>
      </w:r>
      <w:r w:rsidR="00695741" w:rsidRPr="00695741">
        <w:t xml:space="preserve">external direct care </w:t>
      </w:r>
      <w:r w:rsidR="00695741">
        <w:t>services</w:t>
      </w:r>
      <w:r w:rsidR="005D489F">
        <w:t xml:space="preserve"> (up $2.08 per recipient per day),</w:t>
      </w:r>
      <w:r w:rsidR="00D90ACB">
        <w:t xml:space="preserve"> and an increase in administration and support labour expenses</w:t>
      </w:r>
      <w:r w:rsidR="005D489F">
        <w:t xml:space="preserve"> (up $0.99 per re</w:t>
      </w:r>
      <w:r w:rsidR="000F0BE4">
        <w:t>cipient</w:t>
      </w:r>
      <w:r w:rsidR="005D489F">
        <w:t xml:space="preserve"> per day)</w:t>
      </w:r>
      <w:r w:rsidR="00D90ACB">
        <w:t xml:space="preserve">. </w:t>
      </w:r>
      <w:r w:rsidR="00CD3E79">
        <w:t>In addition, as shown</w:t>
      </w:r>
      <w:r w:rsidR="008F0C91">
        <w:t xml:space="preserve"> below</w:t>
      </w:r>
      <w:r w:rsidR="00CD3E79">
        <w:t xml:space="preserve"> in</w:t>
      </w:r>
      <w:r w:rsidR="008F0C91">
        <w:t xml:space="preserve"> </w:t>
      </w:r>
      <w:r w:rsidR="008F0C91">
        <w:fldChar w:fldCharType="begin"/>
      </w:r>
      <w:r w:rsidR="008F0C91">
        <w:instrText xml:space="preserve"> REF _Ref160721087 \h </w:instrText>
      </w:r>
      <w:r w:rsidR="008F0C91">
        <w:fldChar w:fldCharType="separate"/>
      </w:r>
      <w:r w:rsidR="001377BE">
        <w:t xml:space="preserve">Chart </w:t>
      </w:r>
      <w:r w:rsidR="001377BE">
        <w:rPr>
          <w:noProof/>
        </w:rPr>
        <w:t>1</w:t>
      </w:r>
      <w:r w:rsidR="001377BE">
        <w:t>.</w:t>
      </w:r>
      <w:r w:rsidR="001377BE">
        <w:rPr>
          <w:noProof/>
        </w:rPr>
        <w:t>5</w:t>
      </w:r>
      <w:r w:rsidR="008F0C91">
        <w:fldChar w:fldCharType="end"/>
      </w:r>
      <w:r w:rsidR="00CD3E79">
        <w:t xml:space="preserve">, </w:t>
      </w:r>
      <w:r w:rsidR="00B67167">
        <w:t>providers in the</w:t>
      </w:r>
      <w:r w:rsidR="00CD3E79">
        <w:t xml:space="preserve"> </w:t>
      </w:r>
      <w:r w:rsidR="005C3621">
        <w:t>bottom</w:t>
      </w:r>
      <w:r w:rsidR="00CD3E79">
        <w:t xml:space="preserve"> quartile </w:t>
      </w:r>
      <w:r w:rsidR="00B67167">
        <w:t xml:space="preserve">had </w:t>
      </w:r>
      <w:r w:rsidR="00C775B4">
        <w:t>a</w:t>
      </w:r>
      <w:r w:rsidR="005D489F">
        <w:t xml:space="preserve"> negative</w:t>
      </w:r>
      <w:r w:rsidR="00C775B4">
        <w:t xml:space="preserve"> impact on the overall performance</w:t>
      </w:r>
      <w:r w:rsidR="005D489F">
        <w:t xml:space="preserve"> of the sector</w:t>
      </w:r>
      <w:r w:rsidR="00C775B4">
        <w:t xml:space="preserve">, </w:t>
      </w:r>
      <w:r w:rsidR="00CD3E79">
        <w:t>report</w:t>
      </w:r>
      <w:r w:rsidR="00C775B4">
        <w:t>ing</w:t>
      </w:r>
      <w:r w:rsidR="00CD3E79">
        <w:t xml:space="preserve"> </w:t>
      </w:r>
      <w:r w:rsidR="008F0C91">
        <w:t>a signi</w:t>
      </w:r>
      <w:r w:rsidR="00B71380">
        <w:t>fi</w:t>
      </w:r>
      <w:r w:rsidR="008F0C91">
        <w:t xml:space="preserve">cant decline in their </w:t>
      </w:r>
      <w:r w:rsidR="00B71380">
        <w:t xml:space="preserve">EBITDA, </w:t>
      </w:r>
      <w:r w:rsidR="002C3DA1">
        <w:t xml:space="preserve">down </w:t>
      </w:r>
      <w:r w:rsidR="00B67167">
        <w:t>27% on the prior year</w:t>
      </w:r>
      <w:r w:rsidR="00C775B4">
        <w:t xml:space="preserve">. This was the only quartile to report a decline in EBITDA from 2021-22 to 2022-23. </w:t>
      </w:r>
    </w:p>
    <w:p w14:paraId="207AE1EA" w14:textId="77777777" w:rsidR="006F4F12" w:rsidRDefault="006F4F12" w:rsidP="006F4F12">
      <w:pPr>
        <w:spacing w:before="0" w:after="0" w:line="240" w:lineRule="auto"/>
      </w:pPr>
      <w:bookmarkStart w:id="40" w:name="_Ref171494431"/>
      <w:bookmarkStart w:id="41" w:name="_Toc173428903"/>
      <w:r>
        <w:br w:type="page"/>
      </w:r>
    </w:p>
    <w:p w14:paraId="617F0A9C" w14:textId="160FFBA1" w:rsidR="00E23CED" w:rsidRDefault="00FE668D" w:rsidP="00D6443E">
      <w:pPr>
        <w:pStyle w:val="Caption"/>
      </w:pPr>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4</w:t>
      </w:r>
      <w:r w:rsidR="00AE19AA">
        <w:rPr>
          <w:noProof/>
        </w:rPr>
        <w:fldChar w:fldCharType="end"/>
      </w:r>
      <w:bookmarkEnd w:id="39"/>
      <w:bookmarkEnd w:id="40"/>
      <w:r>
        <w:t xml:space="preserve">: </w:t>
      </w:r>
      <w:r w:rsidRPr="00485A2C">
        <w:t>Summary of financial performance of home care providers, per recipient per year, 201</w:t>
      </w:r>
      <w:r>
        <w:t>8-19</w:t>
      </w:r>
      <w:r w:rsidRPr="00485A2C">
        <w:t xml:space="preserve"> to 2022</w:t>
      </w:r>
      <w:r>
        <w:t>-23</w:t>
      </w:r>
      <w:bookmarkEnd w:id="41"/>
    </w:p>
    <w:p w14:paraId="763F76E6" w14:textId="3B70627C" w:rsidR="00FE668D" w:rsidRDefault="00256A35" w:rsidP="00D6443E">
      <w:pPr>
        <w:pStyle w:val="Caption"/>
      </w:pPr>
      <w:r w:rsidRPr="00256A35">
        <w:rPr>
          <w:noProof/>
        </w:rPr>
        <w:drawing>
          <wp:inline distT="0" distB="0" distL="0" distR="0" wp14:anchorId="493E4DE7" wp14:editId="01FF704A">
            <wp:extent cx="5819999" cy="3780000"/>
            <wp:effectExtent l="0" t="0" r="0" b="0"/>
            <wp:docPr id="16" name="Picture 16" descr="Chart 1.4 is a clustered column chart titled Summary of financial performance of home care providers, per recipient per year, 2018-19 to 2022-23. Both EBITDA and NPBT decreased in 2022-23 when compared with 2021-22. The average EBITDA was $1,007 per recipient per year and the average NPBT was $792 per recipient per year.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1.4 is a clustered column chart titled Summary of financial performance of home care providers, per recipient per year, 2018-19 to 2022-23. Both EBITDA and NPBT decreased in 2022-23 when compared with 2021-22. The average EBITDA was $1,007 per recipient per year and the average NPBT was $792 per recipient per year. ">
                      <a:extLst>
                        <a:ext uri="{C183D7F6-B498-43B3-948B-1728B52AA6E4}">
                          <adec:decorative xmlns:adec="http://schemas.microsoft.com/office/drawing/2017/decorative" val="0"/>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43559" cy="3795302"/>
                    </a:xfrm>
                    <a:prstGeom prst="rect">
                      <a:avLst/>
                    </a:prstGeom>
                    <a:noFill/>
                    <a:ln>
                      <a:noFill/>
                    </a:ln>
                  </pic:spPr>
                </pic:pic>
              </a:graphicData>
            </a:graphic>
          </wp:inline>
        </w:drawing>
      </w:r>
    </w:p>
    <w:p w14:paraId="2298C0D9" w14:textId="4060E3A1" w:rsidR="005633D8" w:rsidRDefault="00FE668D" w:rsidP="00974A32">
      <w:r w:rsidRPr="00356A69">
        <w:fldChar w:fldCharType="begin"/>
      </w:r>
      <w:r w:rsidRPr="00356A69">
        <w:instrText xml:space="preserve"> REF _Ref160721087 \h </w:instrText>
      </w:r>
      <w:r w:rsidR="00356A69">
        <w:instrText xml:space="preserve"> \* MERGEFORMAT </w:instrText>
      </w:r>
      <w:r w:rsidRPr="00356A69">
        <w:fldChar w:fldCharType="separate"/>
      </w:r>
      <w:r w:rsidR="001377BE">
        <w:t xml:space="preserve">Chart </w:t>
      </w:r>
      <w:r w:rsidR="001377BE">
        <w:rPr>
          <w:noProof/>
        </w:rPr>
        <w:t>1.5</w:t>
      </w:r>
      <w:r w:rsidRPr="00356A69">
        <w:fldChar w:fldCharType="end"/>
      </w:r>
      <w:r w:rsidRPr="00356A69">
        <w:t xml:space="preserve"> shows average EBITDA per recipient by quartile. As has been the case previously, EBITDA varies considerably across the sector</w:t>
      </w:r>
      <w:r w:rsidR="008535C2">
        <w:t>,</w:t>
      </w:r>
      <w:r w:rsidRPr="00356A69">
        <w:t xml:space="preserve"> with the top quartile of providers performing substantially better than the rest of the home care sector. The average EBITDA for providers in the top quartile </w:t>
      </w:r>
      <w:r w:rsidR="00C338A2">
        <w:t>in</w:t>
      </w:r>
      <w:r w:rsidRPr="00356A69">
        <w:t>creased to $5,</w:t>
      </w:r>
      <w:r w:rsidR="00F75D54">
        <w:t>565</w:t>
      </w:r>
      <w:r w:rsidRPr="00356A69">
        <w:t xml:space="preserve"> per recipient</w:t>
      </w:r>
      <w:r w:rsidR="007732D4">
        <w:t xml:space="preserve"> per year</w:t>
      </w:r>
      <w:r w:rsidRPr="00356A69">
        <w:t xml:space="preserve">, </w:t>
      </w:r>
      <w:r w:rsidR="00F75D54">
        <w:t>up</w:t>
      </w:r>
      <w:r w:rsidRPr="00356A69">
        <w:t xml:space="preserve"> from $</w:t>
      </w:r>
      <w:r w:rsidR="00F75D54">
        <w:t>5,119</w:t>
      </w:r>
      <w:r w:rsidRPr="00356A69">
        <w:t xml:space="preserve"> </w:t>
      </w:r>
      <w:r w:rsidR="00AA53EA">
        <w:t>in 2021-22</w:t>
      </w:r>
      <w:r w:rsidR="003634A0">
        <w:t xml:space="preserve">, an increase of </w:t>
      </w:r>
      <w:r w:rsidR="006714C0">
        <w:t>9%</w:t>
      </w:r>
      <w:r w:rsidR="00910370">
        <w:t xml:space="preserve">. </w:t>
      </w:r>
      <w:r w:rsidR="00766AAE">
        <w:t xml:space="preserve">The top quartile </w:t>
      </w:r>
      <w:r w:rsidR="00C270BB">
        <w:t>serviced 14%</w:t>
      </w:r>
      <w:r w:rsidR="004112DB">
        <w:t xml:space="preserve"> of </w:t>
      </w:r>
      <w:r w:rsidR="000D53D4">
        <w:t xml:space="preserve">total </w:t>
      </w:r>
      <w:r w:rsidR="004112DB">
        <w:t>care recipients</w:t>
      </w:r>
      <w:r w:rsidR="00ED5E98">
        <w:t>.</w:t>
      </w:r>
      <w:r w:rsidR="000D53D4">
        <w:t xml:space="preserve"> </w:t>
      </w:r>
      <w:r w:rsidR="00910370">
        <w:t>The next top quartile slightly increas</w:t>
      </w:r>
      <w:r w:rsidR="009425FF">
        <w:t xml:space="preserve">ed their </w:t>
      </w:r>
      <w:r w:rsidR="00D24E34">
        <w:t xml:space="preserve">EBITDA </w:t>
      </w:r>
      <w:r w:rsidR="009425FF">
        <w:t>result</w:t>
      </w:r>
      <w:r w:rsidR="00910370">
        <w:t xml:space="preserve"> on the prior year, up </w:t>
      </w:r>
      <w:r w:rsidR="00E21950">
        <w:t>from $1</w:t>
      </w:r>
      <w:r w:rsidR="000916A0">
        <w:t>,</w:t>
      </w:r>
      <w:r w:rsidR="00E21950">
        <w:t>9</w:t>
      </w:r>
      <w:r w:rsidR="00380B69">
        <w:t>6</w:t>
      </w:r>
      <w:r w:rsidR="00E21950">
        <w:t xml:space="preserve">8 per recipient per </w:t>
      </w:r>
      <w:r w:rsidR="007732D4">
        <w:t>year</w:t>
      </w:r>
      <w:r w:rsidR="000916A0">
        <w:t xml:space="preserve"> in 2021-22 to $2,043 per recipient per </w:t>
      </w:r>
      <w:r w:rsidR="007732D4">
        <w:t>year</w:t>
      </w:r>
      <w:r w:rsidR="000916A0">
        <w:t xml:space="preserve"> 2022-23, an increase of </w:t>
      </w:r>
      <w:r w:rsidR="00ED28B2">
        <w:t>4%</w:t>
      </w:r>
      <w:r w:rsidR="000D53D4">
        <w:t xml:space="preserve"> and</w:t>
      </w:r>
      <w:r w:rsidR="003E78E0">
        <w:t xml:space="preserve"> serviced </w:t>
      </w:r>
      <w:r w:rsidR="00BC33D8">
        <w:t xml:space="preserve">the highest amount of care recipients, 40%. </w:t>
      </w:r>
      <w:r w:rsidR="009425FF">
        <w:t>The next bottom quartile also recorded a slight increase</w:t>
      </w:r>
      <w:r w:rsidR="00D24E34">
        <w:t xml:space="preserve"> on the EBITDA result</w:t>
      </w:r>
      <w:r w:rsidR="00C53515">
        <w:t xml:space="preserve">, up from </w:t>
      </w:r>
      <w:r w:rsidR="00A07EF3">
        <w:t xml:space="preserve">$491 per recipient per </w:t>
      </w:r>
      <w:r w:rsidR="007732D4">
        <w:t>year</w:t>
      </w:r>
      <w:r w:rsidR="00A07EF3">
        <w:t xml:space="preserve"> to $540 per recipient per </w:t>
      </w:r>
      <w:r w:rsidR="007732D4">
        <w:t>year</w:t>
      </w:r>
      <w:r w:rsidR="00A07EF3">
        <w:t xml:space="preserve">, an increase of </w:t>
      </w:r>
      <w:r w:rsidR="00850B63">
        <w:t>10%</w:t>
      </w:r>
      <w:r w:rsidR="00C93FC1">
        <w:t xml:space="preserve"> and serviced 25% of care recipients in home care.</w:t>
      </w:r>
    </w:p>
    <w:p w14:paraId="16A37214" w14:textId="2A95EC1B" w:rsidR="00FE668D" w:rsidDel="00954953" w:rsidRDefault="005633D8" w:rsidP="00974A32">
      <w:r>
        <w:t xml:space="preserve">Providers in the bottom quartile have recorded a negative and declining average EBITDA result </w:t>
      </w:r>
      <w:r w:rsidR="00974A32" w:rsidRPr="00974A32">
        <w:t>each year since 2019-20</w:t>
      </w:r>
      <w:r>
        <w:t xml:space="preserve">. </w:t>
      </w:r>
      <w:r w:rsidR="00954953">
        <w:t>In 2022-23, the a</w:t>
      </w:r>
      <w:r>
        <w:t>verage EBITDA for</w:t>
      </w:r>
      <w:r w:rsidRPr="00356A69">
        <w:t xml:space="preserve"> providers in the bottom quartile decreased to negative $</w:t>
      </w:r>
      <w:r>
        <w:t>3,263</w:t>
      </w:r>
      <w:r w:rsidR="007732D4">
        <w:t xml:space="preserve"> per recipient per year</w:t>
      </w:r>
      <w:r w:rsidRPr="00356A69">
        <w:t>, down from negative $</w:t>
      </w:r>
      <w:r>
        <w:t>2,573</w:t>
      </w:r>
      <w:r w:rsidR="00954953">
        <w:t xml:space="preserve"> in 2021-22</w:t>
      </w:r>
      <w:r w:rsidR="00D24E34">
        <w:t xml:space="preserve">, down </w:t>
      </w:r>
      <w:r w:rsidR="00AD4AD6">
        <w:t>2</w:t>
      </w:r>
      <w:r w:rsidR="00240798">
        <w:t>7</w:t>
      </w:r>
      <w:r w:rsidR="00AD4AD6">
        <w:t>% on the prior year</w:t>
      </w:r>
      <w:r w:rsidR="00954953">
        <w:t>.</w:t>
      </w:r>
      <w:r w:rsidR="008B794A">
        <w:t xml:space="preserve"> </w:t>
      </w:r>
      <w:r w:rsidR="007E1FBB">
        <w:t>T</w:t>
      </w:r>
      <w:r w:rsidR="008B794A">
        <w:t>he bottom quartile of providers was the only quartile to record a decline in average EBITDA in 2022-23.</w:t>
      </w:r>
      <w:r w:rsidR="00780AD8">
        <w:t xml:space="preserve"> This was</w:t>
      </w:r>
      <w:r w:rsidR="0094332A">
        <w:t xml:space="preserve"> </w:t>
      </w:r>
      <w:r w:rsidR="00990564">
        <w:t xml:space="preserve">driven by the </w:t>
      </w:r>
      <w:r w:rsidR="00FB1361">
        <w:t xml:space="preserve">significant </w:t>
      </w:r>
      <w:r w:rsidR="00990564">
        <w:t>decline in EBITDA</w:t>
      </w:r>
      <w:r w:rsidR="00FB1361">
        <w:t xml:space="preserve"> result</w:t>
      </w:r>
      <w:r w:rsidR="000275F9">
        <w:t xml:space="preserve"> for for-profits providers in the bottom quartile</w:t>
      </w:r>
      <w:r w:rsidR="00FB1361">
        <w:t xml:space="preserve">, down from </w:t>
      </w:r>
      <w:r w:rsidR="0008181A">
        <w:t>negative $2,575 in 2021-22 to negative $5,346 in 2022-23</w:t>
      </w:r>
      <w:r w:rsidR="000275F9">
        <w:t>.</w:t>
      </w:r>
      <w:r w:rsidR="00716B16">
        <w:t xml:space="preserve"> Not-for-profit providers in the bottom quartile </w:t>
      </w:r>
      <w:r w:rsidR="00DD1C27">
        <w:t>had a</w:t>
      </w:r>
      <w:r w:rsidR="00CB3F11">
        <w:t xml:space="preserve"> </w:t>
      </w:r>
      <w:r w:rsidR="00DD1C27">
        <w:t xml:space="preserve">slight decline in their EBITDA, down from </w:t>
      </w:r>
      <w:r w:rsidR="0055493E">
        <w:t>negative $2,604 in 2021-22 to negative $2,644 in 2022-23</w:t>
      </w:r>
      <w:r w:rsidR="0066046C">
        <w:t>. Local state and territory provider</w:t>
      </w:r>
      <w:r w:rsidR="00CB3F11">
        <w:t xml:space="preserve">s in the bottom quartile </w:t>
      </w:r>
      <w:r w:rsidR="00B70F88">
        <w:t>decreased</w:t>
      </w:r>
      <w:r w:rsidR="00CB3F11">
        <w:t xml:space="preserve"> their EBITDA </w:t>
      </w:r>
      <w:r w:rsidR="00F06E1F">
        <w:t xml:space="preserve">from </w:t>
      </w:r>
      <w:r w:rsidR="00CB3F11">
        <w:t>the prior year.</w:t>
      </w:r>
      <w:r w:rsidR="00E67CAE">
        <w:t xml:space="preserve"> For-profit providers</w:t>
      </w:r>
      <w:r w:rsidR="00F8218E">
        <w:t xml:space="preserve"> </w:t>
      </w:r>
      <w:r w:rsidR="00E67CAE">
        <w:t xml:space="preserve">represent </w:t>
      </w:r>
      <w:r w:rsidR="009D4EFB">
        <w:t>3</w:t>
      </w:r>
      <w:r w:rsidR="00F8218E">
        <w:t xml:space="preserve">4% of </w:t>
      </w:r>
      <w:r w:rsidR="00507F5F">
        <w:t xml:space="preserve">total </w:t>
      </w:r>
      <w:r w:rsidR="00C05BE4">
        <w:t xml:space="preserve">providers by </w:t>
      </w:r>
      <w:r w:rsidR="00F12874">
        <w:t>o</w:t>
      </w:r>
      <w:r w:rsidR="00F8246E">
        <w:t>wnership type, in the bottom quartile.</w:t>
      </w:r>
      <w:r w:rsidR="00CB3F11">
        <w:t xml:space="preserve"> </w:t>
      </w:r>
      <w:r w:rsidR="007E1FBB">
        <w:t>Further</w:t>
      </w:r>
      <w:r w:rsidR="007D5FB8">
        <w:t xml:space="preserve">, the </w:t>
      </w:r>
      <w:r w:rsidR="00631A5F">
        <w:t>substantial</w:t>
      </w:r>
      <w:r w:rsidR="0025235B">
        <w:t xml:space="preserve"> decline in the EBITDA result for </w:t>
      </w:r>
      <w:r w:rsidR="004918D9">
        <w:t>the bottom quartile</w:t>
      </w:r>
      <w:r w:rsidR="00E93D95">
        <w:t xml:space="preserve"> was the contributing </w:t>
      </w:r>
      <w:r w:rsidR="00336CA7">
        <w:t xml:space="preserve">factor to overall </w:t>
      </w:r>
      <w:r w:rsidR="00AA2AFA">
        <w:t>dec</w:t>
      </w:r>
      <w:r w:rsidR="007A1203">
        <w:t>rease</w:t>
      </w:r>
      <w:r w:rsidR="00AA2AFA">
        <w:t xml:space="preserve"> in</w:t>
      </w:r>
      <w:r w:rsidR="007302D0">
        <w:t xml:space="preserve"> average EBITDA</w:t>
      </w:r>
      <w:r w:rsidR="006F13DC">
        <w:t xml:space="preserve"> for home ca</w:t>
      </w:r>
      <w:r w:rsidR="001E7BCD">
        <w:t>re</w:t>
      </w:r>
      <w:r w:rsidR="007A1203">
        <w:t xml:space="preserve">, down from $1,232 per recipient per </w:t>
      </w:r>
      <w:r w:rsidR="00E31A2A">
        <w:t>year</w:t>
      </w:r>
      <w:r w:rsidR="007A1203">
        <w:t xml:space="preserve"> </w:t>
      </w:r>
      <w:r w:rsidR="005227EA">
        <w:t xml:space="preserve">in 2021-22 </w:t>
      </w:r>
      <w:r w:rsidR="007A1203">
        <w:t xml:space="preserve">to $1,007 per recipient per </w:t>
      </w:r>
      <w:r w:rsidR="007732D4">
        <w:t>year</w:t>
      </w:r>
      <w:r w:rsidR="005227EA">
        <w:t xml:space="preserve"> in 2022-23.</w:t>
      </w:r>
      <w:r w:rsidR="00C93FC1">
        <w:t xml:space="preserve"> The bottom quartile </w:t>
      </w:r>
      <w:r w:rsidR="00AB1308">
        <w:t>serviced 22% of total care recipients</w:t>
      </w:r>
      <w:r w:rsidR="00386093">
        <w:t xml:space="preserve">. </w:t>
      </w:r>
    </w:p>
    <w:p w14:paraId="44431122" w14:textId="67EFEAB2" w:rsidR="00FE668D" w:rsidRDefault="00FE668D" w:rsidP="00706D0A">
      <w:pPr>
        <w:pStyle w:val="Caption"/>
        <w:rPr>
          <w:noProof/>
        </w:rPr>
      </w:pPr>
      <w:bookmarkStart w:id="42" w:name="_Ref160721087"/>
      <w:bookmarkStart w:id="43" w:name="_Toc173428904"/>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5</w:t>
      </w:r>
      <w:r w:rsidR="00AE19AA">
        <w:rPr>
          <w:noProof/>
        </w:rPr>
        <w:fldChar w:fldCharType="end"/>
      </w:r>
      <w:bookmarkEnd w:id="42"/>
      <w:r>
        <w:t xml:space="preserve">: </w:t>
      </w:r>
      <w:r w:rsidRPr="005E6C38">
        <w:t>Home care average EBITDA per recipient</w:t>
      </w:r>
      <w:r w:rsidR="00E31A2A">
        <w:t xml:space="preserve"> per year</w:t>
      </w:r>
      <w:r w:rsidRPr="005E6C38">
        <w:t>, by quartile (number of providers in parentheses), 20</w:t>
      </w:r>
      <w:r>
        <w:t>19</w:t>
      </w:r>
      <w:r w:rsidR="00C338A2">
        <w:t>-20</w:t>
      </w:r>
      <w:r w:rsidRPr="005E6C38">
        <w:t xml:space="preserve"> to 2022</w:t>
      </w:r>
      <w:r>
        <w:rPr>
          <w:noProof/>
        </w:rPr>
        <w:t>-23</w:t>
      </w:r>
      <w:bookmarkEnd w:id="43"/>
    </w:p>
    <w:p w14:paraId="0B751A15" w14:textId="576553FC" w:rsidR="00D31463" w:rsidRDefault="0069367F" w:rsidP="006F33D9">
      <w:pPr>
        <w:rPr>
          <w:b/>
          <w:sz w:val="28"/>
          <w:szCs w:val="28"/>
        </w:rPr>
      </w:pPr>
      <w:r>
        <w:rPr>
          <w:noProof/>
        </w:rPr>
        <w:drawing>
          <wp:inline distT="0" distB="0" distL="0" distR="0" wp14:anchorId="08B94345" wp14:editId="026D5C69">
            <wp:extent cx="5832000" cy="2973886"/>
            <wp:effectExtent l="0" t="0" r="0" b="0"/>
            <wp:docPr id="1271021932" name="Picture 1271021932" descr="Chart 1.5 is a clustered column chart titled Home care average EBITDA per recipient, by quartile (number of providers in parentheses), 2019-20 to 2022-23. In 2022-23, the average EBITDA for all providers decreased to $1,007, down from $1,232 in 2021-22. The average EBITDA for providers in the top quartile increased to $5,565 per recipient, up from $5,119 the prior year, and the providers in the bottom quartile decreased their EBITDA to negative $3,263, down from negative $2,5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2" name="Picture 1271021932" descr="Chart 1.5 is a clustered column chart titled Home care average EBITDA per recipient, by quartile (number of providers in parentheses), 2019-20 to 2022-23. In 2022-23, the average EBITDA for all providers decreased to $1,007, down from $1,232 in 2021-22. The average EBITDA for providers in the top quartile increased to $5,565 per recipient, up from $5,119 the prior year, and the providers in the bottom quartile decreased their EBITDA to negative $3,263, down from negative $2,573.&#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91932" cy="3004447"/>
                    </a:xfrm>
                    <a:prstGeom prst="rect">
                      <a:avLst/>
                    </a:prstGeom>
                    <a:noFill/>
                  </pic:spPr>
                </pic:pic>
              </a:graphicData>
            </a:graphic>
          </wp:inline>
        </w:drawing>
      </w:r>
    </w:p>
    <w:p w14:paraId="39EBF6E9" w14:textId="77777777" w:rsidR="006F4F12" w:rsidRDefault="006F4F12" w:rsidP="006F4F12">
      <w:pPr>
        <w:spacing w:before="0" w:after="0" w:line="240" w:lineRule="auto"/>
      </w:pPr>
      <w:r>
        <w:br w:type="page"/>
      </w:r>
    </w:p>
    <w:p w14:paraId="130F55E2" w14:textId="4629854D" w:rsidR="00FE668D" w:rsidRPr="009F4CA9" w:rsidRDefault="00FE668D" w:rsidP="006F33D9">
      <w:pPr>
        <w:rPr>
          <w:bCs w:val="0"/>
          <w:szCs w:val="28"/>
        </w:rPr>
      </w:pPr>
      <w:r w:rsidRPr="006F33D9">
        <w:rPr>
          <w:b/>
          <w:sz w:val="28"/>
          <w:szCs w:val="28"/>
        </w:rPr>
        <w:t>Ownership type</w:t>
      </w:r>
    </w:p>
    <w:p w14:paraId="19FF36B0" w14:textId="70B8FA29" w:rsidR="00FE668D" w:rsidRPr="00FE668D" w:rsidRDefault="00FE668D" w:rsidP="00706D0A">
      <w:r w:rsidRPr="008044A3">
        <w:fldChar w:fldCharType="begin"/>
      </w:r>
      <w:r w:rsidRPr="008044A3">
        <w:instrText xml:space="preserve"> REF _Ref160721161 \h  \* MERGEFORMAT </w:instrText>
      </w:r>
      <w:r w:rsidRPr="008044A3">
        <w:fldChar w:fldCharType="separate"/>
      </w:r>
      <w:r w:rsidR="001377BE">
        <w:t xml:space="preserve">Chart </w:t>
      </w:r>
      <w:r w:rsidR="001377BE">
        <w:rPr>
          <w:noProof/>
        </w:rPr>
        <w:t>1.6</w:t>
      </w:r>
      <w:r w:rsidRPr="008044A3">
        <w:fldChar w:fldCharType="end"/>
      </w:r>
      <w:r w:rsidRPr="008044A3">
        <w:t xml:space="preserve"> shows the overall average EBITDA per recipient per year by ownership over the last </w:t>
      </w:r>
      <w:r w:rsidR="00415DB2">
        <w:t>5</w:t>
      </w:r>
      <w:r w:rsidR="00415DB2" w:rsidRPr="008044A3">
        <w:t xml:space="preserve"> </w:t>
      </w:r>
      <w:r w:rsidRPr="008044A3">
        <w:t xml:space="preserve">years. In </w:t>
      </w:r>
      <w:r w:rsidR="00404CFA">
        <w:t>2022-23</w:t>
      </w:r>
      <w:r w:rsidRPr="008044A3">
        <w:t>, for-profit providers recorded a higher average EBITDA per recipient ($1,</w:t>
      </w:r>
      <w:r w:rsidR="00471814">
        <w:t>297</w:t>
      </w:r>
      <w:r w:rsidRPr="008044A3">
        <w:t>) compared with not-for-profit providers ($</w:t>
      </w:r>
      <w:r w:rsidR="00471814">
        <w:t>884</w:t>
      </w:r>
      <w:r w:rsidRPr="008044A3">
        <w:t xml:space="preserve">). </w:t>
      </w:r>
    </w:p>
    <w:p w14:paraId="6C3531C8" w14:textId="30F78BEB" w:rsidR="00FE668D" w:rsidRDefault="00FE668D" w:rsidP="00706D0A">
      <w:pPr>
        <w:pStyle w:val="Caption"/>
      </w:pPr>
      <w:bookmarkStart w:id="44" w:name="_Ref160721161"/>
      <w:bookmarkStart w:id="45" w:name="_Toc173428905"/>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6</w:t>
      </w:r>
      <w:r w:rsidR="00AE19AA">
        <w:rPr>
          <w:noProof/>
        </w:rPr>
        <w:fldChar w:fldCharType="end"/>
      </w:r>
      <w:bookmarkEnd w:id="44"/>
      <w:r>
        <w:t xml:space="preserve">: </w:t>
      </w:r>
      <w:r w:rsidRPr="00DC7430">
        <w:t>Home care average EBITDA per recipient per year, by ownership type, 2018</w:t>
      </w:r>
      <w:r>
        <w:t>-19</w:t>
      </w:r>
      <w:r w:rsidRPr="00DC7430">
        <w:t xml:space="preserve"> to 2022</w:t>
      </w:r>
      <w:r>
        <w:rPr>
          <w:noProof/>
        </w:rPr>
        <w:t>-23</w:t>
      </w:r>
      <w:bookmarkEnd w:id="45"/>
    </w:p>
    <w:p w14:paraId="188C0332" w14:textId="77777777" w:rsidR="00385C81" w:rsidRDefault="00F24560" w:rsidP="00D6443E">
      <w:r>
        <w:rPr>
          <w:noProof/>
        </w:rPr>
        <w:drawing>
          <wp:inline distT="0" distB="0" distL="0" distR="0" wp14:anchorId="5CCCDAD0" wp14:editId="4163C5FC">
            <wp:extent cx="5824800" cy="3062810"/>
            <wp:effectExtent l="0" t="0" r="5080" b="4445"/>
            <wp:docPr id="7" name="Picture 7" descr="Chart 1.6 is a clustered column chart titled Home care average EBITDA per recipient per year, by ownership type, 2018-19 to 2022-23. For the second year in a row, for-profit providers reported higher average EBITDA than not-for-profit providers. The average EBITDA per recipient per year for for-profit providers was $1,297 in 2022-23, and $884 for not-for-profit providers. Compared to 2020-21, when not-for-profit providers had a higher average EBITDA per recipient per year of $1,884 and for-profit's average EBITDA was $1,7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1.6 is a clustered column chart titled Home care average EBITDA per recipient per year, by ownership type, 2018-19 to 2022-23. For the second year in a row, for-profit providers reported higher average EBITDA than not-for-profit providers. The average EBITDA per recipient per year for for-profit providers was $1,297 in 2022-23, and $884 for not-for-profit providers. Compared to 2020-21, when not-for-profit providers had a higher average EBITDA per recipient per year of $1,884 and for-profit's average EBITDA was $1,779.&#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288" cy="3076212"/>
                    </a:xfrm>
                    <a:prstGeom prst="rect">
                      <a:avLst/>
                    </a:prstGeom>
                    <a:noFill/>
                  </pic:spPr>
                </pic:pic>
              </a:graphicData>
            </a:graphic>
          </wp:inline>
        </w:drawing>
      </w:r>
    </w:p>
    <w:p w14:paraId="6E927F42" w14:textId="77777777" w:rsidR="006F4F12" w:rsidRDefault="006F4F12" w:rsidP="006F4F12">
      <w:pPr>
        <w:spacing w:before="0" w:after="0" w:line="240" w:lineRule="auto"/>
      </w:pPr>
      <w:r>
        <w:br w:type="page"/>
      </w:r>
    </w:p>
    <w:p w14:paraId="70D1CFC1" w14:textId="0C994255" w:rsidR="006448D2" w:rsidRDefault="00445C76" w:rsidP="00D6443E">
      <w:r>
        <w:t xml:space="preserve"> </w:t>
      </w:r>
      <w:r w:rsidR="005F08D2" w:rsidRPr="004D3DF1">
        <w:t xml:space="preserve">shows the quartile analysis of the average EBITDA per </w:t>
      </w:r>
      <w:r w:rsidR="0036337B">
        <w:t xml:space="preserve">care </w:t>
      </w:r>
      <w:r w:rsidR="005F08D2">
        <w:t>recipient</w:t>
      </w:r>
      <w:r w:rsidR="005F08D2" w:rsidRPr="004D3DF1">
        <w:t xml:space="preserve"> </w:t>
      </w:r>
      <w:r w:rsidR="005F08D2">
        <w:t>per year</w:t>
      </w:r>
      <w:r w:rsidR="005F08D2" w:rsidRPr="004D3DF1">
        <w:t xml:space="preserve"> for home care providers by ownership type in 20</w:t>
      </w:r>
      <w:r w:rsidR="00BD35BD">
        <w:t>22-23</w:t>
      </w:r>
      <w:r w:rsidR="005F08D2" w:rsidRPr="004D3DF1">
        <w:t xml:space="preserve">. </w:t>
      </w:r>
      <w:r w:rsidR="00842FB8">
        <w:t xml:space="preserve">While at a sector level, for-profit providers recorded the highest EBITDA result (as shown in </w:t>
      </w:r>
      <w:r w:rsidR="001F1389">
        <w:t>C</w:t>
      </w:r>
      <w:r w:rsidR="00842FB8">
        <w:t xml:space="preserve">hart 1.6), for-profit providers in the bottom quartile recorded the lowest EBITDA result (negative $5,346). </w:t>
      </w:r>
      <w:r w:rsidR="00EB7C94">
        <w:t xml:space="preserve">This result was more than 50% lower than the EBITDA result for </w:t>
      </w:r>
      <w:r w:rsidR="008735B0">
        <w:t xml:space="preserve">not-for-profit providers in the bottom quartile (negative $2,644). </w:t>
      </w:r>
      <w:r w:rsidR="00006F35">
        <w:t xml:space="preserve">This </w:t>
      </w:r>
      <w:r w:rsidR="00272A33">
        <w:t xml:space="preserve">is likely to have </w:t>
      </w:r>
      <w:r w:rsidR="0036337B">
        <w:t>contributed to</w:t>
      </w:r>
      <w:r w:rsidR="00006F35">
        <w:t xml:space="preserve"> the overall decline in </w:t>
      </w:r>
      <w:r w:rsidR="00D44F6D">
        <w:t xml:space="preserve">sector </w:t>
      </w:r>
      <w:r w:rsidR="00006F35">
        <w:t>profitability.</w:t>
      </w:r>
      <w:r w:rsidR="00386143">
        <w:t xml:space="preserve"> </w:t>
      </w:r>
      <w:bookmarkStart w:id="46" w:name="_Ref161221801"/>
    </w:p>
    <w:p w14:paraId="5A45BBFD" w14:textId="5CA7BFA4" w:rsidR="00AD666F" w:rsidRDefault="00AD666F" w:rsidP="00706D0A">
      <w:pPr>
        <w:pStyle w:val="Caption"/>
      </w:pPr>
      <w:bookmarkStart w:id="47" w:name="_Toc173428906"/>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7</w:t>
      </w:r>
      <w:r w:rsidR="00AE19AA">
        <w:rPr>
          <w:noProof/>
        </w:rPr>
        <w:fldChar w:fldCharType="end"/>
      </w:r>
      <w:bookmarkEnd w:id="46"/>
      <w:r>
        <w:t xml:space="preserve">: </w:t>
      </w:r>
      <w:r w:rsidRPr="00BC328B">
        <w:t xml:space="preserve">Home care average EBITDA per </w:t>
      </w:r>
      <w:r w:rsidR="0036337B">
        <w:t xml:space="preserve">care </w:t>
      </w:r>
      <w:r w:rsidRPr="00BC328B">
        <w:t>recipient per year, by quartile and ownership type, 20</w:t>
      </w:r>
      <w:r w:rsidR="00AA6C7F">
        <w:t>22-23</w:t>
      </w:r>
      <w:r w:rsidRPr="00BC328B">
        <w:t xml:space="preserve"> (number of providers in parentheses)</w:t>
      </w:r>
      <w:bookmarkEnd w:id="47"/>
    </w:p>
    <w:p w14:paraId="3315EB22" w14:textId="7AEA3D52" w:rsidR="00385C81" w:rsidRDefault="009B0E81" w:rsidP="00241A41">
      <w:pPr>
        <w:pStyle w:val="Caption"/>
        <w:rPr>
          <w:b w:val="0"/>
          <w:bCs/>
          <w:sz w:val="28"/>
          <w:szCs w:val="28"/>
        </w:rPr>
      </w:pPr>
      <w:r>
        <w:rPr>
          <w:noProof/>
        </w:rPr>
        <w:drawing>
          <wp:inline distT="0" distB="0" distL="0" distR="0" wp14:anchorId="31D8149F" wp14:editId="19B6E1B3">
            <wp:extent cx="5832000" cy="2870678"/>
            <wp:effectExtent l="0" t="0" r="0" b="6350"/>
            <wp:docPr id="1271021927" name="Picture 1271021927" descr="Chart 1.7 is a clustered column chart titled Home care average EBITDA per care recipient per year, by quartile and ownership type, 2022-23 (number of providers in parentheses). In 2022-23, for‑profit providers recorded an average EBITDA per recipient of $1,297, compared with $884 reported by not‑for‑profit providers. For-profit providers in the top quartile recorded an average of $6,052 per recipient, compared with not-for-profit providers who recorded an average of $5,19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7" name="Picture 1271021927" descr="Chart 1.7 is a clustered column chart titled Home care average EBITDA per care recipient per year, by quartile and ownership type, 2022-23 (number of providers in parentheses). In 2022-23, for‑profit providers recorded an average EBITDA per recipient of $1,297, compared with $884 reported by not‑for‑profit providers. For-profit providers in the top quartile recorded an average of $6,052 per recipient, compared with not-for-profit providers who recorded an average of $5,198.&#10;&#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62808" cy="2885843"/>
                    </a:xfrm>
                    <a:prstGeom prst="rect">
                      <a:avLst/>
                    </a:prstGeom>
                    <a:noFill/>
                  </pic:spPr>
                </pic:pic>
              </a:graphicData>
            </a:graphic>
          </wp:inline>
        </w:drawing>
      </w:r>
    </w:p>
    <w:p w14:paraId="304493D7" w14:textId="77777777" w:rsidR="006F4F12" w:rsidRDefault="006F4F12" w:rsidP="006F4F12">
      <w:pPr>
        <w:spacing w:before="0" w:after="0" w:line="240" w:lineRule="auto"/>
      </w:pPr>
      <w:r>
        <w:br w:type="page"/>
      </w:r>
    </w:p>
    <w:p w14:paraId="69F32CEC" w14:textId="0154168C" w:rsidR="002D2B0E" w:rsidRPr="009F4CA9" w:rsidRDefault="002D2B0E" w:rsidP="00112969">
      <w:pPr>
        <w:rPr>
          <w:bCs w:val="0"/>
          <w:szCs w:val="28"/>
        </w:rPr>
      </w:pPr>
      <w:r w:rsidRPr="00112969">
        <w:rPr>
          <w:b/>
          <w:bCs w:val="0"/>
          <w:sz w:val="28"/>
          <w:szCs w:val="28"/>
        </w:rPr>
        <w:t>Provider location</w:t>
      </w:r>
    </w:p>
    <w:p w14:paraId="7D534FE7" w14:textId="11BB47AE" w:rsidR="00996224" w:rsidRDefault="00937583" w:rsidP="00996224">
      <w:pPr>
        <w:rPr>
          <w:rFonts w:ascii="Calibri" w:hAnsi="Calibri"/>
          <w:bCs w:val="0"/>
          <w:color w:val="auto"/>
          <w:sz w:val="22"/>
          <w:szCs w:val="22"/>
        </w:rPr>
      </w:pPr>
      <w:r>
        <w:t>As shown in</w:t>
      </w:r>
      <w:r w:rsidR="00A44B2C">
        <w:t xml:space="preserve"> </w:t>
      </w:r>
      <w:r>
        <w:fldChar w:fldCharType="begin"/>
      </w:r>
      <w:r>
        <w:instrText xml:space="preserve"> REF _Ref161222061 \h </w:instrText>
      </w:r>
      <w:r>
        <w:fldChar w:fldCharType="separate"/>
      </w:r>
      <w:r w:rsidR="001377BE">
        <w:t xml:space="preserve">Chart </w:t>
      </w:r>
      <w:r w:rsidR="001377BE">
        <w:rPr>
          <w:noProof/>
        </w:rPr>
        <w:t>1</w:t>
      </w:r>
      <w:r w:rsidR="001377BE">
        <w:t>.</w:t>
      </w:r>
      <w:r w:rsidR="001377BE">
        <w:rPr>
          <w:noProof/>
        </w:rPr>
        <w:t>8</w:t>
      </w:r>
      <w:r>
        <w:fldChar w:fldCharType="end"/>
      </w:r>
      <w:r>
        <w:t>, when performance is considered by location, providers in regional areas reported an average EBITDA of $</w:t>
      </w:r>
      <w:r w:rsidR="002E2F50">
        <w:t>908</w:t>
      </w:r>
      <w:r>
        <w:t xml:space="preserve"> per recipient, which is a</w:t>
      </w:r>
      <w:r w:rsidR="00BB1AA8">
        <w:t>n</w:t>
      </w:r>
      <w:r>
        <w:t xml:space="preserve"> </w:t>
      </w:r>
      <w:r w:rsidR="002E2F50">
        <w:t>in</w:t>
      </w:r>
      <w:r>
        <w:t>crease from $</w:t>
      </w:r>
      <w:r w:rsidR="002E2F50">
        <w:t>511</w:t>
      </w:r>
      <w:r>
        <w:t xml:space="preserve"> in 20</w:t>
      </w:r>
      <w:r w:rsidR="002E2F50">
        <w:t>2</w:t>
      </w:r>
      <w:r>
        <w:t>1</w:t>
      </w:r>
      <w:r w:rsidR="002E2F50">
        <w:t>-22</w:t>
      </w:r>
      <w:r>
        <w:t xml:space="preserve">. </w:t>
      </w:r>
      <w:r w:rsidR="00BF244C">
        <w:t>The significant EBITDA increase for r</w:t>
      </w:r>
      <w:r w:rsidR="00996224">
        <w:t xml:space="preserve">egional providers </w:t>
      </w:r>
      <w:r w:rsidR="00BF244C">
        <w:t>is due to the</w:t>
      </w:r>
      <w:r w:rsidR="00996224">
        <w:t xml:space="preserve"> proportionally </w:t>
      </w:r>
      <w:r w:rsidR="00C14AC2">
        <w:t>larger</w:t>
      </w:r>
      <w:r w:rsidR="00996224">
        <w:t xml:space="preserve"> increase in Direct Care services revenue</w:t>
      </w:r>
      <w:r w:rsidR="002960DD">
        <w:t xml:space="preserve"> on the prior year</w:t>
      </w:r>
      <w:r w:rsidR="00EA0BC2">
        <w:t xml:space="preserve">, compared to </w:t>
      </w:r>
      <w:r w:rsidR="002960DD">
        <w:t>metropolitan providers and providers across metropolitan and regional</w:t>
      </w:r>
      <w:r w:rsidR="00614EEC">
        <w:t xml:space="preserve"> areas</w:t>
      </w:r>
      <w:r w:rsidR="00996224">
        <w:t xml:space="preserve">. </w:t>
      </w:r>
      <w:r w:rsidR="00BF244C">
        <w:t xml:space="preserve">In addition, </w:t>
      </w:r>
      <w:r w:rsidR="00D32BF5">
        <w:t>expenses for regional providers</w:t>
      </w:r>
      <w:r w:rsidR="00FA2C76">
        <w:t xml:space="preserve"> did not increase </w:t>
      </w:r>
      <w:r w:rsidR="00136FE7">
        <w:t>as much as other provider types</w:t>
      </w:r>
      <w:r w:rsidR="00604A36">
        <w:t>,</w:t>
      </w:r>
      <w:r w:rsidR="00136FE7">
        <w:t xml:space="preserve"> which has contributed to the increase in EBITDA for 2022-23</w:t>
      </w:r>
      <w:r w:rsidR="00CB28B3">
        <w:t xml:space="preserve">. </w:t>
      </w:r>
      <w:r w:rsidR="00136FE7">
        <w:t xml:space="preserve"> </w:t>
      </w:r>
    </w:p>
    <w:p w14:paraId="1398D46B" w14:textId="55BE1B54" w:rsidR="00937583" w:rsidRDefault="00937583" w:rsidP="00996224">
      <w:r>
        <w:t xml:space="preserve">Metropolitan providers reported a decrease, </w:t>
      </w:r>
      <w:r w:rsidR="00D8338C">
        <w:t xml:space="preserve">though still a higher result, </w:t>
      </w:r>
      <w:r>
        <w:t>with an average EBITDA of $1</w:t>
      </w:r>
      <w:r w:rsidR="002E2F50">
        <w:t>,025</w:t>
      </w:r>
      <w:r>
        <w:t xml:space="preserve"> in 2022</w:t>
      </w:r>
      <w:r w:rsidR="002E2F50">
        <w:t>-23</w:t>
      </w:r>
      <w:r>
        <w:t>, down from $</w:t>
      </w:r>
      <w:r w:rsidR="002E2F50">
        <w:t>1,364</w:t>
      </w:r>
      <w:r>
        <w:t xml:space="preserve"> the prior year.</w:t>
      </w:r>
    </w:p>
    <w:p w14:paraId="385B410E" w14:textId="6A40DCD7" w:rsidR="00A44B2C" w:rsidRDefault="00A44B2C" w:rsidP="00706D0A">
      <w:pPr>
        <w:pStyle w:val="Caption"/>
      </w:pPr>
      <w:bookmarkStart w:id="48" w:name="_Ref161222061"/>
      <w:bookmarkStart w:id="49" w:name="_Toc173428907"/>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8</w:t>
      </w:r>
      <w:r w:rsidR="00AE19AA">
        <w:rPr>
          <w:noProof/>
        </w:rPr>
        <w:fldChar w:fldCharType="end"/>
      </w:r>
      <w:bookmarkEnd w:id="48"/>
      <w:r>
        <w:t xml:space="preserve">: </w:t>
      </w:r>
      <w:r w:rsidRPr="005467B5">
        <w:t xml:space="preserve">Home care average EBITDA per recipient, by provider location, </w:t>
      </w:r>
      <w:r>
        <w:br/>
      </w:r>
      <w:r w:rsidRPr="005467B5">
        <w:t>2018</w:t>
      </w:r>
      <w:r w:rsidR="002E2F50">
        <w:t>-19</w:t>
      </w:r>
      <w:r w:rsidRPr="005467B5">
        <w:t xml:space="preserve"> to 2022</w:t>
      </w:r>
      <w:r w:rsidR="002E2F50">
        <w:t>-23</w:t>
      </w:r>
      <w:bookmarkEnd w:id="49"/>
    </w:p>
    <w:p w14:paraId="41CD2D13" w14:textId="38036764" w:rsidR="006448D2" w:rsidRDefault="00A44B2C" w:rsidP="00D6443E">
      <w:pPr>
        <w:spacing w:before="0" w:after="0" w:line="240" w:lineRule="auto"/>
      </w:pPr>
      <w:r w:rsidRPr="00A93A41">
        <w:rPr>
          <w:bCs w:val="0"/>
          <w:noProof/>
          <w:color w:val="auto"/>
          <w:sz w:val="21"/>
        </w:rPr>
        <w:drawing>
          <wp:inline distT="0" distB="0" distL="0" distR="0" wp14:anchorId="6C9112B4" wp14:editId="2986C42C">
            <wp:extent cx="5844573" cy="3643200"/>
            <wp:effectExtent l="0" t="0" r="3810" b="0"/>
            <wp:docPr id="9" name="Picture 9" descr="Chart 1.8 is a clustered column chart titled Home care average EBITDA per recipient, by provider location, 2018-19 to 2022-23. Providers in regional areas reported an average EBITDA of $511 in 2021-22, increasing to $908 in 2022-23. Metropolitan providers reported a decrease, with an average EBITDA of $1,364 in 2021‑22, down to $1,025 in 2022-23. Metropolitan and regional providers had an average EBITDA of $1,043, down from $1,533 in 2021-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1.8 is a clustered column chart titled Home care average EBITDA per recipient, by provider location, 2018-19 to 2022-23. Providers in regional areas reported an average EBITDA of $511 in 2021-22, increasing to $908 in 2022-23. Metropolitan providers reported a decrease, with an average EBITDA of $1,364 in 2021‑22, down to $1,025 in 2022-23. Metropolitan and regional providers had an average EBITDA of $1,043, down from $1,533 in 2021-22.&#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3015" cy="3648462"/>
                    </a:xfrm>
                    <a:prstGeom prst="rect">
                      <a:avLst/>
                    </a:prstGeom>
                    <a:noFill/>
                  </pic:spPr>
                </pic:pic>
              </a:graphicData>
            </a:graphic>
          </wp:inline>
        </w:drawing>
      </w:r>
    </w:p>
    <w:p w14:paraId="5697ABA5" w14:textId="77777777" w:rsidR="006F4F12" w:rsidRDefault="006F4F12" w:rsidP="006F4F12">
      <w:pPr>
        <w:spacing w:before="0" w:after="0" w:line="240" w:lineRule="auto"/>
      </w:pPr>
      <w:r>
        <w:br w:type="page"/>
      </w:r>
    </w:p>
    <w:p w14:paraId="64F29660" w14:textId="409DB95A" w:rsidR="007C2820" w:rsidRPr="007C2820" w:rsidRDefault="007C2820" w:rsidP="00706D0A">
      <w:r>
        <w:fldChar w:fldCharType="begin"/>
      </w:r>
      <w:r>
        <w:instrText xml:space="preserve"> REF _Ref161222235 \h </w:instrText>
      </w:r>
      <w:r>
        <w:fldChar w:fldCharType="separate"/>
      </w:r>
      <w:r w:rsidR="001377BE">
        <w:t xml:space="preserve">Chart </w:t>
      </w:r>
      <w:r w:rsidR="001377BE">
        <w:rPr>
          <w:noProof/>
        </w:rPr>
        <w:t>1</w:t>
      </w:r>
      <w:r w:rsidR="001377BE">
        <w:t>.</w:t>
      </w:r>
      <w:r w:rsidR="001377BE">
        <w:rPr>
          <w:noProof/>
        </w:rPr>
        <w:t>9</w:t>
      </w:r>
      <w:r>
        <w:fldChar w:fldCharType="end"/>
      </w:r>
      <w:r>
        <w:t xml:space="preserve"> shows the average EBITDA per recipient per year, by quartile and provider location. Q</w:t>
      </w:r>
      <w:r w:rsidRPr="004D79CE">
        <w:t>uartile analysis</w:t>
      </w:r>
      <w:r>
        <w:t xml:space="preserve"> shows</w:t>
      </w:r>
      <w:r w:rsidRPr="004D79CE">
        <w:t xml:space="preserve"> </w:t>
      </w:r>
      <w:r>
        <w:t>metropolitan</w:t>
      </w:r>
      <w:r w:rsidRPr="004D79CE">
        <w:t xml:space="preserve"> providers outperformed </w:t>
      </w:r>
      <w:r>
        <w:t>regional</w:t>
      </w:r>
      <w:r w:rsidRPr="004D79CE">
        <w:t xml:space="preserve"> providers in both the top and bottom quartiles, </w:t>
      </w:r>
      <w:r>
        <w:t xml:space="preserve">and </w:t>
      </w:r>
      <w:r w:rsidRPr="004D79CE">
        <w:t xml:space="preserve">metropolitan providers had an overall higher average EBITDA per </w:t>
      </w:r>
      <w:r>
        <w:t>recipient</w:t>
      </w:r>
      <w:r w:rsidRPr="004D79CE">
        <w:t xml:space="preserve"> compared to regional </w:t>
      </w:r>
      <w:r w:rsidRPr="005E73D7">
        <w:t>providers</w:t>
      </w:r>
      <w:r>
        <w:t>.</w:t>
      </w:r>
    </w:p>
    <w:p w14:paraId="6D2365A9" w14:textId="461003D0" w:rsidR="008C7E8F" w:rsidRDefault="008C7E8F" w:rsidP="00706D0A">
      <w:pPr>
        <w:pStyle w:val="Caption"/>
      </w:pPr>
      <w:bookmarkStart w:id="50" w:name="_Ref161222235"/>
      <w:bookmarkStart w:id="51" w:name="_Toc173428908"/>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9</w:t>
      </w:r>
      <w:r w:rsidR="00AE19AA">
        <w:rPr>
          <w:noProof/>
        </w:rPr>
        <w:fldChar w:fldCharType="end"/>
      </w:r>
      <w:bookmarkEnd w:id="50"/>
      <w:r>
        <w:t xml:space="preserve">: </w:t>
      </w:r>
      <w:r w:rsidRPr="00751758">
        <w:t>Home care average EBITDA per recipient per year, by quartile and provider location, 2022</w:t>
      </w:r>
      <w:r w:rsidR="00EC00F3">
        <w:t>-23</w:t>
      </w:r>
      <w:r w:rsidRPr="00751758">
        <w:t xml:space="preserve"> (number of providers in parentheses)</w:t>
      </w:r>
      <w:bookmarkEnd w:id="51"/>
    </w:p>
    <w:p w14:paraId="546A6AE2" w14:textId="1274A151" w:rsidR="004E704F" w:rsidRPr="004E704F" w:rsidRDefault="00A14E98" w:rsidP="004E704F">
      <w:r>
        <w:rPr>
          <w:noProof/>
        </w:rPr>
        <w:drawing>
          <wp:inline distT="0" distB="0" distL="0" distR="0" wp14:anchorId="102181ED" wp14:editId="48EB1563">
            <wp:extent cx="5788800" cy="2616992"/>
            <wp:effectExtent l="0" t="0" r="2540" b="0"/>
            <wp:docPr id="1271021928" name="Picture 1271021928" descr="Chart 1.9 is a clustered column chart titled Home care average EBITDA per recipient per year, by quartile and provider location, 2022-23 (number of providers in parentheses). Quartile analysis shows metropolitan providers outperformed regional providers in both the top and bottom quartiles. Metropolitan providers had an overall higher average EBITDA per recipient ($1,025) compared to regional providers ($908).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8" name="Picture 1271021928" descr="Chart 1.9 is a clustered column chart titled Home care average EBITDA per recipient per year, by quartile and provider location, 2022-23 (number of providers in parentheses). Quartile analysis shows metropolitan providers outperformed regional providers in both the top and bottom quartiles. Metropolitan providers had an overall higher average EBITDA per recipient ($1,025) compared to regional providers ($908). &#10;&#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54848" cy="2646851"/>
                    </a:xfrm>
                    <a:prstGeom prst="rect">
                      <a:avLst/>
                    </a:prstGeom>
                    <a:noFill/>
                  </pic:spPr>
                </pic:pic>
              </a:graphicData>
            </a:graphic>
          </wp:inline>
        </w:drawing>
      </w:r>
    </w:p>
    <w:p w14:paraId="40A340BE" w14:textId="77777777" w:rsidR="006F4F12" w:rsidRDefault="006F4F12" w:rsidP="006F4F12">
      <w:pPr>
        <w:spacing w:before="0" w:after="0" w:line="240" w:lineRule="auto"/>
      </w:pPr>
      <w:r>
        <w:br w:type="page"/>
      </w:r>
    </w:p>
    <w:p w14:paraId="4339E818" w14:textId="28ACD060" w:rsidR="008C7E8F" w:rsidRPr="009F4CA9" w:rsidRDefault="008C7E8F" w:rsidP="002E65C2">
      <w:pPr>
        <w:rPr>
          <w:bCs w:val="0"/>
          <w:szCs w:val="28"/>
        </w:rPr>
      </w:pPr>
      <w:r w:rsidRPr="002E65C2">
        <w:rPr>
          <w:b/>
          <w:sz w:val="28"/>
          <w:szCs w:val="28"/>
        </w:rPr>
        <w:t>Provider scale</w:t>
      </w:r>
    </w:p>
    <w:p w14:paraId="44260D6D" w14:textId="30E969BB" w:rsidR="00D86373" w:rsidRDefault="00D86373" w:rsidP="00706D0A">
      <w:r>
        <w:t>As shown in</w:t>
      </w:r>
      <w:r w:rsidR="00D6443E">
        <w:t xml:space="preserve"> </w:t>
      </w:r>
      <w:r w:rsidR="00D6443E">
        <w:fldChar w:fldCharType="begin"/>
      </w:r>
      <w:r w:rsidR="00D6443E">
        <w:instrText xml:space="preserve"> REF _Ref161222336 \h </w:instrText>
      </w:r>
      <w:r w:rsidR="00D6443E">
        <w:fldChar w:fldCharType="separate"/>
      </w:r>
      <w:r w:rsidR="001377BE">
        <w:t xml:space="preserve">Chart </w:t>
      </w:r>
      <w:r w:rsidR="001377BE">
        <w:rPr>
          <w:noProof/>
        </w:rPr>
        <w:t>1</w:t>
      </w:r>
      <w:r w:rsidR="001377BE">
        <w:t>.</w:t>
      </w:r>
      <w:r w:rsidR="001377BE">
        <w:rPr>
          <w:noProof/>
        </w:rPr>
        <w:t>10</w:t>
      </w:r>
      <w:r w:rsidR="00D6443E">
        <w:fldChar w:fldCharType="end"/>
      </w:r>
      <w:r>
        <w:t xml:space="preserve">, </w:t>
      </w:r>
      <w:r w:rsidRPr="0006783F">
        <w:t xml:space="preserve">providers who operate </w:t>
      </w:r>
      <w:r>
        <w:t>two</w:t>
      </w:r>
      <w:r w:rsidR="00FD5744">
        <w:t xml:space="preserve"> to </w:t>
      </w:r>
      <w:r>
        <w:t>six</w:t>
      </w:r>
      <w:r w:rsidRPr="0006783F">
        <w:t xml:space="preserve"> services </w:t>
      </w:r>
      <w:r>
        <w:t xml:space="preserve">had the </w:t>
      </w:r>
      <w:r w:rsidR="00446FDB">
        <w:t>best</w:t>
      </w:r>
      <w:r>
        <w:t xml:space="preserve"> </w:t>
      </w:r>
      <w:r w:rsidRPr="0006783F">
        <w:t>perform</w:t>
      </w:r>
      <w:r>
        <w:t>ance</w:t>
      </w:r>
      <w:r w:rsidRPr="0006783F">
        <w:t xml:space="preserve"> when compared with </w:t>
      </w:r>
      <w:r>
        <w:t xml:space="preserve">all other </w:t>
      </w:r>
      <w:r w:rsidRPr="0006783F">
        <w:t>providers</w:t>
      </w:r>
      <w:r>
        <w:t xml:space="preserve">, </w:t>
      </w:r>
      <w:r w:rsidR="00446FDB">
        <w:t>up</w:t>
      </w:r>
      <w:r>
        <w:t xml:space="preserve"> from $</w:t>
      </w:r>
      <w:r w:rsidR="00446FDB">
        <w:t>956</w:t>
      </w:r>
      <w:r>
        <w:t xml:space="preserve"> per recipient per year in 2021</w:t>
      </w:r>
      <w:r w:rsidR="00446FDB">
        <w:t>-22</w:t>
      </w:r>
      <w:r>
        <w:t xml:space="preserve"> to $</w:t>
      </w:r>
      <w:r w:rsidR="00446FDB">
        <w:t>1,346</w:t>
      </w:r>
      <w:r>
        <w:t xml:space="preserve"> in 2022</w:t>
      </w:r>
      <w:r w:rsidR="00446FDB">
        <w:t>-23</w:t>
      </w:r>
      <w:r w:rsidRPr="0006783F">
        <w:t xml:space="preserve">. </w:t>
      </w:r>
      <w:r w:rsidR="001C4E3B">
        <w:t>Both s</w:t>
      </w:r>
      <w:r>
        <w:t>ingle service</w:t>
      </w:r>
      <w:r w:rsidRPr="0006783F">
        <w:t xml:space="preserve"> providers</w:t>
      </w:r>
      <w:r w:rsidR="00F95D63">
        <w:t xml:space="preserve"> and providers with seven or more services</w:t>
      </w:r>
      <w:r>
        <w:t xml:space="preserve"> </w:t>
      </w:r>
      <w:r w:rsidR="00F95D63">
        <w:t>de</w:t>
      </w:r>
      <w:r>
        <w:t>creased</w:t>
      </w:r>
      <w:r w:rsidRPr="0006783F">
        <w:t xml:space="preserve"> </w:t>
      </w:r>
      <w:r w:rsidR="001C4E3B">
        <w:t xml:space="preserve">their </w:t>
      </w:r>
      <w:r w:rsidRPr="0006783F">
        <w:t xml:space="preserve">average EBITDA per </w:t>
      </w:r>
      <w:r>
        <w:t>recipient</w:t>
      </w:r>
      <w:r w:rsidRPr="0006783F">
        <w:t xml:space="preserve"> per </w:t>
      </w:r>
      <w:r>
        <w:t>year</w:t>
      </w:r>
      <w:r w:rsidRPr="0006783F">
        <w:t xml:space="preserve"> compared to the prior year.</w:t>
      </w:r>
      <w:r>
        <w:t xml:space="preserve"> </w:t>
      </w:r>
    </w:p>
    <w:p w14:paraId="71DE4A80" w14:textId="428F7E87" w:rsidR="00B56186" w:rsidRDefault="00B56186" w:rsidP="00706D0A">
      <w:pPr>
        <w:pStyle w:val="Caption"/>
      </w:pPr>
      <w:bookmarkStart w:id="52" w:name="_Ref161222336"/>
      <w:bookmarkStart w:id="53" w:name="_Toc173428909"/>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10</w:t>
      </w:r>
      <w:r w:rsidR="00AE19AA">
        <w:rPr>
          <w:noProof/>
        </w:rPr>
        <w:fldChar w:fldCharType="end"/>
      </w:r>
      <w:bookmarkEnd w:id="52"/>
      <w:r>
        <w:t xml:space="preserve">: </w:t>
      </w:r>
      <w:r w:rsidRPr="00936161">
        <w:t xml:space="preserve">Home care average EBITDA per recipient per year, by provider scale, </w:t>
      </w:r>
      <w:r w:rsidR="00E02EBB">
        <w:t>2018-19</w:t>
      </w:r>
      <w:r w:rsidRPr="00936161">
        <w:t xml:space="preserve"> to </w:t>
      </w:r>
      <w:r w:rsidR="00E02EBB">
        <w:t>2022-23</w:t>
      </w:r>
      <w:bookmarkEnd w:id="53"/>
    </w:p>
    <w:p w14:paraId="4F78A5D0" w14:textId="14AD3719" w:rsidR="00B56186" w:rsidRDefault="00B13E38" w:rsidP="00256A35">
      <w:r>
        <w:rPr>
          <w:noProof/>
        </w:rPr>
        <w:drawing>
          <wp:inline distT="0" distB="0" distL="0" distR="0" wp14:anchorId="1012B232" wp14:editId="5FC56E9A">
            <wp:extent cx="5860800" cy="3955145"/>
            <wp:effectExtent l="0" t="0" r="6985" b="7620"/>
            <wp:docPr id="11" name="Picture 11" descr="Chart 1.10 is a clustered column chart titled Home care average EBITDA per recipient per year, by provider scale, 2018-19 to 2022-23. Providers who operate two to six services were the best performers, $1,346 EBITDA per recipient per year, the only provider scale that had increased the average EBITDA on the previous year. Single service providers experienced a decrease in EBITDA from $1,727 per recipient per year in 2021-22 to $1,135 per recipient per year in 2022-23. Providers that operate seven or more services performed the worst with $728 EBITDA per recipient per year in 2022-23.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1.10 is a clustered column chart titled Home care average EBITDA per recipient per year, by provider scale, 2018-19 to 2022-23. Providers who operate two to six services were the best performers, $1,346 EBITDA per recipient per year, the only provider scale that had increased the average EBITDA on the previous year. Single service providers experienced a decrease in EBITDA from $1,727 per recipient per year in 2021-22 to $1,135 per recipient per year in 2022-23. Providers that operate seven or more services performed the worst with $728 EBITDA per recipient per year in 2022-23.  &#10;&#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9973" cy="3961336"/>
                    </a:xfrm>
                    <a:prstGeom prst="rect">
                      <a:avLst/>
                    </a:prstGeom>
                    <a:noFill/>
                  </pic:spPr>
                </pic:pic>
              </a:graphicData>
            </a:graphic>
          </wp:inline>
        </w:drawing>
      </w:r>
    </w:p>
    <w:p w14:paraId="53FE0118" w14:textId="67F88E91" w:rsidR="00155B25" w:rsidRDefault="00B15FFA" w:rsidP="00706D0A">
      <w:r>
        <w:fldChar w:fldCharType="begin"/>
      </w:r>
      <w:r>
        <w:instrText xml:space="preserve"> REF _Ref161224350 \h </w:instrText>
      </w:r>
      <w:r>
        <w:fldChar w:fldCharType="separate"/>
      </w:r>
      <w:r w:rsidR="001377BE">
        <w:t xml:space="preserve">Chart </w:t>
      </w:r>
      <w:r w:rsidR="001377BE">
        <w:rPr>
          <w:noProof/>
        </w:rPr>
        <w:t>1</w:t>
      </w:r>
      <w:r w:rsidR="001377BE">
        <w:t>.</w:t>
      </w:r>
      <w:r w:rsidR="001377BE">
        <w:rPr>
          <w:noProof/>
        </w:rPr>
        <w:t>11</w:t>
      </w:r>
      <w:r>
        <w:fldChar w:fldCharType="end"/>
      </w:r>
      <w:r>
        <w:t xml:space="preserve"> </w:t>
      </w:r>
      <w:r w:rsidRPr="00523F4F">
        <w:t xml:space="preserve">shows </w:t>
      </w:r>
      <w:r w:rsidR="00F76D1D">
        <w:t>home care EBITDA</w:t>
      </w:r>
      <w:r w:rsidR="000A0FE5">
        <w:t xml:space="preserve">, by quartile and provider scale. </w:t>
      </w:r>
      <w:r w:rsidR="00283F1C">
        <w:t xml:space="preserve">The number of services in home care, is represented by the number of Aged Care Planning Regions (ACPR) providers have reported data for. </w:t>
      </w:r>
      <w:r w:rsidR="00FD1BE5">
        <w:t xml:space="preserve">In 2022-23, </w:t>
      </w:r>
      <w:r w:rsidR="00AB4F5A">
        <w:t>p</w:t>
      </w:r>
      <w:r w:rsidRPr="00295BF0">
        <w:t>roviders who operate seven or more services reported an average EBITDA of $</w:t>
      </w:r>
      <w:r w:rsidR="003F2E52">
        <w:t>728</w:t>
      </w:r>
      <w:r w:rsidRPr="00295BF0">
        <w:t xml:space="preserve"> per </w:t>
      </w:r>
      <w:r w:rsidR="00E65ECA">
        <w:t>care</w:t>
      </w:r>
      <w:r w:rsidRPr="00295BF0">
        <w:t xml:space="preserve"> </w:t>
      </w:r>
      <w:r>
        <w:t>recipient</w:t>
      </w:r>
      <w:r w:rsidRPr="00295BF0">
        <w:t xml:space="preserve"> compared with $1,</w:t>
      </w:r>
      <w:r w:rsidR="001F6DCA">
        <w:t>135</w:t>
      </w:r>
      <w:r w:rsidRPr="00295BF0">
        <w:t xml:space="preserve"> for single service providers and $</w:t>
      </w:r>
      <w:r w:rsidR="001F6DCA">
        <w:t>1,346</w:t>
      </w:r>
      <w:r w:rsidRPr="00295BF0">
        <w:t xml:space="preserve"> for providers with two</w:t>
      </w:r>
      <w:r w:rsidR="00EE7BB8">
        <w:t xml:space="preserve"> to </w:t>
      </w:r>
      <w:r w:rsidRPr="00295BF0">
        <w:t xml:space="preserve">six services. </w:t>
      </w:r>
      <w:r w:rsidR="006177C6">
        <w:t>Single service providers</w:t>
      </w:r>
      <w:r w:rsidR="001F6DCA">
        <w:t xml:space="preserve"> </w:t>
      </w:r>
      <w:r w:rsidRPr="00295BF0">
        <w:t>were the best performers in the top quartile and</w:t>
      </w:r>
      <w:r>
        <w:t xml:space="preserve"> two</w:t>
      </w:r>
      <w:r w:rsidR="00EE7BB8">
        <w:t xml:space="preserve"> to </w:t>
      </w:r>
      <w:r>
        <w:t>six service providers were</w:t>
      </w:r>
      <w:r w:rsidRPr="00295BF0">
        <w:t xml:space="preserve"> the worst performers in the bottom quartile.</w:t>
      </w:r>
      <w:r w:rsidR="00AF1E98">
        <w:t xml:space="preserve"> </w:t>
      </w:r>
    </w:p>
    <w:p w14:paraId="7151F5E5" w14:textId="5BAA331B" w:rsidR="0054630B" w:rsidRDefault="005404F8" w:rsidP="00706D0A">
      <w:r>
        <w:t xml:space="preserve">While single </w:t>
      </w:r>
      <w:r w:rsidR="00045F33">
        <w:t xml:space="preserve">service providers recorded the highest EBITDA in the top quartile, </w:t>
      </w:r>
      <w:r w:rsidR="00026676">
        <w:t xml:space="preserve">it was a decrease in comparison to 2021-22, down from $6,278 per </w:t>
      </w:r>
      <w:r w:rsidR="00E65ECA">
        <w:t xml:space="preserve">care </w:t>
      </w:r>
      <w:r w:rsidR="00026676">
        <w:t>recipient per year</w:t>
      </w:r>
      <w:r w:rsidR="00395B07">
        <w:t xml:space="preserve"> in 2021-22, to $6,025 per care recipient per year in 2022-23</w:t>
      </w:r>
      <w:r w:rsidR="00E55860">
        <w:t xml:space="preserve">. </w:t>
      </w:r>
      <w:r w:rsidR="00395B07">
        <w:t>Two</w:t>
      </w:r>
      <w:r w:rsidR="00EE7BB8">
        <w:t xml:space="preserve"> to </w:t>
      </w:r>
      <w:r w:rsidR="00395B07">
        <w:t>six</w:t>
      </w:r>
      <w:r w:rsidR="00EE7BB8">
        <w:t xml:space="preserve"> </w:t>
      </w:r>
      <w:r w:rsidR="00395B07">
        <w:t xml:space="preserve">services increased their EBITDA </w:t>
      </w:r>
      <w:r w:rsidR="00303343">
        <w:t>in the top quartile, increasing from $</w:t>
      </w:r>
      <w:r w:rsidR="00E65ECA">
        <w:t>4,872 per care recipient per year</w:t>
      </w:r>
      <w:r w:rsidR="005B58B6">
        <w:t xml:space="preserve"> in 2021-22 to $</w:t>
      </w:r>
      <w:r w:rsidR="00F62CC6">
        <w:t>5,260 per care recipient</w:t>
      </w:r>
      <w:r w:rsidR="00992039">
        <w:t xml:space="preserve"> per year in 2022-23, and </w:t>
      </w:r>
      <w:r w:rsidR="0054630B">
        <w:t xml:space="preserve">providers with </w:t>
      </w:r>
      <w:r w:rsidR="00270158">
        <w:t xml:space="preserve">seven </w:t>
      </w:r>
      <w:r w:rsidR="0054630B">
        <w:t>or</w:t>
      </w:r>
      <w:r w:rsidR="00270158">
        <w:t xml:space="preserve"> more services increased from $</w:t>
      </w:r>
      <w:r w:rsidR="00B42DA2">
        <w:t>3,881</w:t>
      </w:r>
      <w:r w:rsidR="00FE03BF">
        <w:t xml:space="preserve"> in 2021-22 to $4,205 per care recipient per year in 2022-23. </w:t>
      </w:r>
    </w:p>
    <w:p w14:paraId="7AC961A2" w14:textId="2B7774D1" w:rsidR="00572A80" w:rsidRDefault="00055897" w:rsidP="00706D0A">
      <w:r>
        <w:t xml:space="preserve">All provider scales in the bottom quartile </w:t>
      </w:r>
      <w:r w:rsidR="00C5449C">
        <w:t xml:space="preserve">had a decrease in their EBITDA </w:t>
      </w:r>
      <w:r w:rsidR="002E670E">
        <w:t xml:space="preserve">in 2022-23 </w:t>
      </w:r>
      <w:r w:rsidR="00C5449C">
        <w:t>compared with 2021-22</w:t>
      </w:r>
      <w:r w:rsidR="002E670E">
        <w:t xml:space="preserve"> EBITDA results. Single service providers</w:t>
      </w:r>
      <w:r w:rsidR="009D5DFD">
        <w:t xml:space="preserve"> decreased</w:t>
      </w:r>
      <w:r w:rsidR="00524393">
        <w:t xml:space="preserve"> from </w:t>
      </w:r>
      <w:r w:rsidR="00EB774C">
        <w:t>negative</w:t>
      </w:r>
      <w:r w:rsidR="00524393">
        <w:t xml:space="preserve"> $</w:t>
      </w:r>
      <w:r w:rsidR="00C37C71">
        <w:t xml:space="preserve">3,139 per care recipient per year in 2021-22 to </w:t>
      </w:r>
      <w:r w:rsidR="00EB774C">
        <w:t xml:space="preserve">negative </w:t>
      </w:r>
      <w:r w:rsidR="00C37C71">
        <w:t xml:space="preserve">$4,478 per care recipient per year, </w:t>
      </w:r>
      <w:r w:rsidR="00F507B4">
        <w:t>two</w:t>
      </w:r>
      <w:r w:rsidR="00EE7BB8">
        <w:t xml:space="preserve"> to </w:t>
      </w:r>
      <w:r w:rsidR="00F507B4">
        <w:t xml:space="preserve">six service providers </w:t>
      </w:r>
      <w:r w:rsidR="00EE4F80">
        <w:t xml:space="preserve">decreased from </w:t>
      </w:r>
      <w:r w:rsidR="00EB774C">
        <w:t xml:space="preserve">negative </w:t>
      </w:r>
      <w:r w:rsidR="000379CF">
        <w:t>$3,320</w:t>
      </w:r>
      <w:r w:rsidR="00724DC8">
        <w:t xml:space="preserve"> per care recipient per year in 2021-22 to </w:t>
      </w:r>
      <w:r w:rsidR="00EB774C">
        <w:t xml:space="preserve">negative </w:t>
      </w:r>
      <w:r w:rsidR="00724DC8">
        <w:t>$5,029 per care recipi</w:t>
      </w:r>
      <w:r w:rsidR="00EB774C">
        <w:t xml:space="preserve">ent per year in 2022-23, and </w:t>
      </w:r>
      <w:r w:rsidR="00BA35BC">
        <w:t xml:space="preserve">providers with </w:t>
      </w:r>
      <w:r w:rsidR="00EB774C">
        <w:t xml:space="preserve">seven </w:t>
      </w:r>
      <w:r w:rsidR="00BA35BC">
        <w:t>or</w:t>
      </w:r>
      <w:r w:rsidR="00EB774C">
        <w:t xml:space="preserve"> more services decreased from negative $</w:t>
      </w:r>
      <w:r w:rsidR="004B663B">
        <w:t>1,985 per care recipient per year in 2021-22 to negative $</w:t>
      </w:r>
      <w:r w:rsidR="00155B25">
        <w:t xml:space="preserve">2,103 per care recipient per year in 2022-23. </w:t>
      </w:r>
      <w:r w:rsidR="00EB774C">
        <w:t xml:space="preserve"> </w:t>
      </w:r>
    </w:p>
    <w:p w14:paraId="7CA6ECAE" w14:textId="5A70C239" w:rsidR="0057269C" w:rsidRDefault="006414AC" w:rsidP="00706D0A">
      <w:pPr>
        <w:pStyle w:val="Caption"/>
      </w:pPr>
      <w:bookmarkStart w:id="54" w:name="_Ref161224350"/>
      <w:bookmarkStart w:id="55" w:name="_Toc173428910"/>
      <w:r>
        <w:t xml:space="preserve">Chart </w:t>
      </w:r>
      <w:r w:rsidR="00AE19AA">
        <w:fldChar w:fldCharType="begin"/>
      </w:r>
      <w:r w:rsidR="00AE19AA">
        <w:instrText xml:space="preserve"> STYLEREF 1 \s </w:instrText>
      </w:r>
      <w:r w:rsidR="00AE19AA">
        <w:fldChar w:fldCharType="separate"/>
      </w:r>
      <w:r w:rsidR="001377BE">
        <w:rPr>
          <w:noProof/>
        </w:rPr>
        <w:t>1</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11</w:t>
      </w:r>
      <w:r w:rsidR="00AE19AA">
        <w:rPr>
          <w:noProof/>
        </w:rPr>
        <w:fldChar w:fldCharType="end"/>
      </w:r>
      <w:bookmarkEnd w:id="54"/>
      <w:r>
        <w:t>: Home care average EBITDA per recipient per year, by quartile and provider scale (number of providers in parentheses), 2022</w:t>
      </w:r>
      <w:r w:rsidR="00E04B6E">
        <w:t>-23</w:t>
      </w:r>
      <w:bookmarkEnd w:id="55"/>
    </w:p>
    <w:p w14:paraId="0443718B" w14:textId="77777777" w:rsidR="00511593" w:rsidRDefault="00511593" w:rsidP="00511593">
      <w:r>
        <w:rPr>
          <w:noProof/>
        </w:rPr>
        <w:drawing>
          <wp:inline distT="0" distB="0" distL="0" distR="0" wp14:anchorId="25FF17D4" wp14:editId="6B4A9313">
            <wp:extent cx="5839200" cy="2830414"/>
            <wp:effectExtent l="0" t="0" r="0" b="8255"/>
            <wp:docPr id="21" name="Picture 21" descr="Chart 1.11 is a clustered column chart titled Home care average EBITDA per recipient per year, by quartile and provider scale (number of providers in parentheses), 2022-23. Providers who operate seven or more services reported an EBITDA of $728 per recipient compared with $1,135 for single service providers and $1,346 for providers with two to six services. Single service providers were the best performers in the top quartile ($6,025) and providers that operate two to six services were the worst performers in the bottom quartile (negative $5,02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1.11 is a clustered column chart titled Home care average EBITDA per recipient per year, by quartile and provider scale (number of providers in parentheses), 2022-23. Providers who operate seven or more services reported an EBITDA of $728 per recipient compared with $1,135 for single service providers and $1,346 for providers with two to six services. Single service providers were the best performers in the top quartile ($6,025) and providers that operate two to six services were the worst performers in the bottom quartile (negative $5,029).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63574" cy="2842229"/>
                    </a:xfrm>
                    <a:prstGeom prst="rect">
                      <a:avLst/>
                    </a:prstGeom>
                    <a:noFill/>
                  </pic:spPr>
                </pic:pic>
              </a:graphicData>
            </a:graphic>
          </wp:inline>
        </w:drawing>
      </w:r>
    </w:p>
    <w:p w14:paraId="6049DA0A" w14:textId="1C75D17C" w:rsidR="006448D2" w:rsidRDefault="006448D2" w:rsidP="00511593">
      <w:pPr>
        <w:sectPr w:rsidR="006448D2" w:rsidSect="006B7D78">
          <w:headerReference w:type="even" r:id="rId47"/>
          <w:headerReference w:type="default" r:id="rId48"/>
          <w:footerReference w:type="default" r:id="rId49"/>
          <w:headerReference w:type="first" r:id="rId50"/>
          <w:type w:val="continuous"/>
          <w:pgSz w:w="11906" w:h="16838"/>
          <w:pgMar w:top="1701" w:right="1418" w:bottom="1418" w:left="1418" w:header="709" w:footer="709" w:gutter="0"/>
          <w:cols w:space="708"/>
          <w:docGrid w:linePitch="360"/>
        </w:sectPr>
      </w:pPr>
    </w:p>
    <w:p w14:paraId="358521EC" w14:textId="77777777" w:rsidR="006F4F12" w:rsidRDefault="006F4F12" w:rsidP="006F4F12">
      <w:pPr>
        <w:spacing w:before="0" w:after="0" w:line="240" w:lineRule="auto"/>
      </w:pPr>
      <w:r>
        <w:br w:type="page"/>
      </w:r>
    </w:p>
    <w:p w14:paraId="3F474D64" w14:textId="78F51E9B" w:rsidR="00511593" w:rsidRDefault="00B118C1" w:rsidP="00706D0A">
      <w:r>
        <w:rPr>
          <w:noProof/>
        </w:rPr>
        <w:drawing>
          <wp:anchor distT="0" distB="0" distL="114300" distR="114300" simplePos="0" relativeHeight="251658243" behindDoc="0" locked="0" layoutInCell="1" allowOverlap="1" wp14:anchorId="51D62D95" wp14:editId="12566513">
            <wp:simplePos x="0" y="0"/>
            <wp:positionH relativeFrom="column">
              <wp:posOffset>-906780</wp:posOffset>
            </wp:positionH>
            <wp:positionV relativeFrom="page">
              <wp:posOffset>0</wp:posOffset>
            </wp:positionV>
            <wp:extent cx="7550150" cy="9821545"/>
            <wp:effectExtent l="0" t="0" r="0" b="8255"/>
            <wp:wrapTopAndBottom/>
            <wp:docPr id="31" name="Picture 31" descr="The infographic at the beginning of Chapter 2 titled residential care: residents and providers, shows a summary of residents and providers in residential care for 2022-23. The total number of residents in residential care at 30 June 2023 (including respite) was 193,242, an increase of 2.67% on the previous year. The total average care minutes was 188.6 per resident per day in 2022-23, an increase of 7.2 care minutes from 2021-22. There were a total of 764 residential care providers, down 41 providers from the previous year. The residential care operational places in 2022-23 was 221,467, and increase of 1502 operational places compared to 2021-22. The occupancy rates for 2022-23 was 86.0%, down 0.1 percentage points on 2021-22.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infographic at the beginning of Chapter 2 titled residential care: residents and providers, shows a summary of residents and providers in residential care for 2022-23. The total number of residents in residential care at 30 June 2023 (including respite) was 193,242, an increase of 2.67% on the previous year. The total average care minutes was 188.6 per resident per day in 2022-23, an increase of 7.2 care minutes from 2021-22. There were a total of 764 residential care providers, down 41 providers from the previous year. The residential care operational places in 2022-23 was 221,467, and increase of 1502 operational places compared to 2021-22. The occupancy rates for 2022-23 was 86.0%, down 0.1 percentage points on 2021-22. &#10;&#10;"/>
                    <pic:cNvPicPr/>
                  </pic:nvPicPr>
                  <pic:blipFill rotWithShape="1">
                    <a:blip r:embed="rId51" cstate="print">
                      <a:extLst>
                        <a:ext uri="{28A0092B-C50C-407E-A947-70E740481C1C}">
                          <a14:useLocalDpi xmlns:a14="http://schemas.microsoft.com/office/drawing/2010/main" val="0"/>
                        </a:ext>
                      </a:extLst>
                    </a:blip>
                    <a:srcRect b="8021"/>
                    <a:stretch/>
                  </pic:blipFill>
                  <pic:spPr bwMode="auto">
                    <a:xfrm>
                      <a:off x="0" y="0"/>
                      <a:ext cx="7550150" cy="9821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9F9F9" w14:textId="77777777" w:rsidR="00031112" w:rsidRDefault="007C3A99" w:rsidP="00A123CE">
      <w:pPr>
        <w:pStyle w:val="Heading1"/>
      </w:pPr>
      <w:bookmarkStart w:id="56" w:name="_Toc173428600"/>
      <w:r>
        <w:t xml:space="preserve">Residential </w:t>
      </w:r>
      <w:r w:rsidR="00BF1536">
        <w:t xml:space="preserve">care: </w:t>
      </w:r>
      <w:r w:rsidR="00A123CE">
        <w:t>residents and providers</w:t>
      </w:r>
      <w:bookmarkEnd w:id="56"/>
    </w:p>
    <w:p w14:paraId="2B62D3E3" w14:textId="0DA32869" w:rsidR="00C37D6C" w:rsidRDefault="00032C46" w:rsidP="00032C46">
      <w:r w:rsidRPr="00550B7F">
        <w:t xml:space="preserve">Residential aged care ensures </w:t>
      </w:r>
      <w:r w:rsidR="5B0B172F">
        <w:t xml:space="preserve">older people </w:t>
      </w:r>
      <w:r w:rsidRPr="00550B7F">
        <w:t xml:space="preserve">who can no longer live independently at home can access higher levels of care in a residential setting. Similar to Home Care, older </w:t>
      </w:r>
      <w:r w:rsidR="7AE2A8BB">
        <w:t xml:space="preserve">people in </w:t>
      </w:r>
      <w:r w:rsidR="00E830B3">
        <w:t>Australia</w:t>
      </w:r>
      <w:r w:rsidR="7AE2A8BB">
        <w:t xml:space="preserve"> </w:t>
      </w:r>
      <w:r w:rsidRPr="00550B7F">
        <w:t xml:space="preserve">need an </w:t>
      </w:r>
      <w:r w:rsidR="00C519BC">
        <w:t>Aged Care Assessment Team</w:t>
      </w:r>
      <w:r w:rsidRPr="00550B7F">
        <w:t xml:space="preserve"> </w:t>
      </w:r>
      <w:r w:rsidR="00CA1C82">
        <w:t>(</w:t>
      </w:r>
      <w:r w:rsidRPr="00550B7F">
        <w:t>ACAT</w:t>
      </w:r>
      <w:r w:rsidR="00CA1C82">
        <w:t>)</w:t>
      </w:r>
      <w:r w:rsidRPr="00550B7F">
        <w:t xml:space="preserve"> assessment to access a residential aged care place. </w:t>
      </w:r>
    </w:p>
    <w:p w14:paraId="5E37ECA8" w14:textId="1A8BA6B2" w:rsidR="00032C46" w:rsidRPr="00736F3D" w:rsidRDefault="00032C46" w:rsidP="00032C46">
      <w:r w:rsidRPr="00550B7F">
        <w:t xml:space="preserve">The Australian Government funds residential aged care to make it affordable and accessible. Residential aged care includes accommodation and personal care 24 hours a day, as well as access to nursing and general health care services. Care can be provided on </w:t>
      </w:r>
      <w:r w:rsidRPr="00736F3D">
        <w:t>either a temporary (respite) or permanent basis.</w:t>
      </w:r>
    </w:p>
    <w:p w14:paraId="16F9287F" w14:textId="77777777" w:rsidR="005D69BF" w:rsidRDefault="006C3081" w:rsidP="006C3081">
      <w:pPr>
        <w:pStyle w:val="Heading2"/>
      </w:pPr>
      <w:bookmarkStart w:id="57" w:name="_Toc173428601"/>
      <w:r>
        <w:t>Residents</w:t>
      </w:r>
      <w:bookmarkEnd w:id="57"/>
    </w:p>
    <w:p w14:paraId="35F68509" w14:textId="21675EF5" w:rsidR="007B38BE" w:rsidRPr="00E60C80" w:rsidRDefault="007B38BE" w:rsidP="007B38BE">
      <w:r w:rsidRPr="00E60C80">
        <w:fldChar w:fldCharType="begin"/>
      </w:r>
      <w:r w:rsidRPr="00E60C80">
        <w:instrText xml:space="preserve"> REF _Ref161404652 \h  \* MERGEFORMAT </w:instrText>
      </w:r>
      <w:r w:rsidRPr="00E60C80">
        <w:fldChar w:fldCharType="separate"/>
      </w:r>
      <w:r w:rsidR="001377BE">
        <w:t>Table 2.1</w:t>
      </w:r>
      <w:r w:rsidRPr="00E60C80">
        <w:fldChar w:fldCharType="end"/>
      </w:r>
      <w:r w:rsidRPr="00E60C80">
        <w:t xml:space="preserve"> shows the number of aged care residents in residential care from </w:t>
      </w:r>
      <w:r>
        <w:br/>
      </w:r>
      <w:r w:rsidRPr="00E60C80">
        <w:t>30 June 201</w:t>
      </w:r>
      <w:r w:rsidR="00364304" w:rsidRPr="00E60C80">
        <w:t>9</w:t>
      </w:r>
      <w:r w:rsidRPr="00E60C80">
        <w:t xml:space="preserve"> to 30 June 202</w:t>
      </w:r>
      <w:r w:rsidR="00364304" w:rsidRPr="00E60C80">
        <w:t>3</w:t>
      </w:r>
      <w:r w:rsidRPr="00E60C80">
        <w:t>. At 30 June 202</w:t>
      </w:r>
      <w:r w:rsidR="00E60C80" w:rsidRPr="00E60C80">
        <w:t>3</w:t>
      </w:r>
      <w:r w:rsidRPr="00E60C80">
        <w:t xml:space="preserve">, the number of aged care residents was </w:t>
      </w:r>
      <w:r w:rsidR="00E60C80" w:rsidRPr="00E60C80">
        <w:t>193,242</w:t>
      </w:r>
      <w:r w:rsidRPr="00E60C80">
        <w:t xml:space="preserve">, which </w:t>
      </w:r>
      <w:r w:rsidR="00E60C80" w:rsidRPr="00E60C80">
        <w:t>is an increase</w:t>
      </w:r>
      <w:r w:rsidRPr="00E60C80">
        <w:t xml:space="preserve"> </w:t>
      </w:r>
      <w:r w:rsidR="003908B5">
        <w:t xml:space="preserve">of </w:t>
      </w:r>
      <w:r w:rsidR="008C184B">
        <w:t>3%</w:t>
      </w:r>
      <w:r w:rsidR="003908B5">
        <w:t xml:space="preserve"> from </w:t>
      </w:r>
      <w:r w:rsidR="00E60C80" w:rsidRPr="00E60C80">
        <w:t>188,208</w:t>
      </w:r>
      <w:r w:rsidR="00DF26C8">
        <w:t xml:space="preserve"> residents at </w:t>
      </w:r>
      <w:r w:rsidRPr="00E60C80">
        <w:t>30 June 202</w:t>
      </w:r>
      <w:r w:rsidR="00E60C80" w:rsidRPr="00E60C80">
        <w:t>2</w:t>
      </w:r>
      <w:r w:rsidRPr="00E60C80">
        <w:t xml:space="preserve">. </w:t>
      </w:r>
    </w:p>
    <w:p w14:paraId="3B811541" w14:textId="2CD234CF" w:rsidR="006F4E94" w:rsidRPr="006F4E94" w:rsidRDefault="007B38BE" w:rsidP="007B38BE">
      <w:r w:rsidRPr="00A71258">
        <w:t>Throughout 202</w:t>
      </w:r>
      <w:r w:rsidR="00E60C80" w:rsidRPr="00A71258">
        <w:t>2-23</w:t>
      </w:r>
      <w:r w:rsidRPr="00A71258">
        <w:t xml:space="preserve">, </w:t>
      </w:r>
      <w:r w:rsidR="00BF7117">
        <w:t>282,189</w:t>
      </w:r>
      <w:r w:rsidRPr="00A71258">
        <w:t xml:space="preserve"> individuals accessed residential aged </w:t>
      </w:r>
      <w:r w:rsidRPr="005E5DA3">
        <w:t xml:space="preserve">care, which was a </w:t>
      </w:r>
      <w:r w:rsidR="005E5DA3" w:rsidRPr="005E5DA3">
        <w:t>15%</w:t>
      </w:r>
      <w:r w:rsidRPr="005E5DA3">
        <w:t xml:space="preserve"> increase</w:t>
      </w:r>
      <w:r w:rsidRPr="00A71258">
        <w:t xml:space="preserve"> on the 202</w:t>
      </w:r>
      <w:r w:rsidR="00A71258" w:rsidRPr="00A71258">
        <w:t>1-22</w:t>
      </w:r>
      <w:r w:rsidRPr="00A71258">
        <w:t xml:space="preserve"> total of </w:t>
      </w:r>
      <w:r w:rsidR="00A71258" w:rsidRPr="00A71258">
        <w:t>245,719</w:t>
      </w:r>
      <w:r w:rsidRPr="00A71258">
        <w:t>.</w:t>
      </w:r>
    </w:p>
    <w:p w14:paraId="7E71D678" w14:textId="7AC780F9" w:rsidR="006F4E94" w:rsidRDefault="006F4E94" w:rsidP="00706D0A">
      <w:pPr>
        <w:pStyle w:val="Caption"/>
      </w:pPr>
      <w:bookmarkStart w:id="58" w:name="_Ref161404652"/>
      <w:bookmarkStart w:id="59" w:name="_Toc173428878"/>
      <w:r>
        <w:t xml:space="preserve">Table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w:t>
      </w:r>
      <w:r w:rsidR="00AE19AA">
        <w:rPr>
          <w:noProof/>
        </w:rPr>
        <w:fldChar w:fldCharType="end"/>
      </w:r>
      <w:bookmarkEnd w:id="58"/>
      <w:r>
        <w:t xml:space="preserve">: </w:t>
      </w:r>
      <w:r w:rsidRPr="00F32677">
        <w:t>Number of residential aged care residents, 30 June 201</w:t>
      </w:r>
      <w:r w:rsidR="008C7AB7">
        <w:t>9</w:t>
      </w:r>
      <w:r w:rsidRPr="00F32677">
        <w:t xml:space="preserve"> to </w:t>
      </w:r>
      <w:r>
        <w:br/>
      </w:r>
      <w:r w:rsidRPr="00F32677">
        <w:t xml:space="preserve">30 June </w:t>
      </w:r>
      <w:r w:rsidR="008C7AB7" w:rsidRPr="00F32677">
        <w:t>202</w:t>
      </w:r>
      <w:r w:rsidR="008C7AB7">
        <w:t>3</w:t>
      </w:r>
      <w:bookmarkEnd w:id="59"/>
    </w:p>
    <w:tbl>
      <w:tblPr>
        <w:tblW w:w="9072" w:type="dxa"/>
        <w:tblLook w:val="04A0" w:firstRow="1" w:lastRow="0" w:firstColumn="1" w:lastColumn="0" w:noHBand="0" w:noVBand="1"/>
      </w:tblPr>
      <w:tblGrid>
        <w:gridCol w:w="2499"/>
        <w:gridCol w:w="1314"/>
        <w:gridCol w:w="1315"/>
        <w:gridCol w:w="1314"/>
        <w:gridCol w:w="1315"/>
        <w:gridCol w:w="1315"/>
      </w:tblGrid>
      <w:tr w:rsidR="00297A41" w:rsidRPr="00297A41" w14:paraId="1EE02FF7" w14:textId="77777777" w:rsidTr="0031764A">
        <w:trPr>
          <w:trHeight w:val="300"/>
        </w:trPr>
        <w:tc>
          <w:tcPr>
            <w:tcW w:w="2499" w:type="dxa"/>
            <w:tcBorders>
              <w:top w:val="nil"/>
              <w:left w:val="nil"/>
              <w:bottom w:val="nil"/>
              <w:right w:val="nil"/>
            </w:tcBorders>
            <w:shd w:val="clear" w:color="000000" w:fill="1E1545"/>
            <w:vAlign w:val="center"/>
            <w:hideMark/>
          </w:tcPr>
          <w:p w14:paraId="33434246" w14:textId="77777777" w:rsidR="00297A41" w:rsidRPr="00297A41" w:rsidRDefault="00297A41" w:rsidP="00297A41">
            <w:pPr>
              <w:spacing w:before="0" w:after="0" w:line="240" w:lineRule="auto"/>
              <w:rPr>
                <w:rFonts w:cs="Arial"/>
                <w:b/>
                <w:color w:val="FFFFFF"/>
                <w:sz w:val="21"/>
                <w:szCs w:val="21"/>
                <w:lang w:eastAsia="en-AU"/>
              </w:rPr>
            </w:pPr>
            <w:r w:rsidRPr="00297A41">
              <w:rPr>
                <w:rFonts w:cs="Arial"/>
                <w:b/>
                <w:color w:val="FFFFFF"/>
                <w:sz w:val="21"/>
                <w:szCs w:val="21"/>
                <w:lang w:eastAsia="en-AU"/>
              </w:rPr>
              <w:t>Year</w:t>
            </w:r>
          </w:p>
        </w:tc>
        <w:tc>
          <w:tcPr>
            <w:tcW w:w="1314" w:type="dxa"/>
            <w:tcBorders>
              <w:top w:val="nil"/>
              <w:left w:val="nil"/>
              <w:bottom w:val="nil"/>
              <w:right w:val="nil"/>
            </w:tcBorders>
            <w:shd w:val="clear" w:color="000000" w:fill="1E1545"/>
            <w:vAlign w:val="center"/>
            <w:hideMark/>
          </w:tcPr>
          <w:p w14:paraId="36523F96" w14:textId="7DA81266" w:rsidR="00297A41" w:rsidRPr="00297A41" w:rsidRDefault="00EF4EF8" w:rsidP="008D1807">
            <w:pPr>
              <w:spacing w:before="0" w:after="0" w:line="240" w:lineRule="auto"/>
              <w:jc w:val="right"/>
              <w:rPr>
                <w:rFonts w:cs="Arial"/>
                <w:b/>
                <w:color w:val="FFFFFF"/>
                <w:sz w:val="21"/>
                <w:szCs w:val="21"/>
                <w:lang w:eastAsia="en-AU"/>
              </w:rPr>
            </w:pPr>
            <w:r>
              <w:rPr>
                <w:rFonts w:cs="Arial"/>
                <w:b/>
                <w:color w:val="FFFFFF"/>
                <w:sz w:val="21"/>
                <w:szCs w:val="21"/>
                <w:lang w:eastAsia="en-AU"/>
              </w:rPr>
              <w:t>30 June 2019</w:t>
            </w:r>
          </w:p>
        </w:tc>
        <w:tc>
          <w:tcPr>
            <w:tcW w:w="1315" w:type="dxa"/>
            <w:tcBorders>
              <w:top w:val="nil"/>
              <w:left w:val="nil"/>
              <w:bottom w:val="nil"/>
              <w:right w:val="nil"/>
            </w:tcBorders>
            <w:shd w:val="clear" w:color="000000" w:fill="1E1545"/>
            <w:vAlign w:val="center"/>
            <w:hideMark/>
          </w:tcPr>
          <w:p w14:paraId="0C5E3443" w14:textId="60C3A48A" w:rsidR="00297A41" w:rsidRPr="00297A41" w:rsidRDefault="00EF4EF8" w:rsidP="008D1807">
            <w:pPr>
              <w:spacing w:before="0" w:after="0" w:line="240" w:lineRule="auto"/>
              <w:jc w:val="right"/>
              <w:rPr>
                <w:rFonts w:cs="Arial"/>
                <w:b/>
                <w:color w:val="FFFFFF"/>
                <w:sz w:val="21"/>
                <w:szCs w:val="21"/>
                <w:lang w:eastAsia="en-AU"/>
              </w:rPr>
            </w:pPr>
            <w:r>
              <w:rPr>
                <w:rFonts w:cs="Arial"/>
                <w:b/>
                <w:color w:val="FFFFFF"/>
                <w:sz w:val="21"/>
                <w:szCs w:val="21"/>
                <w:lang w:eastAsia="en-AU"/>
              </w:rPr>
              <w:t>30 June 20</w:t>
            </w:r>
            <w:r w:rsidR="008C7AB7">
              <w:rPr>
                <w:rFonts w:cs="Arial"/>
                <w:b/>
                <w:color w:val="FFFFFF"/>
                <w:sz w:val="21"/>
                <w:szCs w:val="21"/>
                <w:lang w:eastAsia="en-AU"/>
              </w:rPr>
              <w:t>20</w:t>
            </w:r>
          </w:p>
        </w:tc>
        <w:tc>
          <w:tcPr>
            <w:tcW w:w="1314" w:type="dxa"/>
            <w:tcBorders>
              <w:top w:val="nil"/>
              <w:left w:val="nil"/>
              <w:bottom w:val="nil"/>
              <w:right w:val="nil"/>
            </w:tcBorders>
            <w:shd w:val="clear" w:color="000000" w:fill="1E1545"/>
            <w:vAlign w:val="center"/>
            <w:hideMark/>
          </w:tcPr>
          <w:p w14:paraId="1507AEDB" w14:textId="4C8C2BA2" w:rsidR="00297A41" w:rsidRPr="00297A41" w:rsidRDefault="008C7AB7" w:rsidP="008D1807">
            <w:pPr>
              <w:spacing w:before="0" w:after="0" w:line="240" w:lineRule="auto"/>
              <w:jc w:val="right"/>
              <w:rPr>
                <w:rFonts w:cs="Arial"/>
                <w:b/>
                <w:color w:val="FFFFFF"/>
                <w:sz w:val="21"/>
                <w:szCs w:val="21"/>
                <w:lang w:eastAsia="en-AU"/>
              </w:rPr>
            </w:pPr>
            <w:r>
              <w:rPr>
                <w:rFonts w:cs="Arial"/>
                <w:b/>
                <w:color w:val="FFFFFF"/>
                <w:sz w:val="21"/>
                <w:szCs w:val="21"/>
                <w:lang w:eastAsia="en-AU"/>
              </w:rPr>
              <w:t>30 June 2021</w:t>
            </w:r>
          </w:p>
        </w:tc>
        <w:tc>
          <w:tcPr>
            <w:tcW w:w="1315" w:type="dxa"/>
            <w:tcBorders>
              <w:top w:val="nil"/>
              <w:left w:val="nil"/>
              <w:bottom w:val="nil"/>
              <w:right w:val="nil"/>
            </w:tcBorders>
            <w:shd w:val="clear" w:color="000000" w:fill="1E1545"/>
            <w:vAlign w:val="center"/>
            <w:hideMark/>
          </w:tcPr>
          <w:p w14:paraId="62CBCA18" w14:textId="3872B61A" w:rsidR="00297A41" w:rsidRPr="00297A41" w:rsidRDefault="008C7AB7" w:rsidP="008D1807">
            <w:pPr>
              <w:spacing w:before="0" w:after="0" w:line="240" w:lineRule="auto"/>
              <w:jc w:val="right"/>
              <w:rPr>
                <w:rFonts w:cs="Arial"/>
                <w:b/>
                <w:color w:val="FFFFFF"/>
                <w:sz w:val="21"/>
                <w:szCs w:val="21"/>
                <w:lang w:eastAsia="en-AU"/>
              </w:rPr>
            </w:pPr>
            <w:r>
              <w:rPr>
                <w:rFonts w:cs="Arial"/>
                <w:b/>
                <w:color w:val="FFFFFF"/>
                <w:sz w:val="21"/>
                <w:szCs w:val="21"/>
                <w:lang w:eastAsia="en-AU"/>
              </w:rPr>
              <w:t>30 June 2022</w:t>
            </w:r>
          </w:p>
        </w:tc>
        <w:tc>
          <w:tcPr>
            <w:tcW w:w="1315" w:type="dxa"/>
            <w:tcBorders>
              <w:top w:val="nil"/>
              <w:left w:val="nil"/>
              <w:bottom w:val="nil"/>
              <w:right w:val="nil"/>
            </w:tcBorders>
            <w:shd w:val="clear" w:color="000000" w:fill="1E1545"/>
            <w:vAlign w:val="center"/>
            <w:hideMark/>
          </w:tcPr>
          <w:p w14:paraId="3F14DFF2" w14:textId="23C0CB87" w:rsidR="00297A41" w:rsidRPr="00297A41" w:rsidRDefault="008C7AB7" w:rsidP="008D1807">
            <w:pPr>
              <w:spacing w:before="0" w:after="0" w:line="240" w:lineRule="auto"/>
              <w:jc w:val="right"/>
              <w:rPr>
                <w:rFonts w:cs="Arial"/>
                <w:b/>
                <w:color w:val="FFFFFF"/>
                <w:sz w:val="21"/>
                <w:szCs w:val="21"/>
                <w:lang w:eastAsia="en-AU"/>
              </w:rPr>
            </w:pPr>
            <w:r>
              <w:rPr>
                <w:rFonts w:cs="Arial"/>
                <w:b/>
                <w:color w:val="FFFFFF"/>
                <w:sz w:val="21"/>
                <w:szCs w:val="21"/>
                <w:lang w:eastAsia="en-AU"/>
              </w:rPr>
              <w:t>30 June 2023</w:t>
            </w:r>
          </w:p>
        </w:tc>
      </w:tr>
      <w:tr w:rsidR="00297A41" w:rsidRPr="00297A41" w14:paraId="5B5C8BA0" w14:textId="77777777" w:rsidTr="0031764A">
        <w:trPr>
          <w:trHeight w:val="315"/>
        </w:trPr>
        <w:tc>
          <w:tcPr>
            <w:tcW w:w="2499" w:type="dxa"/>
            <w:tcBorders>
              <w:top w:val="nil"/>
              <w:left w:val="nil"/>
              <w:bottom w:val="single" w:sz="8" w:space="0" w:color="auto"/>
              <w:right w:val="nil"/>
            </w:tcBorders>
            <w:shd w:val="clear" w:color="000000" w:fill="D8DADA"/>
            <w:vAlign w:val="center"/>
            <w:hideMark/>
          </w:tcPr>
          <w:p w14:paraId="199CE389" w14:textId="77777777" w:rsidR="00297A41" w:rsidRPr="00297A41" w:rsidRDefault="00297A41" w:rsidP="00297A41">
            <w:pPr>
              <w:spacing w:before="0" w:after="0" w:line="240" w:lineRule="auto"/>
              <w:rPr>
                <w:rFonts w:cs="Arial"/>
                <w:b/>
                <w:color w:val="auto"/>
                <w:sz w:val="21"/>
                <w:szCs w:val="21"/>
                <w:lang w:eastAsia="en-AU"/>
              </w:rPr>
            </w:pPr>
            <w:r w:rsidRPr="00297A41">
              <w:rPr>
                <w:rFonts w:cs="Arial"/>
                <w:b/>
                <w:color w:val="auto"/>
                <w:sz w:val="21"/>
                <w:szCs w:val="21"/>
                <w:lang w:eastAsia="en-AU"/>
              </w:rPr>
              <w:t>Total residents</w:t>
            </w:r>
          </w:p>
        </w:tc>
        <w:tc>
          <w:tcPr>
            <w:tcW w:w="1314" w:type="dxa"/>
            <w:tcBorders>
              <w:top w:val="nil"/>
              <w:left w:val="nil"/>
              <w:bottom w:val="single" w:sz="8" w:space="0" w:color="auto"/>
              <w:right w:val="nil"/>
            </w:tcBorders>
            <w:shd w:val="clear" w:color="000000" w:fill="D8DADA"/>
            <w:vAlign w:val="center"/>
            <w:hideMark/>
          </w:tcPr>
          <w:p w14:paraId="32D1B937" w14:textId="77777777" w:rsidR="00297A41" w:rsidRPr="00297A41" w:rsidRDefault="00297A41" w:rsidP="008D1807">
            <w:pPr>
              <w:spacing w:before="0" w:after="0" w:line="240" w:lineRule="auto"/>
              <w:jc w:val="right"/>
              <w:rPr>
                <w:rFonts w:cs="Arial"/>
                <w:b/>
                <w:color w:val="auto"/>
                <w:sz w:val="21"/>
                <w:szCs w:val="21"/>
                <w:lang w:eastAsia="en-AU"/>
              </w:rPr>
            </w:pPr>
            <w:r w:rsidRPr="00297A41">
              <w:rPr>
                <w:rFonts w:cs="Arial"/>
                <w:b/>
                <w:color w:val="auto"/>
                <w:sz w:val="21"/>
                <w:szCs w:val="21"/>
                <w:lang w:eastAsia="en-AU"/>
              </w:rPr>
              <w:t>188,773</w:t>
            </w:r>
          </w:p>
        </w:tc>
        <w:tc>
          <w:tcPr>
            <w:tcW w:w="1315" w:type="dxa"/>
            <w:tcBorders>
              <w:top w:val="nil"/>
              <w:left w:val="nil"/>
              <w:bottom w:val="single" w:sz="8" w:space="0" w:color="auto"/>
              <w:right w:val="nil"/>
            </w:tcBorders>
            <w:shd w:val="clear" w:color="000000" w:fill="D8DADA"/>
            <w:vAlign w:val="center"/>
            <w:hideMark/>
          </w:tcPr>
          <w:p w14:paraId="32BB4088" w14:textId="77777777" w:rsidR="00297A41" w:rsidRPr="00297A41" w:rsidRDefault="00297A41" w:rsidP="008D1807">
            <w:pPr>
              <w:spacing w:before="0" w:after="0" w:line="240" w:lineRule="auto"/>
              <w:jc w:val="right"/>
              <w:rPr>
                <w:rFonts w:cs="Arial"/>
                <w:b/>
                <w:color w:val="auto"/>
                <w:sz w:val="21"/>
                <w:szCs w:val="21"/>
                <w:lang w:eastAsia="en-AU"/>
              </w:rPr>
            </w:pPr>
            <w:r w:rsidRPr="00297A41">
              <w:rPr>
                <w:rFonts w:cs="Arial"/>
                <w:b/>
                <w:color w:val="auto"/>
                <w:sz w:val="21"/>
                <w:szCs w:val="21"/>
                <w:lang w:eastAsia="en-AU"/>
              </w:rPr>
              <w:t>189,954</w:t>
            </w:r>
          </w:p>
        </w:tc>
        <w:tc>
          <w:tcPr>
            <w:tcW w:w="1314" w:type="dxa"/>
            <w:tcBorders>
              <w:top w:val="nil"/>
              <w:left w:val="nil"/>
              <w:bottom w:val="single" w:sz="8" w:space="0" w:color="auto"/>
              <w:right w:val="nil"/>
            </w:tcBorders>
            <w:shd w:val="clear" w:color="000000" w:fill="D8DADA"/>
            <w:vAlign w:val="center"/>
            <w:hideMark/>
          </w:tcPr>
          <w:p w14:paraId="54A77B2B" w14:textId="77777777" w:rsidR="00297A41" w:rsidRPr="00297A41" w:rsidRDefault="00297A41" w:rsidP="008D1807">
            <w:pPr>
              <w:spacing w:before="0" w:after="0" w:line="240" w:lineRule="auto"/>
              <w:jc w:val="right"/>
              <w:rPr>
                <w:rFonts w:cs="Arial"/>
                <w:b/>
                <w:color w:val="auto"/>
                <w:sz w:val="21"/>
                <w:szCs w:val="21"/>
                <w:lang w:eastAsia="en-AU"/>
              </w:rPr>
            </w:pPr>
            <w:r w:rsidRPr="00297A41">
              <w:rPr>
                <w:rFonts w:cs="Arial"/>
                <w:b/>
                <w:color w:val="auto"/>
                <w:sz w:val="21"/>
                <w:szCs w:val="21"/>
                <w:lang w:eastAsia="en-AU"/>
              </w:rPr>
              <w:t>191,029</w:t>
            </w:r>
          </w:p>
        </w:tc>
        <w:tc>
          <w:tcPr>
            <w:tcW w:w="1315" w:type="dxa"/>
            <w:tcBorders>
              <w:top w:val="nil"/>
              <w:left w:val="nil"/>
              <w:bottom w:val="single" w:sz="8" w:space="0" w:color="auto"/>
              <w:right w:val="nil"/>
            </w:tcBorders>
            <w:shd w:val="clear" w:color="000000" w:fill="D8DADA"/>
            <w:vAlign w:val="center"/>
            <w:hideMark/>
          </w:tcPr>
          <w:p w14:paraId="382D11B0" w14:textId="77777777" w:rsidR="00297A41" w:rsidRPr="00297A41" w:rsidRDefault="00297A41" w:rsidP="008D1807">
            <w:pPr>
              <w:spacing w:before="0" w:after="0" w:line="240" w:lineRule="auto"/>
              <w:jc w:val="right"/>
              <w:rPr>
                <w:rFonts w:cs="Arial"/>
                <w:b/>
                <w:color w:val="auto"/>
                <w:sz w:val="21"/>
                <w:szCs w:val="21"/>
                <w:lang w:eastAsia="en-AU"/>
              </w:rPr>
            </w:pPr>
            <w:r w:rsidRPr="00297A41">
              <w:rPr>
                <w:rFonts w:cs="Arial"/>
                <w:b/>
                <w:color w:val="auto"/>
                <w:sz w:val="21"/>
                <w:szCs w:val="21"/>
                <w:lang w:eastAsia="en-AU"/>
              </w:rPr>
              <w:t>188,208</w:t>
            </w:r>
          </w:p>
        </w:tc>
        <w:tc>
          <w:tcPr>
            <w:tcW w:w="1315" w:type="dxa"/>
            <w:tcBorders>
              <w:top w:val="nil"/>
              <w:left w:val="nil"/>
              <w:bottom w:val="single" w:sz="8" w:space="0" w:color="auto"/>
              <w:right w:val="nil"/>
            </w:tcBorders>
            <w:shd w:val="clear" w:color="000000" w:fill="D8DADA"/>
            <w:vAlign w:val="center"/>
            <w:hideMark/>
          </w:tcPr>
          <w:p w14:paraId="340C6A73" w14:textId="77777777" w:rsidR="00297A41" w:rsidRPr="00297A41" w:rsidRDefault="00297A41" w:rsidP="008D1807">
            <w:pPr>
              <w:spacing w:before="0" w:after="0" w:line="240" w:lineRule="auto"/>
              <w:jc w:val="right"/>
              <w:rPr>
                <w:rFonts w:cs="Arial"/>
                <w:b/>
                <w:color w:val="auto"/>
                <w:sz w:val="21"/>
                <w:szCs w:val="21"/>
                <w:lang w:eastAsia="en-AU"/>
              </w:rPr>
            </w:pPr>
            <w:r w:rsidRPr="00297A41">
              <w:rPr>
                <w:rFonts w:cs="Arial"/>
                <w:b/>
                <w:color w:val="auto"/>
                <w:sz w:val="21"/>
                <w:szCs w:val="21"/>
                <w:lang w:eastAsia="en-AU"/>
              </w:rPr>
              <w:t>193,242</w:t>
            </w:r>
          </w:p>
        </w:tc>
      </w:tr>
      <w:tr w:rsidR="00297A41" w:rsidRPr="00297A41" w14:paraId="1E864BAC" w14:textId="77777777" w:rsidTr="0031764A">
        <w:trPr>
          <w:trHeight w:val="315"/>
        </w:trPr>
        <w:tc>
          <w:tcPr>
            <w:tcW w:w="2499" w:type="dxa"/>
            <w:tcBorders>
              <w:top w:val="nil"/>
              <w:left w:val="nil"/>
              <w:bottom w:val="single" w:sz="8" w:space="0" w:color="auto"/>
              <w:right w:val="nil"/>
            </w:tcBorders>
            <w:shd w:val="clear" w:color="000000" w:fill="FFFFFF"/>
            <w:vAlign w:val="center"/>
            <w:hideMark/>
          </w:tcPr>
          <w:p w14:paraId="08656EC4" w14:textId="77777777" w:rsidR="00297A41" w:rsidRPr="00297A41" w:rsidRDefault="00297A41" w:rsidP="00297A41">
            <w:pPr>
              <w:spacing w:before="0" w:after="0" w:line="240" w:lineRule="auto"/>
              <w:rPr>
                <w:rFonts w:cs="Arial"/>
                <w:bCs w:val="0"/>
                <w:color w:val="auto"/>
                <w:sz w:val="21"/>
                <w:szCs w:val="21"/>
                <w:lang w:eastAsia="en-AU"/>
              </w:rPr>
            </w:pPr>
            <w:r w:rsidRPr="00297A41">
              <w:rPr>
                <w:rFonts w:cs="Arial"/>
                <w:bCs w:val="0"/>
                <w:color w:val="auto"/>
                <w:sz w:val="21"/>
                <w:szCs w:val="21"/>
                <w:lang w:eastAsia="en-AU"/>
              </w:rPr>
              <w:t>Permanent residents</w:t>
            </w:r>
          </w:p>
        </w:tc>
        <w:tc>
          <w:tcPr>
            <w:tcW w:w="1314" w:type="dxa"/>
            <w:tcBorders>
              <w:top w:val="nil"/>
              <w:left w:val="nil"/>
              <w:bottom w:val="single" w:sz="8" w:space="0" w:color="auto"/>
              <w:right w:val="nil"/>
            </w:tcBorders>
            <w:shd w:val="clear" w:color="000000" w:fill="FFFFFF"/>
            <w:vAlign w:val="center"/>
            <w:hideMark/>
          </w:tcPr>
          <w:p w14:paraId="36570F6C"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182,705</w:t>
            </w:r>
          </w:p>
        </w:tc>
        <w:tc>
          <w:tcPr>
            <w:tcW w:w="1315" w:type="dxa"/>
            <w:tcBorders>
              <w:top w:val="nil"/>
              <w:left w:val="nil"/>
              <w:bottom w:val="single" w:sz="8" w:space="0" w:color="auto"/>
              <w:right w:val="nil"/>
            </w:tcBorders>
            <w:shd w:val="clear" w:color="000000" w:fill="FFFFFF"/>
            <w:vAlign w:val="center"/>
            <w:hideMark/>
          </w:tcPr>
          <w:p w14:paraId="44F7813E"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183,989</w:t>
            </w:r>
          </w:p>
        </w:tc>
        <w:tc>
          <w:tcPr>
            <w:tcW w:w="1314" w:type="dxa"/>
            <w:tcBorders>
              <w:top w:val="nil"/>
              <w:left w:val="nil"/>
              <w:bottom w:val="single" w:sz="8" w:space="0" w:color="auto"/>
              <w:right w:val="nil"/>
            </w:tcBorders>
            <w:shd w:val="clear" w:color="000000" w:fill="FFFFFF"/>
            <w:vAlign w:val="center"/>
            <w:hideMark/>
          </w:tcPr>
          <w:p w14:paraId="66260DA6"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183,894</w:t>
            </w:r>
          </w:p>
        </w:tc>
        <w:tc>
          <w:tcPr>
            <w:tcW w:w="1315" w:type="dxa"/>
            <w:tcBorders>
              <w:top w:val="nil"/>
              <w:left w:val="nil"/>
              <w:bottom w:val="single" w:sz="8" w:space="0" w:color="auto"/>
              <w:right w:val="nil"/>
            </w:tcBorders>
            <w:shd w:val="clear" w:color="000000" w:fill="FFFFFF"/>
            <w:vAlign w:val="center"/>
            <w:hideMark/>
          </w:tcPr>
          <w:p w14:paraId="5CE6893F"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180,750</w:t>
            </w:r>
          </w:p>
        </w:tc>
        <w:tc>
          <w:tcPr>
            <w:tcW w:w="1315" w:type="dxa"/>
            <w:tcBorders>
              <w:top w:val="nil"/>
              <w:left w:val="nil"/>
              <w:bottom w:val="single" w:sz="8" w:space="0" w:color="auto"/>
              <w:right w:val="nil"/>
            </w:tcBorders>
            <w:shd w:val="clear" w:color="000000" w:fill="FFFFFF"/>
            <w:vAlign w:val="center"/>
            <w:hideMark/>
          </w:tcPr>
          <w:p w14:paraId="132C1DF7"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185,127</w:t>
            </w:r>
          </w:p>
        </w:tc>
      </w:tr>
      <w:tr w:rsidR="00297A41" w:rsidRPr="00297A41" w14:paraId="3CA225FD" w14:textId="77777777" w:rsidTr="0031764A">
        <w:trPr>
          <w:trHeight w:val="315"/>
        </w:trPr>
        <w:tc>
          <w:tcPr>
            <w:tcW w:w="2499" w:type="dxa"/>
            <w:tcBorders>
              <w:top w:val="nil"/>
              <w:left w:val="nil"/>
              <w:bottom w:val="single" w:sz="8" w:space="0" w:color="auto"/>
              <w:right w:val="nil"/>
            </w:tcBorders>
            <w:shd w:val="clear" w:color="000000" w:fill="FFFFFF"/>
            <w:vAlign w:val="center"/>
            <w:hideMark/>
          </w:tcPr>
          <w:p w14:paraId="2111CF24" w14:textId="77777777" w:rsidR="00297A41" w:rsidRPr="00297A41" w:rsidRDefault="00297A41" w:rsidP="00297A41">
            <w:pPr>
              <w:spacing w:before="0" w:after="0" w:line="240" w:lineRule="auto"/>
              <w:rPr>
                <w:rFonts w:cs="Arial"/>
                <w:bCs w:val="0"/>
                <w:color w:val="auto"/>
                <w:sz w:val="21"/>
                <w:szCs w:val="21"/>
                <w:lang w:eastAsia="en-AU"/>
              </w:rPr>
            </w:pPr>
            <w:r w:rsidRPr="00297A41">
              <w:rPr>
                <w:rFonts w:cs="Arial"/>
                <w:bCs w:val="0"/>
                <w:color w:val="auto"/>
                <w:sz w:val="21"/>
                <w:szCs w:val="21"/>
                <w:lang w:eastAsia="en-AU"/>
              </w:rPr>
              <w:t>Respite residents</w:t>
            </w:r>
          </w:p>
        </w:tc>
        <w:tc>
          <w:tcPr>
            <w:tcW w:w="1314" w:type="dxa"/>
            <w:tcBorders>
              <w:top w:val="nil"/>
              <w:left w:val="nil"/>
              <w:bottom w:val="single" w:sz="8" w:space="0" w:color="auto"/>
              <w:right w:val="nil"/>
            </w:tcBorders>
            <w:shd w:val="clear" w:color="000000" w:fill="FFFFFF"/>
            <w:vAlign w:val="center"/>
            <w:hideMark/>
          </w:tcPr>
          <w:p w14:paraId="434460C2"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6,068</w:t>
            </w:r>
          </w:p>
        </w:tc>
        <w:tc>
          <w:tcPr>
            <w:tcW w:w="1315" w:type="dxa"/>
            <w:tcBorders>
              <w:top w:val="nil"/>
              <w:left w:val="nil"/>
              <w:bottom w:val="single" w:sz="8" w:space="0" w:color="auto"/>
              <w:right w:val="nil"/>
            </w:tcBorders>
            <w:shd w:val="clear" w:color="000000" w:fill="FFFFFF"/>
            <w:vAlign w:val="center"/>
            <w:hideMark/>
          </w:tcPr>
          <w:p w14:paraId="3140D3A9"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5,965</w:t>
            </w:r>
          </w:p>
        </w:tc>
        <w:tc>
          <w:tcPr>
            <w:tcW w:w="1314" w:type="dxa"/>
            <w:tcBorders>
              <w:top w:val="nil"/>
              <w:left w:val="nil"/>
              <w:bottom w:val="single" w:sz="8" w:space="0" w:color="auto"/>
              <w:right w:val="nil"/>
            </w:tcBorders>
            <w:shd w:val="clear" w:color="000000" w:fill="FFFFFF"/>
            <w:vAlign w:val="center"/>
            <w:hideMark/>
          </w:tcPr>
          <w:p w14:paraId="1F04C46D"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7,135</w:t>
            </w:r>
          </w:p>
        </w:tc>
        <w:tc>
          <w:tcPr>
            <w:tcW w:w="1315" w:type="dxa"/>
            <w:tcBorders>
              <w:top w:val="nil"/>
              <w:left w:val="nil"/>
              <w:bottom w:val="single" w:sz="8" w:space="0" w:color="auto"/>
              <w:right w:val="nil"/>
            </w:tcBorders>
            <w:shd w:val="clear" w:color="000000" w:fill="FFFFFF"/>
            <w:vAlign w:val="center"/>
            <w:hideMark/>
          </w:tcPr>
          <w:p w14:paraId="14F04EC2"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7,458</w:t>
            </w:r>
          </w:p>
        </w:tc>
        <w:tc>
          <w:tcPr>
            <w:tcW w:w="1315" w:type="dxa"/>
            <w:tcBorders>
              <w:top w:val="nil"/>
              <w:left w:val="nil"/>
              <w:bottom w:val="single" w:sz="8" w:space="0" w:color="auto"/>
              <w:right w:val="nil"/>
            </w:tcBorders>
            <w:shd w:val="clear" w:color="000000" w:fill="FFFFFF"/>
            <w:vAlign w:val="center"/>
            <w:hideMark/>
          </w:tcPr>
          <w:p w14:paraId="620A350D"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8,115</w:t>
            </w:r>
          </w:p>
        </w:tc>
      </w:tr>
      <w:tr w:rsidR="00297A41" w:rsidRPr="00297A41" w14:paraId="49F98FA1" w14:textId="77777777" w:rsidTr="0031764A">
        <w:trPr>
          <w:trHeight w:val="315"/>
        </w:trPr>
        <w:tc>
          <w:tcPr>
            <w:tcW w:w="2499" w:type="dxa"/>
            <w:tcBorders>
              <w:top w:val="nil"/>
              <w:left w:val="nil"/>
              <w:bottom w:val="single" w:sz="8" w:space="0" w:color="auto"/>
              <w:right w:val="nil"/>
            </w:tcBorders>
            <w:shd w:val="clear" w:color="000000" w:fill="FFFFFF"/>
            <w:vAlign w:val="center"/>
            <w:hideMark/>
          </w:tcPr>
          <w:p w14:paraId="339834D3" w14:textId="77777777" w:rsidR="00297A41" w:rsidRPr="00297A41" w:rsidRDefault="00297A41" w:rsidP="00297A41">
            <w:pPr>
              <w:spacing w:before="0" w:after="0" w:line="240" w:lineRule="auto"/>
              <w:rPr>
                <w:rFonts w:cs="Arial"/>
                <w:bCs w:val="0"/>
                <w:color w:val="auto"/>
                <w:sz w:val="21"/>
                <w:szCs w:val="21"/>
                <w:lang w:eastAsia="en-AU"/>
              </w:rPr>
            </w:pPr>
            <w:r w:rsidRPr="00297A41">
              <w:rPr>
                <w:rFonts w:cs="Arial"/>
                <w:bCs w:val="0"/>
                <w:color w:val="auto"/>
                <w:sz w:val="21"/>
                <w:szCs w:val="21"/>
                <w:lang w:eastAsia="en-AU"/>
              </w:rPr>
              <w:t>CALD residents</w:t>
            </w:r>
          </w:p>
        </w:tc>
        <w:tc>
          <w:tcPr>
            <w:tcW w:w="1314" w:type="dxa"/>
            <w:tcBorders>
              <w:top w:val="nil"/>
              <w:left w:val="nil"/>
              <w:bottom w:val="single" w:sz="8" w:space="0" w:color="auto"/>
              <w:right w:val="nil"/>
            </w:tcBorders>
            <w:shd w:val="clear" w:color="000000" w:fill="FFFFFF"/>
            <w:vAlign w:val="center"/>
            <w:hideMark/>
          </w:tcPr>
          <w:p w14:paraId="712F5B4A"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36,344</w:t>
            </w:r>
          </w:p>
        </w:tc>
        <w:tc>
          <w:tcPr>
            <w:tcW w:w="1315" w:type="dxa"/>
            <w:tcBorders>
              <w:top w:val="nil"/>
              <w:left w:val="nil"/>
              <w:bottom w:val="single" w:sz="8" w:space="0" w:color="auto"/>
              <w:right w:val="nil"/>
            </w:tcBorders>
            <w:shd w:val="clear" w:color="000000" w:fill="FFFFFF"/>
            <w:vAlign w:val="center"/>
            <w:hideMark/>
          </w:tcPr>
          <w:p w14:paraId="40CE2184"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36,806</w:t>
            </w:r>
          </w:p>
        </w:tc>
        <w:tc>
          <w:tcPr>
            <w:tcW w:w="1314" w:type="dxa"/>
            <w:tcBorders>
              <w:top w:val="nil"/>
              <w:left w:val="nil"/>
              <w:bottom w:val="single" w:sz="8" w:space="0" w:color="auto"/>
              <w:right w:val="nil"/>
            </w:tcBorders>
            <w:shd w:val="clear" w:color="000000" w:fill="FFFFFF"/>
            <w:vAlign w:val="center"/>
            <w:hideMark/>
          </w:tcPr>
          <w:p w14:paraId="3EE893B4"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36,862</w:t>
            </w:r>
          </w:p>
        </w:tc>
        <w:tc>
          <w:tcPr>
            <w:tcW w:w="1315" w:type="dxa"/>
            <w:tcBorders>
              <w:top w:val="nil"/>
              <w:left w:val="nil"/>
              <w:bottom w:val="single" w:sz="8" w:space="0" w:color="auto"/>
              <w:right w:val="nil"/>
            </w:tcBorders>
            <w:shd w:val="clear" w:color="000000" w:fill="FFFFFF"/>
            <w:vAlign w:val="center"/>
            <w:hideMark/>
          </w:tcPr>
          <w:p w14:paraId="7B77368E"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36,192</w:t>
            </w:r>
          </w:p>
        </w:tc>
        <w:tc>
          <w:tcPr>
            <w:tcW w:w="1315" w:type="dxa"/>
            <w:tcBorders>
              <w:top w:val="nil"/>
              <w:left w:val="nil"/>
              <w:bottom w:val="single" w:sz="8" w:space="0" w:color="auto"/>
              <w:right w:val="nil"/>
            </w:tcBorders>
            <w:shd w:val="clear" w:color="000000" w:fill="FFFFFF"/>
            <w:vAlign w:val="center"/>
            <w:hideMark/>
          </w:tcPr>
          <w:p w14:paraId="2774E172" w14:textId="3D630D50"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3</w:t>
            </w:r>
            <w:r w:rsidR="00A600B0">
              <w:rPr>
                <w:rFonts w:cs="Arial"/>
                <w:bCs w:val="0"/>
                <w:color w:val="auto"/>
                <w:sz w:val="21"/>
                <w:szCs w:val="21"/>
                <w:lang w:eastAsia="en-AU"/>
              </w:rPr>
              <w:t>7,207</w:t>
            </w:r>
          </w:p>
        </w:tc>
      </w:tr>
      <w:tr w:rsidR="00297A41" w:rsidRPr="00297A41" w14:paraId="748E5F68" w14:textId="77777777" w:rsidTr="0031764A">
        <w:trPr>
          <w:trHeight w:val="315"/>
        </w:trPr>
        <w:tc>
          <w:tcPr>
            <w:tcW w:w="2499" w:type="dxa"/>
            <w:tcBorders>
              <w:top w:val="nil"/>
              <w:left w:val="nil"/>
              <w:bottom w:val="single" w:sz="8" w:space="0" w:color="auto"/>
              <w:right w:val="nil"/>
            </w:tcBorders>
            <w:shd w:val="clear" w:color="000000" w:fill="FFFFFF"/>
            <w:vAlign w:val="center"/>
            <w:hideMark/>
          </w:tcPr>
          <w:p w14:paraId="0607FCB1" w14:textId="3B6113D7" w:rsidR="00297A41" w:rsidRPr="00297A41" w:rsidRDefault="00297A41" w:rsidP="00297A41">
            <w:pPr>
              <w:spacing w:before="0" w:after="0" w:line="240" w:lineRule="auto"/>
              <w:rPr>
                <w:rFonts w:cs="Arial"/>
                <w:bCs w:val="0"/>
                <w:color w:val="auto"/>
                <w:sz w:val="21"/>
                <w:szCs w:val="21"/>
                <w:lang w:eastAsia="en-AU"/>
              </w:rPr>
            </w:pPr>
            <w:r w:rsidRPr="00297A41">
              <w:rPr>
                <w:rFonts w:cs="Arial"/>
                <w:bCs w:val="0"/>
                <w:color w:val="auto"/>
                <w:sz w:val="21"/>
                <w:szCs w:val="21"/>
                <w:lang w:eastAsia="en-AU"/>
              </w:rPr>
              <w:t xml:space="preserve">First Nations </w:t>
            </w:r>
            <w:r w:rsidR="003835AB">
              <w:rPr>
                <w:rFonts w:cs="Arial"/>
                <w:bCs w:val="0"/>
                <w:color w:val="auto"/>
                <w:sz w:val="21"/>
                <w:szCs w:val="21"/>
                <w:lang w:eastAsia="en-AU"/>
              </w:rPr>
              <w:t>people</w:t>
            </w:r>
          </w:p>
        </w:tc>
        <w:tc>
          <w:tcPr>
            <w:tcW w:w="1314" w:type="dxa"/>
            <w:tcBorders>
              <w:top w:val="nil"/>
              <w:left w:val="nil"/>
              <w:bottom w:val="single" w:sz="8" w:space="0" w:color="auto"/>
              <w:right w:val="nil"/>
            </w:tcBorders>
            <w:shd w:val="clear" w:color="000000" w:fill="FFFFFF"/>
            <w:vAlign w:val="center"/>
            <w:hideMark/>
          </w:tcPr>
          <w:p w14:paraId="7B75C6AC"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1,844</w:t>
            </w:r>
          </w:p>
        </w:tc>
        <w:tc>
          <w:tcPr>
            <w:tcW w:w="1315" w:type="dxa"/>
            <w:tcBorders>
              <w:top w:val="nil"/>
              <w:left w:val="nil"/>
              <w:bottom w:val="single" w:sz="8" w:space="0" w:color="auto"/>
              <w:right w:val="nil"/>
            </w:tcBorders>
            <w:shd w:val="clear" w:color="000000" w:fill="FFFFFF"/>
            <w:vAlign w:val="center"/>
            <w:hideMark/>
          </w:tcPr>
          <w:p w14:paraId="7053B369"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1,956</w:t>
            </w:r>
          </w:p>
        </w:tc>
        <w:tc>
          <w:tcPr>
            <w:tcW w:w="1314" w:type="dxa"/>
            <w:tcBorders>
              <w:top w:val="nil"/>
              <w:left w:val="nil"/>
              <w:bottom w:val="single" w:sz="8" w:space="0" w:color="auto"/>
              <w:right w:val="nil"/>
            </w:tcBorders>
            <w:shd w:val="clear" w:color="000000" w:fill="FFFFFF"/>
            <w:vAlign w:val="center"/>
            <w:hideMark/>
          </w:tcPr>
          <w:p w14:paraId="5616B7F5"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2,060</w:t>
            </w:r>
          </w:p>
        </w:tc>
        <w:tc>
          <w:tcPr>
            <w:tcW w:w="1315" w:type="dxa"/>
            <w:tcBorders>
              <w:top w:val="nil"/>
              <w:left w:val="nil"/>
              <w:bottom w:val="single" w:sz="8" w:space="0" w:color="auto"/>
              <w:right w:val="nil"/>
            </w:tcBorders>
            <w:shd w:val="clear" w:color="000000" w:fill="FFFFFF"/>
            <w:vAlign w:val="center"/>
            <w:hideMark/>
          </w:tcPr>
          <w:p w14:paraId="409C12BD" w14:textId="77777777"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2,130</w:t>
            </w:r>
          </w:p>
        </w:tc>
        <w:tc>
          <w:tcPr>
            <w:tcW w:w="1315" w:type="dxa"/>
            <w:tcBorders>
              <w:top w:val="nil"/>
              <w:left w:val="nil"/>
              <w:bottom w:val="single" w:sz="8" w:space="0" w:color="auto"/>
              <w:right w:val="nil"/>
            </w:tcBorders>
            <w:shd w:val="clear" w:color="000000" w:fill="FFFFFF"/>
            <w:vAlign w:val="center"/>
            <w:hideMark/>
          </w:tcPr>
          <w:p w14:paraId="3E87A33E" w14:textId="65368F0C" w:rsidR="00297A41" w:rsidRPr="00297A41" w:rsidRDefault="00297A41" w:rsidP="008D1807">
            <w:pPr>
              <w:spacing w:before="0" w:after="0" w:line="240" w:lineRule="auto"/>
              <w:jc w:val="right"/>
              <w:rPr>
                <w:rFonts w:cs="Arial"/>
                <w:bCs w:val="0"/>
                <w:color w:val="auto"/>
                <w:sz w:val="21"/>
                <w:szCs w:val="21"/>
                <w:lang w:eastAsia="en-AU"/>
              </w:rPr>
            </w:pPr>
            <w:r w:rsidRPr="00297A41">
              <w:rPr>
                <w:rFonts w:cs="Arial"/>
                <w:bCs w:val="0"/>
                <w:color w:val="auto"/>
                <w:sz w:val="21"/>
                <w:szCs w:val="21"/>
                <w:lang w:eastAsia="en-AU"/>
              </w:rPr>
              <w:t>2,</w:t>
            </w:r>
            <w:r w:rsidR="00A600B0">
              <w:rPr>
                <w:rFonts w:cs="Arial"/>
                <w:bCs w:val="0"/>
                <w:color w:val="auto"/>
                <w:sz w:val="21"/>
                <w:szCs w:val="21"/>
                <w:lang w:eastAsia="en-AU"/>
              </w:rPr>
              <w:t>235</w:t>
            </w:r>
          </w:p>
        </w:tc>
      </w:tr>
    </w:tbl>
    <w:p w14:paraId="7B8DC0D1" w14:textId="77777777" w:rsidR="006F4E94" w:rsidRDefault="006F4E94" w:rsidP="008D1807">
      <w:pPr>
        <w:spacing w:after="0"/>
        <w:rPr>
          <w:highlight w:val="yellow"/>
        </w:rPr>
      </w:pPr>
    </w:p>
    <w:p w14:paraId="72DDC4E9" w14:textId="3C800648" w:rsidR="003304A7" w:rsidRPr="00AD71E0" w:rsidRDefault="006635CF" w:rsidP="003304A7">
      <w:r>
        <w:fldChar w:fldCharType="begin"/>
      </w:r>
      <w:r>
        <w:instrText xml:space="preserve"> REF _Ref172016978 \h </w:instrText>
      </w:r>
      <w:r>
        <w:fldChar w:fldCharType="separate"/>
      </w:r>
      <w:r w:rsidR="001377BE">
        <w:t xml:space="preserve">Chart </w:t>
      </w:r>
      <w:r w:rsidR="001377BE">
        <w:rPr>
          <w:noProof/>
        </w:rPr>
        <w:t>2</w:t>
      </w:r>
      <w:r w:rsidR="001377BE">
        <w:t>.</w:t>
      </w:r>
      <w:r w:rsidR="001377BE">
        <w:rPr>
          <w:noProof/>
        </w:rPr>
        <w:t>1</w:t>
      </w:r>
      <w:r>
        <w:fldChar w:fldCharType="end"/>
      </w:r>
      <w:r w:rsidR="003304A7">
        <w:t xml:space="preserve"> shows the average care minutes per resident per day, by provider ownership type </w:t>
      </w:r>
      <w:r w:rsidR="007C1D84">
        <w:t xml:space="preserve">reported in the </w:t>
      </w:r>
      <w:r w:rsidR="00A709FF">
        <w:t>Aged Care Financial Report</w:t>
      </w:r>
      <w:r w:rsidR="007C1D84">
        <w:t xml:space="preserve"> </w:t>
      </w:r>
      <w:r w:rsidR="00A709FF">
        <w:t>(</w:t>
      </w:r>
      <w:r w:rsidR="007C1D84">
        <w:t>ACFR</w:t>
      </w:r>
      <w:r w:rsidR="00A709FF">
        <w:t>)</w:t>
      </w:r>
      <w:r w:rsidR="007C1D84">
        <w:t xml:space="preserve"> </w:t>
      </w:r>
      <w:r w:rsidR="003304A7">
        <w:t xml:space="preserve">for </w:t>
      </w:r>
      <w:r w:rsidR="00837DEC">
        <w:t>2022-23</w:t>
      </w:r>
      <w:r w:rsidR="003304A7">
        <w:t xml:space="preserve">. </w:t>
      </w:r>
    </w:p>
    <w:p w14:paraId="40D82272" w14:textId="3A23B3F9" w:rsidR="003304A7" w:rsidRPr="00AD71E0" w:rsidRDefault="003304A7" w:rsidP="003304A7">
      <w:r w:rsidRPr="00AD71E0">
        <w:t>The total average care minutes for all providers</w:t>
      </w:r>
      <w:r w:rsidR="00A710C1">
        <w:t xml:space="preserve"> </w:t>
      </w:r>
      <w:r w:rsidRPr="00AD71E0">
        <w:t xml:space="preserve">(including local, state or territory government providers) was </w:t>
      </w:r>
      <w:r w:rsidR="00354ACA">
        <w:t>1</w:t>
      </w:r>
      <w:r w:rsidR="005B41A3">
        <w:t>88.6</w:t>
      </w:r>
      <w:r w:rsidRPr="00AD71E0">
        <w:t xml:space="preserve"> minutes </w:t>
      </w:r>
      <w:r w:rsidR="002E38D1">
        <w:t xml:space="preserve">per resident per day </w:t>
      </w:r>
      <w:r w:rsidRPr="00AD71E0">
        <w:t>in 202</w:t>
      </w:r>
      <w:r w:rsidR="00354ACA">
        <w:t>2-23</w:t>
      </w:r>
      <w:r w:rsidRPr="00AD71E0">
        <w:t xml:space="preserve">, up </w:t>
      </w:r>
      <w:r w:rsidR="007D5A3D">
        <w:t>from</w:t>
      </w:r>
      <w:r w:rsidRPr="00AD71E0">
        <w:t xml:space="preserve"> 18</w:t>
      </w:r>
      <w:r w:rsidR="005B41A3">
        <w:t>1.4</w:t>
      </w:r>
      <w:r w:rsidR="00CA7573">
        <w:t xml:space="preserve"> </w:t>
      </w:r>
      <w:r w:rsidRPr="00AD71E0">
        <w:t>minutes (including local, state or territory government providers) in 202</w:t>
      </w:r>
      <w:r w:rsidR="00354ACA">
        <w:t>1-22</w:t>
      </w:r>
      <w:r w:rsidRPr="00AD71E0">
        <w:t xml:space="preserve">. </w:t>
      </w:r>
    </w:p>
    <w:p w14:paraId="0C2F4756" w14:textId="18C78BA6" w:rsidR="00001FEE" w:rsidRPr="00AD71E0" w:rsidRDefault="00A44A34" w:rsidP="003304A7">
      <w:r>
        <w:t>From the ACFR, the sector reported</w:t>
      </w:r>
      <w:r w:rsidR="00445B8D">
        <w:t xml:space="preserve"> an average of</w:t>
      </w:r>
      <w:r>
        <w:t xml:space="preserve"> </w:t>
      </w:r>
      <w:r w:rsidR="00445B8D">
        <w:t>34.5 r</w:t>
      </w:r>
      <w:r w:rsidR="00001FEE">
        <w:t xml:space="preserve">egistered </w:t>
      </w:r>
      <w:r w:rsidR="00A605A2">
        <w:t>nurse</w:t>
      </w:r>
      <w:r w:rsidR="00DF55B0">
        <w:t xml:space="preserve"> minutes</w:t>
      </w:r>
      <w:r w:rsidR="00E334BD">
        <w:t xml:space="preserve"> per resident per day</w:t>
      </w:r>
      <w:r w:rsidR="00490CCB">
        <w:t xml:space="preserve">, </w:t>
      </w:r>
      <w:r w:rsidR="001F45F1">
        <w:t>an increase of</w:t>
      </w:r>
      <w:r w:rsidR="00882871">
        <w:t xml:space="preserve"> 2.9</w:t>
      </w:r>
      <w:r w:rsidR="0048522A">
        <w:t xml:space="preserve"> minutes </w:t>
      </w:r>
      <w:r w:rsidR="006D3A70" w:rsidRPr="00AD71E0">
        <w:t xml:space="preserve">(including local, state or territory government providers) </w:t>
      </w:r>
      <w:r w:rsidR="00E24868">
        <w:t>in</w:t>
      </w:r>
      <w:r w:rsidR="0048522A">
        <w:t xml:space="preserve"> 2021-22. </w:t>
      </w:r>
    </w:p>
    <w:p w14:paraId="3EAE365F" w14:textId="5B4CF647" w:rsidR="003304A7" w:rsidRPr="00AD71E0" w:rsidRDefault="003304A7" w:rsidP="003304A7">
      <w:r w:rsidRPr="00AD71E0">
        <w:t>Local, state or territory government providers had considerably higher average care minutes per resident per day (23</w:t>
      </w:r>
      <w:r w:rsidR="00354ACA">
        <w:t>5.1</w:t>
      </w:r>
      <w:r w:rsidRPr="00AD71E0">
        <w:t xml:space="preserve"> care minutes) compared to other ownership types as they are likely to have other non-Australian Government funding sources that contribute towards the delivery of care. </w:t>
      </w:r>
    </w:p>
    <w:p w14:paraId="63BF7A54" w14:textId="5CF40622" w:rsidR="007B38BE" w:rsidRDefault="003304A7" w:rsidP="003304A7">
      <w:r w:rsidRPr="00AD71E0">
        <w:t xml:space="preserve">The average total care minutes </w:t>
      </w:r>
      <w:r w:rsidR="00DA0E8A">
        <w:t xml:space="preserve">in 2022-23 </w:t>
      </w:r>
      <w:r w:rsidRPr="00AD71E0">
        <w:t xml:space="preserve">per resident per day was </w:t>
      </w:r>
      <w:r w:rsidR="000B2534">
        <w:t>10.4</w:t>
      </w:r>
      <w:r w:rsidRPr="00AD71E0">
        <w:t xml:space="preserve"> minutes higher in not-for-profit providers (191.</w:t>
      </w:r>
      <w:r w:rsidR="00AF220B">
        <w:t>2</w:t>
      </w:r>
      <w:r w:rsidRPr="00AD71E0">
        <w:t xml:space="preserve"> care minutes), compared with 1</w:t>
      </w:r>
      <w:r w:rsidR="00AD71E0">
        <w:t>8</w:t>
      </w:r>
      <w:r w:rsidR="00C47D4E">
        <w:t>0.8</w:t>
      </w:r>
      <w:r w:rsidRPr="00AD71E0">
        <w:t xml:space="preserve"> total care minutes for for-profit providers.</w:t>
      </w:r>
    </w:p>
    <w:p w14:paraId="78650380" w14:textId="77777777" w:rsidR="003560B6" w:rsidRDefault="00652C8A" w:rsidP="00F3572C">
      <w:r>
        <w:t>The figure</w:t>
      </w:r>
      <w:r w:rsidR="008421ED">
        <w:t>s</w:t>
      </w:r>
      <w:r>
        <w:t xml:space="preserve"> reported in 2022-23 were prior to </w:t>
      </w:r>
      <w:r w:rsidR="008421ED">
        <w:t>commencement of mandator</w:t>
      </w:r>
      <w:r w:rsidR="00644AF1">
        <w:t>y care minute t</w:t>
      </w:r>
      <w:r w:rsidR="00305674">
        <w:t>argets that w</w:t>
      </w:r>
      <w:r w:rsidR="00732D7C">
        <w:t>ere</w:t>
      </w:r>
      <w:r w:rsidR="00305674">
        <w:t xml:space="preserve"> introduced</w:t>
      </w:r>
      <w:r w:rsidR="009E7FE7">
        <w:t xml:space="preserve"> </w:t>
      </w:r>
      <w:r w:rsidR="0061120E">
        <w:t>on</w:t>
      </w:r>
      <w:r w:rsidR="00CA7CA8">
        <w:t xml:space="preserve"> 1 October 2023</w:t>
      </w:r>
      <w:r w:rsidR="0061120E">
        <w:t xml:space="preserve">. </w:t>
      </w:r>
      <w:r w:rsidR="00F3572C" w:rsidRPr="00F3572C">
        <w:t xml:space="preserve">The sector average target was set at 200 minutes per resident per day, including </w:t>
      </w:r>
      <w:r w:rsidR="0046502D">
        <w:t xml:space="preserve">a </w:t>
      </w:r>
      <w:r w:rsidR="00F3572C" w:rsidRPr="00F3572C">
        <w:t>minimum of 40 minutes of registered nurse time per day.</w:t>
      </w:r>
      <w:r w:rsidR="00A606D9">
        <w:t xml:space="preserve"> </w:t>
      </w:r>
    </w:p>
    <w:p w14:paraId="3118123B" w14:textId="206BA7D8" w:rsidR="00D46D0A" w:rsidRDefault="00A606D9" w:rsidP="00F3572C">
      <w:r>
        <w:t xml:space="preserve">Reporting in the </w:t>
      </w:r>
      <w:r w:rsidR="00F00D0B">
        <w:t>Quarterly Financial Snapshot</w:t>
      </w:r>
      <w:r>
        <w:t xml:space="preserve"> </w:t>
      </w:r>
      <w:r w:rsidR="00F00D0B">
        <w:t>(</w:t>
      </w:r>
      <w:r>
        <w:t>QFS</w:t>
      </w:r>
      <w:r w:rsidR="00F00D0B">
        <w:t>)</w:t>
      </w:r>
      <w:r w:rsidR="00CF421A">
        <w:t xml:space="preserve"> </w:t>
      </w:r>
      <w:r w:rsidR="001D0B62">
        <w:t xml:space="preserve">for </w:t>
      </w:r>
      <w:hyperlink r:id="rId52" w:history="1">
        <w:r w:rsidR="0082304A" w:rsidRPr="001D12BB">
          <w:rPr>
            <w:rStyle w:val="Hyperlink"/>
          </w:rPr>
          <w:t>quarter 2 2023-</w:t>
        </w:r>
        <w:r w:rsidR="00BC3AF2">
          <w:rPr>
            <w:rStyle w:val="Hyperlink"/>
          </w:rPr>
          <w:t>2</w:t>
        </w:r>
        <w:r w:rsidR="0082304A" w:rsidRPr="001D12BB">
          <w:rPr>
            <w:rStyle w:val="Hyperlink"/>
          </w:rPr>
          <w:t>4</w:t>
        </w:r>
      </w:hyperlink>
      <w:r w:rsidR="00756F46">
        <w:t>,</w:t>
      </w:r>
      <w:r w:rsidR="00CF421A">
        <w:t xml:space="preserve"> indicate</w:t>
      </w:r>
      <w:r w:rsidR="00CC62E1">
        <w:t>s</w:t>
      </w:r>
      <w:r w:rsidR="00CF421A">
        <w:t xml:space="preserve"> that </w:t>
      </w:r>
      <w:r w:rsidR="00756F46">
        <w:t xml:space="preserve">while the sector </w:t>
      </w:r>
      <w:r w:rsidR="00C82C93">
        <w:t xml:space="preserve">average </w:t>
      </w:r>
      <w:r w:rsidR="00756F46">
        <w:t xml:space="preserve">is now </w:t>
      </w:r>
      <w:r w:rsidR="003E2BAC">
        <w:t xml:space="preserve">above </w:t>
      </w:r>
      <w:r w:rsidR="00E45381">
        <w:t>200 care</w:t>
      </w:r>
      <w:r w:rsidR="00C82C93">
        <w:t xml:space="preserve"> minutes, significant improvements are required to ensure individual services are compliant with their mandatory care minute responsibilities, and to reach a sector average of 40 registered nurse care minutes. </w:t>
      </w:r>
      <w:r w:rsidR="006B1200">
        <w:t>The department will continue to monitor care minutes closely</w:t>
      </w:r>
      <w:r w:rsidR="00305CCA">
        <w:t xml:space="preserve"> to </w:t>
      </w:r>
      <w:r w:rsidR="00DC4BCA">
        <w:t xml:space="preserve">ensure the policy settings and supports are in place to ensure care minute targets are met and providers are supported to achieve them. </w:t>
      </w:r>
    </w:p>
    <w:p w14:paraId="24160C66" w14:textId="69C9A35C" w:rsidR="00A23A7D" w:rsidRDefault="004208E1" w:rsidP="003304A7">
      <w:r>
        <w:t>The department has updated the methodology</w:t>
      </w:r>
      <w:r w:rsidR="00322EBB">
        <w:t xml:space="preserve"> </w:t>
      </w:r>
      <w:r w:rsidR="002333E6">
        <w:t xml:space="preserve">used </w:t>
      </w:r>
      <w:r w:rsidR="00322EBB">
        <w:t>to calculate care minutes</w:t>
      </w:r>
      <w:r w:rsidR="00406EB2">
        <w:t xml:space="preserve"> in this report</w:t>
      </w:r>
      <w:r w:rsidR="002333E6">
        <w:t>,</w:t>
      </w:r>
      <w:r w:rsidR="00322EBB">
        <w:t xml:space="preserve"> using occupied bed days</w:t>
      </w:r>
      <w:r w:rsidR="006D3813">
        <w:t xml:space="preserve"> instead of claim day data</w:t>
      </w:r>
      <w:r w:rsidR="00322EBB">
        <w:t xml:space="preserve">. </w:t>
      </w:r>
      <w:r w:rsidR="0090083B">
        <w:t>This is to align with the methodolog</w:t>
      </w:r>
      <w:r w:rsidR="00896EED">
        <w:t>y used for the QFS and quarterly care minute dashboard reporting.</w:t>
      </w:r>
      <w:r w:rsidR="00322EBB">
        <w:t xml:space="preserve"> </w:t>
      </w:r>
      <w:r w:rsidR="0092086A">
        <w:t xml:space="preserve">The comparison </w:t>
      </w:r>
      <w:r w:rsidR="00C23E40">
        <w:t xml:space="preserve">figures used for 2021-22 have been </w:t>
      </w:r>
      <w:r w:rsidR="003E3A77">
        <w:t xml:space="preserve">updated using the </w:t>
      </w:r>
      <w:r w:rsidR="00641142">
        <w:t>occupied bed day methodology</w:t>
      </w:r>
      <w:r w:rsidR="00017AD7">
        <w:t xml:space="preserve"> and not the figures that were published in </w:t>
      </w:r>
      <w:r w:rsidR="00601118">
        <w:t xml:space="preserve">Financial Report on the Australian Aged Care </w:t>
      </w:r>
      <w:r w:rsidR="001D7B08">
        <w:t>Sector (</w:t>
      </w:r>
      <w:r w:rsidR="00017AD7">
        <w:t>FRAACS</w:t>
      </w:r>
      <w:r w:rsidR="001D7B08">
        <w:t>)</w:t>
      </w:r>
      <w:r w:rsidR="00017AD7">
        <w:t xml:space="preserve"> 2021-22</w:t>
      </w:r>
      <w:r w:rsidR="00641142">
        <w:t>.</w:t>
      </w:r>
      <w:r w:rsidR="0092086A">
        <w:t xml:space="preserve"> </w:t>
      </w:r>
      <w:r w:rsidR="00641142">
        <w:t xml:space="preserve">The revised </w:t>
      </w:r>
      <w:r w:rsidR="00017AD7">
        <w:t>figures for 2021-22 average care minutes</w:t>
      </w:r>
      <w:r w:rsidR="00F11899">
        <w:t xml:space="preserve"> per resident per day, by ownership type</w:t>
      </w:r>
      <w:r w:rsidR="00017AD7">
        <w:t xml:space="preserve"> </w:t>
      </w:r>
      <w:r w:rsidR="00F97985">
        <w:t>are</w:t>
      </w:r>
      <w:r w:rsidR="00017AD7">
        <w:t xml:space="preserve"> available in A</w:t>
      </w:r>
      <w:r w:rsidR="008B30F1">
        <w:t xml:space="preserve">ppendix </w:t>
      </w:r>
      <w:r w:rsidR="00D7674B">
        <w:t>H</w:t>
      </w:r>
      <w:r w:rsidR="003B0FD2">
        <w:t>.</w:t>
      </w:r>
    </w:p>
    <w:p w14:paraId="70F61D17" w14:textId="77777777" w:rsidR="006F4F12" w:rsidRDefault="006F4F12" w:rsidP="006F4F12">
      <w:pPr>
        <w:spacing w:before="0" w:after="0" w:line="240" w:lineRule="auto"/>
      </w:pPr>
      <w:bookmarkStart w:id="60" w:name="_Ref161404690"/>
      <w:bookmarkStart w:id="61" w:name="_Ref172016978"/>
      <w:bookmarkStart w:id="62" w:name="_Toc173428911"/>
      <w:r>
        <w:br w:type="page"/>
      </w:r>
    </w:p>
    <w:p w14:paraId="0C4CC4B0" w14:textId="6B42770B" w:rsidR="00E23CED" w:rsidRDefault="005D4DA4" w:rsidP="00F91BBB">
      <w:pPr>
        <w:pStyle w:val="Caption"/>
      </w:pPr>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60"/>
      <w:bookmarkEnd w:id="61"/>
      <w:r>
        <w:t xml:space="preserve">: </w:t>
      </w:r>
      <w:r w:rsidRPr="001E1584">
        <w:t>Average care minutes per resident per day, by ownership type, 202</w:t>
      </w:r>
      <w:r w:rsidR="009B7B5A">
        <w:t>2-23</w:t>
      </w:r>
      <w:bookmarkEnd w:id="62"/>
    </w:p>
    <w:p w14:paraId="14D1EE5D" w14:textId="4E938471" w:rsidR="00CE5730" w:rsidRPr="00CE5730" w:rsidRDefault="00203F66" w:rsidP="00F91BBB">
      <w:pPr>
        <w:pStyle w:val="Caption"/>
        <w:rPr>
          <w:rFonts w:ascii="Times New Roman" w:hAnsi="Times New Roman"/>
          <w:bCs/>
          <w:color w:val="auto"/>
          <w:szCs w:val="24"/>
          <w:lang w:eastAsia="en-AU"/>
        </w:rPr>
      </w:pPr>
      <w:r>
        <w:rPr>
          <w:noProof/>
        </w:rPr>
        <w:drawing>
          <wp:inline distT="0" distB="0" distL="0" distR="0" wp14:anchorId="370B728F" wp14:editId="571CB230">
            <wp:extent cx="5853600" cy="2773280"/>
            <wp:effectExtent l="0" t="0" r="0" b="8255"/>
            <wp:docPr id="25" name="Picture 25" descr="Chart 2.1 is a clustered column chart titled Average care minutes per resident per day, by ownership type, 2022-23. For-profit providers had a higher average of registered nurse care minutes per resident per day (33.9 care minutes) compared to not-for-profit providers (33.0 care minutes). The average total care minutes in 2022-23 per resident per day was 10.4 minutes higher for not-for-profit providers with 191.2 care minutes, compared with 180.8 total care minutes for for-profit provi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2.1 is a clustered column chart titled Average care minutes per resident per day, by ownership type, 2022-23. For-profit providers had a higher average of registered nurse care minutes per resident per day (33.9 care minutes) compared to not-for-profit providers (33.0 care minutes). The average total care minutes in 2022-23 per resident per day was 10.4 minutes higher for not-for-profit providers with 191.2 care minutes, compared with 180.8 total care minutes for for-profit providers.&#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9149" cy="2780647"/>
                    </a:xfrm>
                    <a:prstGeom prst="rect">
                      <a:avLst/>
                    </a:prstGeom>
                    <a:noFill/>
                  </pic:spPr>
                </pic:pic>
              </a:graphicData>
            </a:graphic>
          </wp:inline>
        </w:drawing>
      </w:r>
    </w:p>
    <w:p w14:paraId="69D6C705" w14:textId="3F2F37A2" w:rsidR="000B2844" w:rsidRDefault="0081668E" w:rsidP="000B2844">
      <w:pPr>
        <w:pStyle w:val="FootnoteText"/>
      </w:pPr>
      <w:r w:rsidRPr="00141E46">
        <w:t>Note:</w:t>
      </w:r>
      <w:r>
        <w:t xml:space="preserve"> </w:t>
      </w:r>
    </w:p>
    <w:p w14:paraId="3E39CAC7" w14:textId="63A47F4A" w:rsidR="0081668E" w:rsidRPr="00141E46" w:rsidRDefault="0081668E" w:rsidP="00FE0968">
      <w:pPr>
        <w:pStyle w:val="FootnoteText"/>
        <w:numPr>
          <w:ilvl w:val="0"/>
          <w:numId w:val="37"/>
        </w:numPr>
      </w:pPr>
      <w:r>
        <w:t>Figures are rounded up to 1 decimal point</w:t>
      </w:r>
      <w:r w:rsidR="003403FF">
        <w:t>,</w:t>
      </w:r>
      <w:r>
        <w:t xml:space="preserve"> total figures may not add up to the totals.</w:t>
      </w:r>
    </w:p>
    <w:p w14:paraId="477540C7" w14:textId="37F36B3A" w:rsidR="000B2844" w:rsidRDefault="000B2844" w:rsidP="00FE0968">
      <w:pPr>
        <w:pStyle w:val="FootnoteText"/>
        <w:numPr>
          <w:ilvl w:val="0"/>
          <w:numId w:val="37"/>
        </w:numPr>
        <w:rPr>
          <w:rFonts w:eastAsiaTheme="minorEastAsia"/>
        </w:rPr>
      </w:pPr>
      <w:r w:rsidRPr="002C09BF">
        <w:rPr>
          <w:rFonts w:eastAsiaTheme="minorEastAsia"/>
        </w:rPr>
        <w:t>Average care minutes per resident per day are calculated using occupied bed days rather than claim days</w:t>
      </w:r>
      <w:r>
        <w:rPr>
          <w:rFonts w:eastAsiaTheme="minorEastAsia"/>
        </w:rPr>
        <w:t xml:space="preserve">. </w:t>
      </w:r>
    </w:p>
    <w:p w14:paraId="1233D771" w14:textId="14D7555F" w:rsidR="006E775E" w:rsidRDefault="00B96A73" w:rsidP="00FE0968">
      <w:pPr>
        <w:pStyle w:val="FootnoteText"/>
        <w:numPr>
          <w:ilvl w:val="0"/>
          <w:numId w:val="37"/>
        </w:numPr>
        <w:rPr>
          <w:rFonts w:eastAsiaTheme="minorEastAsia"/>
        </w:rPr>
      </w:pPr>
      <w:r w:rsidRPr="1327E963">
        <w:rPr>
          <w:rFonts w:eastAsiaTheme="minorEastAsia"/>
        </w:rPr>
        <w:t>A</w:t>
      </w:r>
      <w:r w:rsidR="00C00ABC" w:rsidRPr="1327E963">
        <w:rPr>
          <w:rFonts w:eastAsiaTheme="minorEastAsia"/>
        </w:rPr>
        <w:t xml:space="preserve">nnual average care minutes </w:t>
      </w:r>
      <w:r w:rsidR="00461A8B" w:rsidRPr="1327E963">
        <w:rPr>
          <w:rFonts w:eastAsiaTheme="minorEastAsia"/>
        </w:rPr>
        <w:t xml:space="preserve">reported </w:t>
      </w:r>
      <w:r w:rsidR="006E775E" w:rsidRPr="1327E963">
        <w:rPr>
          <w:rFonts w:eastAsiaTheme="minorEastAsia"/>
        </w:rPr>
        <w:t xml:space="preserve">in chart 2.1 </w:t>
      </w:r>
      <w:r w:rsidR="00461A8B" w:rsidRPr="1327E963">
        <w:rPr>
          <w:rFonts w:eastAsiaTheme="minorEastAsia"/>
        </w:rPr>
        <w:t xml:space="preserve">will differ from the quarterly published care minutes in the </w:t>
      </w:r>
      <w:r w:rsidR="00283EBF" w:rsidRPr="1327E963">
        <w:rPr>
          <w:rFonts w:eastAsiaTheme="minorEastAsia"/>
        </w:rPr>
        <w:t>Quarterly Financial Snapshot (</w:t>
      </w:r>
      <w:r w:rsidR="00461A8B" w:rsidRPr="1327E963">
        <w:rPr>
          <w:rFonts w:eastAsiaTheme="minorEastAsia"/>
        </w:rPr>
        <w:t>QFS</w:t>
      </w:r>
      <w:r w:rsidR="00283EBF" w:rsidRPr="1327E963">
        <w:rPr>
          <w:rFonts w:eastAsiaTheme="minorEastAsia"/>
        </w:rPr>
        <w:t>)</w:t>
      </w:r>
      <w:r w:rsidR="00461A8B" w:rsidRPr="1327E963">
        <w:rPr>
          <w:rFonts w:eastAsiaTheme="minorEastAsia"/>
        </w:rPr>
        <w:t xml:space="preserve"> and </w:t>
      </w:r>
      <w:r w:rsidR="00DB31CC" w:rsidRPr="1327E963">
        <w:rPr>
          <w:rFonts w:eastAsiaTheme="minorEastAsia"/>
        </w:rPr>
        <w:t>the care minute dashboard</w:t>
      </w:r>
      <w:r w:rsidR="00BD3363" w:rsidRPr="1327E963">
        <w:rPr>
          <w:rFonts w:eastAsiaTheme="minorEastAsia"/>
        </w:rPr>
        <w:t xml:space="preserve">. </w:t>
      </w:r>
      <w:r w:rsidRPr="1327E963">
        <w:rPr>
          <w:rFonts w:eastAsiaTheme="minorEastAsia"/>
        </w:rPr>
        <w:t>Q</w:t>
      </w:r>
      <w:r w:rsidR="009E078B" w:rsidRPr="1327E963">
        <w:rPr>
          <w:rFonts w:eastAsiaTheme="minorEastAsia"/>
        </w:rPr>
        <w:t>uarterly data is collected at a point</w:t>
      </w:r>
      <w:r w:rsidR="008C6AC4" w:rsidRPr="1327E963">
        <w:rPr>
          <w:rFonts w:eastAsiaTheme="minorEastAsia"/>
        </w:rPr>
        <w:t>-</w:t>
      </w:r>
      <w:r w:rsidR="009E078B" w:rsidRPr="1327E963">
        <w:rPr>
          <w:rFonts w:eastAsiaTheme="minorEastAsia"/>
        </w:rPr>
        <w:t>in</w:t>
      </w:r>
      <w:r w:rsidR="008C6AC4" w:rsidRPr="1327E963">
        <w:rPr>
          <w:rFonts w:eastAsiaTheme="minorEastAsia"/>
        </w:rPr>
        <w:t>-</w:t>
      </w:r>
      <w:r w:rsidR="009E078B" w:rsidRPr="1327E963">
        <w:rPr>
          <w:rFonts w:eastAsiaTheme="minorEastAsia"/>
        </w:rPr>
        <w:t>time and is the average of the quarter</w:t>
      </w:r>
      <w:r w:rsidR="006E775E" w:rsidRPr="1327E963">
        <w:rPr>
          <w:rFonts w:eastAsiaTheme="minorEastAsia"/>
        </w:rPr>
        <w:t>.</w:t>
      </w:r>
    </w:p>
    <w:p w14:paraId="378C2230" w14:textId="77777777" w:rsidR="006F4F12" w:rsidRDefault="006F4F12" w:rsidP="006F4F12">
      <w:pPr>
        <w:pStyle w:val="ListParagraph"/>
        <w:numPr>
          <w:ilvl w:val="0"/>
          <w:numId w:val="37"/>
        </w:numPr>
        <w:spacing w:before="0" w:after="0" w:line="240" w:lineRule="auto"/>
      </w:pPr>
      <w:r>
        <w:br w:type="page"/>
      </w:r>
    </w:p>
    <w:p w14:paraId="49FBE0B1" w14:textId="29DE0EA0" w:rsidR="003C73DB" w:rsidRPr="006E775E" w:rsidRDefault="00F952A8">
      <w:pPr>
        <w:rPr>
          <w:bCs w:val="0"/>
          <w:szCs w:val="20"/>
        </w:rPr>
      </w:pPr>
      <w:r w:rsidRPr="006E775E">
        <w:rPr>
          <w:b/>
          <w:bCs w:val="0"/>
          <w:sz w:val="28"/>
          <w:szCs w:val="20"/>
        </w:rPr>
        <w:t xml:space="preserve">Admission to </w:t>
      </w:r>
      <w:r w:rsidR="003C73DB" w:rsidRPr="006E775E">
        <w:rPr>
          <w:b/>
          <w:bCs w:val="0"/>
          <w:sz w:val="28"/>
          <w:szCs w:val="20"/>
        </w:rPr>
        <w:t>residential aged care</w:t>
      </w:r>
    </w:p>
    <w:p w14:paraId="4D78D7B0" w14:textId="7710D5C5" w:rsidR="00166AAF" w:rsidRPr="002D74C2" w:rsidRDefault="00166AAF" w:rsidP="00166AAF">
      <w:r w:rsidRPr="00080209">
        <w:fldChar w:fldCharType="begin"/>
      </w:r>
      <w:r w:rsidRPr="00080209">
        <w:instrText xml:space="preserve"> REF _Ref162510804 \h </w:instrText>
      </w:r>
      <w:r w:rsidR="00080209">
        <w:instrText xml:space="preserve"> \* MERGEFORMAT </w:instrText>
      </w:r>
      <w:r w:rsidRPr="00080209">
        <w:fldChar w:fldCharType="separate"/>
      </w:r>
      <w:r w:rsidR="001377BE">
        <w:t xml:space="preserve">Chart </w:t>
      </w:r>
      <w:r w:rsidR="001377BE">
        <w:rPr>
          <w:noProof/>
        </w:rPr>
        <w:t>2.2</w:t>
      </w:r>
      <w:r w:rsidRPr="00080209">
        <w:fldChar w:fldCharType="end"/>
      </w:r>
      <w:r w:rsidRPr="00080209">
        <w:t xml:space="preserve"> shows the proportion of residents who entered permanent residential care after leaving home care. </w:t>
      </w:r>
      <w:bookmarkStart w:id="63" w:name="_Hlk137018432"/>
      <w:r w:rsidRPr="00080209">
        <w:t>The proportion entering residential care has been</w:t>
      </w:r>
      <w:r w:rsidR="00065D56">
        <w:t xml:space="preserve"> steadily</w:t>
      </w:r>
      <w:r w:rsidRPr="00080209">
        <w:t xml:space="preserve"> dropping since </w:t>
      </w:r>
      <w:r w:rsidR="00897591">
        <w:t>2015-16</w:t>
      </w:r>
      <w:r w:rsidR="007D4240">
        <w:t xml:space="preserve"> to 2021-22</w:t>
      </w:r>
      <w:r w:rsidR="009D5857">
        <w:t>.</w:t>
      </w:r>
      <w:r w:rsidR="000B2844">
        <w:t xml:space="preserve"> </w:t>
      </w:r>
      <w:r w:rsidR="009D5857">
        <w:t>In</w:t>
      </w:r>
      <w:r w:rsidRPr="00080209">
        <w:t xml:space="preserve"> 20</w:t>
      </w:r>
      <w:r w:rsidR="0004604E">
        <w:t>22</w:t>
      </w:r>
      <w:r w:rsidRPr="00080209">
        <w:t>-2</w:t>
      </w:r>
      <w:r w:rsidR="0004604E">
        <w:t>3</w:t>
      </w:r>
      <w:r w:rsidR="000B2844">
        <w:t>,</w:t>
      </w:r>
      <w:r w:rsidRPr="00080209">
        <w:t xml:space="preserve"> the proportion of residents entering permanent residential care after leaving home care </w:t>
      </w:r>
      <w:r w:rsidR="0004604E">
        <w:t>increased slightly</w:t>
      </w:r>
      <w:r w:rsidRPr="00080209">
        <w:t xml:space="preserve"> </w:t>
      </w:r>
      <w:r w:rsidR="006B78F0">
        <w:t>to</w:t>
      </w:r>
      <w:r w:rsidRPr="00080209">
        <w:t xml:space="preserve"> </w:t>
      </w:r>
      <w:r w:rsidR="00CA5C1E">
        <w:t>54.25%</w:t>
      </w:r>
      <w:r w:rsidRPr="00080209">
        <w:t>.</w:t>
      </w:r>
    </w:p>
    <w:p w14:paraId="529B0718" w14:textId="035A0B3A" w:rsidR="00E23CED" w:rsidRDefault="00D56503" w:rsidP="00706D0A">
      <w:pPr>
        <w:pStyle w:val="Caption"/>
      </w:pPr>
      <w:bookmarkStart w:id="64" w:name="_Ref162510804"/>
      <w:bookmarkStart w:id="65" w:name="_Ref162510798"/>
      <w:bookmarkStart w:id="66" w:name="_Toc173428912"/>
      <w:bookmarkEnd w:id="63"/>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bookmarkEnd w:id="64"/>
      <w:r>
        <w:t xml:space="preserve">: </w:t>
      </w:r>
      <w:r w:rsidRPr="00147BF2">
        <w:t>Proportion of residents entering permanent residential care after leaving home care, 20</w:t>
      </w:r>
      <w:r w:rsidR="00897591">
        <w:t>13-14</w:t>
      </w:r>
      <w:r w:rsidRPr="00147BF2">
        <w:t xml:space="preserve"> to </w:t>
      </w:r>
      <w:bookmarkEnd w:id="65"/>
      <w:r w:rsidRPr="00147BF2">
        <w:t>202</w:t>
      </w:r>
      <w:r w:rsidR="00B16390">
        <w:t>2</w:t>
      </w:r>
      <w:r w:rsidR="00080209">
        <w:t>-23</w:t>
      </w:r>
      <w:bookmarkEnd w:id="66"/>
    </w:p>
    <w:p w14:paraId="61841624" w14:textId="2D773E3A" w:rsidR="00E24482" w:rsidRDefault="00897591" w:rsidP="00706D0A">
      <w:pPr>
        <w:pStyle w:val="Caption"/>
      </w:pPr>
      <w:r>
        <w:rPr>
          <w:noProof/>
        </w:rPr>
        <w:drawing>
          <wp:inline distT="0" distB="0" distL="0" distR="0" wp14:anchorId="568AD3B8" wp14:editId="0C55AD66">
            <wp:extent cx="5874211" cy="3200400"/>
            <wp:effectExtent l="0" t="0" r="0" b="0"/>
            <wp:docPr id="8" name="Picture 8" descr="Chart 2.2 is a line chart titled Proportion of residents entering permanent residential care after leaving home care, 2013-14 to 2022-23. The proportion entering residential care has been steadily dropping since 2015-16 to 2021-22. In 2022-23, the proportion of residents entering permanent residential care after leaving home care increased slightly to 54.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2.2 is a line chart titled Proportion of residents entering permanent residential care after leaving home care, 2013-14 to 2022-23. The proportion entering residential care has been steadily dropping since 2015-16 to 2021-22. In 2022-23, the proportion of residents entering permanent residential care after leaving home care increased slightly to 54.25%.&#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82325" cy="3204820"/>
                    </a:xfrm>
                    <a:prstGeom prst="rect">
                      <a:avLst/>
                    </a:prstGeom>
                    <a:noFill/>
                  </pic:spPr>
                </pic:pic>
              </a:graphicData>
            </a:graphic>
          </wp:inline>
        </w:drawing>
      </w:r>
    </w:p>
    <w:p w14:paraId="1BD2FB27" w14:textId="500DDB6B" w:rsidR="00D34CF7" w:rsidRDefault="00D34CF7" w:rsidP="00B10DCC">
      <w:pPr>
        <w:pStyle w:val="FootnoteText"/>
      </w:pPr>
      <w:r>
        <w:t xml:space="preserve">Note: </w:t>
      </w:r>
      <w:r w:rsidR="00F71F51">
        <w:t>The d</w:t>
      </w:r>
      <w:r w:rsidR="00B10DCC">
        <w:t>ata for 2020-21 and 2021-22 h</w:t>
      </w:r>
      <w:r w:rsidR="0056547D">
        <w:t>as</w:t>
      </w:r>
      <w:r w:rsidR="00B10DCC">
        <w:t xml:space="preserve"> been revised and updated.</w:t>
      </w:r>
    </w:p>
    <w:p w14:paraId="5948407C" w14:textId="77777777" w:rsidR="006F4F12" w:rsidRDefault="006F4F12" w:rsidP="006F4F12">
      <w:pPr>
        <w:spacing w:before="0" w:after="0" w:line="240" w:lineRule="auto"/>
      </w:pPr>
      <w:r>
        <w:br w:type="page"/>
      </w:r>
    </w:p>
    <w:p w14:paraId="23525A24" w14:textId="7E3AB63E" w:rsidR="00E24482" w:rsidRPr="009F4CA9" w:rsidRDefault="00E24482" w:rsidP="00A518E8">
      <w:pPr>
        <w:rPr>
          <w:bCs w:val="0"/>
          <w:szCs w:val="20"/>
        </w:rPr>
      </w:pPr>
      <w:r w:rsidRPr="00A518E8">
        <w:rPr>
          <w:b/>
          <w:bCs w:val="0"/>
          <w:sz w:val="28"/>
          <w:szCs w:val="20"/>
        </w:rPr>
        <w:t>Length of stay in residential care</w:t>
      </w:r>
    </w:p>
    <w:p w14:paraId="11C498BB" w14:textId="7C7F7F5B" w:rsidR="008E20B8" w:rsidRDefault="008E20B8" w:rsidP="008E20B8">
      <w:r>
        <w:t>In 2022-23, the average total length of stay of those living in residential care was 3.</w:t>
      </w:r>
      <w:r w:rsidR="00281C3A">
        <w:t>0</w:t>
      </w:r>
      <w:r>
        <w:rPr>
          <w:spacing w:val="-4"/>
        </w:rPr>
        <w:t xml:space="preserve"> </w:t>
      </w:r>
      <w:r>
        <w:t xml:space="preserve">years. As </w:t>
      </w:r>
      <w:r w:rsidR="43E1BCD3">
        <w:t>shown</w:t>
      </w:r>
      <w:r>
        <w:t xml:space="preserve"> in </w:t>
      </w:r>
      <w:r w:rsidR="0035041A">
        <w:fldChar w:fldCharType="begin"/>
      </w:r>
      <w:r w:rsidR="0035041A">
        <w:instrText xml:space="preserve"> REF _Ref161402741 \h </w:instrText>
      </w:r>
      <w:r w:rsidR="0035041A">
        <w:fldChar w:fldCharType="separate"/>
      </w:r>
      <w:r w:rsidR="001377BE">
        <w:t xml:space="preserve">Chart </w:t>
      </w:r>
      <w:r w:rsidR="001377BE">
        <w:rPr>
          <w:noProof/>
        </w:rPr>
        <w:t>2</w:t>
      </w:r>
      <w:r w:rsidR="001377BE">
        <w:t>.</w:t>
      </w:r>
      <w:r w:rsidR="001377BE">
        <w:rPr>
          <w:noProof/>
        </w:rPr>
        <w:t>3</w:t>
      </w:r>
      <w:r w:rsidR="0035041A">
        <w:fldChar w:fldCharType="end"/>
      </w:r>
      <w:r>
        <w:t xml:space="preserve">, the </w:t>
      </w:r>
      <w:r w:rsidR="0FE357E8">
        <w:t xml:space="preserve">average </w:t>
      </w:r>
      <w:r>
        <w:t>total length of sta</w:t>
      </w:r>
      <w:r w:rsidR="00985394">
        <w:t xml:space="preserve">y </w:t>
      </w:r>
      <w:r>
        <w:t>increas</w:t>
      </w:r>
      <w:r w:rsidR="00985394">
        <w:t>ed</w:t>
      </w:r>
      <w:r>
        <w:t xml:space="preserve"> </w:t>
      </w:r>
      <w:r w:rsidR="00985394">
        <w:t xml:space="preserve">from </w:t>
      </w:r>
      <w:r>
        <w:t>2019-20</w:t>
      </w:r>
      <w:r w:rsidR="00985394">
        <w:t xml:space="preserve"> </w:t>
      </w:r>
      <w:r w:rsidR="00BE241E">
        <w:t xml:space="preserve">to 2021-22 </w:t>
      </w:r>
      <w:r w:rsidR="003E68B7">
        <w:t xml:space="preserve">(peak of </w:t>
      </w:r>
      <w:r w:rsidR="009854F4">
        <w:t>3.1</w:t>
      </w:r>
      <w:r w:rsidR="007254E4">
        <w:t xml:space="preserve"> years)</w:t>
      </w:r>
      <w:r w:rsidR="00BE241E">
        <w:t xml:space="preserve"> and then slightly decreased in 2022-23</w:t>
      </w:r>
      <w:r>
        <w:t>.</w:t>
      </w:r>
      <w:r>
        <w:rPr>
          <w:spacing w:val="-2"/>
        </w:rPr>
        <w:t xml:space="preserve"> </w:t>
      </w:r>
      <w:r>
        <w:t>Females</w:t>
      </w:r>
      <w:r>
        <w:rPr>
          <w:spacing w:val="-2"/>
        </w:rPr>
        <w:t xml:space="preserve"> </w:t>
      </w:r>
      <w:r>
        <w:t>stayed</w:t>
      </w:r>
      <w:r>
        <w:rPr>
          <w:spacing w:val="-2"/>
        </w:rPr>
        <w:t xml:space="preserve"> </w:t>
      </w:r>
      <w:r>
        <w:t>on</w:t>
      </w:r>
      <w:r>
        <w:rPr>
          <w:spacing w:val="-2"/>
        </w:rPr>
        <w:t xml:space="preserve"> </w:t>
      </w:r>
      <w:r>
        <w:t>average around 1 year longer than males in 2022</w:t>
      </w:r>
      <w:r w:rsidR="004409EA">
        <w:t>-23</w:t>
      </w:r>
      <w:r>
        <w:t>.</w:t>
      </w:r>
    </w:p>
    <w:p w14:paraId="3E23F621" w14:textId="6CF1F330" w:rsidR="008E20B8" w:rsidRPr="00E70854" w:rsidRDefault="008E20B8" w:rsidP="008E20B8">
      <w:r w:rsidRPr="00E70854">
        <w:t xml:space="preserve">The slight </w:t>
      </w:r>
      <w:r w:rsidR="000527E5">
        <w:t>de</w:t>
      </w:r>
      <w:r w:rsidRPr="00E70854">
        <w:t xml:space="preserve">crease in average length of stay </w:t>
      </w:r>
      <w:r w:rsidR="000527E5">
        <w:t>from 2021-22 to 2022-23</w:t>
      </w:r>
      <w:r w:rsidRPr="00E70854">
        <w:t xml:space="preserve"> is likely driven by </w:t>
      </w:r>
      <w:r w:rsidR="002964A2">
        <w:t>the</w:t>
      </w:r>
      <w:r w:rsidRPr="00E70854">
        <w:t xml:space="preserve"> </w:t>
      </w:r>
      <w:r w:rsidR="00707F28">
        <w:t>in</w:t>
      </w:r>
      <w:r w:rsidRPr="00E70854">
        <w:t xml:space="preserve">crease in </w:t>
      </w:r>
      <w:r w:rsidR="002964A2">
        <w:t>the proportion of residents that</w:t>
      </w:r>
      <w:r w:rsidR="000408F8">
        <w:t xml:space="preserve"> leave </w:t>
      </w:r>
      <w:r w:rsidR="00715853">
        <w:t xml:space="preserve">within 3, 6 or 12 months of </w:t>
      </w:r>
      <w:r w:rsidR="00583FE7">
        <w:t xml:space="preserve">first </w:t>
      </w:r>
      <w:r w:rsidR="00715853">
        <w:t>entry</w:t>
      </w:r>
      <w:r w:rsidR="00583FE7">
        <w:t xml:space="preserve">, as shown in </w:t>
      </w:r>
      <w:r w:rsidR="00583FE7">
        <w:fldChar w:fldCharType="begin"/>
      </w:r>
      <w:r w:rsidR="00583FE7">
        <w:instrText xml:space="preserve"> REF _Ref161402555 \h </w:instrText>
      </w:r>
      <w:r w:rsidR="00583FE7">
        <w:fldChar w:fldCharType="separate"/>
      </w:r>
      <w:r w:rsidR="001377BE">
        <w:t xml:space="preserve">Chart </w:t>
      </w:r>
      <w:r w:rsidR="001377BE">
        <w:rPr>
          <w:noProof/>
        </w:rPr>
        <w:t>2</w:t>
      </w:r>
      <w:r w:rsidR="001377BE">
        <w:t>.</w:t>
      </w:r>
      <w:r w:rsidR="001377BE">
        <w:rPr>
          <w:noProof/>
        </w:rPr>
        <w:t>4</w:t>
      </w:r>
      <w:r w:rsidR="00583FE7">
        <w:fldChar w:fldCharType="end"/>
      </w:r>
      <w:r w:rsidR="00583FE7">
        <w:t>.</w:t>
      </w:r>
      <w:r w:rsidR="00715853">
        <w:t xml:space="preserve"> </w:t>
      </w:r>
    </w:p>
    <w:p w14:paraId="69DFA923" w14:textId="599FC141" w:rsidR="00E23CED" w:rsidRDefault="007F5B26" w:rsidP="00F91BBB">
      <w:pPr>
        <w:pStyle w:val="Caption"/>
      </w:pPr>
      <w:bookmarkStart w:id="67" w:name="_Ref161402741"/>
      <w:bookmarkStart w:id="68" w:name="_Toc173428913"/>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3</w:t>
      </w:r>
      <w:r w:rsidR="00AE19AA">
        <w:rPr>
          <w:noProof/>
        </w:rPr>
        <w:fldChar w:fldCharType="end"/>
      </w:r>
      <w:bookmarkEnd w:id="67"/>
      <w:r>
        <w:t xml:space="preserve">: </w:t>
      </w:r>
      <w:r w:rsidRPr="008E2CC4">
        <w:t xml:space="preserve">Average length of stay in residential care, by gender and year of entry, </w:t>
      </w:r>
      <w:r w:rsidR="00721739">
        <w:t>2013-14</w:t>
      </w:r>
      <w:r w:rsidRPr="008E2CC4">
        <w:t xml:space="preserve"> to 2022</w:t>
      </w:r>
      <w:r w:rsidR="00593E94">
        <w:t>-23</w:t>
      </w:r>
      <w:bookmarkEnd w:id="68"/>
    </w:p>
    <w:p w14:paraId="454C4704" w14:textId="206BFD43" w:rsidR="00884853" w:rsidRDefault="00EA260A" w:rsidP="00F91BBB">
      <w:pPr>
        <w:pStyle w:val="Caption"/>
      </w:pPr>
      <w:r>
        <w:rPr>
          <w:noProof/>
        </w:rPr>
        <w:drawing>
          <wp:inline distT="0" distB="0" distL="0" distR="0" wp14:anchorId="348B9C6F" wp14:editId="164F7E5B">
            <wp:extent cx="5911200" cy="3280066"/>
            <wp:effectExtent l="0" t="0" r="0" b="0"/>
            <wp:docPr id="17" name="Picture 17" descr="Chart 2.3 is a line chart titled Average length of stay in residential care, by gender and year of entry, 2013-14 to 2022-23. In 2022-23, the average total length of stay of those living in residential care was 3.0 years. The average  total length of stay increased from 2019-20 to 2021-22 (peak of 3.1 years) and then slightly decreased in 2022-23. Females stayed on average around 1 year longer than males in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2.3 is a line chart titled Average length of stay in residential care, by gender and year of entry, 2013-14 to 2022-23. In 2022-23, the average total length of stay of those living in residential care was 3.0 years. The average  total length of stay increased from 2019-20 to 2021-22 (peak of 3.1 years) and then slightly decreased in 2022-23. Females stayed on average around 1 year longer than males in 2022-23.&#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7509" cy="3289116"/>
                    </a:xfrm>
                    <a:prstGeom prst="rect">
                      <a:avLst/>
                    </a:prstGeom>
                    <a:noFill/>
                  </pic:spPr>
                </pic:pic>
              </a:graphicData>
            </a:graphic>
          </wp:inline>
        </w:drawing>
      </w:r>
    </w:p>
    <w:p w14:paraId="244EB961" w14:textId="10E7BEFE" w:rsidR="00E3750B" w:rsidRDefault="00E3750B" w:rsidP="00E3750B">
      <w:pPr>
        <w:pStyle w:val="FootnoteText"/>
      </w:pPr>
      <w:r w:rsidRPr="007D2C86">
        <w:t xml:space="preserve">Note: </w:t>
      </w:r>
      <w:r w:rsidRPr="00472F54">
        <w:t xml:space="preserve">The data for Chart </w:t>
      </w:r>
      <w:r>
        <w:t>2.3</w:t>
      </w:r>
      <w:r w:rsidRPr="00472F54">
        <w:t xml:space="preserve"> is a point-in-time snapshot from a live data set. Previously reported results may have changed if the data was </w:t>
      </w:r>
      <w:r w:rsidR="00ED20F6">
        <w:t>amended</w:t>
      </w:r>
      <w:r w:rsidRPr="00472F54">
        <w:t xml:space="preserve"> after the point</w:t>
      </w:r>
      <w:r>
        <w:t>-</w:t>
      </w:r>
      <w:r w:rsidRPr="00472F54">
        <w:t>in</w:t>
      </w:r>
      <w:r>
        <w:t>-</w:t>
      </w:r>
      <w:r w:rsidRPr="00472F54">
        <w:t>time snapshot was taken.</w:t>
      </w:r>
    </w:p>
    <w:p w14:paraId="0ECB7DBA" w14:textId="77777777" w:rsidR="006F4F12" w:rsidRDefault="006F4F12" w:rsidP="006F4F12">
      <w:pPr>
        <w:spacing w:before="0" w:after="0" w:line="240" w:lineRule="auto"/>
      </w:pPr>
      <w:r>
        <w:br w:type="page"/>
      </w:r>
    </w:p>
    <w:p w14:paraId="7CF50FDC" w14:textId="1F1631EF" w:rsidR="004B047A" w:rsidRPr="00A93ED5" w:rsidRDefault="004B047A" w:rsidP="004B047A">
      <w:r>
        <w:fldChar w:fldCharType="begin"/>
      </w:r>
      <w:r>
        <w:instrText xml:space="preserve"> REF _Ref161402555 \h </w:instrText>
      </w:r>
      <w:r>
        <w:fldChar w:fldCharType="separate"/>
      </w:r>
      <w:r w:rsidR="001377BE">
        <w:t xml:space="preserve">Chart </w:t>
      </w:r>
      <w:r w:rsidR="001377BE">
        <w:rPr>
          <w:noProof/>
        </w:rPr>
        <w:t>2</w:t>
      </w:r>
      <w:r w:rsidR="001377BE">
        <w:t>.</w:t>
      </w:r>
      <w:r w:rsidR="001377BE">
        <w:rPr>
          <w:noProof/>
        </w:rPr>
        <w:t>4</w:t>
      </w:r>
      <w:r>
        <w:fldChar w:fldCharType="end"/>
      </w:r>
      <w:r>
        <w:t xml:space="preserve"> </w:t>
      </w:r>
      <w:r w:rsidRPr="00A10F06">
        <w:t>shows</w:t>
      </w:r>
      <w:r>
        <w:t xml:space="preserve"> </w:t>
      </w:r>
      <w:r w:rsidRPr="00A93ED5">
        <w:t xml:space="preserve">a slight </w:t>
      </w:r>
      <w:r>
        <w:t>in</w:t>
      </w:r>
      <w:r w:rsidRPr="00A93ED5">
        <w:t>crease in the proportion of permanent</w:t>
      </w:r>
      <w:r w:rsidRPr="00A93ED5">
        <w:rPr>
          <w:spacing w:val="-8"/>
        </w:rPr>
        <w:t xml:space="preserve"> </w:t>
      </w:r>
      <w:r w:rsidRPr="00A93ED5">
        <w:t>residents</w:t>
      </w:r>
      <w:r w:rsidRPr="00A93ED5">
        <w:rPr>
          <w:spacing w:val="-8"/>
        </w:rPr>
        <w:t xml:space="preserve"> </w:t>
      </w:r>
      <w:r w:rsidRPr="00A93ED5">
        <w:t>that</w:t>
      </w:r>
      <w:r w:rsidRPr="00A93ED5">
        <w:rPr>
          <w:spacing w:val="-8"/>
        </w:rPr>
        <w:t xml:space="preserve"> </w:t>
      </w:r>
      <w:r w:rsidR="002C7FD8">
        <w:t>left</w:t>
      </w:r>
      <w:r w:rsidR="002C7FD8" w:rsidRPr="00A93ED5">
        <w:rPr>
          <w:spacing w:val="-8"/>
        </w:rPr>
        <w:t xml:space="preserve"> </w:t>
      </w:r>
      <w:r w:rsidRPr="00A93ED5">
        <w:t>within</w:t>
      </w:r>
      <w:r w:rsidRPr="00A93ED5">
        <w:rPr>
          <w:spacing w:val="-8"/>
        </w:rPr>
        <w:t xml:space="preserve"> </w:t>
      </w:r>
      <w:r w:rsidRPr="00A93ED5">
        <w:t>3</w:t>
      </w:r>
      <w:r>
        <w:t xml:space="preserve">, </w:t>
      </w:r>
      <w:r w:rsidRPr="00A93ED5">
        <w:t>6</w:t>
      </w:r>
      <w:r>
        <w:t xml:space="preserve"> and 12 months</w:t>
      </w:r>
      <w:r w:rsidR="005B43AE">
        <w:t xml:space="preserve"> in </w:t>
      </w:r>
      <w:r w:rsidR="00C63CBA">
        <w:t>2022-23</w:t>
      </w:r>
      <w:r>
        <w:t xml:space="preserve">. </w:t>
      </w:r>
    </w:p>
    <w:p w14:paraId="38E81469" w14:textId="1AFEA9F1" w:rsidR="00E23CED" w:rsidRDefault="00202234" w:rsidP="00706D0A">
      <w:pPr>
        <w:pStyle w:val="Caption"/>
      </w:pPr>
      <w:bookmarkStart w:id="69" w:name="_Ref161402555"/>
      <w:bookmarkStart w:id="70" w:name="_Toc173428914"/>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4</w:t>
      </w:r>
      <w:r w:rsidR="00AE19AA">
        <w:rPr>
          <w:noProof/>
        </w:rPr>
        <w:fldChar w:fldCharType="end"/>
      </w:r>
      <w:bookmarkEnd w:id="69"/>
      <w:r>
        <w:t xml:space="preserve">: </w:t>
      </w:r>
      <w:r w:rsidRPr="00942156">
        <w:t>Proportion of permanent residents that leave within 3, 6 or 12 months of first entry, 2012</w:t>
      </w:r>
      <w:r w:rsidR="00FB059C">
        <w:t>-13</w:t>
      </w:r>
      <w:r w:rsidRPr="00942156">
        <w:t xml:space="preserve"> to 2022</w:t>
      </w:r>
      <w:r w:rsidR="00FB059C">
        <w:t>-23</w:t>
      </w:r>
      <w:bookmarkEnd w:id="70"/>
    </w:p>
    <w:p w14:paraId="1822F865" w14:textId="24DFCDD4" w:rsidR="00202234" w:rsidRDefault="00FB059C" w:rsidP="00706D0A">
      <w:pPr>
        <w:pStyle w:val="Caption"/>
      </w:pPr>
      <w:r>
        <w:rPr>
          <w:noProof/>
        </w:rPr>
        <w:drawing>
          <wp:inline distT="0" distB="0" distL="0" distR="0" wp14:anchorId="11FB7EF3" wp14:editId="259561A2">
            <wp:extent cx="5860800" cy="3287556"/>
            <wp:effectExtent l="0" t="0" r="6985" b="8255"/>
            <wp:docPr id="1271021920" name="Picture 1271021920" descr="Chart 2.4 is a line chart titled Proportion of permanent residents that leave within 3, 6 or 12 months of first entry, 2012-13 to 2022-23. There has been a slight increase in the proportion of permanent residents that left within 3, 6 and 12 months in 2022-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0" name="Picture 1271021920" descr="Chart 2.4 is a line chart titled Proportion of permanent residents that leave within 3, 6 or 12 months of first entry, 2012-13 to 2022-23. There has been a slight increase in the proportion of permanent residents that left within 3, 6 and 12 months in 2022-23.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7272" cy="3291187"/>
                    </a:xfrm>
                    <a:prstGeom prst="rect">
                      <a:avLst/>
                    </a:prstGeom>
                    <a:noFill/>
                  </pic:spPr>
                </pic:pic>
              </a:graphicData>
            </a:graphic>
          </wp:inline>
        </w:drawing>
      </w:r>
    </w:p>
    <w:p w14:paraId="28F3B590" w14:textId="767149F9" w:rsidR="00E3750B" w:rsidRDefault="00E3750B" w:rsidP="00E3750B">
      <w:pPr>
        <w:pStyle w:val="FootnoteText"/>
      </w:pPr>
      <w:r w:rsidRPr="007D2C86">
        <w:t xml:space="preserve">Note: </w:t>
      </w:r>
      <w:r w:rsidRPr="00472F54">
        <w:t xml:space="preserve">The data for Chart </w:t>
      </w:r>
      <w:r w:rsidR="00946B22">
        <w:t>2.4</w:t>
      </w:r>
      <w:r w:rsidRPr="00472F54">
        <w:t xml:space="preserve"> is a point-in-time snapshot from a live data set. Previously reported results may have changed if the data was </w:t>
      </w:r>
      <w:r w:rsidR="00ED20F6">
        <w:t>amended</w:t>
      </w:r>
      <w:r w:rsidRPr="00472F54">
        <w:t xml:space="preserve"> after the point</w:t>
      </w:r>
      <w:r>
        <w:t>-</w:t>
      </w:r>
      <w:r w:rsidRPr="00472F54">
        <w:t>in</w:t>
      </w:r>
      <w:r>
        <w:t>-</w:t>
      </w:r>
      <w:r w:rsidRPr="00472F54">
        <w:t>time snapshot was taken.</w:t>
      </w:r>
    </w:p>
    <w:p w14:paraId="6DA815EE" w14:textId="77777777" w:rsidR="00F91BBB" w:rsidRDefault="00F91BBB" w:rsidP="00105EFE">
      <w:pPr>
        <w:rPr>
          <w:b/>
          <w:bCs w:val="0"/>
          <w:sz w:val="28"/>
          <w:szCs w:val="28"/>
        </w:rPr>
      </w:pPr>
    </w:p>
    <w:p w14:paraId="55F347BD" w14:textId="0491EFC5" w:rsidR="009B6322" w:rsidRPr="009F4CA9" w:rsidRDefault="009B6322" w:rsidP="00105EFE">
      <w:pPr>
        <w:rPr>
          <w:bCs w:val="0"/>
          <w:szCs w:val="28"/>
        </w:rPr>
      </w:pPr>
      <w:r w:rsidRPr="00105EFE">
        <w:rPr>
          <w:b/>
          <w:bCs w:val="0"/>
          <w:sz w:val="28"/>
          <w:szCs w:val="28"/>
        </w:rPr>
        <w:t>Residential respite care</w:t>
      </w:r>
    </w:p>
    <w:p w14:paraId="28C15E65" w14:textId="4E340591" w:rsidR="000777EB" w:rsidRDefault="000777EB" w:rsidP="000777EB">
      <w:r>
        <w:t>Residential</w:t>
      </w:r>
      <w:r>
        <w:rPr>
          <w:spacing w:val="-11"/>
        </w:rPr>
        <w:t xml:space="preserve"> </w:t>
      </w:r>
      <w:r>
        <w:t>respite</w:t>
      </w:r>
      <w:r>
        <w:rPr>
          <w:spacing w:val="-11"/>
        </w:rPr>
        <w:t xml:space="preserve"> </w:t>
      </w:r>
      <w:r>
        <w:t>care</w:t>
      </w:r>
      <w:r>
        <w:rPr>
          <w:spacing w:val="-11"/>
        </w:rPr>
        <w:t xml:space="preserve"> </w:t>
      </w:r>
      <w:r>
        <w:t>is</w:t>
      </w:r>
      <w:r>
        <w:rPr>
          <w:spacing w:val="-11"/>
        </w:rPr>
        <w:t xml:space="preserve"> </w:t>
      </w:r>
      <w:r>
        <w:t>short-term</w:t>
      </w:r>
      <w:r>
        <w:rPr>
          <w:spacing w:val="-11"/>
        </w:rPr>
        <w:t xml:space="preserve"> </w:t>
      </w:r>
      <w:r>
        <w:t>care</w:t>
      </w:r>
      <w:r>
        <w:rPr>
          <w:spacing w:val="-11"/>
        </w:rPr>
        <w:t xml:space="preserve"> </w:t>
      </w:r>
      <w:r>
        <w:t>delivered within an aged care facility</w:t>
      </w:r>
      <w:r>
        <w:rPr>
          <w:rStyle w:val="FootnoteReference"/>
        </w:rPr>
        <w:footnoteReference w:id="5"/>
      </w:r>
      <w:r>
        <w:t xml:space="preserve"> on either a planned or emergency</w:t>
      </w:r>
      <w:r>
        <w:rPr>
          <w:spacing w:val="-3"/>
        </w:rPr>
        <w:t xml:space="preserve"> </w:t>
      </w:r>
      <w:r>
        <w:t>basis.</w:t>
      </w:r>
      <w:r>
        <w:rPr>
          <w:spacing w:val="-3"/>
        </w:rPr>
        <w:t xml:space="preserve"> </w:t>
      </w:r>
      <w:r>
        <w:t>People</w:t>
      </w:r>
      <w:r>
        <w:rPr>
          <w:spacing w:val="-3"/>
        </w:rPr>
        <w:t xml:space="preserve"> </w:t>
      </w:r>
      <w:r>
        <w:t>are</w:t>
      </w:r>
      <w:r>
        <w:rPr>
          <w:spacing w:val="-3"/>
        </w:rPr>
        <w:t xml:space="preserve"> </w:t>
      </w:r>
      <w:r>
        <w:t>assessed</w:t>
      </w:r>
      <w:r>
        <w:rPr>
          <w:spacing w:val="-3"/>
        </w:rPr>
        <w:t xml:space="preserve"> </w:t>
      </w:r>
      <w:r>
        <w:t>for</w:t>
      </w:r>
      <w:r>
        <w:rPr>
          <w:spacing w:val="-3"/>
        </w:rPr>
        <w:t xml:space="preserve"> </w:t>
      </w:r>
      <w:r>
        <w:t>eligibility by</w:t>
      </w:r>
      <w:r>
        <w:rPr>
          <w:spacing w:val="-11"/>
        </w:rPr>
        <w:t xml:space="preserve"> </w:t>
      </w:r>
      <w:r>
        <w:t>an</w:t>
      </w:r>
      <w:r>
        <w:rPr>
          <w:spacing w:val="-11"/>
        </w:rPr>
        <w:t xml:space="preserve"> </w:t>
      </w:r>
      <w:r>
        <w:t>ACAT,</w:t>
      </w:r>
      <w:r>
        <w:rPr>
          <w:spacing w:val="-11"/>
        </w:rPr>
        <w:t xml:space="preserve"> </w:t>
      </w:r>
      <w:r>
        <w:t xml:space="preserve">for </w:t>
      </w:r>
      <w:r w:rsidR="00372ACF">
        <w:t xml:space="preserve">either </w:t>
      </w:r>
      <w:r>
        <w:t>low or high care respite.</w:t>
      </w:r>
      <w:r>
        <w:rPr>
          <w:spacing w:val="-9"/>
        </w:rPr>
        <w:t xml:space="preserve"> </w:t>
      </w:r>
      <w:r>
        <w:t>A</w:t>
      </w:r>
      <w:r w:rsidDel="00AE05B9">
        <w:t xml:space="preserve"> </w:t>
      </w:r>
      <w:r>
        <w:t xml:space="preserve">resident can access subsidised residential respite for up to 63 days per financial year, with the possibility of </w:t>
      </w:r>
      <w:r w:rsidR="00907BE1">
        <w:t>an extension</w:t>
      </w:r>
      <w:r w:rsidR="00860B56">
        <w:t xml:space="preserve">, </w:t>
      </w:r>
      <w:r>
        <w:t xml:space="preserve">subject to ACAT approval.  </w:t>
      </w:r>
    </w:p>
    <w:p w14:paraId="422BE428" w14:textId="3D689D88" w:rsidR="00482DE8" w:rsidRDefault="00482DE8" w:rsidP="008A3D85">
      <w:r>
        <w:t xml:space="preserve">From 1 October 2022, changes to residential respite care came into effect with the commencement of the new </w:t>
      </w:r>
      <w:r w:rsidR="007A3895">
        <w:t>Australian National Aged Care Classification (</w:t>
      </w:r>
      <w:r>
        <w:t>AN-ACC</w:t>
      </w:r>
      <w:r w:rsidR="007A3895">
        <w:t>)</w:t>
      </w:r>
      <w:r>
        <w:t xml:space="preserve">-aligned residential respite funding model, which consists of 2 components: </w:t>
      </w:r>
    </w:p>
    <w:p w14:paraId="6C5CD300" w14:textId="77777777" w:rsidR="00482DE8" w:rsidRDefault="00482DE8" w:rsidP="00541421">
      <w:pPr>
        <w:pStyle w:val="ListBullet"/>
      </w:pPr>
      <w:r>
        <w:t xml:space="preserve">fixed funding or Base Care Tariff (BCT) to reflect the characteristics of the service, identical to BCT funding for permanent residents </w:t>
      </w:r>
    </w:p>
    <w:p w14:paraId="26FD9716" w14:textId="02DF2C7B" w:rsidR="00482DE8" w:rsidRDefault="00482DE8" w:rsidP="00541421">
      <w:pPr>
        <w:pStyle w:val="ListBullet"/>
      </w:pPr>
      <w:r>
        <w:t>variable funding based on the resident’s respite class</w:t>
      </w:r>
    </w:p>
    <w:p w14:paraId="526173E9" w14:textId="0FC8DEBD" w:rsidR="008A3D85" w:rsidRDefault="008A3D85" w:rsidP="004570C4">
      <w:r>
        <w:t xml:space="preserve">A respite supplement is also payable for each day a respite resident </w:t>
      </w:r>
      <w:r w:rsidR="009D45FD">
        <w:t>is</w:t>
      </w:r>
      <w:r>
        <w:t xml:space="preserve"> in care. </w:t>
      </w:r>
    </w:p>
    <w:p w14:paraId="4ADA1F26" w14:textId="77936397" w:rsidR="00482DE8" w:rsidRDefault="008A3D85" w:rsidP="008A3D85">
      <w:r>
        <w:t>In addition, from 1 October 2022, the respite supplement paid to approved providers of residential respite care is paid at a rate to equal the maximum rate of accommodation supplement payable for eligible permanent care recipients in the same service (without means testing or application of the 40</w:t>
      </w:r>
      <w:r w:rsidR="008A1388">
        <w:t xml:space="preserve">% </w:t>
      </w:r>
      <w:r>
        <w:t xml:space="preserve">supported resident rule). The respite supplement helps cover the accommodation costs of the residential respite care recipient. The respite supplement is only payable for days on which </w:t>
      </w:r>
      <w:r w:rsidR="00A56EEB">
        <w:t xml:space="preserve">the </w:t>
      </w:r>
      <w:r>
        <w:t>respite care basic subsidy is payable.</w:t>
      </w:r>
    </w:p>
    <w:p w14:paraId="1D4F2229" w14:textId="1D42CBCC" w:rsidR="000777EB" w:rsidRPr="00EF7A4A" w:rsidRDefault="000777EB" w:rsidP="000777EB">
      <w:r w:rsidRPr="00EF7A4A">
        <w:t xml:space="preserve">As shown in </w:t>
      </w:r>
      <w:r>
        <w:fldChar w:fldCharType="begin"/>
      </w:r>
      <w:r>
        <w:instrText xml:space="preserve"> REF _Ref161402329 \h </w:instrText>
      </w:r>
      <w:r>
        <w:fldChar w:fldCharType="separate"/>
      </w:r>
      <w:r w:rsidR="001377BE">
        <w:t xml:space="preserve">Chart </w:t>
      </w:r>
      <w:r w:rsidR="001377BE">
        <w:rPr>
          <w:noProof/>
        </w:rPr>
        <w:t>2</w:t>
      </w:r>
      <w:r w:rsidR="001377BE">
        <w:t>.</w:t>
      </w:r>
      <w:r w:rsidR="001377BE">
        <w:rPr>
          <w:noProof/>
        </w:rPr>
        <w:t>5</w:t>
      </w:r>
      <w:r>
        <w:fldChar w:fldCharType="end"/>
      </w:r>
      <w:r>
        <w:t>, the</w:t>
      </w:r>
      <w:r w:rsidRPr="00EF7A4A">
        <w:t xml:space="preserve"> average</w:t>
      </w:r>
      <w:r>
        <w:t xml:space="preserve"> </w:t>
      </w:r>
      <w:r w:rsidRPr="00EF7A4A">
        <w:t>stay</w:t>
      </w:r>
      <w:r>
        <w:rPr>
          <w:rStyle w:val="FootnoteReference"/>
        </w:rPr>
        <w:footnoteReference w:id="6"/>
      </w:r>
      <w:r>
        <w:t xml:space="preserve"> in residential respite care</w:t>
      </w:r>
      <w:r w:rsidRPr="00EF7A4A">
        <w:t xml:space="preserve"> was 30.</w:t>
      </w:r>
      <w:r>
        <w:t>3</w:t>
      </w:r>
      <w:r w:rsidRPr="00EF7A4A">
        <w:t xml:space="preserve"> days</w:t>
      </w:r>
      <w:r>
        <w:rPr>
          <w:rStyle w:val="FootnoteReference"/>
        </w:rPr>
        <w:footnoteReference w:id="7"/>
      </w:r>
      <w:r w:rsidRPr="00EF7A4A">
        <w:t xml:space="preserve"> in 2022</w:t>
      </w:r>
      <w:r>
        <w:t>-23, an increase from 30.1 days in 2021-22. Since 2018-19, there has been a steady increase in the average length of stay in residential respite care by an average of 1.</w:t>
      </w:r>
      <w:r w:rsidR="00424DC7">
        <w:t>2</w:t>
      </w:r>
      <w:r>
        <w:t xml:space="preserve"> days</w:t>
      </w:r>
      <w:r w:rsidR="00954132">
        <w:t xml:space="preserve"> each year</w:t>
      </w:r>
      <w:r>
        <w:t xml:space="preserve">. </w:t>
      </w:r>
    </w:p>
    <w:p w14:paraId="2069EFDB" w14:textId="303096BB" w:rsidR="00E23CED" w:rsidRDefault="006B5925" w:rsidP="00706D0A">
      <w:pPr>
        <w:pStyle w:val="Caption"/>
      </w:pPr>
      <w:bookmarkStart w:id="71" w:name="_Ref161402329"/>
      <w:bookmarkStart w:id="72" w:name="_Toc173428915"/>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5</w:t>
      </w:r>
      <w:r w:rsidR="00AE19AA">
        <w:rPr>
          <w:noProof/>
        </w:rPr>
        <w:fldChar w:fldCharType="end"/>
      </w:r>
      <w:bookmarkEnd w:id="71"/>
      <w:r>
        <w:t xml:space="preserve">: </w:t>
      </w:r>
      <w:r w:rsidRPr="009659D1">
        <w:t>Average length of stay (days) in residential respite care, 2018</w:t>
      </w:r>
      <w:r w:rsidR="00810396">
        <w:t>-19</w:t>
      </w:r>
      <w:r w:rsidRPr="009659D1">
        <w:t xml:space="preserve"> to 202</w:t>
      </w:r>
      <w:r w:rsidR="006C4855">
        <w:t>2-23</w:t>
      </w:r>
      <w:bookmarkEnd w:id="72"/>
    </w:p>
    <w:p w14:paraId="294FF614" w14:textId="3A63C42E" w:rsidR="0024622D" w:rsidRDefault="00F34FD9" w:rsidP="00706D0A">
      <w:pPr>
        <w:pStyle w:val="Caption"/>
      </w:pPr>
      <w:r>
        <w:rPr>
          <w:noProof/>
        </w:rPr>
        <w:drawing>
          <wp:inline distT="0" distB="0" distL="0" distR="0" wp14:anchorId="64365996" wp14:editId="76A746EB">
            <wp:extent cx="5912709" cy="3251200"/>
            <wp:effectExtent l="0" t="0" r="0" b="6350"/>
            <wp:docPr id="28" name="Picture 28" descr="Chart 2.5 is a column chart titled Average length of stay (days) in residential respite care, 2018-19 to 2022-23. The average stay in respite care was 30.3 days in 2022-23, up from 30.1 days in 2021-2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2.5 is a column chart titled Average length of stay (days) in residential respite care, 2018-19 to 2022-23. The average stay in respite care was 30.3 days in 2022-23, up from 30.1 days in 2021-22.&#10;&#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18436" cy="3254349"/>
                    </a:xfrm>
                    <a:prstGeom prst="rect">
                      <a:avLst/>
                    </a:prstGeom>
                    <a:noFill/>
                  </pic:spPr>
                </pic:pic>
              </a:graphicData>
            </a:graphic>
          </wp:inline>
        </w:drawing>
      </w:r>
    </w:p>
    <w:p w14:paraId="54061464" w14:textId="3D890A15" w:rsidR="00C4743E" w:rsidRDefault="00C4743E" w:rsidP="00C4743E">
      <w:pPr>
        <w:pStyle w:val="FootnoteText"/>
      </w:pPr>
      <w:r w:rsidRPr="007D2C86">
        <w:t xml:space="preserve">Note: </w:t>
      </w:r>
      <w:r w:rsidRPr="00472F54">
        <w:t xml:space="preserve">The data for Chart </w:t>
      </w:r>
      <w:r>
        <w:t>2.5</w:t>
      </w:r>
      <w:r w:rsidRPr="00472F54">
        <w:t xml:space="preserve"> is a point-in-time snapshot from a live data set. Previously reported results may have changed if the data was </w:t>
      </w:r>
      <w:r w:rsidR="00014093">
        <w:t>amended</w:t>
      </w:r>
      <w:r w:rsidRPr="00472F54">
        <w:t xml:space="preserve"> after the point</w:t>
      </w:r>
      <w:r>
        <w:t>-</w:t>
      </w:r>
      <w:r w:rsidRPr="00472F54">
        <w:t>in</w:t>
      </w:r>
      <w:r>
        <w:t>-</w:t>
      </w:r>
      <w:r w:rsidRPr="00472F54">
        <w:t>time snapshot was taken.</w:t>
      </w:r>
    </w:p>
    <w:p w14:paraId="69B7C3C3" w14:textId="0649DA01" w:rsidR="008222D6" w:rsidRPr="00CE4AE2" w:rsidRDefault="008222D6" w:rsidP="008222D6">
      <w:r w:rsidRPr="004C59EA">
        <w:fldChar w:fldCharType="begin"/>
      </w:r>
      <w:r w:rsidRPr="004C59EA">
        <w:instrText xml:space="preserve"> REF _Ref162510952 \h </w:instrText>
      </w:r>
      <w:r w:rsidR="004C59EA">
        <w:instrText xml:space="preserve"> \* MERGEFORMAT </w:instrText>
      </w:r>
      <w:r w:rsidRPr="004C59EA">
        <w:fldChar w:fldCharType="separate"/>
      </w:r>
      <w:r w:rsidR="001377BE">
        <w:t xml:space="preserve">Chart </w:t>
      </w:r>
      <w:r w:rsidR="001377BE">
        <w:rPr>
          <w:noProof/>
        </w:rPr>
        <w:t>2.6</w:t>
      </w:r>
      <w:r w:rsidRPr="004C59EA">
        <w:fldChar w:fldCharType="end"/>
      </w:r>
      <w:r w:rsidRPr="004C59EA">
        <w:t xml:space="preserve"> shows a clear pattern of respite care usage which is usually for stays of whole weeks at a time. Two weeks is the most common residential respite care length of stay</w:t>
      </w:r>
      <w:r w:rsidR="000C3F9E" w:rsidRPr="004C59EA">
        <w:t xml:space="preserve">, followed by </w:t>
      </w:r>
      <w:r w:rsidR="004C59EA" w:rsidRPr="004C59EA">
        <w:t>a month</w:t>
      </w:r>
      <w:r w:rsidRPr="004C59EA">
        <w:t>.</w:t>
      </w:r>
    </w:p>
    <w:p w14:paraId="433856EA" w14:textId="4BB07461" w:rsidR="007E0981" w:rsidRDefault="0024622D" w:rsidP="00706D0A">
      <w:pPr>
        <w:pStyle w:val="Caption"/>
      </w:pPr>
      <w:bookmarkStart w:id="73" w:name="_Ref162510952"/>
      <w:bookmarkStart w:id="74" w:name="_Toc173428916"/>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6</w:t>
      </w:r>
      <w:r w:rsidR="00AE19AA">
        <w:rPr>
          <w:noProof/>
        </w:rPr>
        <w:fldChar w:fldCharType="end"/>
      </w:r>
      <w:bookmarkEnd w:id="73"/>
      <w:r>
        <w:t xml:space="preserve">: </w:t>
      </w:r>
      <w:r w:rsidRPr="00010ADA">
        <w:t>Frequency of length of respite care stays, 2022</w:t>
      </w:r>
      <w:r w:rsidR="000C3F9E">
        <w:t>-23</w:t>
      </w:r>
      <w:bookmarkEnd w:id="74"/>
    </w:p>
    <w:p w14:paraId="5A672C33" w14:textId="05EEAA4F" w:rsidR="00046B48" w:rsidRPr="00046B48" w:rsidRDefault="00046B48" w:rsidP="00046B48">
      <w:r>
        <w:rPr>
          <w:noProof/>
        </w:rPr>
        <w:drawing>
          <wp:inline distT="0" distB="0" distL="0" distR="0" wp14:anchorId="0AE73C51" wp14:editId="24291327">
            <wp:extent cx="5920606" cy="3304800"/>
            <wp:effectExtent l="0" t="0" r="4445" b="0"/>
            <wp:docPr id="10" name="Picture 10" descr="Chart 2.6 is a line chart titled Frequency of length of respite care stays, 2022-23. There is a clear pattern of respite care usage which is usually for stays of whole weeks at a time. Two weeks is the most common residential respite care length of stay, followed by a mon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2.6 is a line chart titled Frequency of length of respite care stays, 2022-23. There is a clear pattern of respite care usage which is usually for stays of whole weeks at a time. Two weeks is the most common residential respite care length of stay, followed by a month.&#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2851" cy="3317217"/>
                    </a:xfrm>
                    <a:prstGeom prst="rect">
                      <a:avLst/>
                    </a:prstGeom>
                    <a:noFill/>
                  </pic:spPr>
                </pic:pic>
              </a:graphicData>
            </a:graphic>
          </wp:inline>
        </w:drawing>
      </w:r>
    </w:p>
    <w:p w14:paraId="3CD49C62" w14:textId="77777777" w:rsidR="007E0981" w:rsidRPr="009F4CA9" w:rsidRDefault="007E0981" w:rsidP="00C35D68">
      <w:pPr>
        <w:rPr>
          <w:bCs w:val="0"/>
          <w:szCs w:val="28"/>
        </w:rPr>
      </w:pPr>
      <w:r w:rsidRPr="00C35D68">
        <w:rPr>
          <w:b/>
          <w:bCs w:val="0"/>
          <w:sz w:val="28"/>
          <w:szCs w:val="28"/>
        </w:rPr>
        <w:t>Aged Care Approvals Round and interim arrangements</w:t>
      </w:r>
    </w:p>
    <w:p w14:paraId="5162E114" w14:textId="71E50F7B" w:rsidR="00F477F5" w:rsidRPr="00C35D68" w:rsidRDefault="00F477F5" w:rsidP="002C1713">
      <w:r w:rsidRPr="00C35D68">
        <w:t xml:space="preserve">The Australian Government has introduced changes to </w:t>
      </w:r>
      <w:r w:rsidR="001A3FED">
        <w:t xml:space="preserve">the allocation of places in </w:t>
      </w:r>
      <w:r w:rsidRPr="00C35D68">
        <w:t xml:space="preserve">residential aged care. The </w:t>
      </w:r>
      <w:r w:rsidR="000A5FD9">
        <w:t>Aged Care Approvals Round (</w:t>
      </w:r>
      <w:r w:rsidR="0010505D">
        <w:t>ACAR</w:t>
      </w:r>
      <w:r w:rsidR="000A5FD9">
        <w:t>)</w:t>
      </w:r>
      <w:r w:rsidRPr="00C35D68">
        <w:t xml:space="preserve"> process, which allocated residential places to providers, has ceased and no further rounds will be held. The last ACAR was held in </w:t>
      </w:r>
      <w:r w:rsidR="00584379">
        <w:t>the</w:t>
      </w:r>
      <w:r w:rsidRPr="00C35D68">
        <w:t xml:space="preserve"> 2020-21</w:t>
      </w:r>
      <w:r w:rsidR="00584379">
        <w:t xml:space="preserve"> financial year</w:t>
      </w:r>
      <w:r w:rsidRPr="00C35D68">
        <w:t xml:space="preserve">. </w:t>
      </w:r>
      <w:r w:rsidR="00917578">
        <w:t>As part of the new Aged Care Act</w:t>
      </w:r>
      <w:r w:rsidRPr="00C35D68">
        <w:t xml:space="preserve">, </w:t>
      </w:r>
      <w:r w:rsidR="006E3619">
        <w:t>older people living in</w:t>
      </w:r>
      <w:r w:rsidRPr="00C35D68">
        <w:t xml:space="preserve"> Australia will be assigned a place upon being approved for residential aged care. They can take their place to their provider and home of choice. This will mean that instead of providers being restricted to place allocations through an ACAR process, they can increase beds in their residential facilities</w:t>
      </w:r>
      <w:r w:rsidRPr="00C35D68" w:rsidDel="005B19F7">
        <w:t xml:space="preserve"> </w:t>
      </w:r>
      <w:r w:rsidRPr="00C35D68">
        <w:t>and develop new facilities more flexibly to be responsive to local community demands for aged care. The</w:t>
      </w:r>
      <w:r w:rsidR="001A3FED">
        <w:t>se</w:t>
      </w:r>
      <w:r w:rsidRPr="00C35D68">
        <w:t xml:space="preserve"> changes are designed to increase choice and control for </w:t>
      </w:r>
      <w:r w:rsidR="00C95F3D">
        <w:t xml:space="preserve">older </w:t>
      </w:r>
      <w:r w:rsidR="006E3619">
        <w:t>people in Australia</w:t>
      </w:r>
      <w:r w:rsidRPr="00C35D68">
        <w:t xml:space="preserve"> and increase competition in the market to stimulate ongoing investment to improve care and accommodation offerings. Funding for residential care will continue to flow from the Australian Government directly to the provider. </w:t>
      </w:r>
    </w:p>
    <w:p w14:paraId="59619F18" w14:textId="3424CA38" w:rsidR="00F477F5" w:rsidRPr="00167516" w:rsidRDefault="00F477F5" w:rsidP="002C1713">
      <w:r w:rsidRPr="00C35D68">
        <w:t xml:space="preserve">Transitional arrangements are in place until </w:t>
      </w:r>
      <w:r w:rsidR="000F3FC4">
        <w:t>the new Aged Care Act commences</w:t>
      </w:r>
      <w:r w:rsidRPr="00C35D68">
        <w:t xml:space="preserve"> to ensure the ongoing supply of residential aged care in the interim period. These arrangements allow providers to apply directly to the department for an allocation of residential care places if they can deliver care immediately, but do not currently have the places allocated. Since the implementation of these arrangements, a total of </w:t>
      </w:r>
      <w:r w:rsidR="003302F7">
        <w:t>628</w:t>
      </w:r>
      <w:r w:rsidR="003302F7" w:rsidRPr="00C35D68">
        <w:t xml:space="preserve"> </w:t>
      </w:r>
      <w:r w:rsidRPr="00C35D68">
        <w:t>residential care places have been allocated through this process.</w:t>
      </w:r>
      <w:r w:rsidRPr="00C35D68">
        <w:rPr>
          <w:color w:val="FF0000"/>
        </w:rPr>
        <w:t xml:space="preserve"> </w:t>
      </w:r>
      <w:r w:rsidRPr="00C35D68">
        <w:t> </w:t>
      </w:r>
      <w:r w:rsidRPr="00C35D68" w:rsidDel="00D57A1C">
        <w:t xml:space="preserve"> </w:t>
      </w:r>
    </w:p>
    <w:p w14:paraId="05728932" w14:textId="77777777" w:rsidR="00BE4CDA" w:rsidRPr="009F4CA9" w:rsidRDefault="00BE4CDA" w:rsidP="00497266">
      <w:pPr>
        <w:rPr>
          <w:bCs w:val="0"/>
          <w:szCs w:val="28"/>
        </w:rPr>
      </w:pPr>
      <w:r w:rsidRPr="00497266">
        <w:rPr>
          <w:b/>
          <w:sz w:val="28"/>
          <w:szCs w:val="28"/>
        </w:rPr>
        <w:t>Supply of subsidised aged care</w:t>
      </w:r>
    </w:p>
    <w:p w14:paraId="71E77663" w14:textId="77777777" w:rsidR="00B249F8" w:rsidRPr="0083605E" w:rsidRDefault="00B249F8" w:rsidP="00B249F8">
      <w:r w:rsidRPr="0083605E">
        <w:t>The Australian Government regulates the supply of home care packages and residential aged care places it</w:t>
      </w:r>
      <w:r w:rsidRPr="0083605E">
        <w:rPr>
          <w:spacing w:val="-6"/>
        </w:rPr>
        <w:t xml:space="preserve"> </w:t>
      </w:r>
      <w:r w:rsidRPr="0083605E">
        <w:t>funds</w:t>
      </w:r>
      <w:r w:rsidRPr="0083605E">
        <w:rPr>
          <w:spacing w:val="-7"/>
        </w:rPr>
        <w:t xml:space="preserve"> </w:t>
      </w:r>
      <w:r w:rsidRPr="0083605E">
        <w:t>by</w:t>
      </w:r>
      <w:r w:rsidRPr="0083605E">
        <w:rPr>
          <w:spacing w:val="-6"/>
        </w:rPr>
        <w:t xml:space="preserve"> </w:t>
      </w:r>
      <w:r w:rsidRPr="0083605E">
        <w:t>specifying</w:t>
      </w:r>
      <w:r w:rsidRPr="0083605E">
        <w:rPr>
          <w:spacing w:val="-7"/>
        </w:rPr>
        <w:t xml:space="preserve"> </w:t>
      </w:r>
      <w:r w:rsidRPr="0083605E">
        <w:t>targets.</w:t>
      </w:r>
      <w:r w:rsidRPr="0083605E">
        <w:rPr>
          <w:spacing w:val="-6"/>
        </w:rPr>
        <w:t xml:space="preserve"> </w:t>
      </w:r>
      <w:r w:rsidRPr="0083605E">
        <w:t>These</w:t>
      </w:r>
      <w:r w:rsidRPr="0083605E">
        <w:rPr>
          <w:spacing w:val="-7"/>
        </w:rPr>
        <w:t xml:space="preserve"> </w:t>
      </w:r>
      <w:r w:rsidRPr="0083605E">
        <w:t>targets,</w:t>
      </w:r>
      <w:r w:rsidRPr="0083605E">
        <w:rPr>
          <w:spacing w:val="-6"/>
        </w:rPr>
        <w:t xml:space="preserve"> </w:t>
      </w:r>
      <w:r w:rsidRPr="0083605E">
        <w:t>known</w:t>
      </w:r>
      <w:r w:rsidRPr="0083605E">
        <w:rPr>
          <w:spacing w:val="-7"/>
        </w:rPr>
        <w:t xml:space="preserve"> </w:t>
      </w:r>
      <w:r w:rsidRPr="0083605E">
        <w:t>as the aged care target provision ratios, are based on the number of people aged 70 and over.</w:t>
      </w:r>
    </w:p>
    <w:p w14:paraId="57B5A076" w14:textId="20216887" w:rsidR="00B249F8" w:rsidRPr="00ED78E4" w:rsidRDefault="00B249F8" w:rsidP="00B249F8">
      <w:r w:rsidRPr="00ED78E4">
        <w:fldChar w:fldCharType="begin"/>
      </w:r>
      <w:r w:rsidRPr="00ED78E4">
        <w:instrText xml:space="preserve"> REF _Ref162511302 \h </w:instrText>
      </w:r>
      <w:r w:rsidR="00ED78E4">
        <w:instrText xml:space="preserve"> \* MERGEFORMAT </w:instrText>
      </w:r>
      <w:r w:rsidRPr="00ED78E4">
        <w:fldChar w:fldCharType="separate"/>
      </w:r>
      <w:r w:rsidR="001377BE">
        <w:t xml:space="preserve">Chart </w:t>
      </w:r>
      <w:r w:rsidR="001377BE">
        <w:rPr>
          <w:noProof/>
        </w:rPr>
        <w:t>2.7</w:t>
      </w:r>
      <w:r w:rsidRPr="00ED78E4">
        <w:fldChar w:fldCharType="end"/>
      </w:r>
      <w:r w:rsidRPr="00ED78E4">
        <w:t xml:space="preserve"> shows</w:t>
      </w:r>
      <w:r w:rsidRPr="00ED78E4">
        <w:rPr>
          <w:spacing w:val="-8"/>
        </w:rPr>
        <w:t xml:space="preserve"> </w:t>
      </w:r>
      <w:r w:rsidRPr="00ED78E4">
        <w:t>the</w:t>
      </w:r>
      <w:r w:rsidRPr="00ED78E4">
        <w:rPr>
          <w:spacing w:val="-8"/>
        </w:rPr>
        <w:t xml:space="preserve"> </w:t>
      </w:r>
      <w:r w:rsidRPr="00ED78E4">
        <w:t>residential</w:t>
      </w:r>
      <w:r w:rsidRPr="00ED78E4">
        <w:rPr>
          <w:spacing w:val="-8"/>
        </w:rPr>
        <w:t xml:space="preserve"> </w:t>
      </w:r>
      <w:r w:rsidRPr="00ED78E4">
        <w:t>care</w:t>
      </w:r>
      <w:r w:rsidRPr="00ED78E4">
        <w:rPr>
          <w:spacing w:val="-8"/>
        </w:rPr>
        <w:t xml:space="preserve"> </w:t>
      </w:r>
      <w:r w:rsidRPr="00ED78E4">
        <w:t>ratios</w:t>
      </w:r>
      <w:r w:rsidRPr="00ED78E4">
        <w:rPr>
          <w:spacing w:val="-8"/>
        </w:rPr>
        <w:t xml:space="preserve"> </w:t>
      </w:r>
      <w:r w:rsidRPr="00ED78E4">
        <w:t>for the 5 years to 30 June 202</w:t>
      </w:r>
      <w:r w:rsidR="00824A1A" w:rsidRPr="00ED78E4">
        <w:t>3</w:t>
      </w:r>
      <w:r w:rsidRPr="00ED78E4">
        <w:t xml:space="preserve">. The </w:t>
      </w:r>
      <w:r w:rsidR="00302C7C">
        <w:br/>
      </w:r>
      <w:r w:rsidRPr="00ED78E4">
        <w:t>202</w:t>
      </w:r>
      <w:r w:rsidR="00824A1A" w:rsidRPr="00ED78E4">
        <w:t>2</w:t>
      </w:r>
      <w:r w:rsidRPr="00ED78E4">
        <w:t>-2</w:t>
      </w:r>
      <w:r w:rsidR="00824A1A" w:rsidRPr="00ED78E4">
        <w:t>3</w:t>
      </w:r>
      <w:r w:rsidRPr="00ED78E4">
        <w:t xml:space="preserve"> residential care ratio was 7</w:t>
      </w:r>
      <w:r w:rsidR="00ED78E4" w:rsidRPr="00ED78E4">
        <w:t>2.9</w:t>
      </w:r>
      <w:r w:rsidRPr="00ED78E4">
        <w:t xml:space="preserve">, a continued downward trend from </w:t>
      </w:r>
      <w:r w:rsidR="00ED78E4" w:rsidRPr="00ED78E4">
        <w:t>78.4</w:t>
      </w:r>
      <w:r w:rsidRPr="00ED78E4">
        <w:t xml:space="preserve"> in 20</w:t>
      </w:r>
      <w:r w:rsidR="00ED78E4" w:rsidRPr="00ED78E4">
        <w:t>19-20</w:t>
      </w:r>
      <w:r w:rsidRPr="00ED78E4">
        <w:t xml:space="preserve">. </w:t>
      </w:r>
    </w:p>
    <w:p w14:paraId="6DD9B717" w14:textId="44C83597" w:rsidR="00B249F8" w:rsidRPr="00ED78E4" w:rsidRDefault="00B249F8" w:rsidP="00B249F8">
      <w:r w:rsidRPr="00ED78E4">
        <w:t>While the overall aged care target provision ratio comprises</w:t>
      </w:r>
      <w:r w:rsidRPr="00ED78E4">
        <w:rPr>
          <w:spacing w:val="-11"/>
        </w:rPr>
        <w:t xml:space="preserve"> </w:t>
      </w:r>
      <w:r w:rsidRPr="00ED78E4">
        <w:t>residential</w:t>
      </w:r>
      <w:r w:rsidRPr="00ED78E4">
        <w:rPr>
          <w:spacing w:val="-11"/>
        </w:rPr>
        <w:t xml:space="preserve"> </w:t>
      </w:r>
      <w:r w:rsidRPr="00ED78E4">
        <w:t>care,</w:t>
      </w:r>
      <w:r w:rsidRPr="00ED78E4">
        <w:rPr>
          <w:spacing w:val="-9"/>
        </w:rPr>
        <w:t xml:space="preserve"> </w:t>
      </w:r>
      <w:r w:rsidRPr="00ED78E4">
        <w:t>home</w:t>
      </w:r>
      <w:r w:rsidRPr="00ED78E4">
        <w:rPr>
          <w:spacing w:val="-10"/>
        </w:rPr>
        <w:t xml:space="preserve"> </w:t>
      </w:r>
      <w:r w:rsidRPr="00ED78E4">
        <w:t>care,</w:t>
      </w:r>
      <w:r w:rsidRPr="00ED78E4">
        <w:rPr>
          <w:spacing w:val="-10"/>
        </w:rPr>
        <w:t xml:space="preserve"> </w:t>
      </w:r>
      <w:r w:rsidRPr="00ED78E4">
        <w:t>and,</w:t>
      </w:r>
      <w:r w:rsidRPr="00ED78E4">
        <w:rPr>
          <w:spacing w:val="-10"/>
        </w:rPr>
        <w:t xml:space="preserve"> </w:t>
      </w:r>
      <w:r w:rsidRPr="00ED78E4">
        <w:t>since</w:t>
      </w:r>
      <w:r w:rsidRPr="00ED78E4">
        <w:rPr>
          <w:spacing w:val="-11"/>
        </w:rPr>
        <w:t xml:space="preserve"> </w:t>
      </w:r>
      <w:r w:rsidRPr="00ED78E4">
        <w:t xml:space="preserve">2016, restorative care places, the reported operational ratio refers only to places assigned to approved </w:t>
      </w:r>
      <w:r w:rsidR="009C75F4" w:rsidRPr="00F97685">
        <w:t>residential</w:t>
      </w:r>
      <w:r w:rsidRPr="00F97685">
        <w:t xml:space="preserve"> </w:t>
      </w:r>
      <w:r w:rsidRPr="00ED78E4">
        <w:t>providers.</w:t>
      </w:r>
    </w:p>
    <w:p w14:paraId="5451E098" w14:textId="18542A95" w:rsidR="00B249F8" w:rsidRDefault="00B249F8" w:rsidP="00B249F8">
      <w:r w:rsidRPr="006D0B2C">
        <w:t>In 2</w:t>
      </w:r>
      <w:r w:rsidR="0087144D" w:rsidRPr="006D0B2C">
        <w:t>0</w:t>
      </w:r>
      <w:r w:rsidRPr="006D0B2C">
        <w:t>22</w:t>
      </w:r>
      <w:r w:rsidR="0087144D" w:rsidRPr="006D0B2C">
        <w:t>-23</w:t>
      </w:r>
      <w:r w:rsidRPr="006D0B2C">
        <w:t xml:space="preserve">, the residential aged care provision </w:t>
      </w:r>
      <w:r w:rsidR="00034118">
        <w:t xml:space="preserve">target </w:t>
      </w:r>
      <w:r w:rsidRPr="006D0B2C">
        <w:t xml:space="preserve">ratio was 78.0 places per 1,000 people over the aged of 70. From 2024-25, for three years, the Australian Government will temporarily reduce the residential aged care provision ratio to 60.1 places per 1,000 people over the age of 70 years. The reduction in the ratio reflects the increasing preference of older </w:t>
      </w:r>
      <w:r w:rsidR="006E3619">
        <w:t xml:space="preserve">people in Australia </w:t>
      </w:r>
      <w:r w:rsidRPr="006D0B2C">
        <w:t>to remain in their homes</w:t>
      </w:r>
      <w:r w:rsidR="002B6F94">
        <w:t xml:space="preserve"> for longer.</w:t>
      </w:r>
    </w:p>
    <w:p w14:paraId="37623285" w14:textId="57B40887" w:rsidR="00E23CED" w:rsidRDefault="006C1917" w:rsidP="00706D0A">
      <w:pPr>
        <w:pStyle w:val="Caption"/>
      </w:pPr>
      <w:bookmarkStart w:id="75" w:name="_Ref162511302"/>
      <w:bookmarkStart w:id="76" w:name="_Toc173428917"/>
      <w:r>
        <w:t xml:space="preserve">Chart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7</w:t>
      </w:r>
      <w:r w:rsidR="00AE19AA">
        <w:rPr>
          <w:noProof/>
        </w:rPr>
        <w:fldChar w:fldCharType="end"/>
      </w:r>
      <w:bookmarkEnd w:id="75"/>
      <w:r>
        <w:t xml:space="preserve">: </w:t>
      </w:r>
      <w:r w:rsidRPr="00461C61">
        <w:t>Residential care achieved ratios, 201</w:t>
      </w:r>
      <w:r w:rsidR="003766AA">
        <w:t>8-19</w:t>
      </w:r>
      <w:r w:rsidRPr="00461C61">
        <w:t xml:space="preserve"> to 202</w:t>
      </w:r>
      <w:r w:rsidR="003766AA">
        <w:t>2</w:t>
      </w:r>
      <w:r w:rsidRPr="00461C61">
        <w:t>-2</w:t>
      </w:r>
      <w:r w:rsidR="003766AA">
        <w:t>3</w:t>
      </w:r>
      <w:bookmarkEnd w:id="76"/>
    </w:p>
    <w:p w14:paraId="4B6CB44D" w14:textId="1B23618E" w:rsidR="006C1917" w:rsidRDefault="00ED78E4" w:rsidP="00706D0A">
      <w:pPr>
        <w:pStyle w:val="Caption"/>
      </w:pPr>
      <w:r>
        <w:rPr>
          <w:noProof/>
        </w:rPr>
        <w:drawing>
          <wp:inline distT="0" distB="0" distL="0" distR="0" wp14:anchorId="45784DF8" wp14:editId="1C21D91F">
            <wp:extent cx="5666400" cy="3281579"/>
            <wp:effectExtent l="0" t="0" r="0" b="0"/>
            <wp:docPr id="1465481024" name="Picture 1465481024" descr="Chart 2.7 is a stacked column chart titled Residential care achieved ratios, 2018-19 to 2022-23. The 2022-23 residential care ratio was 72.9, down from 74.7 the prior year. Restorative care ratio was 2.1 in 2022-23, a decrease 2.2 in 2021-2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4" name="Picture 1465481024" descr="Chart 2.7 is a stacked column chart titled Residential care achieved ratios, 2018-19 to 2022-23. The 2022-23 residential care ratio was 72.9, down from 74.7 the prior year. Restorative care ratio was 2.1 in 2022-23, a decrease 2.2 in 2021-22.&#10;&#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93198" cy="3297099"/>
                    </a:xfrm>
                    <a:prstGeom prst="rect">
                      <a:avLst/>
                    </a:prstGeom>
                    <a:noFill/>
                  </pic:spPr>
                </pic:pic>
              </a:graphicData>
            </a:graphic>
          </wp:inline>
        </w:drawing>
      </w:r>
    </w:p>
    <w:p w14:paraId="4F385857" w14:textId="77777777" w:rsidR="00E4283E" w:rsidRDefault="00E4283E" w:rsidP="00E4283E">
      <w:pPr>
        <w:pStyle w:val="Heading2"/>
      </w:pPr>
      <w:bookmarkStart w:id="77" w:name="_Toc173428602"/>
      <w:r>
        <w:t>Providers</w:t>
      </w:r>
      <w:bookmarkEnd w:id="77"/>
    </w:p>
    <w:p w14:paraId="710A2CE0" w14:textId="6906DA5F" w:rsidR="0099465B" w:rsidRPr="009F4CA9" w:rsidRDefault="0099465B" w:rsidP="003B5673">
      <w:pPr>
        <w:rPr>
          <w:bCs w:val="0"/>
          <w:szCs w:val="28"/>
        </w:rPr>
      </w:pPr>
      <w:r w:rsidRPr="003B5673">
        <w:rPr>
          <w:b/>
          <w:bCs w:val="0"/>
          <w:sz w:val="28"/>
          <w:szCs w:val="28"/>
        </w:rPr>
        <w:t>Supply of residential care</w:t>
      </w:r>
    </w:p>
    <w:p w14:paraId="185D6323" w14:textId="4D5F7694" w:rsidR="0090683B" w:rsidRPr="001744AB" w:rsidRDefault="0090683B" w:rsidP="0090683B">
      <w:r w:rsidRPr="001744AB">
        <w:fldChar w:fldCharType="begin"/>
      </w:r>
      <w:r w:rsidRPr="001744AB">
        <w:instrText xml:space="preserve"> REF _Ref162511394 \h </w:instrText>
      </w:r>
      <w:r w:rsidR="001744AB">
        <w:instrText xml:space="preserve"> \* MERGEFORMAT </w:instrText>
      </w:r>
      <w:r w:rsidRPr="001744AB">
        <w:fldChar w:fldCharType="separate"/>
      </w:r>
      <w:r w:rsidR="001377BE">
        <w:t xml:space="preserve">Table </w:t>
      </w:r>
      <w:r w:rsidR="001377BE">
        <w:rPr>
          <w:noProof/>
        </w:rPr>
        <w:t>2.2</w:t>
      </w:r>
      <w:r w:rsidRPr="001744AB">
        <w:fldChar w:fldCharType="end"/>
      </w:r>
      <w:r w:rsidRPr="001744AB">
        <w:t xml:space="preserve"> shows</w:t>
      </w:r>
      <w:r w:rsidRPr="001744AB">
        <w:rPr>
          <w:spacing w:val="-6"/>
        </w:rPr>
        <w:t xml:space="preserve"> </w:t>
      </w:r>
      <w:r w:rsidRPr="001744AB">
        <w:t>a</w:t>
      </w:r>
      <w:r w:rsidRPr="001744AB">
        <w:rPr>
          <w:spacing w:val="-6"/>
        </w:rPr>
        <w:t xml:space="preserve"> </w:t>
      </w:r>
      <w:r w:rsidRPr="001744AB">
        <w:t>breakdown</w:t>
      </w:r>
      <w:r w:rsidRPr="001744AB">
        <w:rPr>
          <w:spacing w:val="-6"/>
        </w:rPr>
        <w:t xml:space="preserve"> </w:t>
      </w:r>
      <w:r w:rsidRPr="001744AB">
        <w:t>of</w:t>
      </w:r>
      <w:r w:rsidRPr="001744AB">
        <w:rPr>
          <w:spacing w:val="-6"/>
        </w:rPr>
        <w:t xml:space="preserve"> </w:t>
      </w:r>
      <w:r w:rsidRPr="001744AB">
        <w:t>residential</w:t>
      </w:r>
      <w:r w:rsidRPr="001744AB">
        <w:rPr>
          <w:spacing w:val="-6"/>
        </w:rPr>
        <w:t xml:space="preserve"> </w:t>
      </w:r>
      <w:r w:rsidRPr="001744AB">
        <w:t xml:space="preserve">care </w:t>
      </w:r>
      <w:r w:rsidRPr="001744AB">
        <w:rPr>
          <w:spacing w:val="-4"/>
        </w:rPr>
        <w:t>providers</w:t>
      </w:r>
      <w:r w:rsidRPr="001744AB">
        <w:rPr>
          <w:spacing w:val="-5"/>
        </w:rPr>
        <w:t xml:space="preserve"> </w:t>
      </w:r>
      <w:r w:rsidRPr="001744AB">
        <w:rPr>
          <w:spacing w:val="-4"/>
        </w:rPr>
        <w:t>at</w:t>
      </w:r>
      <w:r w:rsidRPr="001744AB">
        <w:rPr>
          <w:spacing w:val="-5"/>
        </w:rPr>
        <w:t xml:space="preserve"> </w:t>
      </w:r>
      <w:r w:rsidRPr="001744AB">
        <w:rPr>
          <w:spacing w:val="-4"/>
        </w:rPr>
        <w:t>30</w:t>
      </w:r>
      <w:r w:rsidRPr="001744AB">
        <w:rPr>
          <w:spacing w:val="-12"/>
        </w:rPr>
        <w:t xml:space="preserve"> </w:t>
      </w:r>
      <w:r w:rsidRPr="001744AB">
        <w:rPr>
          <w:spacing w:val="-4"/>
        </w:rPr>
        <w:t>June</w:t>
      </w:r>
      <w:r w:rsidRPr="001744AB">
        <w:rPr>
          <w:spacing w:val="-12"/>
        </w:rPr>
        <w:t xml:space="preserve"> </w:t>
      </w:r>
      <w:r w:rsidRPr="001744AB">
        <w:rPr>
          <w:spacing w:val="-4"/>
        </w:rPr>
        <w:t>202</w:t>
      </w:r>
      <w:r w:rsidR="001744AB" w:rsidRPr="001744AB">
        <w:rPr>
          <w:spacing w:val="-4"/>
        </w:rPr>
        <w:t>3</w:t>
      </w:r>
      <w:r w:rsidRPr="001744AB">
        <w:rPr>
          <w:spacing w:val="-4"/>
        </w:rPr>
        <w:t>,</w:t>
      </w:r>
      <w:r w:rsidRPr="001744AB">
        <w:rPr>
          <w:spacing w:val="-5"/>
        </w:rPr>
        <w:t xml:space="preserve"> </w:t>
      </w:r>
      <w:r w:rsidRPr="001744AB">
        <w:rPr>
          <w:spacing w:val="-4"/>
        </w:rPr>
        <w:t>presented</w:t>
      </w:r>
      <w:r w:rsidRPr="001744AB">
        <w:rPr>
          <w:spacing w:val="-5"/>
        </w:rPr>
        <w:t xml:space="preserve"> </w:t>
      </w:r>
      <w:r w:rsidRPr="001744AB">
        <w:rPr>
          <w:spacing w:val="-4"/>
        </w:rPr>
        <w:t>by</w:t>
      </w:r>
      <w:r w:rsidRPr="001744AB">
        <w:rPr>
          <w:spacing w:val="-5"/>
        </w:rPr>
        <w:t xml:space="preserve"> </w:t>
      </w:r>
      <w:r w:rsidRPr="001744AB">
        <w:rPr>
          <w:spacing w:val="-4"/>
        </w:rPr>
        <w:t>ownership</w:t>
      </w:r>
      <w:r w:rsidRPr="001744AB">
        <w:t xml:space="preserve"> type, location and scale.</w:t>
      </w:r>
    </w:p>
    <w:p w14:paraId="51B10224" w14:textId="12547091" w:rsidR="0090683B" w:rsidRPr="001744AB" w:rsidRDefault="0090683B" w:rsidP="0090683B">
      <w:r w:rsidRPr="001744AB">
        <w:t>Location indicates where a provider, service or resident/recipient is located based on whether they are metropolitan or regional areas. Metropolitan is all major cities and regional is any area outside of a major city. A provider is classified as metropolitan if more than 70</w:t>
      </w:r>
      <w:r w:rsidR="7453FCE2">
        <w:t>%</w:t>
      </w:r>
      <w:r w:rsidRPr="001744AB">
        <w:t xml:space="preserve"> of its services are in metropolitan areas and similarly classified as regional if more than 70</w:t>
      </w:r>
      <w:r w:rsidR="1621A47E">
        <w:t>%</w:t>
      </w:r>
      <w:r w:rsidRPr="001744AB">
        <w:t xml:space="preserve"> of its services are located in regional areas.</w:t>
      </w:r>
    </w:p>
    <w:p w14:paraId="0EAC0369" w14:textId="2893A5CF" w:rsidR="0090683B" w:rsidRPr="00FA2846" w:rsidRDefault="0090683B" w:rsidP="0090683B">
      <w:r w:rsidRPr="00CE4CBA">
        <w:t>At 30 June 202</w:t>
      </w:r>
      <w:r w:rsidR="001744AB" w:rsidRPr="00CE4CBA">
        <w:t>3</w:t>
      </w:r>
      <w:r w:rsidRPr="00CE4CBA">
        <w:t xml:space="preserve">, there were </w:t>
      </w:r>
      <w:r w:rsidR="001744AB" w:rsidRPr="00CE4CBA">
        <w:t>764</w:t>
      </w:r>
      <w:r w:rsidRPr="00CE4CBA">
        <w:t xml:space="preserve"> residential care providers, compared with 8</w:t>
      </w:r>
      <w:r w:rsidR="001744AB" w:rsidRPr="00CE4CBA">
        <w:t>05</w:t>
      </w:r>
      <w:r w:rsidRPr="00CE4CBA">
        <w:t xml:space="preserve"> at </w:t>
      </w:r>
      <w:r w:rsidR="00E400F0">
        <w:br/>
      </w:r>
      <w:r w:rsidRPr="00CE4CBA">
        <w:t>30 June 202</w:t>
      </w:r>
      <w:r w:rsidR="00AF3F17" w:rsidRPr="00CE4CBA">
        <w:t>2</w:t>
      </w:r>
      <w:r w:rsidRPr="00CE4CBA">
        <w:t>.</w:t>
      </w:r>
      <w:r w:rsidR="009A1E20">
        <w:t xml:space="preserve"> </w:t>
      </w:r>
      <w:r w:rsidR="00F554DE">
        <w:t>However,</w:t>
      </w:r>
      <w:r w:rsidR="00691523">
        <w:t xml:space="preserve"> the </w:t>
      </w:r>
      <w:r w:rsidR="0038025F">
        <w:t>total number of operational places</w:t>
      </w:r>
      <w:r w:rsidR="0027138B">
        <w:t xml:space="preserve"> increased </w:t>
      </w:r>
      <w:r w:rsidR="007D0CCB">
        <w:t xml:space="preserve">from 219,965 </w:t>
      </w:r>
      <w:r w:rsidR="00745E98">
        <w:t xml:space="preserve">at 30 June 2022 </w:t>
      </w:r>
      <w:r w:rsidR="007D0CCB">
        <w:t>to 221,467</w:t>
      </w:r>
      <w:r w:rsidR="00F47B76">
        <w:t xml:space="preserve"> </w:t>
      </w:r>
      <w:r w:rsidR="00745E98">
        <w:t>at 30 June 2023</w:t>
      </w:r>
      <w:r w:rsidR="00BD4F4A">
        <w:t>.</w:t>
      </w:r>
      <w:r w:rsidR="005357FF">
        <w:t xml:space="preserve"> The number of total residents also increased </w:t>
      </w:r>
      <w:r w:rsidR="00F518B7">
        <w:t xml:space="preserve">from 188,208 at 30 June 2022 </w:t>
      </w:r>
      <w:r w:rsidR="00831F1D">
        <w:t xml:space="preserve">to </w:t>
      </w:r>
      <w:r w:rsidR="009D373F">
        <w:t xml:space="preserve">193,242 </w:t>
      </w:r>
      <w:r w:rsidR="00745E98">
        <w:t>at 30 June 2023</w:t>
      </w:r>
      <w:r w:rsidR="007E68A5">
        <w:t xml:space="preserve">.The </w:t>
      </w:r>
      <w:r w:rsidRPr="00CE4CBA">
        <w:t>largest</w:t>
      </w:r>
      <w:r w:rsidRPr="00CE4CBA">
        <w:rPr>
          <w:spacing w:val="-5"/>
        </w:rPr>
        <w:t xml:space="preserve"> </w:t>
      </w:r>
      <w:r w:rsidRPr="00CE4CBA">
        <w:t>provider</w:t>
      </w:r>
      <w:r w:rsidRPr="00CE4CBA">
        <w:rPr>
          <w:spacing w:val="-5"/>
        </w:rPr>
        <w:t xml:space="preserve"> </w:t>
      </w:r>
      <w:r w:rsidRPr="00CE4CBA">
        <w:t xml:space="preserve">group remained the not-for-profit group (religious, charitable and community-based organisations). They represented </w:t>
      </w:r>
      <w:r w:rsidR="00416DB0" w:rsidRPr="00CE4CBA">
        <w:t>56%</w:t>
      </w:r>
      <w:r w:rsidRPr="00CE4CBA">
        <w:t xml:space="preserve"> of providers and operated 5</w:t>
      </w:r>
      <w:r w:rsidR="001768F3" w:rsidRPr="00CE4CBA">
        <w:t>6%</w:t>
      </w:r>
      <w:r w:rsidRPr="00CE4CBA">
        <w:t xml:space="preserve"> of all residential aged care places. For-profit providers accounted for 33</w:t>
      </w:r>
      <w:r w:rsidR="004167DB" w:rsidRPr="00CE4CBA">
        <w:t>%</w:t>
      </w:r>
      <w:r w:rsidRPr="00CE4CBA">
        <w:t xml:space="preserve"> of providers and 4</w:t>
      </w:r>
      <w:r w:rsidR="00CE4CBA" w:rsidRPr="00CE4CBA">
        <w:t>1%</w:t>
      </w:r>
      <w:r w:rsidRPr="00CE4CBA">
        <w:t xml:space="preserve"> of places. The remaining providers and places are </w:t>
      </w:r>
      <w:r w:rsidRPr="00FA2846">
        <w:t>state and territory and local government-owned providers.</w:t>
      </w:r>
    </w:p>
    <w:p w14:paraId="780B8EEF" w14:textId="6460439D" w:rsidR="0090683B" w:rsidRPr="00A07F1A" w:rsidRDefault="0090683B" w:rsidP="0090683B">
      <w:r w:rsidRPr="00FA2846">
        <w:t>Single aged care facility providers</w:t>
      </w:r>
      <w:r w:rsidR="008B07D9" w:rsidRPr="00FA2846">
        <w:t xml:space="preserve"> represented </w:t>
      </w:r>
      <w:r w:rsidR="002D6CB9" w:rsidRPr="00FA2846">
        <w:t>62%</w:t>
      </w:r>
      <w:r w:rsidR="00741170" w:rsidRPr="00FA2846">
        <w:t xml:space="preserve"> of providers</w:t>
      </w:r>
      <w:r w:rsidR="00513779" w:rsidRPr="00FA2846">
        <w:t xml:space="preserve"> and</w:t>
      </w:r>
      <w:r w:rsidRPr="00FA2846">
        <w:t xml:space="preserve"> accounted</w:t>
      </w:r>
      <w:r w:rsidRPr="00FA2846">
        <w:rPr>
          <w:spacing w:val="-11"/>
        </w:rPr>
        <w:t xml:space="preserve"> </w:t>
      </w:r>
      <w:r w:rsidRPr="00FA2846">
        <w:t>for</w:t>
      </w:r>
      <w:r w:rsidRPr="00FA2846">
        <w:rPr>
          <w:spacing w:val="-11"/>
        </w:rPr>
        <w:t xml:space="preserve"> </w:t>
      </w:r>
      <w:r w:rsidRPr="00FA2846">
        <w:t>1</w:t>
      </w:r>
      <w:r w:rsidR="00BD1F42" w:rsidRPr="00FA2846">
        <w:t>8%</w:t>
      </w:r>
      <w:r w:rsidRPr="00FA2846">
        <w:rPr>
          <w:spacing w:val="-11"/>
        </w:rPr>
        <w:t xml:space="preserve"> </w:t>
      </w:r>
      <w:r w:rsidRPr="00FA2846">
        <w:t>of</w:t>
      </w:r>
      <w:r w:rsidRPr="00FA2846">
        <w:rPr>
          <w:spacing w:val="-11"/>
        </w:rPr>
        <w:t xml:space="preserve"> </w:t>
      </w:r>
      <w:r w:rsidRPr="00FA2846">
        <w:t>all</w:t>
      </w:r>
      <w:r w:rsidRPr="00FA2846">
        <w:rPr>
          <w:spacing w:val="-11"/>
        </w:rPr>
        <w:t xml:space="preserve"> </w:t>
      </w:r>
      <w:r w:rsidRPr="00FA2846">
        <w:t>operational</w:t>
      </w:r>
      <w:r w:rsidRPr="00FA2846">
        <w:rPr>
          <w:spacing w:val="-10"/>
        </w:rPr>
        <w:t xml:space="preserve"> </w:t>
      </w:r>
      <w:r w:rsidRPr="00FA2846">
        <w:t>residential care places in 20</w:t>
      </w:r>
      <w:r w:rsidR="00BD1F42" w:rsidRPr="00FA2846">
        <w:t>22-23</w:t>
      </w:r>
      <w:r w:rsidRPr="00FA2846">
        <w:t>. Conversely, only 3</w:t>
      </w:r>
      <w:r w:rsidR="00F91042" w:rsidRPr="00FA2846">
        <w:t>%</w:t>
      </w:r>
      <w:r w:rsidRPr="00FA2846">
        <w:t xml:space="preserve"> (2</w:t>
      </w:r>
      <w:r w:rsidR="00F91042" w:rsidRPr="00FA2846">
        <w:t>2</w:t>
      </w:r>
      <w:r w:rsidRPr="00FA2846">
        <w:t xml:space="preserve"> providers) operated more than 20 facilities, but they</w:t>
      </w:r>
      <w:r w:rsidRPr="00FA2846">
        <w:rPr>
          <w:spacing w:val="-7"/>
        </w:rPr>
        <w:t xml:space="preserve"> </w:t>
      </w:r>
      <w:r w:rsidRPr="00FA2846">
        <w:t>accounted</w:t>
      </w:r>
      <w:r w:rsidRPr="00FA2846">
        <w:rPr>
          <w:spacing w:val="-7"/>
        </w:rPr>
        <w:t xml:space="preserve"> </w:t>
      </w:r>
      <w:r w:rsidRPr="00FA2846">
        <w:t>for</w:t>
      </w:r>
      <w:r w:rsidRPr="00FA2846">
        <w:rPr>
          <w:spacing w:val="-7"/>
        </w:rPr>
        <w:t xml:space="preserve"> </w:t>
      </w:r>
      <w:r w:rsidRPr="00FA2846">
        <w:t>3</w:t>
      </w:r>
      <w:r w:rsidR="00704558" w:rsidRPr="00FA2846">
        <w:t>7%</w:t>
      </w:r>
      <w:r w:rsidRPr="00FA2846">
        <w:rPr>
          <w:spacing w:val="-7"/>
        </w:rPr>
        <w:t xml:space="preserve"> </w:t>
      </w:r>
      <w:r w:rsidRPr="00FA2846">
        <w:t>of</w:t>
      </w:r>
      <w:r w:rsidRPr="00FA2846">
        <w:rPr>
          <w:spacing w:val="-7"/>
        </w:rPr>
        <w:t xml:space="preserve"> </w:t>
      </w:r>
      <w:r w:rsidRPr="00FA2846">
        <w:t>operational</w:t>
      </w:r>
      <w:r w:rsidRPr="00FA2846">
        <w:rPr>
          <w:spacing w:val="-7"/>
        </w:rPr>
        <w:t xml:space="preserve"> </w:t>
      </w:r>
      <w:r w:rsidRPr="00FA2846">
        <w:t xml:space="preserve">places. The </w:t>
      </w:r>
      <w:r w:rsidRPr="000D4390">
        <w:t xml:space="preserve">proportion of </w:t>
      </w:r>
      <w:r w:rsidR="00F707EE">
        <w:t>operational places</w:t>
      </w:r>
      <w:r w:rsidR="00C755B0">
        <w:t xml:space="preserve"> by</w:t>
      </w:r>
      <w:r w:rsidR="00D66E76">
        <w:t xml:space="preserve"> providers with </w:t>
      </w:r>
      <w:r w:rsidRPr="000D4390">
        <w:t>20</w:t>
      </w:r>
      <w:r w:rsidR="00D66E76">
        <w:t xml:space="preserve"> or more</w:t>
      </w:r>
      <w:r w:rsidRPr="000D4390">
        <w:t xml:space="preserve"> facilities</w:t>
      </w:r>
      <w:r w:rsidRPr="000D4390">
        <w:rPr>
          <w:spacing w:val="-6"/>
        </w:rPr>
        <w:t xml:space="preserve"> </w:t>
      </w:r>
      <w:r w:rsidRPr="000D4390">
        <w:t>is</w:t>
      </w:r>
      <w:r w:rsidRPr="000D4390">
        <w:rPr>
          <w:spacing w:val="-6"/>
        </w:rPr>
        <w:t xml:space="preserve"> </w:t>
      </w:r>
      <w:r w:rsidRPr="000D4390">
        <w:t>gradually</w:t>
      </w:r>
      <w:r w:rsidRPr="000D4390">
        <w:rPr>
          <w:spacing w:val="-6"/>
        </w:rPr>
        <w:t xml:space="preserve"> </w:t>
      </w:r>
      <w:r w:rsidRPr="000D4390">
        <w:t>increasing</w:t>
      </w:r>
      <w:r w:rsidRPr="000D4390">
        <w:rPr>
          <w:spacing w:val="-6"/>
        </w:rPr>
        <w:t xml:space="preserve"> </w:t>
      </w:r>
      <w:r w:rsidRPr="000D4390">
        <w:t>(31</w:t>
      </w:r>
      <w:r w:rsidR="00BA0F87">
        <w:t>%</w:t>
      </w:r>
      <w:r w:rsidRPr="000D4390">
        <w:t xml:space="preserve"> in</w:t>
      </w:r>
      <w:r w:rsidRPr="000D4390">
        <w:rPr>
          <w:spacing w:val="-7"/>
        </w:rPr>
        <w:t xml:space="preserve"> </w:t>
      </w:r>
      <w:r w:rsidRPr="000D4390">
        <w:t>2017–18). The proportion of providers that operated between 7 to 19 facilities was 7</w:t>
      </w:r>
      <w:r w:rsidR="00707C95" w:rsidRPr="000D4390">
        <w:t xml:space="preserve">% </w:t>
      </w:r>
      <w:r w:rsidRPr="000D4390">
        <w:t>(5</w:t>
      </w:r>
      <w:r w:rsidR="00707C95" w:rsidRPr="000D4390">
        <w:t>3</w:t>
      </w:r>
      <w:r w:rsidRPr="000D4390">
        <w:t xml:space="preserve"> providers) and accounted for 23</w:t>
      </w:r>
      <w:r w:rsidR="000D4390" w:rsidRPr="000D4390">
        <w:t xml:space="preserve">% </w:t>
      </w:r>
      <w:r w:rsidRPr="000D4390">
        <w:t>of operational places.</w:t>
      </w:r>
    </w:p>
    <w:p w14:paraId="3FF39002" w14:textId="4B067453" w:rsidR="00E4283E" w:rsidRDefault="00A72611" w:rsidP="00706D0A">
      <w:pPr>
        <w:pStyle w:val="Caption"/>
      </w:pPr>
      <w:bookmarkStart w:id="78" w:name="_Ref162511394"/>
      <w:bookmarkStart w:id="79" w:name="_Toc173428879"/>
      <w:r>
        <w:t xml:space="preserve">Table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2</w:t>
      </w:r>
      <w:r w:rsidR="00AE19AA">
        <w:rPr>
          <w:noProof/>
        </w:rPr>
        <w:fldChar w:fldCharType="end"/>
      </w:r>
      <w:bookmarkEnd w:id="78"/>
      <w:r>
        <w:t xml:space="preserve">: </w:t>
      </w:r>
      <w:r w:rsidRPr="008A6AEA">
        <w:t>Number of providers, facilities, places and residents in residential care, by ownership, location and scale, 30 June 202</w:t>
      </w:r>
      <w:r w:rsidR="001744AB">
        <w:t>3</w:t>
      </w:r>
      <w:bookmarkEnd w:id="79"/>
    </w:p>
    <w:tbl>
      <w:tblPr>
        <w:tblW w:w="9781" w:type="dxa"/>
        <w:tblLayout w:type="fixed"/>
        <w:tblCellMar>
          <w:top w:w="15" w:type="dxa"/>
          <w:bottom w:w="15" w:type="dxa"/>
        </w:tblCellMar>
        <w:tblLook w:val="04A0" w:firstRow="1" w:lastRow="0" w:firstColumn="1" w:lastColumn="0" w:noHBand="0" w:noVBand="1"/>
      </w:tblPr>
      <w:tblGrid>
        <w:gridCol w:w="1134"/>
        <w:gridCol w:w="709"/>
        <w:gridCol w:w="142"/>
        <w:gridCol w:w="721"/>
        <w:gridCol w:w="838"/>
        <w:gridCol w:w="734"/>
        <w:gridCol w:w="258"/>
        <w:gridCol w:w="567"/>
        <w:gridCol w:w="747"/>
        <w:gridCol w:w="786"/>
        <w:gridCol w:w="310"/>
        <w:gridCol w:w="476"/>
        <w:gridCol w:w="786"/>
        <w:gridCol w:w="786"/>
        <w:gridCol w:w="787"/>
      </w:tblGrid>
      <w:tr w:rsidR="009758B7" w:rsidRPr="009758B7" w14:paraId="03A97021" w14:textId="77777777" w:rsidTr="00620C7C">
        <w:trPr>
          <w:trHeight w:val="304"/>
        </w:trPr>
        <w:tc>
          <w:tcPr>
            <w:tcW w:w="1134" w:type="dxa"/>
            <w:tcBorders>
              <w:top w:val="single" w:sz="4" w:space="0" w:color="auto"/>
              <w:left w:val="nil"/>
              <w:bottom w:val="single" w:sz="4" w:space="0" w:color="auto"/>
              <w:right w:val="nil"/>
            </w:tcBorders>
            <w:shd w:val="clear" w:color="auto" w:fill="1E1545" w:themeFill="text2"/>
            <w:vAlign w:val="bottom"/>
            <w:hideMark/>
          </w:tcPr>
          <w:p w14:paraId="2D51489B" w14:textId="77777777" w:rsidR="00C80D15" w:rsidRPr="00C80D15" w:rsidRDefault="00C80D15" w:rsidP="00C80D15">
            <w:pPr>
              <w:spacing w:before="0" w:after="0" w:line="240" w:lineRule="auto"/>
              <w:rPr>
                <w:rFonts w:cs="Arial"/>
                <w:b/>
                <w:color w:val="FFFFFF"/>
                <w:sz w:val="16"/>
                <w:szCs w:val="16"/>
                <w:lang w:eastAsia="en-AU"/>
              </w:rPr>
            </w:pPr>
            <w:r w:rsidRPr="00C80D15">
              <w:rPr>
                <w:rFonts w:cs="Arial"/>
                <w:b/>
                <w:color w:val="FFFFFF"/>
                <w:sz w:val="16"/>
                <w:szCs w:val="16"/>
                <w:lang w:eastAsia="en-AU"/>
              </w:rPr>
              <w:t> </w:t>
            </w:r>
          </w:p>
        </w:tc>
        <w:tc>
          <w:tcPr>
            <w:tcW w:w="709" w:type="dxa"/>
            <w:tcBorders>
              <w:top w:val="single" w:sz="4" w:space="0" w:color="auto"/>
              <w:left w:val="nil"/>
              <w:bottom w:val="single" w:sz="4" w:space="0" w:color="auto"/>
              <w:right w:val="nil"/>
            </w:tcBorders>
            <w:shd w:val="clear" w:color="auto" w:fill="1E1545" w:themeFill="text2"/>
            <w:vAlign w:val="bottom"/>
            <w:hideMark/>
          </w:tcPr>
          <w:p w14:paraId="225B22D3" w14:textId="77777777" w:rsidR="00C80D15" w:rsidRPr="00C80D15" w:rsidRDefault="00C80D15" w:rsidP="00C80D15">
            <w:pPr>
              <w:spacing w:before="0" w:after="0" w:line="240" w:lineRule="auto"/>
              <w:rPr>
                <w:rFonts w:cs="Arial"/>
                <w:b/>
                <w:color w:val="FFFFFF"/>
                <w:sz w:val="16"/>
                <w:szCs w:val="16"/>
                <w:lang w:eastAsia="en-AU"/>
              </w:rPr>
            </w:pPr>
            <w:r w:rsidRPr="00C80D15">
              <w:rPr>
                <w:rFonts w:cs="Arial"/>
                <w:b/>
                <w:color w:val="FFFFFF"/>
                <w:sz w:val="16"/>
                <w:szCs w:val="16"/>
                <w:lang w:eastAsia="en-AU"/>
              </w:rPr>
              <w:t> </w:t>
            </w:r>
          </w:p>
        </w:tc>
        <w:tc>
          <w:tcPr>
            <w:tcW w:w="2693" w:type="dxa"/>
            <w:gridSpan w:val="5"/>
            <w:tcBorders>
              <w:top w:val="single" w:sz="4" w:space="0" w:color="auto"/>
              <w:left w:val="nil"/>
              <w:bottom w:val="single" w:sz="4" w:space="0" w:color="auto"/>
              <w:right w:val="nil"/>
            </w:tcBorders>
            <w:shd w:val="clear" w:color="auto" w:fill="1E1545" w:themeFill="text2"/>
            <w:vAlign w:val="center"/>
            <w:hideMark/>
          </w:tcPr>
          <w:p w14:paraId="1D53C6B1" w14:textId="77777777" w:rsidR="00C80D15" w:rsidRPr="00C80D15" w:rsidRDefault="00C80D15" w:rsidP="00C80D15">
            <w:pPr>
              <w:spacing w:before="0" w:after="0" w:line="240" w:lineRule="auto"/>
              <w:jc w:val="center"/>
              <w:rPr>
                <w:rFonts w:cs="Arial"/>
                <w:b/>
                <w:color w:val="FFFFFF"/>
                <w:sz w:val="18"/>
                <w:lang w:eastAsia="en-AU"/>
              </w:rPr>
            </w:pPr>
            <w:r w:rsidRPr="00C80D15">
              <w:rPr>
                <w:rFonts w:cs="Arial"/>
                <w:b/>
                <w:color w:val="FFFFFF"/>
                <w:sz w:val="18"/>
                <w:lang w:eastAsia="en-AU"/>
              </w:rPr>
              <w:t>Ownership type</w:t>
            </w:r>
          </w:p>
        </w:tc>
        <w:tc>
          <w:tcPr>
            <w:tcW w:w="2410" w:type="dxa"/>
            <w:gridSpan w:val="4"/>
            <w:tcBorders>
              <w:top w:val="single" w:sz="4" w:space="0" w:color="auto"/>
              <w:left w:val="nil"/>
              <w:bottom w:val="single" w:sz="4" w:space="0" w:color="auto"/>
              <w:right w:val="nil"/>
            </w:tcBorders>
            <w:shd w:val="clear" w:color="auto" w:fill="1E1545" w:themeFill="text2"/>
            <w:vAlign w:val="center"/>
            <w:hideMark/>
          </w:tcPr>
          <w:p w14:paraId="31FA41D1" w14:textId="77777777" w:rsidR="00C80D15" w:rsidRPr="00C80D15" w:rsidRDefault="00C80D15" w:rsidP="00C80D15">
            <w:pPr>
              <w:spacing w:before="0" w:after="0" w:line="240" w:lineRule="auto"/>
              <w:jc w:val="center"/>
              <w:rPr>
                <w:rFonts w:cs="Arial"/>
                <w:b/>
                <w:color w:val="FFFFFF"/>
                <w:sz w:val="18"/>
                <w:lang w:eastAsia="en-AU"/>
              </w:rPr>
            </w:pPr>
            <w:r w:rsidRPr="00C80D15">
              <w:rPr>
                <w:rFonts w:cs="Arial"/>
                <w:b/>
                <w:color w:val="FFFFFF"/>
                <w:sz w:val="18"/>
                <w:lang w:eastAsia="en-AU"/>
              </w:rPr>
              <w:t>Location</w:t>
            </w:r>
          </w:p>
        </w:tc>
        <w:tc>
          <w:tcPr>
            <w:tcW w:w="2835" w:type="dxa"/>
            <w:gridSpan w:val="4"/>
            <w:tcBorders>
              <w:top w:val="single" w:sz="4" w:space="0" w:color="auto"/>
              <w:left w:val="nil"/>
              <w:bottom w:val="single" w:sz="4" w:space="0" w:color="auto"/>
              <w:right w:val="nil"/>
            </w:tcBorders>
            <w:shd w:val="clear" w:color="auto" w:fill="1E1545" w:themeFill="text2"/>
            <w:vAlign w:val="center"/>
            <w:hideMark/>
          </w:tcPr>
          <w:p w14:paraId="68BBB206" w14:textId="77777777" w:rsidR="00C80D15" w:rsidRPr="00C80D15" w:rsidRDefault="00C80D15" w:rsidP="00C80D15">
            <w:pPr>
              <w:spacing w:before="0" w:after="0" w:line="240" w:lineRule="auto"/>
              <w:jc w:val="center"/>
              <w:rPr>
                <w:rFonts w:cs="Arial"/>
                <w:b/>
                <w:color w:val="FFFFFF"/>
                <w:sz w:val="18"/>
                <w:lang w:eastAsia="en-AU"/>
              </w:rPr>
            </w:pPr>
            <w:r w:rsidRPr="00C80D15">
              <w:rPr>
                <w:rFonts w:cs="Arial"/>
                <w:b/>
                <w:color w:val="FFFFFF"/>
                <w:sz w:val="18"/>
                <w:lang w:eastAsia="en-AU"/>
              </w:rPr>
              <w:t>Scale</w:t>
            </w:r>
          </w:p>
        </w:tc>
      </w:tr>
      <w:tr w:rsidR="009758B7" w:rsidRPr="009758B7" w14:paraId="24151817" w14:textId="77777777" w:rsidTr="00620C7C">
        <w:trPr>
          <w:trHeight w:val="1401"/>
        </w:trPr>
        <w:tc>
          <w:tcPr>
            <w:tcW w:w="1134" w:type="dxa"/>
            <w:tcBorders>
              <w:top w:val="nil"/>
              <w:left w:val="nil"/>
              <w:bottom w:val="single" w:sz="8" w:space="0" w:color="auto"/>
              <w:right w:val="nil"/>
            </w:tcBorders>
            <w:textDirection w:val="btLr"/>
            <w:vAlign w:val="bottom"/>
            <w:hideMark/>
          </w:tcPr>
          <w:p w14:paraId="163F58FD" w14:textId="77777777" w:rsidR="00C80D15" w:rsidRPr="00C80D15" w:rsidRDefault="00C80D15" w:rsidP="00C80D15">
            <w:pPr>
              <w:spacing w:before="0" w:after="0" w:line="240" w:lineRule="auto"/>
              <w:jc w:val="right"/>
              <w:rPr>
                <w:rFonts w:cs="Arial"/>
                <w:bCs w:val="0"/>
                <w:color w:val="1E1545"/>
                <w:sz w:val="16"/>
                <w:szCs w:val="16"/>
                <w:lang w:eastAsia="en-AU"/>
              </w:rPr>
            </w:pPr>
            <w:r w:rsidRPr="00C80D15">
              <w:rPr>
                <w:rFonts w:cs="Arial"/>
                <w:bCs w:val="0"/>
                <w:color w:val="1E1545"/>
                <w:sz w:val="16"/>
                <w:szCs w:val="16"/>
                <w:lang w:eastAsia="en-AU"/>
              </w:rPr>
              <w:t> </w:t>
            </w:r>
          </w:p>
        </w:tc>
        <w:tc>
          <w:tcPr>
            <w:tcW w:w="851" w:type="dxa"/>
            <w:gridSpan w:val="2"/>
            <w:tcBorders>
              <w:top w:val="nil"/>
              <w:left w:val="nil"/>
              <w:bottom w:val="single" w:sz="8" w:space="0" w:color="auto"/>
              <w:right w:val="nil"/>
            </w:tcBorders>
            <w:textDirection w:val="btLr"/>
            <w:vAlign w:val="bottom"/>
            <w:hideMark/>
          </w:tcPr>
          <w:p w14:paraId="1745A1D4"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Total sector 2022-23</w:t>
            </w:r>
          </w:p>
        </w:tc>
        <w:tc>
          <w:tcPr>
            <w:tcW w:w="721" w:type="dxa"/>
            <w:tcBorders>
              <w:top w:val="nil"/>
              <w:left w:val="nil"/>
              <w:bottom w:val="single" w:sz="8" w:space="0" w:color="auto"/>
              <w:right w:val="nil"/>
            </w:tcBorders>
            <w:shd w:val="clear" w:color="auto" w:fill="D8DADA"/>
            <w:textDirection w:val="btLr"/>
            <w:vAlign w:val="bottom"/>
            <w:hideMark/>
          </w:tcPr>
          <w:p w14:paraId="655DF32B" w14:textId="77777777"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For-profit</w:t>
            </w:r>
          </w:p>
        </w:tc>
        <w:tc>
          <w:tcPr>
            <w:tcW w:w="838" w:type="dxa"/>
            <w:tcBorders>
              <w:top w:val="nil"/>
              <w:left w:val="nil"/>
              <w:bottom w:val="single" w:sz="8" w:space="0" w:color="auto"/>
              <w:right w:val="nil"/>
            </w:tcBorders>
            <w:shd w:val="clear" w:color="auto" w:fill="D8DADA"/>
            <w:textDirection w:val="btLr"/>
            <w:vAlign w:val="bottom"/>
            <w:hideMark/>
          </w:tcPr>
          <w:p w14:paraId="60469874" w14:textId="77777777"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Not-for-profit</w:t>
            </w:r>
          </w:p>
        </w:tc>
        <w:tc>
          <w:tcPr>
            <w:tcW w:w="734" w:type="dxa"/>
            <w:tcBorders>
              <w:top w:val="nil"/>
              <w:left w:val="nil"/>
              <w:bottom w:val="single" w:sz="8" w:space="0" w:color="auto"/>
              <w:right w:val="nil"/>
            </w:tcBorders>
            <w:shd w:val="clear" w:color="auto" w:fill="D8DADA"/>
            <w:textDirection w:val="btLr"/>
            <w:vAlign w:val="bottom"/>
            <w:hideMark/>
          </w:tcPr>
          <w:p w14:paraId="0F538032" w14:textId="0575B0EF" w:rsidR="00C80D15" w:rsidRPr="00C80D15" w:rsidRDefault="009162CB" w:rsidP="00C80D15">
            <w:pPr>
              <w:spacing w:before="0" w:after="0" w:line="240" w:lineRule="auto"/>
              <w:rPr>
                <w:rFonts w:cs="Arial"/>
                <w:bCs w:val="0"/>
                <w:color w:val="000000"/>
                <w:sz w:val="16"/>
                <w:szCs w:val="16"/>
                <w:lang w:eastAsia="en-AU"/>
              </w:rPr>
            </w:pPr>
            <w:r>
              <w:rPr>
                <w:rFonts w:cs="Arial"/>
                <w:bCs w:val="0"/>
                <w:color w:val="000000"/>
                <w:sz w:val="16"/>
                <w:szCs w:val="16"/>
                <w:lang w:eastAsia="en-AU"/>
              </w:rPr>
              <w:t xml:space="preserve">LST </w:t>
            </w:r>
            <w:r w:rsidR="00C80D15" w:rsidRPr="00C80D15">
              <w:rPr>
                <w:rFonts w:cs="Arial"/>
                <w:bCs w:val="0"/>
                <w:color w:val="000000"/>
                <w:sz w:val="16"/>
                <w:szCs w:val="16"/>
                <w:lang w:eastAsia="en-AU"/>
              </w:rPr>
              <w:t>Government</w:t>
            </w:r>
          </w:p>
        </w:tc>
        <w:tc>
          <w:tcPr>
            <w:tcW w:w="825" w:type="dxa"/>
            <w:gridSpan w:val="2"/>
            <w:tcBorders>
              <w:top w:val="nil"/>
              <w:left w:val="nil"/>
              <w:bottom w:val="single" w:sz="8" w:space="0" w:color="auto"/>
              <w:right w:val="nil"/>
            </w:tcBorders>
            <w:textDirection w:val="btLr"/>
            <w:vAlign w:val="bottom"/>
            <w:hideMark/>
          </w:tcPr>
          <w:p w14:paraId="1169C0C7"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Metropolitan</w:t>
            </w:r>
          </w:p>
        </w:tc>
        <w:tc>
          <w:tcPr>
            <w:tcW w:w="747" w:type="dxa"/>
            <w:tcBorders>
              <w:top w:val="nil"/>
              <w:left w:val="nil"/>
              <w:bottom w:val="single" w:sz="8" w:space="0" w:color="auto"/>
              <w:right w:val="nil"/>
            </w:tcBorders>
            <w:textDirection w:val="btLr"/>
            <w:vAlign w:val="bottom"/>
            <w:hideMark/>
          </w:tcPr>
          <w:p w14:paraId="21155821"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Regional</w:t>
            </w:r>
          </w:p>
        </w:tc>
        <w:tc>
          <w:tcPr>
            <w:tcW w:w="786" w:type="dxa"/>
            <w:tcBorders>
              <w:top w:val="nil"/>
              <w:left w:val="nil"/>
              <w:bottom w:val="single" w:sz="8" w:space="0" w:color="auto"/>
              <w:right w:val="nil"/>
            </w:tcBorders>
            <w:textDirection w:val="btLr"/>
            <w:vAlign w:val="bottom"/>
            <w:hideMark/>
          </w:tcPr>
          <w:p w14:paraId="4AE2A88E"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Metropolitan &amp; regional</w:t>
            </w:r>
          </w:p>
        </w:tc>
        <w:tc>
          <w:tcPr>
            <w:tcW w:w="786" w:type="dxa"/>
            <w:gridSpan w:val="2"/>
            <w:tcBorders>
              <w:top w:val="nil"/>
              <w:left w:val="nil"/>
              <w:bottom w:val="single" w:sz="8" w:space="0" w:color="auto"/>
              <w:right w:val="nil"/>
            </w:tcBorders>
            <w:shd w:val="clear" w:color="auto" w:fill="D8DADA"/>
            <w:textDirection w:val="btLr"/>
            <w:vAlign w:val="bottom"/>
            <w:hideMark/>
          </w:tcPr>
          <w:p w14:paraId="74691CC2" w14:textId="77777777"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Single facilities</w:t>
            </w:r>
          </w:p>
        </w:tc>
        <w:tc>
          <w:tcPr>
            <w:tcW w:w="786" w:type="dxa"/>
            <w:tcBorders>
              <w:top w:val="nil"/>
              <w:left w:val="nil"/>
              <w:bottom w:val="single" w:sz="8" w:space="0" w:color="auto"/>
              <w:right w:val="nil"/>
            </w:tcBorders>
            <w:shd w:val="clear" w:color="auto" w:fill="D8DADA"/>
            <w:textDirection w:val="btLr"/>
            <w:vAlign w:val="bottom"/>
            <w:hideMark/>
          </w:tcPr>
          <w:p w14:paraId="7F81421F" w14:textId="5CF7A4FC"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Two</w:t>
            </w:r>
            <w:r w:rsidR="00FD5744">
              <w:rPr>
                <w:rFonts w:cs="Arial"/>
                <w:bCs w:val="0"/>
                <w:color w:val="000000"/>
                <w:sz w:val="16"/>
                <w:szCs w:val="16"/>
                <w:lang w:eastAsia="en-AU"/>
              </w:rPr>
              <w:t xml:space="preserve"> to </w:t>
            </w:r>
            <w:r w:rsidRPr="00C80D15">
              <w:rPr>
                <w:rFonts w:cs="Arial"/>
                <w:bCs w:val="0"/>
                <w:color w:val="000000"/>
                <w:sz w:val="16"/>
                <w:szCs w:val="16"/>
                <w:lang w:eastAsia="en-AU"/>
              </w:rPr>
              <w:t>six</w:t>
            </w:r>
            <w:r w:rsidR="00FD5744">
              <w:rPr>
                <w:rFonts w:cs="Arial"/>
                <w:bCs w:val="0"/>
                <w:color w:val="000000"/>
                <w:sz w:val="16"/>
                <w:szCs w:val="16"/>
                <w:lang w:eastAsia="en-AU"/>
              </w:rPr>
              <w:t xml:space="preserve"> </w:t>
            </w:r>
            <w:r w:rsidRPr="00C80D15">
              <w:rPr>
                <w:rFonts w:cs="Arial"/>
                <w:bCs w:val="0"/>
                <w:color w:val="000000"/>
                <w:sz w:val="16"/>
                <w:szCs w:val="16"/>
                <w:lang w:eastAsia="en-AU"/>
              </w:rPr>
              <w:t xml:space="preserve">facilities </w:t>
            </w:r>
          </w:p>
        </w:tc>
        <w:tc>
          <w:tcPr>
            <w:tcW w:w="786" w:type="dxa"/>
            <w:tcBorders>
              <w:top w:val="nil"/>
              <w:left w:val="nil"/>
              <w:bottom w:val="single" w:sz="8" w:space="0" w:color="auto"/>
              <w:right w:val="nil"/>
            </w:tcBorders>
            <w:shd w:val="clear" w:color="auto" w:fill="D8DADA"/>
            <w:textDirection w:val="btLr"/>
            <w:vAlign w:val="bottom"/>
            <w:hideMark/>
          </w:tcPr>
          <w:p w14:paraId="1CD2A503" w14:textId="238130CA"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Seven to 19 facilities</w:t>
            </w:r>
          </w:p>
        </w:tc>
        <w:tc>
          <w:tcPr>
            <w:tcW w:w="787" w:type="dxa"/>
            <w:tcBorders>
              <w:top w:val="nil"/>
              <w:left w:val="nil"/>
              <w:bottom w:val="single" w:sz="8" w:space="0" w:color="auto"/>
              <w:right w:val="nil"/>
            </w:tcBorders>
            <w:shd w:val="clear" w:color="auto" w:fill="D8DADA"/>
            <w:textDirection w:val="btLr"/>
            <w:vAlign w:val="bottom"/>
            <w:hideMark/>
          </w:tcPr>
          <w:p w14:paraId="58112068" w14:textId="77777777" w:rsidR="00C80D15" w:rsidRPr="00C80D15" w:rsidRDefault="00C80D15" w:rsidP="00C80D15">
            <w:pPr>
              <w:spacing w:before="0" w:after="0" w:line="240" w:lineRule="auto"/>
              <w:rPr>
                <w:rFonts w:cs="Arial"/>
                <w:bCs w:val="0"/>
                <w:color w:val="000000"/>
                <w:sz w:val="16"/>
                <w:szCs w:val="16"/>
                <w:lang w:eastAsia="en-AU"/>
              </w:rPr>
            </w:pPr>
            <w:r w:rsidRPr="00C80D15">
              <w:rPr>
                <w:rFonts w:cs="Arial"/>
                <w:bCs w:val="0"/>
                <w:color w:val="000000"/>
                <w:sz w:val="16"/>
                <w:szCs w:val="16"/>
                <w:lang w:eastAsia="en-AU"/>
              </w:rPr>
              <w:t xml:space="preserve">20 or more facilities </w:t>
            </w:r>
          </w:p>
        </w:tc>
      </w:tr>
      <w:tr w:rsidR="009758B7" w:rsidRPr="009758B7" w14:paraId="2AE4E57D" w14:textId="77777777" w:rsidTr="00620C7C">
        <w:trPr>
          <w:trHeight w:val="304"/>
        </w:trPr>
        <w:tc>
          <w:tcPr>
            <w:tcW w:w="1134" w:type="dxa"/>
            <w:tcBorders>
              <w:top w:val="nil"/>
              <w:left w:val="nil"/>
              <w:bottom w:val="single" w:sz="8" w:space="0" w:color="auto"/>
              <w:right w:val="nil"/>
            </w:tcBorders>
            <w:noWrap/>
            <w:vAlign w:val="bottom"/>
            <w:hideMark/>
          </w:tcPr>
          <w:p w14:paraId="5849E9D2"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Providers</w:t>
            </w:r>
          </w:p>
        </w:tc>
        <w:tc>
          <w:tcPr>
            <w:tcW w:w="851" w:type="dxa"/>
            <w:gridSpan w:val="2"/>
            <w:tcBorders>
              <w:top w:val="nil"/>
              <w:left w:val="nil"/>
              <w:bottom w:val="single" w:sz="8" w:space="0" w:color="auto"/>
              <w:right w:val="nil"/>
            </w:tcBorders>
            <w:noWrap/>
            <w:vAlign w:val="bottom"/>
            <w:hideMark/>
          </w:tcPr>
          <w:p w14:paraId="269BF15C"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764</w:t>
            </w:r>
          </w:p>
        </w:tc>
        <w:tc>
          <w:tcPr>
            <w:tcW w:w="721" w:type="dxa"/>
            <w:tcBorders>
              <w:top w:val="nil"/>
              <w:left w:val="nil"/>
              <w:bottom w:val="single" w:sz="8" w:space="0" w:color="auto"/>
              <w:right w:val="nil"/>
            </w:tcBorders>
            <w:noWrap/>
            <w:vAlign w:val="bottom"/>
            <w:hideMark/>
          </w:tcPr>
          <w:p w14:paraId="4787289E"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249</w:t>
            </w:r>
          </w:p>
        </w:tc>
        <w:tc>
          <w:tcPr>
            <w:tcW w:w="838" w:type="dxa"/>
            <w:tcBorders>
              <w:top w:val="nil"/>
              <w:left w:val="nil"/>
              <w:bottom w:val="single" w:sz="8" w:space="0" w:color="auto"/>
              <w:right w:val="nil"/>
            </w:tcBorders>
            <w:noWrap/>
            <w:vAlign w:val="bottom"/>
            <w:hideMark/>
          </w:tcPr>
          <w:p w14:paraId="272E193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431</w:t>
            </w:r>
          </w:p>
        </w:tc>
        <w:tc>
          <w:tcPr>
            <w:tcW w:w="734" w:type="dxa"/>
            <w:tcBorders>
              <w:top w:val="nil"/>
              <w:left w:val="nil"/>
              <w:bottom w:val="single" w:sz="8" w:space="0" w:color="auto"/>
              <w:right w:val="nil"/>
            </w:tcBorders>
            <w:noWrap/>
            <w:vAlign w:val="bottom"/>
            <w:hideMark/>
          </w:tcPr>
          <w:p w14:paraId="2E89B7A2"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84</w:t>
            </w:r>
          </w:p>
        </w:tc>
        <w:tc>
          <w:tcPr>
            <w:tcW w:w="825" w:type="dxa"/>
            <w:gridSpan w:val="2"/>
            <w:tcBorders>
              <w:top w:val="nil"/>
              <w:left w:val="nil"/>
              <w:bottom w:val="single" w:sz="8" w:space="0" w:color="auto"/>
              <w:right w:val="nil"/>
            </w:tcBorders>
            <w:noWrap/>
            <w:vAlign w:val="bottom"/>
            <w:hideMark/>
          </w:tcPr>
          <w:p w14:paraId="74569039"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420</w:t>
            </w:r>
          </w:p>
        </w:tc>
        <w:tc>
          <w:tcPr>
            <w:tcW w:w="747" w:type="dxa"/>
            <w:tcBorders>
              <w:top w:val="nil"/>
              <w:left w:val="nil"/>
              <w:bottom w:val="single" w:sz="8" w:space="0" w:color="auto"/>
              <w:right w:val="nil"/>
            </w:tcBorders>
            <w:noWrap/>
            <w:vAlign w:val="bottom"/>
            <w:hideMark/>
          </w:tcPr>
          <w:p w14:paraId="37E7DAC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302</w:t>
            </w:r>
          </w:p>
        </w:tc>
        <w:tc>
          <w:tcPr>
            <w:tcW w:w="786" w:type="dxa"/>
            <w:tcBorders>
              <w:top w:val="nil"/>
              <w:left w:val="nil"/>
              <w:bottom w:val="single" w:sz="8" w:space="0" w:color="auto"/>
              <w:right w:val="nil"/>
            </w:tcBorders>
            <w:noWrap/>
            <w:vAlign w:val="bottom"/>
            <w:hideMark/>
          </w:tcPr>
          <w:p w14:paraId="54C02EA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42</w:t>
            </w:r>
          </w:p>
        </w:tc>
        <w:tc>
          <w:tcPr>
            <w:tcW w:w="786" w:type="dxa"/>
            <w:gridSpan w:val="2"/>
            <w:tcBorders>
              <w:top w:val="nil"/>
              <w:left w:val="nil"/>
              <w:bottom w:val="single" w:sz="8" w:space="0" w:color="auto"/>
              <w:right w:val="nil"/>
            </w:tcBorders>
            <w:noWrap/>
            <w:vAlign w:val="bottom"/>
            <w:hideMark/>
          </w:tcPr>
          <w:p w14:paraId="6BCA7EE7"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473</w:t>
            </w:r>
          </w:p>
        </w:tc>
        <w:tc>
          <w:tcPr>
            <w:tcW w:w="786" w:type="dxa"/>
            <w:tcBorders>
              <w:top w:val="nil"/>
              <w:left w:val="nil"/>
              <w:bottom w:val="single" w:sz="8" w:space="0" w:color="auto"/>
              <w:right w:val="nil"/>
            </w:tcBorders>
            <w:noWrap/>
            <w:vAlign w:val="bottom"/>
            <w:hideMark/>
          </w:tcPr>
          <w:p w14:paraId="527353A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216</w:t>
            </w:r>
          </w:p>
        </w:tc>
        <w:tc>
          <w:tcPr>
            <w:tcW w:w="786" w:type="dxa"/>
            <w:tcBorders>
              <w:top w:val="nil"/>
              <w:left w:val="nil"/>
              <w:bottom w:val="single" w:sz="8" w:space="0" w:color="auto"/>
              <w:right w:val="nil"/>
            </w:tcBorders>
            <w:noWrap/>
            <w:vAlign w:val="bottom"/>
            <w:hideMark/>
          </w:tcPr>
          <w:p w14:paraId="2D5C677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53</w:t>
            </w:r>
          </w:p>
        </w:tc>
        <w:tc>
          <w:tcPr>
            <w:tcW w:w="787" w:type="dxa"/>
            <w:tcBorders>
              <w:top w:val="nil"/>
              <w:left w:val="nil"/>
              <w:bottom w:val="single" w:sz="8" w:space="0" w:color="auto"/>
              <w:right w:val="nil"/>
            </w:tcBorders>
            <w:noWrap/>
            <w:vAlign w:val="bottom"/>
            <w:hideMark/>
          </w:tcPr>
          <w:p w14:paraId="4CF9EC2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22</w:t>
            </w:r>
          </w:p>
        </w:tc>
      </w:tr>
      <w:tr w:rsidR="009758B7" w:rsidRPr="009758B7" w14:paraId="033D64BF" w14:textId="77777777" w:rsidTr="00620C7C">
        <w:trPr>
          <w:trHeight w:val="281"/>
        </w:trPr>
        <w:tc>
          <w:tcPr>
            <w:tcW w:w="1134" w:type="dxa"/>
            <w:tcBorders>
              <w:top w:val="nil"/>
              <w:left w:val="nil"/>
              <w:bottom w:val="single" w:sz="8" w:space="0" w:color="auto"/>
              <w:right w:val="nil"/>
            </w:tcBorders>
            <w:noWrap/>
            <w:vAlign w:val="bottom"/>
            <w:hideMark/>
          </w:tcPr>
          <w:p w14:paraId="2A44C008"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Facilities</w:t>
            </w:r>
          </w:p>
        </w:tc>
        <w:tc>
          <w:tcPr>
            <w:tcW w:w="851" w:type="dxa"/>
            <w:gridSpan w:val="2"/>
            <w:tcBorders>
              <w:top w:val="nil"/>
              <w:left w:val="nil"/>
              <w:bottom w:val="single" w:sz="8" w:space="0" w:color="auto"/>
              <w:right w:val="nil"/>
            </w:tcBorders>
            <w:noWrap/>
            <w:vAlign w:val="bottom"/>
            <w:hideMark/>
          </w:tcPr>
          <w:p w14:paraId="2A87C1A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2,639</w:t>
            </w:r>
          </w:p>
        </w:tc>
        <w:tc>
          <w:tcPr>
            <w:tcW w:w="721" w:type="dxa"/>
            <w:tcBorders>
              <w:top w:val="nil"/>
              <w:left w:val="nil"/>
              <w:bottom w:val="single" w:sz="8" w:space="0" w:color="auto"/>
              <w:right w:val="nil"/>
            </w:tcBorders>
            <w:noWrap/>
            <w:vAlign w:val="bottom"/>
            <w:hideMark/>
          </w:tcPr>
          <w:p w14:paraId="351D203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904</w:t>
            </w:r>
          </w:p>
        </w:tc>
        <w:tc>
          <w:tcPr>
            <w:tcW w:w="838" w:type="dxa"/>
            <w:tcBorders>
              <w:top w:val="nil"/>
              <w:left w:val="nil"/>
              <w:bottom w:val="single" w:sz="8" w:space="0" w:color="auto"/>
              <w:right w:val="nil"/>
            </w:tcBorders>
            <w:noWrap/>
            <w:vAlign w:val="bottom"/>
            <w:hideMark/>
          </w:tcPr>
          <w:p w14:paraId="39691A05"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1,519</w:t>
            </w:r>
          </w:p>
        </w:tc>
        <w:tc>
          <w:tcPr>
            <w:tcW w:w="734" w:type="dxa"/>
            <w:tcBorders>
              <w:top w:val="nil"/>
              <w:left w:val="nil"/>
              <w:bottom w:val="single" w:sz="8" w:space="0" w:color="auto"/>
              <w:right w:val="nil"/>
            </w:tcBorders>
            <w:noWrap/>
            <w:vAlign w:val="bottom"/>
            <w:hideMark/>
          </w:tcPr>
          <w:p w14:paraId="1018155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216</w:t>
            </w:r>
          </w:p>
        </w:tc>
        <w:tc>
          <w:tcPr>
            <w:tcW w:w="825" w:type="dxa"/>
            <w:gridSpan w:val="2"/>
            <w:tcBorders>
              <w:top w:val="nil"/>
              <w:left w:val="nil"/>
              <w:bottom w:val="single" w:sz="8" w:space="0" w:color="auto"/>
              <w:right w:val="nil"/>
            </w:tcBorders>
            <w:noWrap/>
            <w:vAlign w:val="bottom"/>
            <w:hideMark/>
          </w:tcPr>
          <w:p w14:paraId="06F6CD0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1,376</w:t>
            </w:r>
          </w:p>
        </w:tc>
        <w:tc>
          <w:tcPr>
            <w:tcW w:w="747" w:type="dxa"/>
            <w:tcBorders>
              <w:top w:val="nil"/>
              <w:left w:val="nil"/>
              <w:bottom w:val="single" w:sz="8" w:space="0" w:color="auto"/>
              <w:right w:val="nil"/>
            </w:tcBorders>
            <w:noWrap/>
            <w:vAlign w:val="bottom"/>
            <w:hideMark/>
          </w:tcPr>
          <w:p w14:paraId="452417A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596</w:t>
            </w:r>
          </w:p>
        </w:tc>
        <w:tc>
          <w:tcPr>
            <w:tcW w:w="786" w:type="dxa"/>
            <w:tcBorders>
              <w:top w:val="nil"/>
              <w:left w:val="nil"/>
              <w:bottom w:val="single" w:sz="8" w:space="0" w:color="auto"/>
              <w:right w:val="nil"/>
            </w:tcBorders>
            <w:noWrap/>
            <w:vAlign w:val="bottom"/>
            <w:hideMark/>
          </w:tcPr>
          <w:p w14:paraId="14AD200B"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667</w:t>
            </w:r>
          </w:p>
        </w:tc>
        <w:tc>
          <w:tcPr>
            <w:tcW w:w="786" w:type="dxa"/>
            <w:gridSpan w:val="2"/>
            <w:tcBorders>
              <w:top w:val="nil"/>
              <w:left w:val="nil"/>
              <w:bottom w:val="single" w:sz="8" w:space="0" w:color="auto"/>
              <w:right w:val="nil"/>
            </w:tcBorders>
            <w:noWrap/>
            <w:vAlign w:val="bottom"/>
            <w:hideMark/>
          </w:tcPr>
          <w:p w14:paraId="50B2F17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473</w:t>
            </w:r>
          </w:p>
        </w:tc>
        <w:tc>
          <w:tcPr>
            <w:tcW w:w="786" w:type="dxa"/>
            <w:tcBorders>
              <w:top w:val="nil"/>
              <w:left w:val="nil"/>
              <w:bottom w:val="single" w:sz="8" w:space="0" w:color="auto"/>
              <w:right w:val="nil"/>
            </w:tcBorders>
            <w:noWrap/>
            <w:vAlign w:val="bottom"/>
            <w:hideMark/>
          </w:tcPr>
          <w:p w14:paraId="7BE5D677"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632</w:t>
            </w:r>
          </w:p>
        </w:tc>
        <w:tc>
          <w:tcPr>
            <w:tcW w:w="786" w:type="dxa"/>
            <w:tcBorders>
              <w:top w:val="nil"/>
              <w:left w:val="nil"/>
              <w:bottom w:val="single" w:sz="8" w:space="0" w:color="auto"/>
              <w:right w:val="nil"/>
            </w:tcBorders>
            <w:noWrap/>
            <w:vAlign w:val="bottom"/>
            <w:hideMark/>
          </w:tcPr>
          <w:p w14:paraId="3B617F9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622</w:t>
            </w:r>
          </w:p>
        </w:tc>
        <w:tc>
          <w:tcPr>
            <w:tcW w:w="787" w:type="dxa"/>
            <w:tcBorders>
              <w:top w:val="nil"/>
              <w:left w:val="nil"/>
              <w:bottom w:val="single" w:sz="8" w:space="0" w:color="auto"/>
              <w:right w:val="nil"/>
            </w:tcBorders>
            <w:noWrap/>
            <w:vAlign w:val="bottom"/>
            <w:hideMark/>
          </w:tcPr>
          <w:p w14:paraId="26681D6B"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912</w:t>
            </w:r>
          </w:p>
        </w:tc>
      </w:tr>
      <w:tr w:rsidR="009758B7" w:rsidRPr="009758B7" w14:paraId="5E5D05CB" w14:textId="77777777" w:rsidTr="00620C7C">
        <w:trPr>
          <w:trHeight w:val="304"/>
        </w:trPr>
        <w:tc>
          <w:tcPr>
            <w:tcW w:w="1134" w:type="dxa"/>
            <w:tcBorders>
              <w:top w:val="nil"/>
              <w:left w:val="nil"/>
              <w:bottom w:val="single" w:sz="8" w:space="0" w:color="auto"/>
              <w:right w:val="nil"/>
            </w:tcBorders>
            <w:noWrap/>
            <w:vAlign w:val="bottom"/>
            <w:hideMark/>
          </w:tcPr>
          <w:p w14:paraId="654EA2D0"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Operational places</w:t>
            </w:r>
          </w:p>
        </w:tc>
        <w:tc>
          <w:tcPr>
            <w:tcW w:w="851" w:type="dxa"/>
            <w:gridSpan w:val="2"/>
            <w:tcBorders>
              <w:top w:val="nil"/>
              <w:left w:val="nil"/>
              <w:bottom w:val="single" w:sz="8" w:space="0" w:color="auto"/>
              <w:right w:val="nil"/>
            </w:tcBorders>
            <w:noWrap/>
            <w:vAlign w:val="bottom"/>
            <w:hideMark/>
          </w:tcPr>
          <w:p w14:paraId="14C904F2"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221,467</w:t>
            </w:r>
          </w:p>
        </w:tc>
        <w:tc>
          <w:tcPr>
            <w:tcW w:w="721" w:type="dxa"/>
            <w:tcBorders>
              <w:top w:val="nil"/>
              <w:left w:val="nil"/>
              <w:bottom w:val="single" w:sz="8" w:space="0" w:color="auto"/>
              <w:right w:val="nil"/>
            </w:tcBorders>
            <w:noWrap/>
            <w:vAlign w:val="bottom"/>
            <w:hideMark/>
          </w:tcPr>
          <w:p w14:paraId="7ECF7A4C"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90,159</w:t>
            </w:r>
          </w:p>
        </w:tc>
        <w:tc>
          <w:tcPr>
            <w:tcW w:w="838" w:type="dxa"/>
            <w:tcBorders>
              <w:top w:val="nil"/>
              <w:left w:val="nil"/>
              <w:bottom w:val="single" w:sz="8" w:space="0" w:color="auto"/>
              <w:right w:val="nil"/>
            </w:tcBorders>
            <w:noWrap/>
            <w:vAlign w:val="bottom"/>
            <w:hideMark/>
          </w:tcPr>
          <w:p w14:paraId="7893B34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123,382</w:t>
            </w:r>
          </w:p>
        </w:tc>
        <w:tc>
          <w:tcPr>
            <w:tcW w:w="734" w:type="dxa"/>
            <w:tcBorders>
              <w:top w:val="nil"/>
              <w:left w:val="nil"/>
              <w:bottom w:val="single" w:sz="8" w:space="0" w:color="auto"/>
              <w:right w:val="nil"/>
            </w:tcBorders>
            <w:noWrap/>
            <w:vAlign w:val="bottom"/>
            <w:hideMark/>
          </w:tcPr>
          <w:p w14:paraId="555102B5"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7,926</w:t>
            </w:r>
          </w:p>
        </w:tc>
        <w:tc>
          <w:tcPr>
            <w:tcW w:w="825" w:type="dxa"/>
            <w:gridSpan w:val="2"/>
            <w:tcBorders>
              <w:top w:val="nil"/>
              <w:left w:val="nil"/>
              <w:bottom w:val="single" w:sz="8" w:space="0" w:color="auto"/>
              <w:right w:val="nil"/>
            </w:tcBorders>
            <w:noWrap/>
            <w:vAlign w:val="bottom"/>
            <w:hideMark/>
          </w:tcPr>
          <w:p w14:paraId="1FE1ACDA"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130,131</w:t>
            </w:r>
          </w:p>
        </w:tc>
        <w:tc>
          <w:tcPr>
            <w:tcW w:w="747" w:type="dxa"/>
            <w:tcBorders>
              <w:top w:val="nil"/>
              <w:left w:val="nil"/>
              <w:bottom w:val="single" w:sz="8" w:space="0" w:color="auto"/>
              <w:right w:val="nil"/>
            </w:tcBorders>
            <w:noWrap/>
            <w:vAlign w:val="bottom"/>
            <w:hideMark/>
          </w:tcPr>
          <w:p w14:paraId="2FB0EB8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34,114</w:t>
            </w:r>
          </w:p>
        </w:tc>
        <w:tc>
          <w:tcPr>
            <w:tcW w:w="786" w:type="dxa"/>
            <w:tcBorders>
              <w:top w:val="nil"/>
              <w:left w:val="nil"/>
              <w:bottom w:val="single" w:sz="8" w:space="0" w:color="auto"/>
              <w:right w:val="nil"/>
            </w:tcBorders>
            <w:noWrap/>
            <w:vAlign w:val="bottom"/>
            <w:hideMark/>
          </w:tcPr>
          <w:p w14:paraId="31488D0F"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57,222</w:t>
            </w:r>
          </w:p>
        </w:tc>
        <w:tc>
          <w:tcPr>
            <w:tcW w:w="786" w:type="dxa"/>
            <w:gridSpan w:val="2"/>
            <w:tcBorders>
              <w:top w:val="nil"/>
              <w:left w:val="nil"/>
              <w:bottom w:val="single" w:sz="8" w:space="0" w:color="auto"/>
              <w:right w:val="nil"/>
            </w:tcBorders>
            <w:noWrap/>
            <w:vAlign w:val="bottom"/>
            <w:hideMark/>
          </w:tcPr>
          <w:p w14:paraId="47584B52"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39,610</w:t>
            </w:r>
          </w:p>
        </w:tc>
        <w:tc>
          <w:tcPr>
            <w:tcW w:w="786" w:type="dxa"/>
            <w:tcBorders>
              <w:top w:val="nil"/>
              <w:left w:val="nil"/>
              <w:bottom w:val="single" w:sz="8" w:space="0" w:color="auto"/>
              <w:right w:val="nil"/>
            </w:tcBorders>
            <w:noWrap/>
            <w:vAlign w:val="bottom"/>
            <w:hideMark/>
          </w:tcPr>
          <w:p w14:paraId="214E5E9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48,291</w:t>
            </w:r>
          </w:p>
        </w:tc>
        <w:tc>
          <w:tcPr>
            <w:tcW w:w="786" w:type="dxa"/>
            <w:tcBorders>
              <w:top w:val="nil"/>
              <w:left w:val="nil"/>
              <w:bottom w:val="single" w:sz="8" w:space="0" w:color="auto"/>
              <w:right w:val="nil"/>
            </w:tcBorders>
            <w:noWrap/>
            <w:vAlign w:val="bottom"/>
            <w:hideMark/>
          </w:tcPr>
          <w:p w14:paraId="568F5325"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51,197</w:t>
            </w:r>
          </w:p>
        </w:tc>
        <w:tc>
          <w:tcPr>
            <w:tcW w:w="787" w:type="dxa"/>
            <w:tcBorders>
              <w:top w:val="nil"/>
              <w:left w:val="nil"/>
              <w:bottom w:val="single" w:sz="8" w:space="0" w:color="auto"/>
              <w:right w:val="nil"/>
            </w:tcBorders>
            <w:noWrap/>
            <w:vAlign w:val="bottom"/>
            <w:hideMark/>
          </w:tcPr>
          <w:p w14:paraId="53758430"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82,369</w:t>
            </w:r>
          </w:p>
        </w:tc>
      </w:tr>
      <w:tr w:rsidR="009758B7" w:rsidRPr="009758B7" w14:paraId="39D7F98D" w14:textId="77777777" w:rsidTr="00620C7C">
        <w:trPr>
          <w:trHeight w:val="304"/>
        </w:trPr>
        <w:tc>
          <w:tcPr>
            <w:tcW w:w="1134" w:type="dxa"/>
            <w:tcBorders>
              <w:top w:val="nil"/>
              <w:left w:val="nil"/>
              <w:bottom w:val="single" w:sz="8" w:space="0" w:color="auto"/>
              <w:right w:val="nil"/>
            </w:tcBorders>
            <w:noWrap/>
            <w:vAlign w:val="bottom"/>
            <w:hideMark/>
          </w:tcPr>
          <w:p w14:paraId="31B42D37" w14:textId="36DCE4D8"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Occupancy</w:t>
            </w:r>
            <w:r w:rsidR="009C48A5">
              <w:rPr>
                <w:rFonts w:cs="Arial"/>
                <w:bCs w:val="0"/>
                <w:color w:val="auto"/>
                <w:sz w:val="16"/>
                <w:szCs w:val="16"/>
                <w:lang w:eastAsia="en-AU"/>
              </w:rPr>
              <w:t>*</w:t>
            </w:r>
          </w:p>
        </w:tc>
        <w:tc>
          <w:tcPr>
            <w:tcW w:w="851" w:type="dxa"/>
            <w:gridSpan w:val="2"/>
            <w:tcBorders>
              <w:top w:val="nil"/>
              <w:left w:val="nil"/>
              <w:bottom w:val="single" w:sz="8" w:space="0" w:color="auto"/>
              <w:right w:val="nil"/>
            </w:tcBorders>
            <w:noWrap/>
            <w:vAlign w:val="bottom"/>
            <w:hideMark/>
          </w:tcPr>
          <w:p w14:paraId="6837631B"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86%</w:t>
            </w:r>
          </w:p>
        </w:tc>
        <w:tc>
          <w:tcPr>
            <w:tcW w:w="721" w:type="dxa"/>
            <w:tcBorders>
              <w:top w:val="nil"/>
              <w:left w:val="nil"/>
              <w:bottom w:val="single" w:sz="8" w:space="0" w:color="auto"/>
              <w:right w:val="nil"/>
            </w:tcBorders>
            <w:noWrap/>
            <w:vAlign w:val="bottom"/>
            <w:hideMark/>
          </w:tcPr>
          <w:p w14:paraId="2FE1F1A1"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84%</w:t>
            </w:r>
          </w:p>
        </w:tc>
        <w:tc>
          <w:tcPr>
            <w:tcW w:w="838" w:type="dxa"/>
            <w:tcBorders>
              <w:top w:val="nil"/>
              <w:left w:val="nil"/>
              <w:bottom w:val="single" w:sz="8" w:space="0" w:color="auto"/>
              <w:right w:val="nil"/>
            </w:tcBorders>
            <w:noWrap/>
            <w:vAlign w:val="bottom"/>
            <w:hideMark/>
          </w:tcPr>
          <w:p w14:paraId="09FF79C5"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88%</w:t>
            </w:r>
          </w:p>
        </w:tc>
        <w:tc>
          <w:tcPr>
            <w:tcW w:w="734" w:type="dxa"/>
            <w:tcBorders>
              <w:top w:val="nil"/>
              <w:left w:val="nil"/>
              <w:bottom w:val="single" w:sz="8" w:space="0" w:color="auto"/>
              <w:right w:val="nil"/>
            </w:tcBorders>
            <w:noWrap/>
            <w:vAlign w:val="bottom"/>
            <w:hideMark/>
          </w:tcPr>
          <w:p w14:paraId="28EF2A99"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83%</w:t>
            </w:r>
          </w:p>
        </w:tc>
        <w:tc>
          <w:tcPr>
            <w:tcW w:w="825" w:type="dxa"/>
            <w:gridSpan w:val="2"/>
            <w:tcBorders>
              <w:top w:val="nil"/>
              <w:left w:val="nil"/>
              <w:bottom w:val="single" w:sz="8" w:space="0" w:color="auto"/>
              <w:right w:val="nil"/>
            </w:tcBorders>
            <w:noWrap/>
            <w:vAlign w:val="bottom"/>
            <w:hideMark/>
          </w:tcPr>
          <w:p w14:paraId="7A41F39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86%</w:t>
            </w:r>
          </w:p>
        </w:tc>
        <w:tc>
          <w:tcPr>
            <w:tcW w:w="747" w:type="dxa"/>
            <w:tcBorders>
              <w:top w:val="nil"/>
              <w:left w:val="nil"/>
              <w:bottom w:val="single" w:sz="8" w:space="0" w:color="auto"/>
              <w:right w:val="nil"/>
            </w:tcBorders>
            <w:noWrap/>
            <w:vAlign w:val="bottom"/>
            <w:hideMark/>
          </w:tcPr>
          <w:p w14:paraId="4F2BCB8A"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86%</w:t>
            </w:r>
          </w:p>
        </w:tc>
        <w:tc>
          <w:tcPr>
            <w:tcW w:w="786" w:type="dxa"/>
            <w:tcBorders>
              <w:top w:val="nil"/>
              <w:left w:val="nil"/>
              <w:bottom w:val="single" w:sz="8" w:space="0" w:color="auto"/>
              <w:right w:val="nil"/>
            </w:tcBorders>
            <w:noWrap/>
            <w:vAlign w:val="bottom"/>
            <w:hideMark/>
          </w:tcPr>
          <w:p w14:paraId="5E2C5090"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86%</w:t>
            </w:r>
          </w:p>
        </w:tc>
        <w:tc>
          <w:tcPr>
            <w:tcW w:w="786" w:type="dxa"/>
            <w:gridSpan w:val="2"/>
            <w:tcBorders>
              <w:top w:val="nil"/>
              <w:left w:val="nil"/>
              <w:bottom w:val="single" w:sz="8" w:space="0" w:color="auto"/>
              <w:right w:val="nil"/>
            </w:tcBorders>
            <w:noWrap/>
            <w:vAlign w:val="bottom"/>
            <w:hideMark/>
          </w:tcPr>
          <w:p w14:paraId="651B7F93"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86%</w:t>
            </w:r>
          </w:p>
        </w:tc>
        <w:tc>
          <w:tcPr>
            <w:tcW w:w="786" w:type="dxa"/>
            <w:tcBorders>
              <w:top w:val="nil"/>
              <w:left w:val="nil"/>
              <w:bottom w:val="single" w:sz="8" w:space="0" w:color="auto"/>
              <w:right w:val="nil"/>
            </w:tcBorders>
            <w:noWrap/>
            <w:vAlign w:val="bottom"/>
            <w:hideMark/>
          </w:tcPr>
          <w:p w14:paraId="6AFA0D61"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85%</w:t>
            </w:r>
          </w:p>
        </w:tc>
        <w:tc>
          <w:tcPr>
            <w:tcW w:w="786" w:type="dxa"/>
            <w:tcBorders>
              <w:top w:val="nil"/>
              <w:left w:val="nil"/>
              <w:bottom w:val="single" w:sz="8" w:space="0" w:color="auto"/>
              <w:right w:val="nil"/>
            </w:tcBorders>
            <w:noWrap/>
            <w:vAlign w:val="bottom"/>
            <w:hideMark/>
          </w:tcPr>
          <w:p w14:paraId="15E0406C"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86%</w:t>
            </w:r>
          </w:p>
        </w:tc>
        <w:tc>
          <w:tcPr>
            <w:tcW w:w="787" w:type="dxa"/>
            <w:tcBorders>
              <w:top w:val="nil"/>
              <w:left w:val="nil"/>
              <w:bottom w:val="single" w:sz="8" w:space="0" w:color="auto"/>
              <w:right w:val="nil"/>
            </w:tcBorders>
            <w:noWrap/>
            <w:vAlign w:val="bottom"/>
            <w:hideMark/>
          </w:tcPr>
          <w:p w14:paraId="57141E37" w14:textId="77777777" w:rsidR="00C80D15" w:rsidRPr="00C80D15" w:rsidRDefault="00C80D15" w:rsidP="00C80D15">
            <w:pPr>
              <w:spacing w:before="0" w:after="0" w:line="240" w:lineRule="auto"/>
              <w:jc w:val="right"/>
              <w:rPr>
                <w:rFonts w:cs="Arial"/>
                <w:bCs w:val="0"/>
                <w:color w:val="000000"/>
                <w:sz w:val="16"/>
                <w:szCs w:val="16"/>
                <w:lang w:eastAsia="en-AU"/>
              </w:rPr>
            </w:pPr>
            <w:r w:rsidRPr="00C80D15">
              <w:rPr>
                <w:rFonts w:cs="Arial"/>
                <w:bCs w:val="0"/>
                <w:color w:val="000000"/>
                <w:sz w:val="16"/>
                <w:szCs w:val="16"/>
                <w:lang w:eastAsia="en-AU"/>
              </w:rPr>
              <w:t>87%</w:t>
            </w:r>
          </w:p>
        </w:tc>
      </w:tr>
      <w:tr w:rsidR="009758B7" w:rsidRPr="009758B7" w14:paraId="028FD908" w14:textId="77777777" w:rsidTr="00620C7C">
        <w:trPr>
          <w:trHeight w:val="304"/>
        </w:trPr>
        <w:tc>
          <w:tcPr>
            <w:tcW w:w="1134" w:type="dxa"/>
            <w:tcBorders>
              <w:top w:val="nil"/>
              <w:left w:val="nil"/>
              <w:bottom w:val="single" w:sz="8" w:space="0" w:color="auto"/>
              <w:right w:val="nil"/>
            </w:tcBorders>
            <w:noWrap/>
            <w:vAlign w:val="bottom"/>
            <w:hideMark/>
          </w:tcPr>
          <w:p w14:paraId="2D8D5A55"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Total residents</w:t>
            </w:r>
          </w:p>
        </w:tc>
        <w:tc>
          <w:tcPr>
            <w:tcW w:w="851" w:type="dxa"/>
            <w:gridSpan w:val="2"/>
            <w:tcBorders>
              <w:top w:val="nil"/>
              <w:left w:val="nil"/>
              <w:bottom w:val="single" w:sz="8" w:space="0" w:color="auto"/>
              <w:right w:val="nil"/>
            </w:tcBorders>
            <w:noWrap/>
            <w:vAlign w:val="bottom"/>
            <w:hideMark/>
          </w:tcPr>
          <w:p w14:paraId="22CF4CFE"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193,242</w:t>
            </w:r>
          </w:p>
        </w:tc>
        <w:tc>
          <w:tcPr>
            <w:tcW w:w="721" w:type="dxa"/>
            <w:tcBorders>
              <w:top w:val="nil"/>
              <w:left w:val="nil"/>
              <w:bottom w:val="single" w:sz="8" w:space="0" w:color="auto"/>
              <w:right w:val="nil"/>
            </w:tcBorders>
            <w:noWrap/>
            <w:vAlign w:val="bottom"/>
            <w:hideMark/>
          </w:tcPr>
          <w:p w14:paraId="05C9652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77,426</w:t>
            </w:r>
          </w:p>
        </w:tc>
        <w:tc>
          <w:tcPr>
            <w:tcW w:w="838" w:type="dxa"/>
            <w:tcBorders>
              <w:top w:val="nil"/>
              <w:left w:val="nil"/>
              <w:bottom w:val="single" w:sz="8" w:space="0" w:color="auto"/>
              <w:right w:val="nil"/>
            </w:tcBorders>
            <w:noWrap/>
            <w:vAlign w:val="bottom"/>
            <w:hideMark/>
          </w:tcPr>
          <w:p w14:paraId="1A3A111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109,269</w:t>
            </w:r>
          </w:p>
        </w:tc>
        <w:tc>
          <w:tcPr>
            <w:tcW w:w="734" w:type="dxa"/>
            <w:tcBorders>
              <w:top w:val="nil"/>
              <w:left w:val="nil"/>
              <w:bottom w:val="single" w:sz="8" w:space="0" w:color="auto"/>
              <w:right w:val="nil"/>
            </w:tcBorders>
            <w:noWrap/>
            <w:vAlign w:val="bottom"/>
            <w:hideMark/>
          </w:tcPr>
          <w:p w14:paraId="40AF42C0"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6,547</w:t>
            </w:r>
          </w:p>
        </w:tc>
        <w:tc>
          <w:tcPr>
            <w:tcW w:w="825" w:type="dxa"/>
            <w:gridSpan w:val="2"/>
            <w:tcBorders>
              <w:top w:val="nil"/>
              <w:left w:val="nil"/>
              <w:bottom w:val="single" w:sz="8" w:space="0" w:color="auto"/>
              <w:right w:val="nil"/>
            </w:tcBorders>
            <w:noWrap/>
            <w:vAlign w:val="bottom"/>
            <w:hideMark/>
          </w:tcPr>
          <w:p w14:paraId="1EA0A8F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113,909</w:t>
            </w:r>
          </w:p>
        </w:tc>
        <w:tc>
          <w:tcPr>
            <w:tcW w:w="747" w:type="dxa"/>
            <w:tcBorders>
              <w:top w:val="nil"/>
              <w:left w:val="nil"/>
              <w:bottom w:val="single" w:sz="8" w:space="0" w:color="auto"/>
              <w:right w:val="nil"/>
            </w:tcBorders>
            <w:noWrap/>
            <w:vAlign w:val="bottom"/>
            <w:hideMark/>
          </w:tcPr>
          <w:p w14:paraId="147E4D05"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29,514</w:t>
            </w:r>
          </w:p>
        </w:tc>
        <w:tc>
          <w:tcPr>
            <w:tcW w:w="786" w:type="dxa"/>
            <w:tcBorders>
              <w:top w:val="nil"/>
              <w:left w:val="nil"/>
              <w:bottom w:val="single" w:sz="8" w:space="0" w:color="auto"/>
              <w:right w:val="nil"/>
            </w:tcBorders>
            <w:noWrap/>
            <w:vAlign w:val="bottom"/>
            <w:hideMark/>
          </w:tcPr>
          <w:p w14:paraId="4C5D6B05"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49,819</w:t>
            </w:r>
          </w:p>
        </w:tc>
        <w:tc>
          <w:tcPr>
            <w:tcW w:w="786" w:type="dxa"/>
            <w:gridSpan w:val="2"/>
            <w:tcBorders>
              <w:top w:val="nil"/>
              <w:left w:val="nil"/>
              <w:bottom w:val="single" w:sz="8" w:space="0" w:color="auto"/>
              <w:right w:val="nil"/>
            </w:tcBorders>
            <w:noWrap/>
            <w:vAlign w:val="bottom"/>
            <w:hideMark/>
          </w:tcPr>
          <w:p w14:paraId="36DF6D1E"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34,406</w:t>
            </w:r>
          </w:p>
        </w:tc>
        <w:tc>
          <w:tcPr>
            <w:tcW w:w="786" w:type="dxa"/>
            <w:tcBorders>
              <w:top w:val="nil"/>
              <w:left w:val="nil"/>
              <w:bottom w:val="single" w:sz="8" w:space="0" w:color="auto"/>
              <w:right w:val="nil"/>
            </w:tcBorders>
            <w:noWrap/>
            <w:vAlign w:val="bottom"/>
            <w:hideMark/>
          </w:tcPr>
          <w:p w14:paraId="3469EA9F"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41,374</w:t>
            </w:r>
          </w:p>
        </w:tc>
        <w:tc>
          <w:tcPr>
            <w:tcW w:w="786" w:type="dxa"/>
            <w:tcBorders>
              <w:top w:val="nil"/>
              <w:left w:val="nil"/>
              <w:bottom w:val="single" w:sz="8" w:space="0" w:color="auto"/>
              <w:right w:val="nil"/>
            </w:tcBorders>
            <w:noWrap/>
            <w:vAlign w:val="bottom"/>
            <w:hideMark/>
          </w:tcPr>
          <w:p w14:paraId="5E5A9D9E"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44,681</w:t>
            </w:r>
          </w:p>
        </w:tc>
        <w:tc>
          <w:tcPr>
            <w:tcW w:w="787" w:type="dxa"/>
            <w:tcBorders>
              <w:top w:val="nil"/>
              <w:left w:val="nil"/>
              <w:bottom w:val="single" w:sz="8" w:space="0" w:color="auto"/>
              <w:right w:val="nil"/>
            </w:tcBorders>
            <w:noWrap/>
            <w:vAlign w:val="bottom"/>
            <w:hideMark/>
          </w:tcPr>
          <w:p w14:paraId="555D97A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72,781</w:t>
            </w:r>
          </w:p>
        </w:tc>
      </w:tr>
      <w:tr w:rsidR="009758B7" w:rsidRPr="009758B7" w14:paraId="5B75A56E" w14:textId="77777777" w:rsidTr="00620C7C">
        <w:trPr>
          <w:trHeight w:val="304"/>
        </w:trPr>
        <w:tc>
          <w:tcPr>
            <w:tcW w:w="1134" w:type="dxa"/>
            <w:tcBorders>
              <w:top w:val="nil"/>
              <w:left w:val="nil"/>
              <w:bottom w:val="single" w:sz="8" w:space="0" w:color="auto"/>
              <w:right w:val="nil"/>
            </w:tcBorders>
            <w:noWrap/>
            <w:vAlign w:val="bottom"/>
            <w:hideMark/>
          </w:tcPr>
          <w:p w14:paraId="6385C8F1" w14:textId="63D39CA6"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 Permanent residents</w:t>
            </w:r>
          </w:p>
        </w:tc>
        <w:tc>
          <w:tcPr>
            <w:tcW w:w="851" w:type="dxa"/>
            <w:gridSpan w:val="2"/>
            <w:tcBorders>
              <w:top w:val="nil"/>
              <w:left w:val="nil"/>
              <w:bottom w:val="single" w:sz="8" w:space="0" w:color="auto"/>
              <w:right w:val="nil"/>
            </w:tcBorders>
            <w:noWrap/>
            <w:vAlign w:val="bottom"/>
            <w:hideMark/>
          </w:tcPr>
          <w:p w14:paraId="1E7AB8DF"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185,127</w:t>
            </w:r>
          </w:p>
        </w:tc>
        <w:tc>
          <w:tcPr>
            <w:tcW w:w="721" w:type="dxa"/>
            <w:tcBorders>
              <w:top w:val="nil"/>
              <w:left w:val="nil"/>
              <w:bottom w:val="single" w:sz="8" w:space="0" w:color="auto"/>
              <w:right w:val="nil"/>
            </w:tcBorders>
            <w:noWrap/>
            <w:vAlign w:val="bottom"/>
            <w:hideMark/>
          </w:tcPr>
          <w:p w14:paraId="6512FC0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73,501</w:t>
            </w:r>
          </w:p>
        </w:tc>
        <w:tc>
          <w:tcPr>
            <w:tcW w:w="838" w:type="dxa"/>
            <w:tcBorders>
              <w:top w:val="nil"/>
              <w:left w:val="nil"/>
              <w:bottom w:val="single" w:sz="8" w:space="0" w:color="auto"/>
              <w:right w:val="nil"/>
            </w:tcBorders>
            <w:noWrap/>
            <w:vAlign w:val="bottom"/>
            <w:hideMark/>
          </w:tcPr>
          <w:p w14:paraId="245BA18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105,318</w:t>
            </w:r>
          </w:p>
        </w:tc>
        <w:tc>
          <w:tcPr>
            <w:tcW w:w="734" w:type="dxa"/>
            <w:tcBorders>
              <w:top w:val="nil"/>
              <w:left w:val="nil"/>
              <w:bottom w:val="single" w:sz="8" w:space="0" w:color="auto"/>
              <w:right w:val="nil"/>
            </w:tcBorders>
            <w:noWrap/>
            <w:vAlign w:val="bottom"/>
            <w:hideMark/>
          </w:tcPr>
          <w:p w14:paraId="6A4FF9E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6,308</w:t>
            </w:r>
          </w:p>
        </w:tc>
        <w:tc>
          <w:tcPr>
            <w:tcW w:w="825" w:type="dxa"/>
            <w:gridSpan w:val="2"/>
            <w:tcBorders>
              <w:top w:val="nil"/>
              <w:left w:val="nil"/>
              <w:bottom w:val="single" w:sz="8" w:space="0" w:color="auto"/>
              <w:right w:val="nil"/>
            </w:tcBorders>
            <w:noWrap/>
            <w:vAlign w:val="bottom"/>
            <w:hideMark/>
          </w:tcPr>
          <w:p w14:paraId="1933E30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108,735</w:t>
            </w:r>
          </w:p>
        </w:tc>
        <w:tc>
          <w:tcPr>
            <w:tcW w:w="747" w:type="dxa"/>
            <w:tcBorders>
              <w:top w:val="nil"/>
              <w:left w:val="nil"/>
              <w:bottom w:val="single" w:sz="8" w:space="0" w:color="auto"/>
              <w:right w:val="nil"/>
            </w:tcBorders>
            <w:noWrap/>
            <w:vAlign w:val="bottom"/>
            <w:hideMark/>
          </w:tcPr>
          <w:p w14:paraId="769A170D"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28,132</w:t>
            </w:r>
          </w:p>
        </w:tc>
        <w:tc>
          <w:tcPr>
            <w:tcW w:w="786" w:type="dxa"/>
            <w:tcBorders>
              <w:top w:val="nil"/>
              <w:left w:val="nil"/>
              <w:bottom w:val="single" w:sz="8" w:space="0" w:color="auto"/>
              <w:right w:val="nil"/>
            </w:tcBorders>
            <w:noWrap/>
            <w:vAlign w:val="bottom"/>
            <w:hideMark/>
          </w:tcPr>
          <w:p w14:paraId="107349CF"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48,260</w:t>
            </w:r>
          </w:p>
        </w:tc>
        <w:tc>
          <w:tcPr>
            <w:tcW w:w="786" w:type="dxa"/>
            <w:gridSpan w:val="2"/>
            <w:tcBorders>
              <w:top w:val="nil"/>
              <w:left w:val="nil"/>
              <w:bottom w:val="single" w:sz="8" w:space="0" w:color="auto"/>
              <w:right w:val="nil"/>
            </w:tcBorders>
            <w:noWrap/>
            <w:vAlign w:val="bottom"/>
            <w:hideMark/>
          </w:tcPr>
          <w:p w14:paraId="31E335E2"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32,615</w:t>
            </w:r>
          </w:p>
        </w:tc>
        <w:tc>
          <w:tcPr>
            <w:tcW w:w="786" w:type="dxa"/>
            <w:tcBorders>
              <w:top w:val="nil"/>
              <w:left w:val="nil"/>
              <w:bottom w:val="single" w:sz="8" w:space="0" w:color="auto"/>
              <w:right w:val="nil"/>
            </w:tcBorders>
            <w:noWrap/>
            <w:vAlign w:val="bottom"/>
            <w:hideMark/>
          </w:tcPr>
          <w:p w14:paraId="7496F4F7"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39,548</w:t>
            </w:r>
          </w:p>
        </w:tc>
        <w:tc>
          <w:tcPr>
            <w:tcW w:w="786" w:type="dxa"/>
            <w:tcBorders>
              <w:top w:val="nil"/>
              <w:left w:val="nil"/>
              <w:bottom w:val="single" w:sz="8" w:space="0" w:color="auto"/>
              <w:right w:val="nil"/>
            </w:tcBorders>
            <w:noWrap/>
            <w:vAlign w:val="bottom"/>
            <w:hideMark/>
          </w:tcPr>
          <w:p w14:paraId="5E40AE13"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43,140</w:t>
            </w:r>
          </w:p>
        </w:tc>
        <w:tc>
          <w:tcPr>
            <w:tcW w:w="787" w:type="dxa"/>
            <w:tcBorders>
              <w:top w:val="nil"/>
              <w:left w:val="nil"/>
              <w:bottom w:val="single" w:sz="8" w:space="0" w:color="auto"/>
              <w:right w:val="nil"/>
            </w:tcBorders>
            <w:noWrap/>
            <w:vAlign w:val="bottom"/>
            <w:hideMark/>
          </w:tcPr>
          <w:p w14:paraId="726302F7"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69,824</w:t>
            </w:r>
          </w:p>
        </w:tc>
      </w:tr>
      <w:tr w:rsidR="009758B7" w:rsidRPr="009758B7" w14:paraId="776B61DD" w14:textId="77777777" w:rsidTr="00620C7C">
        <w:trPr>
          <w:trHeight w:val="304"/>
        </w:trPr>
        <w:tc>
          <w:tcPr>
            <w:tcW w:w="1134" w:type="dxa"/>
            <w:tcBorders>
              <w:top w:val="nil"/>
              <w:left w:val="nil"/>
              <w:bottom w:val="single" w:sz="8" w:space="0" w:color="auto"/>
              <w:right w:val="nil"/>
            </w:tcBorders>
            <w:noWrap/>
            <w:vAlign w:val="bottom"/>
            <w:hideMark/>
          </w:tcPr>
          <w:p w14:paraId="4B5855C9" w14:textId="77777777" w:rsidR="00C80D15" w:rsidRPr="00C80D15" w:rsidRDefault="00C80D15" w:rsidP="00C80D15">
            <w:pPr>
              <w:spacing w:before="0" w:after="0" w:line="240" w:lineRule="auto"/>
              <w:rPr>
                <w:rFonts w:cs="Arial"/>
                <w:bCs w:val="0"/>
                <w:color w:val="auto"/>
                <w:sz w:val="16"/>
                <w:szCs w:val="16"/>
                <w:lang w:eastAsia="en-AU"/>
              </w:rPr>
            </w:pPr>
            <w:r w:rsidRPr="00C80D15">
              <w:rPr>
                <w:rFonts w:cs="Arial"/>
                <w:bCs w:val="0"/>
                <w:color w:val="auto"/>
                <w:sz w:val="16"/>
                <w:szCs w:val="16"/>
                <w:lang w:eastAsia="en-AU"/>
              </w:rPr>
              <w:t>- Respite residents</w:t>
            </w:r>
          </w:p>
        </w:tc>
        <w:tc>
          <w:tcPr>
            <w:tcW w:w="851" w:type="dxa"/>
            <w:gridSpan w:val="2"/>
            <w:tcBorders>
              <w:top w:val="nil"/>
              <w:left w:val="nil"/>
              <w:bottom w:val="single" w:sz="8" w:space="0" w:color="auto"/>
              <w:right w:val="nil"/>
            </w:tcBorders>
            <w:noWrap/>
            <w:vAlign w:val="bottom"/>
            <w:hideMark/>
          </w:tcPr>
          <w:p w14:paraId="16DFDE4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8,115</w:t>
            </w:r>
          </w:p>
        </w:tc>
        <w:tc>
          <w:tcPr>
            <w:tcW w:w="721" w:type="dxa"/>
            <w:tcBorders>
              <w:top w:val="nil"/>
              <w:left w:val="nil"/>
              <w:bottom w:val="single" w:sz="8" w:space="0" w:color="auto"/>
              <w:right w:val="nil"/>
            </w:tcBorders>
            <w:noWrap/>
            <w:vAlign w:val="bottom"/>
            <w:hideMark/>
          </w:tcPr>
          <w:p w14:paraId="255F36F7"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3,925</w:t>
            </w:r>
          </w:p>
        </w:tc>
        <w:tc>
          <w:tcPr>
            <w:tcW w:w="838" w:type="dxa"/>
            <w:tcBorders>
              <w:top w:val="nil"/>
              <w:left w:val="nil"/>
              <w:bottom w:val="single" w:sz="8" w:space="0" w:color="auto"/>
              <w:right w:val="nil"/>
            </w:tcBorders>
            <w:noWrap/>
            <w:vAlign w:val="bottom"/>
            <w:hideMark/>
          </w:tcPr>
          <w:p w14:paraId="50CC6E2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3,951</w:t>
            </w:r>
          </w:p>
        </w:tc>
        <w:tc>
          <w:tcPr>
            <w:tcW w:w="734" w:type="dxa"/>
            <w:tcBorders>
              <w:top w:val="nil"/>
              <w:left w:val="nil"/>
              <w:bottom w:val="single" w:sz="8" w:space="0" w:color="auto"/>
              <w:right w:val="nil"/>
            </w:tcBorders>
            <w:noWrap/>
            <w:vAlign w:val="bottom"/>
            <w:hideMark/>
          </w:tcPr>
          <w:p w14:paraId="4DAAD8DC"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239</w:t>
            </w:r>
          </w:p>
        </w:tc>
        <w:tc>
          <w:tcPr>
            <w:tcW w:w="825" w:type="dxa"/>
            <w:gridSpan w:val="2"/>
            <w:tcBorders>
              <w:top w:val="nil"/>
              <w:left w:val="nil"/>
              <w:bottom w:val="single" w:sz="8" w:space="0" w:color="auto"/>
              <w:right w:val="nil"/>
            </w:tcBorders>
            <w:noWrap/>
            <w:vAlign w:val="bottom"/>
            <w:hideMark/>
          </w:tcPr>
          <w:p w14:paraId="2E4E5214"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5,174</w:t>
            </w:r>
          </w:p>
        </w:tc>
        <w:tc>
          <w:tcPr>
            <w:tcW w:w="747" w:type="dxa"/>
            <w:tcBorders>
              <w:top w:val="nil"/>
              <w:left w:val="nil"/>
              <w:bottom w:val="single" w:sz="8" w:space="0" w:color="auto"/>
              <w:right w:val="nil"/>
            </w:tcBorders>
            <w:noWrap/>
            <w:vAlign w:val="bottom"/>
            <w:hideMark/>
          </w:tcPr>
          <w:p w14:paraId="0DAFA129"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1,382</w:t>
            </w:r>
          </w:p>
        </w:tc>
        <w:tc>
          <w:tcPr>
            <w:tcW w:w="786" w:type="dxa"/>
            <w:tcBorders>
              <w:top w:val="nil"/>
              <w:left w:val="nil"/>
              <w:bottom w:val="single" w:sz="8" w:space="0" w:color="auto"/>
              <w:right w:val="nil"/>
            </w:tcBorders>
            <w:noWrap/>
            <w:vAlign w:val="bottom"/>
            <w:hideMark/>
          </w:tcPr>
          <w:p w14:paraId="25C657D8"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1,559</w:t>
            </w:r>
          </w:p>
        </w:tc>
        <w:tc>
          <w:tcPr>
            <w:tcW w:w="786" w:type="dxa"/>
            <w:gridSpan w:val="2"/>
            <w:tcBorders>
              <w:top w:val="nil"/>
              <w:left w:val="nil"/>
              <w:bottom w:val="single" w:sz="8" w:space="0" w:color="auto"/>
              <w:right w:val="nil"/>
            </w:tcBorders>
            <w:noWrap/>
            <w:vAlign w:val="bottom"/>
            <w:hideMark/>
          </w:tcPr>
          <w:p w14:paraId="4524CAEA"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1,791</w:t>
            </w:r>
          </w:p>
        </w:tc>
        <w:tc>
          <w:tcPr>
            <w:tcW w:w="786" w:type="dxa"/>
            <w:tcBorders>
              <w:top w:val="nil"/>
              <w:left w:val="nil"/>
              <w:bottom w:val="single" w:sz="8" w:space="0" w:color="auto"/>
              <w:right w:val="nil"/>
            </w:tcBorders>
            <w:noWrap/>
            <w:vAlign w:val="bottom"/>
            <w:hideMark/>
          </w:tcPr>
          <w:p w14:paraId="2F895DDB"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1,826</w:t>
            </w:r>
          </w:p>
        </w:tc>
        <w:tc>
          <w:tcPr>
            <w:tcW w:w="786" w:type="dxa"/>
            <w:tcBorders>
              <w:top w:val="nil"/>
              <w:left w:val="nil"/>
              <w:bottom w:val="single" w:sz="8" w:space="0" w:color="auto"/>
              <w:right w:val="nil"/>
            </w:tcBorders>
            <w:noWrap/>
            <w:vAlign w:val="bottom"/>
            <w:hideMark/>
          </w:tcPr>
          <w:p w14:paraId="43E27526"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1,541</w:t>
            </w:r>
          </w:p>
        </w:tc>
        <w:tc>
          <w:tcPr>
            <w:tcW w:w="787" w:type="dxa"/>
            <w:tcBorders>
              <w:top w:val="nil"/>
              <w:left w:val="nil"/>
              <w:bottom w:val="single" w:sz="8" w:space="0" w:color="auto"/>
              <w:right w:val="nil"/>
            </w:tcBorders>
            <w:noWrap/>
            <w:vAlign w:val="bottom"/>
            <w:hideMark/>
          </w:tcPr>
          <w:p w14:paraId="61B4FD6E" w14:textId="77777777" w:rsidR="00C80D15" w:rsidRPr="00C80D15" w:rsidRDefault="00C80D15" w:rsidP="00C80D15">
            <w:pPr>
              <w:spacing w:before="0" w:after="0" w:line="240" w:lineRule="auto"/>
              <w:jc w:val="right"/>
              <w:rPr>
                <w:rFonts w:cs="Arial"/>
                <w:bCs w:val="0"/>
                <w:color w:val="auto"/>
                <w:sz w:val="16"/>
                <w:szCs w:val="16"/>
                <w:lang w:eastAsia="en-AU"/>
              </w:rPr>
            </w:pPr>
            <w:r w:rsidRPr="00C80D15">
              <w:rPr>
                <w:rFonts w:cs="Arial"/>
                <w:bCs w:val="0"/>
                <w:color w:val="auto"/>
                <w:sz w:val="16"/>
                <w:szCs w:val="16"/>
                <w:lang w:eastAsia="en-AU"/>
              </w:rPr>
              <w:t>2,957</w:t>
            </w:r>
          </w:p>
        </w:tc>
      </w:tr>
    </w:tbl>
    <w:p w14:paraId="08141CC3" w14:textId="77777777" w:rsidR="00D24A81" w:rsidRDefault="00D24A81" w:rsidP="00D24A81">
      <w:pPr>
        <w:pStyle w:val="FootnoteText"/>
      </w:pPr>
    </w:p>
    <w:p w14:paraId="5B2BE05A" w14:textId="15048225" w:rsidR="0090683B" w:rsidRPr="0090683B" w:rsidRDefault="005743CC" w:rsidP="007750A8">
      <w:pPr>
        <w:pStyle w:val="FootnoteText"/>
      </w:pPr>
      <w:r>
        <w:t xml:space="preserve">Note: </w:t>
      </w:r>
      <w:r w:rsidR="00D24A81">
        <w:t>*</w:t>
      </w:r>
      <w:r w:rsidR="00C754DB">
        <w:t>O</w:t>
      </w:r>
      <w:r w:rsidR="00F767B9">
        <w:t xml:space="preserve">ccupancy data is </w:t>
      </w:r>
      <w:r w:rsidR="008F4EF9">
        <w:t>reported for 2022-23</w:t>
      </w:r>
      <w:r w:rsidR="00C754DB">
        <w:t xml:space="preserve"> financial year. Occupancy data is not</w:t>
      </w:r>
      <w:r w:rsidR="001B49B7">
        <w:t xml:space="preserve"> taken at a point-in-time as indicated </w:t>
      </w:r>
      <w:r w:rsidR="00D24A81">
        <w:t>in</w:t>
      </w:r>
      <w:r w:rsidR="001B49B7">
        <w:t xml:space="preserve"> the table title</w:t>
      </w:r>
      <w:r w:rsidR="009C48A5">
        <w:t>.</w:t>
      </w:r>
    </w:p>
    <w:p w14:paraId="4319CCC0" w14:textId="77777777" w:rsidR="00385C81" w:rsidRDefault="00385C81" w:rsidP="001744AB">
      <w:pPr>
        <w:rPr>
          <w:b/>
          <w:bCs w:val="0"/>
          <w:sz w:val="28"/>
          <w:szCs w:val="28"/>
        </w:rPr>
      </w:pPr>
    </w:p>
    <w:p w14:paraId="6512B8E7" w14:textId="3036D86E" w:rsidR="002A70E1" w:rsidRPr="009F4CA9" w:rsidRDefault="002A70E1" w:rsidP="001744AB">
      <w:pPr>
        <w:rPr>
          <w:bCs w:val="0"/>
          <w:szCs w:val="28"/>
        </w:rPr>
      </w:pPr>
      <w:r w:rsidRPr="001744AB">
        <w:rPr>
          <w:b/>
          <w:bCs w:val="0"/>
          <w:sz w:val="28"/>
          <w:szCs w:val="28"/>
        </w:rPr>
        <w:t>Occupancy in residential care</w:t>
      </w:r>
    </w:p>
    <w:p w14:paraId="0BE70AB7" w14:textId="40B60BEA" w:rsidR="004A563B" w:rsidRDefault="00A34EEF" w:rsidP="00A34EEF">
      <w:r w:rsidRPr="00382D94">
        <w:t>Occupancy</w:t>
      </w:r>
      <w:r w:rsidRPr="00382D94">
        <w:rPr>
          <w:spacing w:val="-4"/>
        </w:rPr>
        <w:t xml:space="preserve"> </w:t>
      </w:r>
      <w:r w:rsidRPr="00382D94">
        <w:t>is</w:t>
      </w:r>
      <w:r w:rsidRPr="00382D94">
        <w:rPr>
          <w:spacing w:val="-4"/>
        </w:rPr>
        <w:t xml:space="preserve"> </w:t>
      </w:r>
      <w:r w:rsidRPr="00382D94">
        <w:t>measured</w:t>
      </w:r>
      <w:r w:rsidRPr="00382D94">
        <w:rPr>
          <w:spacing w:val="-4"/>
        </w:rPr>
        <w:t xml:space="preserve"> </w:t>
      </w:r>
      <w:r w:rsidRPr="00382D94">
        <w:t>by</w:t>
      </w:r>
      <w:r w:rsidRPr="00382D94">
        <w:rPr>
          <w:spacing w:val="-4"/>
        </w:rPr>
        <w:t xml:space="preserve"> </w:t>
      </w:r>
      <w:r w:rsidRPr="00382D94">
        <w:t>the</w:t>
      </w:r>
      <w:r w:rsidRPr="00382D94">
        <w:rPr>
          <w:spacing w:val="-4"/>
        </w:rPr>
        <w:t xml:space="preserve"> </w:t>
      </w:r>
      <w:r w:rsidRPr="00382D94">
        <w:t>total</w:t>
      </w:r>
      <w:r w:rsidRPr="00382D94">
        <w:rPr>
          <w:spacing w:val="-4"/>
        </w:rPr>
        <w:t xml:space="preserve"> </w:t>
      </w:r>
      <w:r w:rsidRPr="00382D94">
        <w:t>number</w:t>
      </w:r>
      <w:r w:rsidRPr="00382D94">
        <w:rPr>
          <w:spacing w:val="-4"/>
        </w:rPr>
        <w:t xml:space="preserve"> </w:t>
      </w:r>
      <w:r w:rsidRPr="00382D94">
        <w:t>of</w:t>
      </w:r>
      <w:r w:rsidRPr="00382D94">
        <w:rPr>
          <w:spacing w:val="-4"/>
        </w:rPr>
        <w:t xml:space="preserve"> </w:t>
      </w:r>
      <w:r w:rsidRPr="00382D94">
        <w:t>days</w:t>
      </w:r>
      <w:r w:rsidRPr="00382D94">
        <w:rPr>
          <w:spacing w:val="-4"/>
        </w:rPr>
        <w:t xml:space="preserve"> </w:t>
      </w:r>
      <w:r w:rsidRPr="00382D94">
        <w:t xml:space="preserve">an </w:t>
      </w:r>
      <w:r w:rsidR="007B2453">
        <w:t>operational</w:t>
      </w:r>
      <w:r w:rsidR="007B2453" w:rsidRPr="00382D94">
        <w:rPr>
          <w:spacing w:val="-7"/>
        </w:rPr>
        <w:t xml:space="preserve"> </w:t>
      </w:r>
      <w:r w:rsidRPr="00382D94">
        <w:t>place</w:t>
      </w:r>
      <w:r w:rsidRPr="00382D94">
        <w:rPr>
          <w:spacing w:val="-7"/>
        </w:rPr>
        <w:t xml:space="preserve"> </w:t>
      </w:r>
      <w:r w:rsidRPr="00382D94">
        <w:t>is</w:t>
      </w:r>
      <w:r w:rsidRPr="00382D94">
        <w:rPr>
          <w:spacing w:val="-7"/>
        </w:rPr>
        <w:t xml:space="preserve"> </w:t>
      </w:r>
      <w:r w:rsidRPr="00382D94">
        <w:t>occupied</w:t>
      </w:r>
      <w:r w:rsidRPr="00382D94">
        <w:rPr>
          <w:spacing w:val="-7"/>
        </w:rPr>
        <w:t xml:space="preserve"> </w:t>
      </w:r>
      <w:r w:rsidRPr="00382D94">
        <w:t>by</w:t>
      </w:r>
      <w:r w:rsidRPr="00382D94">
        <w:rPr>
          <w:spacing w:val="-7"/>
        </w:rPr>
        <w:t xml:space="preserve"> </w:t>
      </w:r>
      <w:r w:rsidRPr="00382D94">
        <w:t>a</w:t>
      </w:r>
      <w:r w:rsidRPr="00382D94">
        <w:rPr>
          <w:spacing w:val="-7"/>
        </w:rPr>
        <w:t xml:space="preserve"> </w:t>
      </w:r>
      <w:r w:rsidRPr="00382D94">
        <w:t>resident,</w:t>
      </w:r>
      <w:r w:rsidRPr="00382D94">
        <w:rPr>
          <w:spacing w:val="-7"/>
        </w:rPr>
        <w:t xml:space="preserve"> </w:t>
      </w:r>
      <w:r w:rsidRPr="00382D94">
        <w:t>divided</w:t>
      </w:r>
      <w:r w:rsidRPr="00382D94">
        <w:rPr>
          <w:spacing w:val="-7"/>
        </w:rPr>
        <w:t xml:space="preserve"> </w:t>
      </w:r>
      <w:r w:rsidRPr="00382D94">
        <w:t>by</w:t>
      </w:r>
      <w:r w:rsidRPr="00382D94">
        <w:rPr>
          <w:spacing w:val="-7"/>
        </w:rPr>
        <w:t xml:space="preserve"> </w:t>
      </w:r>
      <w:r w:rsidRPr="00382D94">
        <w:t xml:space="preserve">the total number of days an </w:t>
      </w:r>
      <w:r w:rsidR="007B2453">
        <w:t>operational</w:t>
      </w:r>
      <w:r w:rsidR="007B2453" w:rsidRPr="00382D94">
        <w:t xml:space="preserve"> </w:t>
      </w:r>
      <w:r w:rsidRPr="00382D94">
        <w:t>place was available to be occupied</w:t>
      </w:r>
      <w:r w:rsidR="008113F5">
        <w:t xml:space="preserve"> per year</w:t>
      </w:r>
      <w:r w:rsidRPr="00382D94">
        <w:t>.</w:t>
      </w:r>
      <w:r w:rsidR="00287C45">
        <w:t xml:space="preserve"> This </w:t>
      </w:r>
      <w:r w:rsidR="004D2355">
        <w:t xml:space="preserve">includes operational places that </w:t>
      </w:r>
      <w:r w:rsidR="009E0ACE">
        <w:t>a provider may have taken offline due to a number of factors, including workforce shortages or site redevelopments.</w:t>
      </w:r>
      <w:r w:rsidRPr="00382D94">
        <w:t xml:space="preserve"> </w:t>
      </w:r>
    </w:p>
    <w:p w14:paraId="5D351134" w14:textId="2C6E4E03" w:rsidR="007A4DB0" w:rsidRDefault="007A4DB0" w:rsidP="00A34EEF">
      <w:r w:rsidRPr="00382D94">
        <w:t>Occupancy rates can have a significant impact on profitability if they fall below levels that are sufficient to cover fixed costs.</w:t>
      </w:r>
    </w:p>
    <w:p w14:paraId="609F3FD8" w14:textId="014CB855" w:rsidR="00A34EEF" w:rsidRPr="00382D94" w:rsidRDefault="004342E1" w:rsidP="00A34EEF">
      <w:r w:rsidRPr="00382D94">
        <w:fldChar w:fldCharType="begin"/>
      </w:r>
      <w:r w:rsidRPr="00382D94">
        <w:instrText xml:space="preserve"> REF _Ref162511459 \h </w:instrText>
      </w:r>
      <w:r w:rsidR="00382D94">
        <w:instrText xml:space="preserve"> \* MERGEFORMAT </w:instrText>
      </w:r>
      <w:r w:rsidRPr="00382D94">
        <w:fldChar w:fldCharType="separate"/>
      </w:r>
      <w:r w:rsidR="001377BE">
        <w:t xml:space="preserve">Table </w:t>
      </w:r>
      <w:r w:rsidR="001377BE">
        <w:rPr>
          <w:noProof/>
        </w:rPr>
        <w:t>2.3</w:t>
      </w:r>
      <w:r w:rsidRPr="00382D94">
        <w:fldChar w:fldCharType="end"/>
      </w:r>
      <w:r w:rsidRPr="00382D94">
        <w:t xml:space="preserve"> </w:t>
      </w:r>
      <w:r w:rsidR="00A34EEF" w:rsidRPr="00382D94">
        <w:t>shows the average occupancy rate across all residential</w:t>
      </w:r>
      <w:r w:rsidR="00A34EEF" w:rsidRPr="00382D94">
        <w:rPr>
          <w:spacing w:val="-7"/>
        </w:rPr>
        <w:t xml:space="preserve"> </w:t>
      </w:r>
      <w:r w:rsidR="00A34EEF" w:rsidRPr="00382D94">
        <w:t>care</w:t>
      </w:r>
      <w:r w:rsidR="00A34EEF" w:rsidRPr="00382D94">
        <w:rPr>
          <w:spacing w:val="-7"/>
        </w:rPr>
        <w:t xml:space="preserve"> </w:t>
      </w:r>
      <w:r w:rsidR="00A34EEF" w:rsidRPr="00382D94">
        <w:t>places</w:t>
      </w:r>
      <w:r w:rsidR="00A34EEF" w:rsidRPr="00382D94">
        <w:rPr>
          <w:spacing w:val="-7"/>
        </w:rPr>
        <w:t xml:space="preserve"> </w:t>
      </w:r>
      <w:r w:rsidR="00A34EEF" w:rsidRPr="00382D94">
        <w:t>was</w:t>
      </w:r>
      <w:r w:rsidR="00A34EEF" w:rsidRPr="00382D94">
        <w:rPr>
          <w:spacing w:val="-7"/>
        </w:rPr>
        <w:t xml:space="preserve"> </w:t>
      </w:r>
      <w:r w:rsidR="00A34EEF" w:rsidRPr="00382D94">
        <w:t>86.</w:t>
      </w:r>
      <w:r w:rsidR="007E280A">
        <w:t>1%</w:t>
      </w:r>
      <w:r w:rsidR="00A34EEF" w:rsidRPr="00382D94">
        <w:t xml:space="preserve"> in 2022</w:t>
      </w:r>
      <w:r w:rsidR="007E280A">
        <w:t>-23</w:t>
      </w:r>
      <w:r w:rsidR="00A34EEF" w:rsidRPr="00382D94">
        <w:t>,</w:t>
      </w:r>
      <w:r w:rsidR="00A34EEF" w:rsidRPr="00382D94">
        <w:rPr>
          <w:spacing w:val="-7"/>
        </w:rPr>
        <w:t xml:space="preserve"> </w:t>
      </w:r>
      <w:r w:rsidR="00A34EEF" w:rsidRPr="00382D94">
        <w:t>down</w:t>
      </w:r>
      <w:r w:rsidR="00A34EEF" w:rsidRPr="00382D94">
        <w:rPr>
          <w:spacing w:val="-7"/>
        </w:rPr>
        <w:t xml:space="preserve"> </w:t>
      </w:r>
      <w:r w:rsidR="00A34EEF" w:rsidRPr="00382D94">
        <w:t>from 86.</w:t>
      </w:r>
      <w:r w:rsidR="00FD6FA9">
        <w:t>2%</w:t>
      </w:r>
      <w:r w:rsidR="00A34EEF" w:rsidRPr="00382D94">
        <w:rPr>
          <w:spacing w:val="-3"/>
        </w:rPr>
        <w:t xml:space="preserve"> </w:t>
      </w:r>
      <w:r w:rsidR="00A34EEF" w:rsidRPr="00382D94">
        <w:t>in</w:t>
      </w:r>
      <w:r w:rsidR="00A34EEF" w:rsidRPr="00382D94">
        <w:rPr>
          <w:spacing w:val="-7"/>
        </w:rPr>
        <w:t xml:space="preserve"> </w:t>
      </w:r>
      <w:r w:rsidR="00A34EEF" w:rsidRPr="00382D94">
        <w:t>2021</w:t>
      </w:r>
      <w:r w:rsidR="00FD6FA9">
        <w:t>-22</w:t>
      </w:r>
      <w:r w:rsidR="00A34EEF" w:rsidRPr="00382D94">
        <w:rPr>
          <w:spacing w:val="-2"/>
        </w:rPr>
        <w:t xml:space="preserve"> </w:t>
      </w:r>
      <w:r w:rsidR="00A34EEF" w:rsidRPr="00382D94">
        <w:t>and</w:t>
      </w:r>
      <w:r w:rsidR="00A34EEF" w:rsidRPr="00382D94">
        <w:rPr>
          <w:spacing w:val="-2"/>
        </w:rPr>
        <w:t xml:space="preserve"> </w:t>
      </w:r>
      <w:r w:rsidR="00A34EEF" w:rsidRPr="00382D94">
        <w:t>8</w:t>
      </w:r>
      <w:r w:rsidR="00FD6FA9">
        <w:t>6.8%</w:t>
      </w:r>
      <w:r w:rsidR="00A34EEF" w:rsidRPr="00382D94">
        <w:rPr>
          <w:spacing w:val="-2"/>
        </w:rPr>
        <w:t xml:space="preserve"> </w:t>
      </w:r>
      <w:r w:rsidR="00A34EEF" w:rsidRPr="00382D94">
        <w:t>in</w:t>
      </w:r>
      <w:r w:rsidR="00A34EEF" w:rsidRPr="00382D94">
        <w:rPr>
          <w:spacing w:val="-7"/>
        </w:rPr>
        <w:t xml:space="preserve"> </w:t>
      </w:r>
      <w:r w:rsidR="00A34EEF" w:rsidRPr="00382D94">
        <w:rPr>
          <w:spacing w:val="-2"/>
        </w:rPr>
        <w:t>20</w:t>
      </w:r>
      <w:r w:rsidR="00FD6FA9">
        <w:rPr>
          <w:spacing w:val="-2"/>
        </w:rPr>
        <w:t>20</w:t>
      </w:r>
      <w:r w:rsidR="00A34EEF" w:rsidRPr="00382D94">
        <w:rPr>
          <w:spacing w:val="-2"/>
        </w:rPr>
        <w:t>–</w:t>
      </w:r>
      <w:r w:rsidR="00F5096A">
        <w:rPr>
          <w:spacing w:val="-2"/>
        </w:rPr>
        <w:t>21</w:t>
      </w:r>
      <w:r w:rsidR="00A34EEF" w:rsidRPr="00382D94">
        <w:rPr>
          <w:spacing w:val="-2"/>
        </w:rPr>
        <w:t xml:space="preserve">. </w:t>
      </w:r>
      <w:r w:rsidR="00A34EEF" w:rsidRPr="00382D94">
        <w:t>In</w:t>
      </w:r>
      <w:r w:rsidR="00A34EEF" w:rsidRPr="00382D94">
        <w:rPr>
          <w:spacing w:val="-6"/>
        </w:rPr>
        <w:t xml:space="preserve"> </w:t>
      </w:r>
      <w:r w:rsidR="00A34EEF" w:rsidRPr="00382D94">
        <w:t>terms</w:t>
      </w:r>
      <w:r w:rsidR="00A34EEF" w:rsidRPr="00382D94">
        <w:rPr>
          <w:spacing w:val="-6"/>
        </w:rPr>
        <w:t xml:space="preserve"> </w:t>
      </w:r>
      <w:r w:rsidR="00A34EEF" w:rsidRPr="00382D94">
        <w:t>of</w:t>
      </w:r>
      <w:r w:rsidR="00A34EEF" w:rsidRPr="00382D94">
        <w:rPr>
          <w:spacing w:val="-6"/>
        </w:rPr>
        <w:t xml:space="preserve"> </w:t>
      </w:r>
      <w:r w:rsidR="00A34EEF" w:rsidRPr="00382D94">
        <w:t>ownership</w:t>
      </w:r>
      <w:r w:rsidR="00A34EEF" w:rsidRPr="00382D94">
        <w:rPr>
          <w:spacing w:val="-6"/>
        </w:rPr>
        <w:t xml:space="preserve"> </w:t>
      </w:r>
      <w:r w:rsidR="00A34EEF" w:rsidRPr="00382D94">
        <w:t>type,</w:t>
      </w:r>
      <w:r w:rsidR="00A34EEF" w:rsidRPr="00382D94">
        <w:rPr>
          <w:spacing w:val="-6"/>
        </w:rPr>
        <w:t xml:space="preserve"> </w:t>
      </w:r>
      <w:r w:rsidR="00F5096A">
        <w:rPr>
          <w:spacing w:val="-6"/>
        </w:rPr>
        <w:t>not-</w:t>
      </w:r>
      <w:r w:rsidR="00A34EEF" w:rsidRPr="00382D94">
        <w:t>for-profit was the only ownership type to show an increase in occupancy rates up to 8</w:t>
      </w:r>
      <w:r w:rsidR="001453CD">
        <w:t>7.8%</w:t>
      </w:r>
      <w:r w:rsidR="00A34EEF" w:rsidRPr="00382D94">
        <w:t xml:space="preserve"> in 2022</w:t>
      </w:r>
      <w:r w:rsidR="001453CD">
        <w:t>-23</w:t>
      </w:r>
      <w:r w:rsidR="00A34EEF" w:rsidRPr="00382D94">
        <w:t xml:space="preserve"> compared with 8</w:t>
      </w:r>
      <w:r w:rsidR="001453CD">
        <w:t>7.5%</w:t>
      </w:r>
      <w:r w:rsidR="00A34EEF" w:rsidRPr="00382D94">
        <w:t xml:space="preserve"> in 202</w:t>
      </w:r>
      <w:r w:rsidR="001453CD">
        <w:t>1</w:t>
      </w:r>
      <w:r w:rsidR="00A34EEF" w:rsidRPr="00382D94">
        <w:t>-2</w:t>
      </w:r>
      <w:r w:rsidR="001453CD">
        <w:t>2</w:t>
      </w:r>
      <w:r w:rsidR="00A34EEF" w:rsidRPr="00382D94">
        <w:t>.</w:t>
      </w:r>
      <w:r w:rsidR="007D6C56">
        <w:t xml:space="preserve"> Not-for-profit</w:t>
      </w:r>
      <w:r w:rsidR="005D5DF6">
        <w:t xml:space="preserve"> providers also had an increase in the overall profit result, up</w:t>
      </w:r>
      <w:r w:rsidR="003B3A93">
        <w:t xml:space="preserve"> from </w:t>
      </w:r>
      <w:r w:rsidR="00D53718">
        <w:t>negative $32.68</w:t>
      </w:r>
      <w:r w:rsidR="003B3A93">
        <w:t xml:space="preserve"> per resident per day in 2021-22 to </w:t>
      </w:r>
      <w:r w:rsidR="00900BC6">
        <w:t>negative</w:t>
      </w:r>
      <w:r w:rsidR="003B3A93">
        <w:t xml:space="preserve"> $</w:t>
      </w:r>
      <w:r w:rsidR="00900BC6">
        <w:t>15.60</w:t>
      </w:r>
      <w:r w:rsidR="003B3A93">
        <w:t xml:space="preserve"> per resident per day in 2022-23. While for-profit provider’s overall profit result decreased</w:t>
      </w:r>
      <w:r w:rsidR="006D6982">
        <w:t xml:space="preserve">, down from </w:t>
      </w:r>
      <w:r w:rsidR="00900BC6">
        <w:t>negative $30.26</w:t>
      </w:r>
      <w:r w:rsidR="006D6982">
        <w:t xml:space="preserve"> per resident per day in 2021-22 to </w:t>
      </w:r>
      <w:r w:rsidR="00E67BC2">
        <w:t xml:space="preserve">negative </w:t>
      </w:r>
      <w:r w:rsidR="006D6982">
        <w:t>$</w:t>
      </w:r>
      <w:r w:rsidR="00E67BC2">
        <w:t>34.69</w:t>
      </w:r>
      <w:r w:rsidR="006D6982">
        <w:t xml:space="preserve"> per resident per day in 2022-23.</w:t>
      </w:r>
    </w:p>
    <w:p w14:paraId="5A858E2E" w14:textId="56932508" w:rsidR="003416AE" w:rsidRDefault="008B4893" w:rsidP="00706D0A">
      <w:pPr>
        <w:pStyle w:val="Caption"/>
      </w:pPr>
      <w:bookmarkStart w:id="80" w:name="_Ref162511459"/>
      <w:bookmarkStart w:id="81" w:name="_Toc173428880"/>
      <w:r>
        <w:t xml:space="preserve">Table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3</w:t>
      </w:r>
      <w:r w:rsidR="00AE19AA">
        <w:rPr>
          <w:noProof/>
        </w:rPr>
        <w:fldChar w:fldCharType="end"/>
      </w:r>
      <w:bookmarkEnd w:id="80"/>
      <w:r>
        <w:t xml:space="preserve">: </w:t>
      </w:r>
      <w:r w:rsidRPr="00904D5D">
        <w:t>Occupancy rates, by organisation type, 201</w:t>
      </w:r>
      <w:r w:rsidR="00A44FBD">
        <w:t>8-19</w:t>
      </w:r>
      <w:r w:rsidRPr="00904D5D">
        <w:t xml:space="preserve"> to 2022</w:t>
      </w:r>
      <w:r w:rsidR="00A44FBD">
        <w:t>-23</w:t>
      </w:r>
      <w:bookmarkEnd w:id="81"/>
    </w:p>
    <w:tbl>
      <w:tblPr>
        <w:tblW w:w="9072" w:type="dxa"/>
        <w:tblLayout w:type="fixed"/>
        <w:tblLook w:val="04A0" w:firstRow="1" w:lastRow="0" w:firstColumn="1" w:lastColumn="0" w:noHBand="0" w:noVBand="1"/>
      </w:tblPr>
      <w:tblGrid>
        <w:gridCol w:w="2268"/>
        <w:gridCol w:w="1360"/>
        <w:gridCol w:w="1361"/>
        <w:gridCol w:w="1361"/>
        <w:gridCol w:w="1361"/>
        <w:gridCol w:w="1361"/>
      </w:tblGrid>
      <w:tr w:rsidR="005E70CB" w:rsidRPr="00382D94" w14:paraId="3C020F24" w14:textId="77777777" w:rsidTr="00032827">
        <w:trPr>
          <w:trHeight w:val="296"/>
        </w:trPr>
        <w:tc>
          <w:tcPr>
            <w:tcW w:w="2268" w:type="dxa"/>
            <w:tcBorders>
              <w:top w:val="single" w:sz="4" w:space="0" w:color="auto"/>
              <w:left w:val="nil"/>
              <w:bottom w:val="single" w:sz="4" w:space="0" w:color="auto"/>
              <w:right w:val="nil"/>
            </w:tcBorders>
            <w:shd w:val="clear" w:color="000000" w:fill="1E1545"/>
            <w:vAlign w:val="center"/>
            <w:hideMark/>
          </w:tcPr>
          <w:p w14:paraId="10237E04" w14:textId="77777777" w:rsidR="00382D94" w:rsidRPr="00382D94" w:rsidRDefault="00382D94" w:rsidP="00382D94">
            <w:pPr>
              <w:spacing w:before="0" w:after="0" w:line="240" w:lineRule="auto"/>
              <w:rPr>
                <w:rFonts w:cs="Arial"/>
                <w:b/>
                <w:color w:val="FFFFFF"/>
                <w:sz w:val="21"/>
                <w:szCs w:val="21"/>
                <w:lang w:eastAsia="en-AU"/>
              </w:rPr>
            </w:pPr>
            <w:r w:rsidRPr="00382D94">
              <w:rPr>
                <w:rFonts w:cs="Arial"/>
                <w:b/>
                <w:color w:val="FFFFFF"/>
                <w:sz w:val="21"/>
                <w:szCs w:val="21"/>
                <w:lang w:eastAsia="en-AU"/>
              </w:rPr>
              <w:t>Ownership type</w:t>
            </w:r>
          </w:p>
        </w:tc>
        <w:tc>
          <w:tcPr>
            <w:tcW w:w="1360" w:type="dxa"/>
            <w:tcBorders>
              <w:top w:val="single" w:sz="4" w:space="0" w:color="auto"/>
              <w:left w:val="nil"/>
              <w:bottom w:val="single" w:sz="4" w:space="0" w:color="auto"/>
              <w:right w:val="nil"/>
            </w:tcBorders>
            <w:shd w:val="clear" w:color="000000" w:fill="1E1545"/>
            <w:vAlign w:val="center"/>
            <w:hideMark/>
          </w:tcPr>
          <w:p w14:paraId="3CA60E49" w14:textId="77777777" w:rsidR="00382D94" w:rsidRPr="00382D94" w:rsidRDefault="00382D94" w:rsidP="00382D94">
            <w:pPr>
              <w:spacing w:before="0" w:after="0" w:line="240" w:lineRule="auto"/>
              <w:jc w:val="right"/>
              <w:rPr>
                <w:rFonts w:cs="Arial"/>
                <w:b/>
                <w:color w:val="FFFFFF"/>
                <w:sz w:val="21"/>
                <w:szCs w:val="21"/>
                <w:lang w:eastAsia="en-AU"/>
              </w:rPr>
            </w:pPr>
            <w:r w:rsidRPr="00382D94">
              <w:rPr>
                <w:rFonts w:cs="Arial"/>
                <w:b/>
                <w:color w:val="FFFFFF"/>
                <w:sz w:val="21"/>
                <w:szCs w:val="21"/>
                <w:lang w:eastAsia="en-AU"/>
              </w:rPr>
              <w:t>2018-19</w:t>
            </w:r>
          </w:p>
        </w:tc>
        <w:tc>
          <w:tcPr>
            <w:tcW w:w="1361" w:type="dxa"/>
            <w:tcBorders>
              <w:top w:val="single" w:sz="4" w:space="0" w:color="auto"/>
              <w:left w:val="nil"/>
              <w:bottom w:val="single" w:sz="4" w:space="0" w:color="auto"/>
              <w:right w:val="nil"/>
            </w:tcBorders>
            <w:shd w:val="clear" w:color="000000" w:fill="1E1545"/>
            <w:vAlign w:val="center"/>
            <w:hideMark/>
          </w:tcPr>
          <w:p w14:paraId="497ECE27" w14:textId="77777777" w:rsidR="00382D94" w:rsidRPr="00382D94" w:rsidRDefault="00382D94" w:rsidP="00382D94">
            <w:pPr>
              <w:spacing w:before="0" w:after="0" w:line="240" w:lineRule="auto"/>
              <w:jc w:val="right"/>
              <w:rPr>
                <w:rFonts w:cs="Arial"/>
                <w:b/>
                <w:color w:val="FFFFFF"/>
                <w:sz w:val="21"/>
                <w:szCs w:val="21"/>
                <w:lang w:eastAsia="en-AU"/>
              </w:rPr>
            </w:pPr>
            <w:r w:rsidRPr="00382D94">
              <w:rPr>
                <w:rFonts w:cs="Arial"/>
                <w:b/>
                <w:color w:val="FFFFFF"/>
                <w:sz w:val="21"/>
                <w:szCs w:val="21"/>
                <w:lang w:eastAsia="en-AU"/>
              </w:rPr>
              <w:t>2019</w:t>
            </w:r>
            <w:r w:rsidRPr="00382D94">
              <w:rPr>
                <w:rFonts w:cs="Arial"/>
                <w:b/>
                <w:color w:val="FFFFFF"/>
                <w:sz w:val="21"/>
                <w:szCs w:val="21"/>
                <w:lang w:eastAsia="en-AU"/>
              </w:rPr>
              <w:noBreakHyphen/>
              <w:t>20</w:t>
            </w:r>
          </w:p>
        </w:tc>
        <w:tc>
          <w:tcPr>
            <w:tcW w:w="1361" w:type="dxa"/>
            <w:tcBorders>
              <w:top w:val="single" w:sz="4" w:space="0" w:color="auto"/>
              <w:left w:val="nil"/>
              <w:bottom w:val="single" w:sz="4" w:space="0" w:color="auto"/>
              <w:right w:val="nil"/>
            </w:tcBorders>
            <w:shd w:val="clear" w:color="000000" w:fill="1E1545"/>
            <w:vAlign w:val="center"/>
            <w:hideMark/>
          </w:tcPr>
          <w:p w14:paraId="20B77A86" w14:textId="77777777" w:rsidR="00382D94" w:rsidRPr="00382D94" w:rsidRDefault="00382D94" w:rsidP="00382D94">
            <w:pPr>
              <w:spacing w:before="0" w:after="0" w:line="240" w:lineRule="auto"/>
              <w:jc w:val="right"/>
              <w:rPr>
                <w:rFonts w:cs="Arial"/>
                <w:b/>
                <w:color w:val="FFFFFF"/>
                <w:sz w:val="21"/>
                <w:szCs w:val="21"/>
                <w:lang w:eastAsia="en-AU"/>
              </w:rPr>
            </w:pPr>
            <w:r w:rsidRPr="00382D94">
              <w:rPr>
                <w:rFonts w:cs="Arial"/>
                <w:b/>
                <w:color w:val="FFFFFF"/>
                <w:sz w:val="21"/>
                <w:szCs w:val="21"/>
                <w:lang w:eastAsia="en-AU"/>
              </w:rPr>
              <w:t>2020-21</w:t>
            </w:r>
          </w:p>
        </w:tc>
        <w:tc>
          <w:tcPr>
            <w:tcW w:w="1361" w:type="dxa"/>
            <w:tcBorders>
              <w:top w:val="single" w:sz="4" w:space="0" w:color="auto"/>
              <w:left w:val="nil"/>
              <w:bottom w:val="single" w:sz="4" w:space="0" w:color="auto"/>
              <w:right w:val="nil"/>
            </w:tcBorders>
            <w:shd w:val="clear" w:color="000000" w:fill="1E1545"/>
            <w:vAlign w:val="center"/>
            <w:hideMark/>
          </w:tcPr>
          <w:p w14:paraId="39E41DAE" w14:textId="77777777" w:rsidR="00382D94" w:rsidRPr="00382D94" w:rsidRDefault="00382D94" w:rsidP="00382D94">
            <w:pPr>
              <w:spacing w:before="0" w:after="0" w:line="240" w:lineRule="auto"/>
              <w:jc w:val="right"/>
              <w:rPr>
                <w:rFonts w:cs="Arial"/>
                <w:b/>
                <w:color w:val="FFFFFF"/>
                <w:sz w:val="21"/>
                <w:szCs w:val="21"/>
                <w:lang w:eastAsia="en-AU"/>
              </w:rPr>
            </w:pPr>
            <w:r w:rsidRPr="00382D94">
              <w:rPr>
                <w:rFonts w:cs="Arial"/>
                <w:b/>
                <w:color w:val="FFFFFF"/>
                <w:sz w:val="21"/>
                <w:szCs w:val="21"/>
                <w:lang w:eastAsia="en-AU"/>
              </w:rPr>
              <w:t>2021-22</w:t>
            </w:r>
          </w:p>
        </w:tc>
        <w:tc>
          <w:tcPr>
            <w:tcW w:w="1361" w:type="dxa"/>
            <w:tcBorders>
              <w:top w:val="single" w:sz="4" w:space="0" w:color="auto"/>
              <w:left w:val="nil"/>
              <w:bottom w:val="single" w:sz="4" w:space="0" w:color="auto"/>
              <w:right w:val="nil"/>
            </w:tcBorders>
            <w:shd w:val="clear" w:color="000000" w:fill="1E1545"/>
            <w:vAlign w:val="center"/>
            <w:hideMark/>
          </w:tcPr>
          <w:p w14:paraId="7F535C1F" w14:textId="77777777" w:rsidR="00382D94" w:rsidRPr="00382D94" w:rsidRDefault="00382D94" w:rsidP="00382D94">
            <w:pPr>
              <w:spacing w:before="0" w:after="0" w:line="240" w:lineRule="auto"/>
              <w:jc w:val="right"/>
              <w:rPr>
                <w:rFonts w:cs="Arial"/>
                <w:b/>
                <w:color w:val="FFFFFF"/>
                <w:sz w:val="21"/>
                <w:szCs w:val="21"/>
                <w:lang w:eastAsia="en-AU"/>
              </w:rPr>
            </w:pPr>
            <w:r w:rsidRPr="00382D94">
              <w:rPr>
                <w:rFonts w:cs="Arial"/>
                <w:b/>
                <w:color w:val="FFFFFF"/>
                <w:sz w:val="21"/>
                <w:szCs w:val="21"/>
                <w:lang w:eastAsia="en-AU"/>
              </w:rPr>
              <w:t>2022-23</w:t>
            </w:r>
          </w:p>
        </w:tc>
      </w:tr>
      <w:tr w:rsidR="005E70CB" w:rsidRPr="00382D94" w14:paraId="2065B4C2" w14:textId="77777777" w:rsidTr="00032827">
        <w:trPr>
          <w:trHeight w:val="296"/>
        </w:trPr>
        <w:tc>
          <w:tcPr>
            <w:tcW w:w="2268" w:type="dxa"/>
            <w:tcBorders>
              <w:top w:val="nil"/>
              <w:left w:val="nil"/>
              <w:bottom w:val="nil"/>
              <w:right w:val="nil"/>
            </w:tcBorders>
            <w:shd w:val="clear" w:color="000000" w:fill="FFFFFF"/>
            <w:noWrap/>
            <w:vAlign w:val="bottom"/>
            <w:hideMark/>
          </w:tcPr>
          <w:p w14:paraId="360BB7EA" w14:textId="77777777" w:rsidR="00382D94" w:rsidRPr="00382D94" w:rsidRDefault="00382D94" w:rsidP="00382D94">
            <w:pPr>
              <w:spacing w:before="0" w:after="0" w:line="240" w:lineRule="auto"/>
              <w:rPr>
                <w:rFonts w:cs="Arial"/>
                <w:bCs w:val="0"/>
                <w:color w:val="1E1545"/>
                <w:sz w:val="21"/>
                <w:szCs w:val="21"/>
                <w:lang w:eastAsia="en-AU"/>
              </w:rPr>
            </w:pPr>
            <w:r w:rsidRPr="00382D94">
              <w:rPr>
                <w:rFonts w:cs="Arial"/>
                <w:bCs w:val="0"/>
                <w:color w:val="1E1545"/>
                <w:sz w:val="21"/>
                <w:szCs w:val="21"/>
                <w:lang w:eastAsia="en-AU"/>
              </w:rPr>
              <w:t xml:space="preserve">For-profit </w:t>
            </w:r>
          </w:p>
        </w:tc>
        <w:tc>
          <w:tcPr>
            <w:tcW w:w="1360" w:type="dxa"/>
            <w:tcBorders>
              <w:top w:val="nil"/>
              <w:left w:val="nil"/>
              <w:bottom w:val="nil"/>
              <w:right w:val="nil"/>
            </w:tcBorders>
            <w:shd w:val="clear" w:color="000000" w:fill="FFFFFF"/>
            <w:noWrap/>
            <w:vAlign w:val="bottom"/>
            <w:hideMark/>
          </w:tcPr>
          <w:p w14:paraId="7A9B4BB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86.5%</w:t>
            </w:r>
          </w:p>
        </w:tc>
        <w:tc>
          <w:tcPr>
            <w:tcW w:w="1361" w:type="dxa"/>
            <w:tcBorders>
              <w:top w:val="nil"/>
              <w:left w:val="nil"/>
              <w:bottom w:val="nil"/>
              <w:right w:val="nil"/>
            </w:tcBorders>
            <w:shd w:val="clear" w:color="000000" w:fill="FFFFFF"/>
            <w:noWrap/>
            <w:vAlign w:val="bottom"/>
            <w:hideMark/>
          </w:tcPr>
          <w:p w14:paraId="32B3D4A4"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85.3%</w:t>
            </w:r>
          </w:p>
        </w:tc>
        <w:tc>
          <w:tcPr>
            <w:tcW w:w="1361" w:type="dxa"/>
            <w:tcBorders>
              <w:top w:val="nil"/>
              <w:left w:val="nil"/>
              <w:bottom w:val="nil"/>
              <w:right w:val="nil"/>
            </w:tcBorders>
            <w:shd w:val="clear" w:color="000000" w:fill="FFFFFF"/>
            <w:noWrap/>
            <w:vAlign w:val="bottom"/>
            <w:hideMark/>
          </w:tcPr>
          <w:p w14:paraId="37F15D7D"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84.2%</w:t>
            </w:r>
          </w:p>
        </w:tc>
        <w:tc>
          <w:tcPr>
            <w:tcW w:w="1361" w:type="dxa"/>
            <w:tcBorders>
              <w:top w:val="nil"/>
              <w:left w:val="nil"/>
              <w:bottom w:val="nil"/>
              <w:right w:val="nil"/>
            </w:tcBorders>
            <w:shd w:val="clear" w:color="000000" w:fill="FFFFFF"/>
            <w:noWrap/>
            <w:vAlign w:val="bottom"/>
            <w:hideMark/>
          </w:tcPr>
          <w:p w14:paraId="419C49F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84.5%</w:t>
            </w:r>
          </w:p>
        </w:tc>
        <w:tc>
          <w:tcPr>
            <w:tcW w:w="1361" w:type="dxa"/>
            <w:tcBorders>
              <w:top w:val="nil"/>
              <w:left w:val="nil"/>
              <w:bottom w:val="nil"/>
              <w:right w:val="nil"/>
            </w:tcBorders>
            <w:shd w:val="clear" w:color="000000" w:fill="FFFFFF"/>
            <w:noWrap/>
            <w:vAlign w:val="bottom"/>
            <w:hideMark/>
          </w:tcPr>
          <w:p w14:paraId="23CD91F9"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84.1%</w:t>
            </w:r>
          </w:p>
        </w:tc>
      </w:tr>
      <w:tr w:rsidR="005E70CB" w:rsidRPr="00382D94" w14:paraId="19CD354C" w14:textId="77777777" w:rsidTr="00032827">
        <w:trPr>
          <w:trHeight w:val="296"/>
        </w:trPr>
        <w:tc>
          <w:tcPr>
            <w:tcW w:w="2268" w:type="dxa"/>
            <w:tcBorders>
              <w:top w:val="single" w:sz="4" w:space="0" w:color="auto"/>
              <w:left w:val="nil"/>
              <w:bottom w:val="single" w:sz="4" w:space="0" w:color="auto"/>
              <w:right w:val="nil"/>
            </w:tcBorders>
            <w:shd w:val="clear" w:color="000000" w:fill="FFFFFF"/>
            <w:noWrap/>
            <w:vAlign w:val="bottom"/>
            <w:hideMark/>
          </w:tcPr>
          <w:p w14:paraId="78D42BE6" w14:textId="77777777" w:rsidR="00382D94" w:rsidRPr="00382D94" w:rsidRDefault="00382D94" w:rsidP="00382D94">
            <w:pPr>
              <w:spacing w:before="0" w:after="0" w:line="240" w:lineRule="auto"/>
              <w:rPr>
                <w:rFonts w:cs="Arial"/>
                <w:bCs w:val="0"/>
                <w:color w:val="1E1545"/>
                <w:sz w:val="21"/>
                <w:szCs w:val="21"/>
                <w:lang w:eastAsia="en-AU"/>
              </w:rPr>
            </w:pPr>
            <w:r w:rsidRPr="00382D94">
              <w:rPr>
                <w:rFonts w:cs="Arial"/>
                <w:bCs w:val="0"/>
                <w:color w:val="1E1545"/>
                <w:sz w:val="21"/>
                <w:szCs w:val="21"/>
                <w:lang w:eastAsia="en-AU"/>
              </w:rPr>
              <w:t>Not-for-profit</w:t>
            </w:r>
          </w:p>
        </w:tc>
        <w:tc>
          <w:tcPr>
            <w:tcW w:w="1360" w:type="dxa"/>
            <w:tcBorders>
              <w:top w:val="single" w:sz="4" w:space="0" w:color="auto"/>
              <w:left w:val="nil"/>
              <w:bottom w:val="single" w:sz="4" w:space="0" w:color="auto"/>
              <w:right w:val="nil"/>
            </w:tcBorders>
            <w:shd w:val="clear" w:color="000000" w:fill="FFFFFF"/>
            <w:noWrap/>
            <w:vAlign w:val="bottom"/>
            <w:hideMark/>
          </w:tcPr>
          <w:p w14:paraId="7EA503F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91.5%</w:t>
            </w:r>
          </w:p>
        </w:tc>
        <w:tc>
          <w:tcPr>
            <w:tcW w:w="1361" w:type="dxa"/>
            <w:tcBorders>
              <w:top w:val="single" w:sz="4" w:space="0" w:color="auto"/>
              <w:left w:val="nil"/>
              <w:bottom w:val="single" w:sz="4" w:space="0" w:color="auto"/>
              <w:right w:val="nil"/>
            </w:tcBorders>
            <w:shd w:val="clear" w:color="000000" w:fill="FFFFFF"/>
            <w:noWrap/>
            <w:vAlign w:val="bottom"/>
            <w:hideMark/>
          </w:tcPr>
          <w:p w14:paraId="1B95629D"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90.5%</w:t>
            </w:r>
          </w:p>
        </w:tc>
        <w:tc>
          <w:tcPr>
            <w:tcW w:w="1361" w:type="dxa"/>
            <w:tcBorders>
              <w:top w:val="single" w:sz="4" w:space="0" w:color="auto"/>
              <w:left w:val="nil"/>
              <w:bottom w:val="single" w:sz="4" w:space="0" w:color="auto"/>
              <w:right w:val="nil"/>
            </w:tcBorders>
            <w:shd w:val="clear" w:color="000000" w:fill="FFFFFF"/>
            <w:noWrap/>
            <w:vAlign w:val="bottom"/>
            <w:hideMark/>
          </w:tcPr>
          <w:p w14:paraId="4CF4D2B6"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88.9%</w:t>
            </w:r>
          </w:p>
        </w:tc>
        <w:tc>
          <w:tcPr>
            <w:tcW w:w="1361" w:type="dxa"/>
            <w:tcBorders>
              <w:top w:val="single" w:sz="4" w:space="0" w:color="auto"/>
              <w:left w:val="nil"/>
              <w:bottom w:val="single" w:sz="4" w:space="0" w:color="auto"/>
              <w:right w:val="nil"/>
            </w:tcBorders>
            <w:shd w:val="clear" w:color="000000" w:fill="FFFFFF"/>
            <w:noWrap/>
            <w:vAlign w:val="bottom"/>
            <w:hideMark/>
          </w:tcPr>
          <w:p w14:paraId="67447A5D"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87.5%</w:t>
            </w:r>
          </w:p>
        </w:tc>
        <w:tc>
          <w:tcPr>
            <w:tcW w:w="1361" w:type="dxa"/>
            <w:tcBorders>
              <w:top w:val="single" w:sz="4" w:space="0" w:color="auto"/>
              <w:left w:val="nil"/>
              <w:bottom w:val="single" w:sz="4" w:space="0" w:color="auto"/>
              <w:right w:val="nil"/>
            </w:tcBorders>
            <w:shd w:val="clear" w:color="000000" w:fill="FFFFFF"/>
            <w:noWrap/>
            <w:vAlign w:val="bottom"/>
            <w:hideMark/>
          </w:tcPr>
          <w:p w14:paraId="4917315A"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87.8%</w:t>
            </w:r>
          </w:p>
        </w:tc>
      </w:tr>
      <w:tr w:rsidR="005E70CB" w:rsidRPr="00382D94" w14:paraId="06002429" w14:textId="77777777" w:rsidTr="00032827">
        <w:trPr>
          <w:trHeight w:val="296"/>
        </w:trPr>
        <w:tc>
          <w:tcPr>
            <w:tcW w:w="2268" w:type="dxa"/>
            <w:tcBorders>
              <w:top w:val="nil"/>
              <w:left w:val="nil"/>
              <w:bottom w:val="nil"/>
              <w:right w:val="nil"/>
            </w:tcBorders>
            <w:shd w:val="clear" w:color="000000" w:fill="FFFFFF"/>
            <w:noWrap/>
            <w:vAlign w:val="bottom"/>
            <w:hideMark/>
          </w:tcPr>
          <w:p w14:paraId="708251CA" w14:textId="77777777" w:rsidR="00382D94" w:rsidRPr="00382D94" w:rsidRDefault="00382D94" w:rsidP="00382D94">
            <w:pPr>
              <w:spacing w:before="0" w:after="0" w:line="240" w:lineRule="auto"/>
              <w:rPr>
                <w:rFonts w:cs="Arial"/>
                <w:bCs w:val="0"/>
                <w:color w:val="1E1545"/>
                <w:sz w:val="21"/>
                <w:szCs w:val="21"/>
                <w:lang w:eastAsia="en-AU"/>
              </w:rPr>
            </w:pPr>
            <w:r w:rsidRPr="00382D94">
              <w:rPr>
                <w:rFonts w:cs="Arial"/>
                <w:bCs w:val="0"/>
                <w:color w:val="1E1545"/>
                <w:sz w:val="21"/>
                <w:szCs w:val="21"/>
                <w:lang w:eastAsia="en-AU"/>
              </w:rPr>
              <w:t>LST government</w:t>
            </w:r>
          </w:p>
        </w:tc>
        <w:tc>
          <w:tcPr>
            <w:tcW w:w="1360" w:type="dxa"/>
            <w:tcBorders>
              <w:top w:val="nil"/>
              <w:left w:val="nil"/>
              <w:bottom w:val="nil"/>
              <w:right w:val="nil"/>
            </w:tcBorders>
            <w:shd w:val="clear" w:color="000000" w:fill="FFFFFF"/>
            <w:noWrap/>
            <w:vAlign w:val="bottom"/>
            <w:hideMark/>
          </w:tcPr>
          <w:p w14:paraId="5288A087"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90.4%</w:t>
            </w:r>
          </w:p>
        </w:tc>
        <w:tc>
          <w:tcPr>
            <w:tcW w:w="1361" w:type="dxa"/>
            <w:tcBorders>
              <w:top w:val="nil"/>
              <w:left w:val="nil"/>
              <w:bottom w:val="nil"/>
              <w:right w:val="nil"/>
            </w:tcBorders>
            <w:shd w:val="clear" w:color="000000" w:fill="FFFFFF"/>
            <w:noWrap/>
            <w:vAlign w:val="bottom"/>
            <w:hideMark/>
          </w:tcPr>
          <w:p w14:paraId="5E83357B"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88.3%</w:t>
            </w:r>
          </w:p>
        </w:tc>
        <w:tc>
          <w:tcPr>
            <w:tcW w:w="1361" w:type="dxa"/>
            <w:tcBorders>
              <w:top w:val="nil"/>
              <w:left w:val="nil"/>
              <w:bottom w:val="nil"/>
              <w:right w:val="nil"/>
            </w:tcBorders>
            <w:shd w:val="clear" w:color="000000" w:fill="FFFFFF"/>
            <w:noWrap/>
            <w:vAlign w:val="bottom"/>
            <w:hideMark/>
          </w:tcPr>
          <w:p w14:paraId="6AA792BD"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86.5%</w:t>
            </w:r>
          </w:p>
        </w:tc>
        <w:tc>
          <w:tcPr>
            <w:tcW w:w="1361" w:type="dxa"/>
            <w:tcBorders>
              <w:top w:val="nil"/>
              <w:left w:val="nil"/>
              <w:bottom w:val="nil"/>
              <w:right w:val="nil"/>
            </w:tcBorders>
            <w:shd w:val="clear" w:color="000000" w:fill="FFFFFF"/>
            <w:noWrap/>
            <w:vAlign w:val="bottom"/>
            <w:hideMark/>
          </w:tcPr>
          <w:p w14:paraId="39B53B7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84.8%</w:t>
            </w:r>
          </w:p>
        </w:tc>
        <w:tc>
          <w:tcPr>
            <w:tcW w:w="1361" w:type="dxa"/>
            <w:tcBorders>
              <w:top w:val="nil"/>
              <w:left w:val="nil"/>
              <w:bottom w:val="nil"/>
              <w:right w:val="nil"/>
            </w:tcBorders>
            <w:shd w:val="clear" w:color="000000" w:fill="FFFFFF"/>
            <w:noWrap/>
            <w:vAlign w:val="bottom"/>
            <w:hideMark/>
          </w:tcPr>
          <w:p w14:paraId="78B655A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82.7%</w:t>
            </w:r>
          </w:p>
        </w:tc>
      </w:tr>
      <w:tr w:rsidR="005E70CB" w:rsidRPr="00382D94" w14:paraId="6BF43134" w14:textId="77777777" w:rsidTr="00032827">
        <w:trPr>
          <w:trHeight w:val="296"/>
        </w:trPr>
        <w:tc>
          <w:tcPr>
            <w:tcW w:w="2268" w:type="dxa"/>
            <w:tcBorders>
              <w:top w:val="single" w:sz="4" w:space="0" w:color="auto"/>
              <w:left w:val="nil"/>
              <w:bottom w:val="single" w:sz="4" w:space="0" w:color="auto"/>
              <w:right w:val="nil"/>
            </w:tcBorders>
            <w:shd w:val="clear" w:color="000000" w:fill="FFFFFF"/>
            <w:noWrap/>
            <w:vAlign w:val="bottom"/>
            <w:hideMark/>
          </w:tcPr>
          <w:p w14:paraId="4E77F98F" w14:textId="77777777" w:rsidR="00382D94" w:rsidRPr="00382D94" w:rsidRDefault="00382D94" w:rsidP="00382D94">
            <w:pPr>
              <w:spacing w:before="0" w:after="0" w:line="240" w:lineRule="auto"/>
              <w:rPr>
                <w:rFonts w:cs="Arial"/>
                <w:bCs w:val="0"/>
                <w:color w:val="1E1545"/>
                <w:sz w:val="21"/>
                <w:szCs w:val="21"/>
                <w:lang w:eastAsia="en-AU"/>
              </w:rPr>
            </w:pPr>
            <w:r w:rsidRPr="00382D94">
              <w:rPr>
                <w:rFonts w:cs="Arial"/>
                <w:bCs w:val="0"/>
                <w:color w:val="1E1545"/>
                <w:sz w:val="21"/>
                <w:szCs w:val="21"/>
                <w:lang w:eastAsia="en-AU"/>
              </w:rPr>
              <w:t>All providers</w:t>
            </w:r>
          </w:p>
        </w:tc>
        <w:tc>
          <w:tcPr>
            <w:tcW w:w="1360" w:type="dxa"/>
            <w:tcBorders>
              <w:top w:val="single" w:sz="4" w:space="0" w:color="auto"/>
              <w:left w:val="nil"/>
              <w:bottom w:val="single" w:sz="4" w:space="0" w:color="auto"/>
              <w:right w:val="nil"/>
            </w:tcBorders>
            <w:shd w:val="clear" w:color="000000" w:fill="FFFFFF"/>
            <w:noWrap/>
            <w:vAlign w:val="bottom"/>
            <w:hideMark/>
          </w:tcPr>
          <w:p w14:paraId="6BADB36B"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89.4%</w:t>
            </w:r>
          </w:p>
        </w:tc>
        <w:tc>
          <w:tcPr>
            <w:tcW w:w="1361" w:type="dxa"/>
            <w:tcBorders>
              <w:top w:val="single" w:sz="4" w:space="0" w:color="auto"/>
              <w:left w:val="nil"/>
              <w:bottom w:val="single" w:sz="4" w:space="0" w:color="auto"/>
              <w:right w:val="nil"/>
            </w:tcBorders>
            <w:shd w:val="clear" w:color="000000" w:fill="FFFFFF"/>
            <w:noWrap/>
            <w:vAlign w:val="bottom"/>
            <w:hideMark/>
          </w:tcPr>
          <w:p w14:paraId="01C91339"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88.3%</w:t>
            </w:r>
          </w:p>
        </w:tc>
        <w:tc>
          <w:tcPr>
            <w:tcW w:w="1361" w:type="dxa"/>
            <w:tcBorders>
              <w:top w:val="single" w:sz="4" w:space="0" w:color="auto"/>
              <w:left w:val="nil"/>
              <w:bottom w:val="single" w:sz="4" w:space="0" w:color="auto"/>
              <w:right w:val="nil"/>
            </w:tcBorders>
            <w:shd w:val="clear" w:color="000000" w:fill="FFFFFF"/>
            <w:noWrap/>
            <w:vAlign w:val="bottom"/>
            <w:hideMark/>
          </w:tcPr>
          <w:p w14:paraId="19F33538"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86.8%</w:t>
            </w:r>
          </w:p>
        </w:tc>
        <w:tc>
          <w:tcPr>
            <w:tcW w:w="1361" w:type="dxa"/>
            <w:tcBorders>
              <w:top w:val="single" w:sz="4" w:space="0" w:color="auto"/>
              <w:left w:val="nil"/>
              <w:bottom w:val="single" w:sz="4" w:space="0" w:color="auto"/>
              <w:right w:val="nil"/>
            </w:tcBorders>
            <w:shd w:val="clear" w:color="000000" w:fill="FFFFFF"/>
            <w:noWrap/>
            <w:vAlign w:val="bottom"/>
            <w:hideMark/>
          </w:tcPr>
          <w:p w14:paraId="224D7213"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86.2%</w:t>
            </w:r>
          </w:p>
        </w:tc>
        <w:tc>
          <w:tcPr>
            <w:tcW w:w="1361" w:type="dxa"/>
            <w:tcBorders>
              <w:top w:val="single" w:sz="4" w:space="0" w:color="auto"/>
              <w:left w:val="nil"/>
              <w:bottom w:val="single" w:sz="4" w:space="0" w:color="auto"/>
              <w:right w:val="nil"/>
            </w:tcBorders>
            <w:shd w:val="clear" w:color="000000" w:fill="FFFFFF"/>
            <w:noWrap/>
            <w:vAlign w:val="bottom"/>
            <w:hideMark/>
          </w:tcPr>
          <w:p w14:paraId="101E0D62" w14:textId="77777777" w:rsidR="00382D94" w:rsidRPr="00382D94" w:rsidRDefault="00382D94" w:rsidP="00382D94">
            <w:pPr>
              <w:spacing w:before="0" w:after="0" w:line="240" w:lineRule="auto"/>
              <w:jc w:val="right"/>
              <w:rPr>
                <w:rFonts w:cs="Arial"/>
                <w:bCs w:val="0"/>
                <w:color w:val="1E1545"/>
                <w:sz w:val="21"/>
                <w:szCs w:val="21"/>
                <w:lang w:eastAsia="en-AU"/>
              </w:rPr>
            </w:pPr>
            <w:r w:rsidRPr="00382D94">
              <w:rPr>
                <w:rFonts w:cs="Arial"/>
                <w:bCs w:val="0"/>
                <w:color w:val="1E1545"/>
                <w:sz w:val="21"/>
                <w:szCs w:val="21"/>
                <w:lang w:eastAsia="en-AU"/>
              </w:rPr>
              <w:t>86.1%</w:t>
            </w:r>
          </w:p>
        </w:tc>
      </w:tr>
    </w:tbl>
    <w:p w14:paraId="711A992E" w14:textId="77777777" w:rsidR="00385C81" w:rsidRDefault="00385C81" w:rsidP="004E771D">
      <w:pPr>
        <w:pStyle w:val="Caption"/>
        <w:spacing w:before="240"/>
        <w:rPr>
          <w:b w:val="0"/>
        </w:rPr>
      </w:pPr>
    </w:p>
    <w:p w14:paraId="260DF13F" w14:textId="287599E6" w:rsidR="00B57E58" w:rsidRPr="00A44FBD" w:rsidRDefault="00B375FD" w:rsidP="00256A35">
      <w:pPr>
        <w:pStyle w:val="Caption"/>
        <w:spacing w:before="240"/>
        <w:rPr>
          <w:b w:val="0"/>
        </w:rPr>
      </w:pPr>
      <w:r w:rsidRPr="00A84B36">
        <w:rPr>
          <w:b w:val="0"/>
        </w:rPr>
        <w:fldChar w:fldCharType="begin"/>
      </w:r>
      <w:r w:rsidRPr="00A84B36">
        <w:rPr>
          <w:b w:val="0"/>
        </w:rPr>
        <w:instrText xml:space="preserve"> REF _Ref162511536 \h  \* MERGEFORMAT </w:instrText>
      </w:r>
      <w:r w:rsidRPr="00A84B36">
        <w:rPr>
          <w:b w:val="0"/>
        </w:rPr>
      </w:r>
      <w:r w:rsidRPr="00A84B36">
        <w:rPr>
          <w:b w:val="0"/>
        </w:rPr>
        <w:fldChar w:fldCharType="separate"/>
      </w:r>
      <w:r w:rsidR="001377BE" w:rsidRPr="001377BE">
        <w:rPr>
          <w:b w:val="0"/>
        </w:rPr>
        <w:t>Table 2.4</w:t>
      </w:r>
      <w:r w:rsidRPr="00A84B36">
        <w:rPr>
          <w:b w:val="0"/>
        </w:rPr>
        <w:fldChar w:fldCharType="end"/>
      </w:r>
      <w:r w:rsidRPr="00A84B36">
        <w:rPr>
          <w:b w:val="0"/>
        </w:rPr>
        <w:t xml:space="preserve"> </w:t>
      </w:r>
      <w:r w:rsidR="00B57E58" w:rsidRPr="00A84B36">
        <w:rPr>
          <w:b w:val="0"/>
        </w:rPr>
        <w:t>shows average</w:t>
      </w:r>
      <w:r w:rsidR="00B57E58" w:rsidRPr="00A44FBD">
        <w:rPr>
          <w:b w:val="0"/>
        </w:rPr>
        <w:t xml:space="preserve"> occupancy by state and territory for the 5 years from 201</w:t>
      </w:r>
      <w:r w:rsidR="00A44FBD" w:rsidRPr="00A44FBD">
        <w:rPr>
          <w:b w:val="0"/>
        </w:rPr>
        <w:t>8</w:t>
      </w:r>
      <w:r w:rsidR="00B57E58" w:rsidRPr="00A44FBD">
        <w:rPr>
          <w:b w:val="0"/>
        </w:rPr>
        <w:t>-1</w:t>
      </w:r>
      <w:r w:rsidR="00A44FBD" w:rsidRPr="00A44FBD">
        <w:rPr>
          <w:b w:val="0"/>
        </w:rPr>
        <w:t>9</w:t>
      </w:r>
      <w:r w:rsidR="00B57E58" w:rsidRPr="00A44FBD">
        <w:rPr>
          <w:b w:val="0"/>
        </w:rPr>
        <w:t xml:space="preserve"> to 2022</w:t>
      </w:r>
      <w:r w:rsidR="00A44FBD" w:rsidRPr="00A44FBD">
        <w:rPr>
          <w:b w:val="0"/>
        </w:rPr>
        <w:t>-23</w:t>
      </w:r>
      <w:r w:rsidR="00B57E58" w:rsidRPr="00A44FBD">
        <w:rPr>
          <w:b w:val="0"/>
        </w:rPr>
        <w:t>.</w:t>
      </w:r>
    </w:p>
    <w:p w14:paraId="7FECBE9F" w14:textId="0A3D9CD7" w:rsidR="00B57E58" w:rsidRDefault="00B57E58" w:rsidP="00B57E58">
      <w:r w:rsidRPr="00FB0C05">
        <w:t>There continued to be variations in average occupancy by</w:t>
      </w:r>
      <w:r w:rsidRPr="00FB0C05">
        <w:rPr>
          <w:spacing w:val="-11"/>
        </w:rPr>
        <w:t xml:space="preserve"> </w:t>
      </w:r>
      <w:r w:rsidRPr="00FB0C05">
        <w:t>state</w:t>
      </w:r>
      <w:r w:rsidRPr="00FB0C05">
        <w:rPr>
          <w:spacing w:val="-11"/>
        </w:rPr>
        <w:t xml:space="preserve"> </w:t>
      </w:r>
      <w:r w:rsidRPr="00FB0C05">
        <w:t>and</w:t>
      </w:r>
      <w:r w:rsidRPr="00FB0C05">
        <w:rPr>
          <w:spacing w:val="-11"/>
        </w:rPr>
        <w:t xml:space="preserve"> </w:t>
      </w:r>
      <w:r w:rsidRPr="00FB0C05">
        <w:t>territory.</w:t>
      </w:r>
      <w:r w:rsidRPr="00FB0C05">
        <w:rPr>
          <w:spacing w:val="-11"/>
        </w:rPr>
        <w:t xml:space="preserve"> </w:t>
      </w:r>
      <w:r w:rsidRPr="00FB0C05">
        <w:t>South Australia had the highest occupancy with 92.</w:t>
      </w:r>
      <w:r w:rsidR="00FB0C05">
        <w:t>0%</w:t>
      </w:r>
      <w:r w:rsidRPr="00FB0C05">
        <w:t>, while</w:t>
      </w:r>
      <w:r w:rsidRPr="00FB0C05">
        <w:rPr>
          <w:spacing w:val="-7"/>
        </w:rPr>
        <w:t xml:space="preserve"> </w:t>
      </w:r>
      <w:r w:rsidRPr="00FB0C05">
        <w:t>Victoria</w:t>
      </w:r>
      <w:r w:rsidRPr="00FB0C05">
        <w:rPr>
          <w:spacing w:val="-7"/>
        </w:rPr>
        <w:t xml:space="preserve"> </w:t>
      </w:r>
      <w:r w:rsidRPr="00FB0C05">
        <w:t>reported</w:t>
      </w:r>
      <w:r w:rsidRPr="00FB0C05">
        <w:rPr>
          <w:spacing w:val="-7"/>
        </w:rPr>
        <w:t xml:space="preserve"> </w:t>
      </w:r>
      <w:r w:rsidRPr="00FB0C05">
        <w:t>the</w:t>
      </w:r>
      <w:r w:rsidRPr="00FB0C05">
        <w:rPr>
          <w:spacing w:val="-7"/>
        </w:rPr>
        <w:t xml:space="preserve"> </w:t>
      </w:r>
      <w:r w:rsidRPr="00FB0C05">
        <w:t>lowest</w:t>
      </w:r>
      <w:r w:rsidRPr="00FB0C05">
        <w:rPr>
          <w:spacing w:val="-7"/>
        </w:rPr>
        <w:t xml:space="preserve"> </w:t>
      </w:r>
      <w:r w:rsidRPr="00FB0C05">
        <w:t>with</w:t>
      </w:r>
      <w:r w:rsidRPr="00FB0C05">
        <w:rPr>
          <w:spacing w:val="-7"/>
        </w:rPr>
        <w:t xml:space="preserve"> </w:t>
      </w:r>
      <w:r w:rsidRPr="00FB0C05">
        <w:t>8</w:t>
      </w:r>
      <w:r w:rsidR="00FB0C05">
        <w:t>2.8%</w:t>
      </w:r>
      <w:r w:rsidRPr="00FB0C05">
        <w:t>. Queensland</w:t>
      </w:r>
      <w:r w:rsidR="00A941C1">
        <w:t>, Australian Capital Territory and Northern Territory all</w:t>
      </w:r>
      <w:r w:rsidRPr="00FB0C05">
        <w:t xml:space="preserve"> reported an increase, whereas all other states and territories reported a decrease. </w:t>
      </w:r>
      <w:r w:rsidR="00B13214">
        <w:t>Tasmania</w:t>
      </w:r>
      <w:r w:rsidRPr="00FB0C05">
        <w:t xml:space="preserve"> had the highest decrease, dropping by </w:t>
      </w:r>
      <w:r w:rsidR="00B13214">
        <w:t>0.7 per</w:t>
      </w:r>
      <w:r w:rsidRPr="00FB0C05">
        <w:t xml:space="preserve">centage points to </w:t>
      </w:r>
      <w:r w:rsidR="001C02F0">
        <w:t>88.5%</w:t>
      </w:r>
      <w:r w:rsidRPr="00FB0C05">
        <w:t>.</w:t>
      </w:r>
    </w:p>
    <w:p w14:paraId="14D58604" w14:textId="24EDD854" w:rsidR="00CE7D54" w:rsidRDefault="003416AE" w:rsidP="00706D0A">
      <w:pPr>
        <w:pStyle w:val="Caption"/>
      </w:pPr>
      <w:bookmarkStart w:id="82" w:name="_Ref162511536"/>
      <w:bookmarkStart w:id="83" w:name="_Toc173428881"/>
      <w:r>
        <w:t xml:space="preserve">Table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4</w:t>
      </w:r>
      <w:r w:rsidR="00AE19AA">
        <w:rPr>
          <w:noProof/>
        </w:rPr>
        <w:fldChar w:fldCharType="end"/>
      </w:r>
      <w:bookmarkEnd w:id="82"/>
      <w:r>
        <w:t xml:space="preserve">: </w:t>
      </w:r>
      <w:r w:rsidRPr="00D62340">
        <w:t>Occupancy in residential care, by state and territory, 2018</w:t>
      </w:r>
      <w:r w:rsidR="00A44FBD">
        <w:t>-19</w:t>
      </w:r>
      <w:r w:rsidRPr="00D62340">
        <w:t xml:space="preserve"> to 202</w:t>
      </w:r>
      <w:r w:rsidR="00A44FBD">
        <w:t>2-23</w:t>
      </w:r>
      <w:bookmarkEnd w:id="83"/>
    </w:p>
    <w:tbl>
      <w:tblPr>
        <w:tblW w:w="9001" w:type="dxa"/>
        <w:tblLayout w:type="fixed"/>
        <w:tblLook w:val="04A0" w:firstRow="1" w:lastRow="0" w:firstColumn="1" w:lastColumn="0" w:noHBand="0" w:noVBand="1"/>
      </w:tblPr>
      <w:tblGrid>
        <w:gridCol w:w="3380"/>
        <w:gridCol w:w="1124"/>
        <w:gridCol w:w="1124"/>
        <w:gridCol w:w="1124"/>
        <w:gridCol w:w="1124"/>
        <w:gridCol w:w="1125"/>
      </w:tblGrid>
      <w:tr w:rsidR="00A44FBD" w:rsidRPr="00A44FBD" w14:paraId="51783ADF" w14:textId="77777777" w:rsidTr="006E775E">
        <w:trPr>
          <w:trHeight w:val="310"/>
        </w:trPr>
        <w:tc>
          <w:tcPr>
            <w:tcW w:w="3380" w:type="dxa"/>
            <w:tcBorders>
              <w:top w:val="single" w:sz="4" w:space="0" w:color="1E1545"/>
              <w:left w:val="nil"/>
              <w:bottom w:val="nil"/>
              <w:right w:val="nil"/>
            </w:tcBorders>
            <w:shd w:val="clear" w:color="000000" w:fill="1E1545"/>
            <w:vAlign w:val="center"/>
            <w:hideMark/>
          </w:tcPr>
          <w:p w14:paraId="7A1FC3CC" w14:textId="77777777" w:rsidR="00A44FBD" w:rsidRPr="00A44FBD" w:rsidRDefault="00A44FBD" w:rsidP="00A44FBD">
            <w:pPr>
              <w:spacing w:before="0" w:after="0" w:line="240" w:lineRule="auto"/>
              <w:rPr>
                <w:rFonts w:cs="Arial"/>
                <w:b/>
                <w:color w:val="FFFFFF"/>
                <w:sz w:val="21"/>
                <w:szCs w:val="21"/>
                <w:lang w:eastAsia="en-AU"/>
              </w:rPr>
            </w:pPr>
            <w:r w:rsidRPr="00A44FBD">
              <w:rPr>
                <w:rFonts w:cs="Arial"/>
                <w:b/>
                <w:color w:val="FFFFFF"/>
                <w:sz w:val="21"/>
                <w:szCs w:val="21"/>
                <w:lang w:eastAsia="en-AU"/>
              </w:rPr>
              <w:t>State/territory</w:t>
            </w:r>
          </w:p>
        </w:tc>
        <w:tc>
          <w:tcPr>
            <w:tcW w:w="1124" w:type="dxa"/>
            <w:tcBorders>
              <w:top w:val="single" w:sz="4" w:space="0" w:color="1E1545"/>
              <w:left w:val="nil"/>
              <w:bottom w:val="nil"/>
              <w:right w:val="nil"/>
            </w:tcBorders>
            <w:shd w:val="clear" w:color="000000" w:fill="1E1545"/>
            <w:vAlign w:val="center"/>
            <w:hideMark/>
          </w:tcPr>
          <w:p w14:paraId="2FA75023" w14:textId="77777777" w:rsidR="00A44FBD" w:rsidRPr="00A44FBD" w:rsidRDefault="00A44FBD" w:rsidP="00A44FBD">
            <w:pPr>
              <w:spacing w:before="0" w:after="0" w:line="240" w:lineRule="auto"/>
              <w:jc w:val="center"/>
              <w:rPr>
                <w:rFonts w:cs="Arial"/>
                <w:b/>
                <w:color w:val="FFFFFF"/>
                <w:sz w:val="21"/>
                <w:szCs w:val="21"/>
                <w:lang w:eastAsia="en-AU"/>
              </w:rPr>
            </w:pPr>
            <w:r w:rsidRPr="00A44FBD">
              <w:rPr>
                <w:rFonts w:cs="Arial"/>
                <w:b/>
                <w:color w:val="FFFFFF"/>
                <w:sz w:val="21"/>
                <w:szCs w:val="21"/>
                <w:lang w:eastAsia="en-AU"/>
              </w:rPr>
              <w:t>2018-19</w:t>
            </w:r>
          </w:p>
        </w:tc>
        <w:tc>
          <w:tcPr>
            <w:tcW w:w="1124" w:type="dxa"/>
            <w:tcBorders>
              <w:top w:val="single" w:sz="4" w:space="0" w:color="1E1545"/>
              <w:left w:val="nil"/>
              <w:bottom w:val="nil"/>
              <w:right w:val="nil"/>
            </w:tcBorders>
            <w:shd w:val="clear" w:color="000000" w:fill="1E1545"/>
            <w:vAlign w:val="center"/>
            <w:hideMark/>
          </w:tcPr>
          <w:p w14:paraId="40BA1F43" w14:textId="77777777" w:rsidR="00A44FBD" w:rsidRPr="00A44FBD" w:rsidRDefault="00A44FBD" w:rsidP="00A44FBD">
            <w:pPr>
              <w:spacing w:before="0" w:after="0" w:line="240" w:lineRule="auto"/>
              <w:jc w:val="center"/>
              <w:rPr>
                <w:rFonts w:cs="Arial"/>
                <w:b/>
                <w:color w:val="FFFFFF"/>
                <w:sz w:val="21"/>
                <w:szCs w:val="21"/>
                <w:lang w:eastAsia="en-AU"/>
              </w:rPr>
            </w:pPr>
            <w:r w:rsidRPr="00A44FBD">
              <w:rPr>
                <w:rFonts w:cs="Arial"/>
                <w:b/>
                <w:color w:val="FFFFFF"/>
                <w:sz w:val="21"/>
                <w:szCs w:val="21"/>
                <w:lang w:eastAsia="en-AU"/>
              </w:rPr>
              <w:t>2019</w:t>
            </w:r>
            <w:r w:rsidRPr="00A44FBD">
              <w:rPr>
                <w:rFonts w:cs="Arial"/>
                <w:b/>
                <w:color w:val="FFFFFF"/>
                <w:sz w:val="21"/>
                <w:szCs w:val="21"/>
                <w:lang w:eastAsia="en-AU"/>
              </w:rPr>
              <w:noBreakHyphen/>
              <w:t>20</w:t>
            </w:r>
          </w:p>
        </w:tc>
        <w:tc>
          <w:tcPr>
            <w:tcW w:w="1124" w:type="dxa"/>
            <w:tcBorders>
              <w:top w:val="single" w:sz="4" w:space="0" w:color="1E1545"/>
              <w:left w:val="nil"/>
              <w:bottom w:val="nil"/>
              <w:right w:val="nil"/>
            </w:tcBorders>
            <w:shd w:val="clear" w:color="000000" w:fill="1E1545"/>
            <w:vAlign w:val="center"/>
            <w:hideMark/>
          </w:tcPr>
          <w:p w14:paraId="3F4E314B" w14:textId="77777777" w:rsidR="00A44FBD" w:rsidRPr="00A44FBD" w:rsidRDefault="00A44FBD" w:rsidP="00A44FBD">
            <w:pPr>
              <w:spacing w:before="0" w:after="0" w:line="240" w:lineRule="auto"/>
              <w:jc w:val="center"/>
              <w:rPr>
                <w:rFonts w:cs="Arial"/>
                <w:b/>
                <w:color w:val="FFFFFF"/>
                <w:sz w:val="21"/>
                <w:szCs w:val="21"/>
                <w:lang w:eastAsia="en-AU"/>
              </w:rPr>
            </w:pPr>
            <w:r w:rsidRPr="00A44FBD">
              <w:rPr>
                <w:rFonts w:cs="Arial"/>
                <w:b/>
                <w:color w:val="FFFFFF"/>
                <w:sz w:val="21"/>
                <w:szCs w:val="21"/>
                <w:lang w:eastAsia="en-AU"/>
              </w:rPr>
              <w:t>2020-21</w:t>
            </w:r>
          </w:p>
        </w:tc>
        <w:tc>
          <w:tcPr>
            <w:tcW w:w="1124" w:type="dxa"/>
            <w:tcBorders>
              <w:top w:val="single" w:sz="4" w:space="0" w:color="1E1545"/>
              <w:left w:val="nil"/>
              <w:bottom w:val="nil"/>
              <w:right w:val="nil"/>
            </w:tcBorders>
            <w:shd w:val="clear" w:color="000000" w:fill="1E1545"/>
            <w:vAlign w:val="center"/>
            <w:hideMark/>
          </w:tcPr>
          <w:p w14:paraId="35C5EFED" w14:textId="77777777" w:rsidR="00A44FBD" w:rsidRPr="00A44FBD" w:rsidRDefault="00A44FBD" w:rsidP="00A44FBD">
            <w:pPr>
              <w:spacing w:before="0" w:after="0" w:line="240" w:lineRule="auto"/>
              <w:jc w:val="center"/>
              <w:rPr>
                <w:rFonts w:cs="Arial"/>
                <w:b/>
                <w:color w:val="FFFFFF"/>
                <w:sz w:val="21"/>
                <w:szCs w:val="21"/>
                <w:lang w:eastAsia="en-AU"/>
              </w:rPr>
            </w:pPr>
            <w:r w:rsidRPr="00A44FBD">
              <w:rPr>
                <w:rFonts w:cs="Arial"/>
                <w:b/>
                <w:color w:val="FFFFFF"/>
                <w:sz w:val="21"/>
                <w:szCs w:val="21"/>
                <w:lang w:eastAsia="en-AU"/>
              </w:rPr>
              <w:t>2021-22</w:t>
            </w:r>
          </w:p>
        </w:tc>
        <w:tc>
          <w:tcPr>
            <w:tcW w:w="1125" w:type="dxa"/>
            <w:tcBorders>
              <w:top w:val="single" w:sz="4" w:space="0" w:color="1E1545"/>
              <w:left w:val="nil"/>
              <w:bottom w:val="nil"/>
              <w:right w:val="nil"/>
            </w:tcBorders>
            <w:shd w:val="clear" w:color="000000" w:fill="1E1545"/>
            <w:vAlign w:val="center"/>
            <w:hideMark/>
          </w:tcPr>
          <w:p w14:paraId="05921D3C" w14:textId="77777777" w:rsidR="00A44FBD" w:rsidRPr="00A44FBD" w:rsidRDefault="00A44FBD" w:rsidP="00A44FBD">
            <w:pPr>
              <w:spacing w:before="0" w:after="0" w:line="240" w:lineRule="auto"/>
              <w:jc w:val="center"/>
              <w:rPr>
                <w:rFonts w:cs="Arial"/>
                <w:b/>
                <w:color w:val="FFFFFF"/>
                <w:sz w:val="21"/>
                <w:szCs w:val="21"/>
                <w:lang w:eastAsia="en-AU"/>
              </w:rPr>
            </w:pPr>
            <w:r w:rsidRPr="00A44FBD">
              <w:rPr>
                <w:rFonts w:cs="Arial"/>
                <w:b/>
                <w:color w:val="FFFFFF"/>
                <w:sz w:val="21"/>
                <w:szCs w:val="21"/>
                <w:lang w:eastAsia="en-AU"/>
              </w:rPr>
              <w:t>2022-23</w:t>
            </w:r>
          </w:p>
        </w:tc>
      </w:tr>
      <w:tr w:rsidR="00A44FBD" w:rsidRPr="00A44FBD" w14:paraId="5445F688" w14:textId="77777777" w:rsidTr="006E775E">
        <w:trPr>
          <w:trHeight w:val="310"/>
        </w:trPr>
        <w:tc>
          <w:tcPr>
            <w:tcW w:w="3380" w:type="dxa"/>
            <w:tcBorders>
              <w:top w:val="nil"/>
              <w:left w:val="nil"/>
              <w:bottom w:val="nil"/>
              <w:right w:val="nil"/>
            </w:tcBorders>
            <w:shd w:val="clear" w:color="000000" w:fill="FFFFFF"/>
            <w:noWrap/>
            <w:vAlign w:val="bottom"/>
            <w:hideMark/>
          </w:tcPr>
          <w:p w14:paraId="0C776012"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New South Wales</w:t>
            </w:r>
          </w:p>
        </w:tc>
        <w:tc>
          <w:tcPr>
            <w:tcW w:w="1124" w:type="dxa"/>
            <w:tcBorders>
              <w:top w:val="nil"/>
              <w:left w:val="nil"/>
              <w:bottom w:val="nil"/>
              <w:right w:val="nil"/>
            </w:tcBorders>
            <w:shd w:val="clear" w:color="000000" w:fill="FFFFFF"/>
            <w:noWrap/>
            <w:vAlign w:val="bottom"/>
            <w:hideMark/>
          </w:tcPr>
          <w:p w14:paraId="5AAD4AF5"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89.2%</w:t>
            </w:r>
          </w:p>
        </w:tc>
        <w:tc>
          <w:tcPr>
            <w:tcW w:w="1124" w:type="dxa"/>
            <w:tcBorders>
              <w:top w:val="nil"/>
              <w:left w:val="nil"/>
              <w:bottom w:val="nil"/>
              <w:right w:val="nil"/>
            </w:tcBorders>
            <w:shd w:val="clear" w:color="000000" w:fill="FFFFFF"/>
            <w:noWrap/>
            <w:vAlign w:val="bottom"/>
            <w:hideMark/>
          </w:tcPr>
          <w:p w14:paraId="45219097"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88.0%</w:t>
            </w:r>
          </w:p>
        </w:tc>
        <w:tc>
          <w:tcPr>
            <w:tcW w:w="1124" w:type="dxa"/>
            <w:tcBorders>
              <w:top w:val="nil"/>
              <w:left w:val="nil"/>
              <w:bottom w:val="nil"/>
              <w:right w:val="nil"/>
            </w:tcBorders>
            <w:shd w:val="clear" w:color="000000" w:fill="FFFFFF"/>
            <w:noWrap/>
            <w:vAlign w:val="bottom"/>
            <w:hideMark/>
          </w:tcPr>
          <w:p w14:paraId="33B4C6CD"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86.6%</w:t>
            </w:r>
          </w:p>
        </w:tc>
        <w:tc>
          <w:tcPr>
            <w:tcW w:w="1124" w:type="dxa"/>
            <w:tcBorders>
              <w:top w:val="nil"/>
              <w:left w:val="nil"/>
              <w:bottom w:val="nil"/>
              <w:right w:val="nil"/>
            </w:tcBorders>
            <w:shd w:val="clear" w:color="000000" w:fill="FFFFFF"/>
            <w:noWrap/>
            <w:vAlign w:val="bottom"/>
            <w:hideMark/>
          </w:tcPr>
          <w:p w14:paraId="393B6710"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85.2%</w:t>
            </w:r>
          </w:p>
        </w:tc>
        <w:tc>
          <w:tcPr>
            <w:tcW w:w="1125" w:type="dxa"/>
            <w:tcBorders>
              <w:top w:val="nil"/>
              <w:left w:val="nil"/>
              <w:bottom w:val="nil"/>
              <w:right w:val="nil"/>
            </w:tcBorders>
            <w:shd w:val="clear" w:color="000000" w:fill="FFFFFF"/>
            <w:noWrap/>
            <w:vAlign w:val="bottom"/>
            <w:hideMark/>
          </w:tcPr>
          <w:p w14:paraId="36ED9A51"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85.0%</w:t>
            </w:r>
          </w:p>
        </w:tc>
      </w:tr>
      <w:tr w:rsidR="00A44FBD" w:rsidRPr="00A44FBD" w14:paraId="4F762F65" w14:textId="77777777" w:rsidTr="006E775E">
        <w:trPr>
          <w:trHeight w:val="310"/>
        </w:trPr>
        <w:tc>
          <w:tcPr>
            <w:tcW w:w="3380" w:type="dxa"/>
            <w:tcBorders>
              <w:top w:val="single" w:sz="4" w:space="0" w:color="auto"/>
              <w:left w:val="nil"/>
              <w:bottom w:val="single" w:sz="4" w:space="0" w:color="auto"/>
              <w:right w:val="nil"/>
            </w:tcBorders>
            <w:shd w:val="clear" w:color="000000" w:fill="FFFFFF"/>
            <w:noWrap/>
            <w:vAlign w:val="bottom"/>
            <w:hideMark/>
          </w:tcPr>
          <w:p w14:paraId="1B0FA8D5"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Victoria</w:t>
            </w:r>
          </w:p>
        </w:tc>
        <w:tc>
          <w:tcPr>
            <w:tcW w:w="1124" w:type="dxa"/>
            <w:tcBorders>
              <w:top w:val="single" w:sz="4" w:space="0" w:color="auto"/>
              <w:left w:val="nil"/>
              <w:bottom w:val="single" w:sz="4" w:space="0" w:color="auto"/>
              <w:right w:val="nil"/>
            </w:tcBorders>
            <w:shd w:val="clear" w:color="000000" w:fill="FFFFFF"/>
            <w:noWrap/>
            <w:vAlign w:val="bottom"/>
            <w:hideMark/>
          </w:tcPr>
          <w:p w14:paraId="42CCBCA9"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89.0%</w:t>
            </w:r>
          </w:p>
        </w:tc>
        <w:tc>
          <w:tcPr>
            <w:tcW w:w="1124" w:type="dxa"/>
            <w:tcBorders>
              <w:top w:val="single" w:sz="4" w:space="0" w:color="auto"/>
              <w:left w:val="nil"/>
              <w:bottom w:val="single" w:sz="4" w:space="0" w:color="auto"/>
              <w:right w:val="nil"/>
            </w:tcBorders>
            <w:shd w:val="clear" w:color="000000" w:fill="FFFFFF"/>
            <w:noWrap/>
            <w:vAlign w:val="bottom"/>
            <w:hideMark/>
          </w:tcPr>
          <w:p w14:paraId="436E6B99"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87.9%</w:t>
            </w:r>
          </w:p>
        </w:tc>
        <w:tc>
          <w:tcPr>
            <w:tcW w:w="1124" w:type="dxa"/>
            <w:tcBorders>
              <w:top w:val="single" w:sz="4" w:space="0" w:color="auto"/>
              <w:left w:val="nil"/>
              <w:bottom w:val="single" w:sz="4" w:space="0" w:color="auto"/>
              <w:right w:val="nil"/>
            </w:tcBorders>
            <w:shd w:val="clear" w:color="000000" w:fill="FFFFFF"/>
            <w:noWrap/>
            <w:vAlign w:val="bottom"/>
            <w:hideMark/>
          </w:tcPr>
          <w:p w14:paraId="7E229C01"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84.2%</w:t>
            </w:r>
          </w:p>
        </w:tc>
        <w:tc>
          <w:tcPr>
            <w:tcW w:w="1124" w:type="dxa"/>
            <w:tcBorders>
              <w:top w:val="single" w:sz="4" w:space="0" w:color="auto"/>
              <w:left w:val="nil"/>
              <w:bottom w:val="single" w:sz="4" w:space="0" w:color="auto"/>
              <w:right w:val="nil"/>
            </w:tcBorders>
            <w:shd w:val="clear" w:color="000000" w:fill="FFFFFF"/>
            <w:noWrap/>
            <w:vAlign w:val="bottom"/>
            <w:hideMark/>
          </w:tcPr>
          <w:p w14:paraId="10C7C0E3"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83.3%</w:t>
            </w:r>
          </w:p>
        </w:tc>
        <w:tc>
          <w:tcPr>
            <w:tcW w:w="1125" w:type="dxa"/>
            <w:tcBorders>
              <w:top w:val="single" w:sz="4" w:space="0" w:color="auto"/>
              <w:left w:val="nil"/>
              <w:bottom w:val="single" w:sz="4" w:space="0" w:color="auto"/>
              <w:right w:val="nil"/>
            </w:tcBorders>
            <w:shd w:val="clear" w:color="000000" w:fill="FFFFFF"/>
            <w:noWrap/>
            <w:vAlign w:val="bottom"/>
            <w:hideMark/>
          </w:tcPr>
          <w:p w14:paraId="5A3F74F1"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82.8%</w:t>
            </w:r>
          </w:p>
        </w:tc>
      </w:tr>
      <w:tr w:rsidR="00A44FBD" w:rsidRPr="00A44FBD" w14:paraId="507082F3" w14:textId="77777777" w:rsidTr="006E775E">
        <w:trPr>
          <w:trHeight w:val="310"/>
        </w:trPr>
        <w:tc>
          <w:tcPr>
            <w:tcW w:w="3380" w:type="dxa"/>
            <w:tcBorders>
              <w:top w:val="nil"/>
              <w:left w:val="nil"/>
              <w:bottom w:val="nil"/>
              <w:right w:val="nil"/>
            </w:tcBorders>
            <w:shd w:val="clear" w:color="000000" w:fill="FFFFFF"/>
            <w:noWrap/>
            <w:vAlign w:val="bottom"/>
            <w:hideMark/>
          </w:tcPr>
          <w:p w14:paraId="04051A79"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Queensland</w:t>
            </w:r>
          </w:p>
        </w:tc>
        <w:tc>
          <w:tcPr>
            <w:tcW w:w="1124" w:type="dxa"/>
            <w:tcBorders>
              <w:top w:val="nil"/>
              <w:left w:val="nil"/>
              <w:bottom w:val="nil"/>
              <w:right w:val="nil"/>
            </w:tcBorders>
            <w:shd w:val="clear" w:color="000000" w:fill="FFFFFF"/>
            <w:noWrap/>
            <w:vAlign w:val="bottom"/>
            <w:hideMark/>
          </w:tcPr>
          <w:p w14:paraId="52D55332"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88.3%</w:t>
            </w:r>
          </w:p>
        </w:tc>
        <w:tc>
          <w:tcPr>
            <w:tcW w:w="1124" w:type="dxa"/>
            <w:tcBorders>
              <w:top w:val="nil"/>
              <w:left w:val="nil"/>
              <w:bottom w:val="nil"/>
              <w:right w:val="nil"/>
            </w:tcBorders>
            <w:shd w:val="clear" w:color="000000" w:fill="FFFFFF"/>
            <w:noWrap/>
            <w:vAlign w:val="bottom"/>
            <w:hideMark/>
          </w:tcPr>
          <w:p w14:paraId="5CE58AB1"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86.7%</w:t>
            </w:r>
          </w:p>
        </w:tc>
        <w:tc>
          <w:tcPr>
            <w:tcW w:w="1124" w:type="dxa"/>
            <w:tcBorders>
              <w:top w:val="nil"/>
              <w:left w:val="nil"/>
              <w:bottom w:val="nil"/>
              <w:right w:val="nil"/>
            </w:tcBorders>
            <w:shd w:val="clear" w:color="000000" w:fill="FFFFFF"/>
            <w:noWrap/>
            <w:vAlign w:val="bottom"/>
            <w:hideMark/>
          </w:tcPr>
          <w:p w14:paraId="6D0686DC"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87.0%</w:t>
            </w:r>
          </w:p>
        </w:tc>
        <w:tc>
          <w:tcPr>
            <w:tcW w:w="1124" w:type="dxa"/>
            <w:tcBorders>
              <w:top w:val="nil"/>
              <w:left w:val="nil"/>
              <w:bottom w:val="nil"/>
              <w:right w:val="nil"/>
            </w:tcBorders>
            <w:shd w:val="clear" w:color="000000" w:fill="FFFFFF"/>
            <w:noWrap/>
            <w:vAlign w:val="bottom"/>
            <w:hideMark/>
          </w:tcPr>
          <w:p w14:paraId="2E70889B"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88.0%</w:t>
            </w:r>
          </w:p>
        </w:tc>
        <w:tc>
          <w:tcPr>
            <w:tcW w:w="1125" w:type="dxa"/>
            <w:tcBorders>
              <w:top w:val="nil"/>
              <w:left w:val="nil"/>
              <w:bottom w:val="nil"/>
              <w:right w:val="nil"/>
            </w:tcBorders>
            <w:shd w:val="clear" w:color="000000" w:fill="FFFFFF"/>
            <w:noWrap/>
            <w:vAlign w:val="bottom"/>
            <w:hideMark/>
          </w:tcPr>
          <w:p w14:paraId="2E355E54"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88.6%</w:t>
            </w:r>
          </w:p>
        </w:tc>
      </w:tr>
      <w:tr w:rsidR="00A44FBD" w:rsidRPr="00A44FBD" w14:paraId="694BEE0E" w14:textId="77777777" w:rsidTr="006E775E">
        <w:trPr>
          <w:trHeight w:val="310"/>
        </w:trPr>
        <w:tc>
          <w:tcPr>
            <w:tcW w:w="3380" w:type="dxa"/>
            <w:tcBorders>
              <w:top w:val="single" w:sz="4" w:space="0" w:color="auto"/>
              <w:left w:val="nil"/>
              <w:bottom w:val="single" w:sz="4" w:space="0" w:color="auto"/>
              <w:right w:val="nil"/>
            </w:tcBorders>
            <w:shd w:val="clear" w:color="000000" w:fill="FFFFFF"/>
            <w:noWrap/>
            <w:vAlign w:val="bottom"/>
            <w:hideMark/>
          </w:tcPr>
          <w:p w14:paraId="075C743B"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Western Australia</w:t>
            </w:r>
          </w:p>
        </w:tc>
        <w:tc>
          <w:tcPr>
            <w:tcW w:w="1124" w:type="dxa"/>
            <w:tcBorders>
              <w:top w:val="single" w:sz="4" w:space="0" w:color="auto"/>
              <w:left w:val="nil"/>
              <w:bottom w:val="single" w:sz="4" w:space="0" w:color="auto"/>
              <w:right w:val="nil"/>
            </w:tcBorders>
            <w:shd w:val="clear" w:color="000000" w:fill="FFFFFF"/>
            <w:noWrap/>
            <w:vAlign w:val="bottom"/>
            <w:hideMark/>
          </w:tcPr>
          <w:p w14:paraId="00E3A7A5"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90.3%</w:t>
            </w:r>
          </w:p>
        </w:tc>
        <w:tc>
          <w:tcPr>
            <w:tcW w:w="1124" w:type="dxa"/>
            <w:tcBorders>
              <w:top w:val="single" w:sz="4" w:space="0" w:color="auto"/>
              <w:left w:val="nil"/>
              <w:bottom w:val="single" w:sz="4" w:space="0" w:color="auto"/>
              <w:right w:val="nil"/>
            </w:tcBorders>
            <w:shd w:val="clear" w:color="000000" w:fill="FFFFFF"/>
            <w:noWrap/>
            <w:vAlign w:val="bottom"/>
            <w:hideMark/>
          </w:tcPr>
          <w:p w14:paraId="38A31EDD"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89.4%</w:t>
            </w:r>
          </w:p>
        </w:tc>
        <w:tc>
          <w:tcPr>
            <w:tcW w:w="1124" w:type="dxa"/>
            <w:tcBorders>
              <w:top w:val="single" w:sz="4" w:space="0" w:color="auto"/>
              <w:left w:val="nil"/>
              <w:bottom w:val="single" w:sz="4" w:space="0" w:color="auto"/>
              <w:right w:val="nil"/>
            </w:tcBorders>
            <w:shd w:val="clear" w:color="000000" w:fill="FFFFFF"/>
            <w:noWrap/>
            <w:vAlign w:val="bottom"/>
            <w:hideMark/>
          </w:tcPr>
          <w:p w14:paraId="64E3C76C"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88.3%</w:t>
            </w:r>
          </w:p>
        </w:tc>
        <w:tc>
          <w:tcPr>
            <w:tcW w:w="1124" w:type="dxa"/>
            <w:tcBorders>
              <w:top w:val="single" w:sz="4" w:space="0" w:color="auto"/>
              <w:left w:val="nil"/>
              <w:bottom w:val="single" w:sz="4" w:space="0" w:color="auto"/>
              <w:right w:val="nil"/>
            </w:tcBorders>
            <w:shd w:val="clear" w:color="000000" w:fill="FFFFFF"/>
            <w:noWrap/>
            <w:vAlign w:val="bottom"/>
            <w:hideMark/>
          </w:tcPr>
          <w:p w14:paraId="116655F3"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88.1%</w:t>
            </w:r>
          </w:p>
        </w:tc>
        <w:tc>
          <w:tcPr>
            <w:tcW w:w="1125" w:type="dxa"/>
            <w:tcBorders>
              <w:top w:val="single" w:sz="4" w:space="0" w:color="auto"/>
              <w:left w:val="nil"/>
              <w:bottom w:val="single" w:sz="4" w:space="0" w:color="auto"/>
              <w:right w:val="nil"/>
            </w:tcBorders>
            <w:shd w:val="clear" w:color="000000" w:fill="FFFFFF"/>
            <w:noWrap/>
            <w:vAlign w:val="bottom"/>
            <w:hideMark/>
          </w:tcPr>
          <w:p w14:paraId="1DFC0B58"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88.0%</w:t>
            </w:r>
          </w:p>
        </w:tc>
      </w:tr>
      <w:tr w:rsidR="00A44FBD" w:rsidRPr="00A44FBD" w14:paraId="58D4F20A" w14:textId="77777777" w:rsidTr="006E775E">
        <w:trPr>
          <w:trHeight w:val="310"/>
        </w:trPr>
        <w:tc>
          <w:tcPr>
            <w:tcW w:w="3380" w:type="dxa"/>
            <w:tcBorders>
              <w:top w:val="nil"/>
              <w:left w:val="nil"/>
              <w:bottom w:val="nil"/>
              <w:right w:val="nil"/>
            </w:tcBorders>
            <w:shd w:val="clear" w:color="000000" w:fill="FFFFFF"/>
            <w:noWrap/>
            <w:vAlign w:val="bottom"/>
            <w:hideMark/>
          </w:tcPr>
          <w:p w14:paraId="20F88D0B"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South Australia</w:t>
            </w:r>
          </w:p>
        </w:tc>
        <w:tc>
          <w:tcPr>
            <w:tcW w:w="1124" w:type="dxa"/>
            <w:tcBorders>
              <w:top w:val="nil"/>
              <w:left w:val="nil"/>
              <w:bottom w:val="nil"/>
              <w:right w:val="nil"/>
            </w:tcBorders>
            <w:shd w:val="clear" w:color="000000" w:fill="FFFFFF"/>
            <w:noWrap/>
            <w:vAlign w:val="bottom"/>
            <w:hideMark/>
          </w:tcPr>
          <w:p w14:paraId="7A479F6E"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92.8%</w:t>
            </w:r>
          </w:p>
        </w:tc>
        <w:tc>
          <w:tcPr>
            <w:tcW w:w="1124" w:type="dxa"/>
            <w:tcBorders>
              <w:top w:val="nil"/>
              <w:left w:val="nil"/>
              <w:bottom w:val="nil"/>
              <w:right w:val="nil"/>
            </w:tcBorders>
            <w:shd w:val="clear" w:color="000000" w:fill="FFFFFF"/>
            <w:noWrap/>
            <w:vAlign w:val="bottom"/>
            <w:hideMark/>
          </w:tcPr>
          <w:p w14:paraId="28BC4742"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92.5%</w:t>
            </w:r>
          </w:p>
        </w:tc>
        <w:tc>
          <w:tcPr>
            <w:tcW w:w="1124" w:type="dxa"/>
            <w:tcBorders>
              <w:top w:val="nil"/>
              <w:left w:val="nil"/>
              <w:bottom w:val="nil"/>
              <w:right w:val="nil"/>
            </w:tcBorders>
            <w:shd w:val="clear" w:color="000000" w:fill="FFFFFF"/>
            <w:noWrap/>
            <w:vAlign w:val="bottom"/>
            <w:hideMark/>
          </w:tcPr>
          <w:p w14:paraId="5A067209"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93.1%</w:t>
            </w:r>
          </w:p>
        </w:tc>
        <w:tc>
          <w:tcPr>
            <w:tcW w:w="1124" w:type="dxa"/>
            <w:tcBorders>
              <w:top w:val="nil"/>
              <w:left w:val="nil"/>
              <w:bottom w:val="nil"/>
              <w:right w:val="nil"/>
            </w:tcBorders>
            <w:shd w:val="clear" w:color="000000" w:fill="FFFFFF"/>
            <w:noWrap/>
            <w:vAlign w:val="bottom"/>
            <w:hideMark/>
          </w:tcPr>
          <w:p w14:paraId="4451B2EA"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92.2%</w:t>
            </w:r>
          </w:p>
        </w:tc>
        <w:tc>
          <w:tcPr>
            <w:tcW w:w="1125" w:type="dxa"/>
            <w:tcBorders>
              <w:top w:val="nil"/>
              <w:left w:val="nil"/>
              <w:bottom w:val="nil"/>
              <w:right w:val="nil"/>
            </w:tcBorders>
            <w:shd w:val="clear" w:color="000000" w:fill="FFFFFF"/>
            <w:noWrap/>
            <w:vAlign w:val="bottom"/>
            <w:hideMark/>
          </w:tcPr>
          <w:p w14:paraId="0D498737"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92.0%</w:t>
            </w:r>
          </w:p>
        </w:tc>
      </w:tr>
      <w:tr w:rsidR="00A44FBD" w:rsidRPr="00A44FBD" w14:paraId="2092A84E" w14:textId="77777777" w:rsidTr="006E775E">
        <w:trPr>
          <w:trHeight w:val="310"/>
        </w:trPr>
        <w:tc>
          <w:tcPr>
            <w:tcW w:w="3380" w:type="dxa"/>
            <w:tcBorders>
              <w:top w:val="single" w:sz="4" w:space="0" w:color="auto"/>
              <w:left w:val="nil"/>
              <w:bottom w:val="single" w:sz="4" w:space="0" w:color="auto"/>
              <w:right w:val="nil"/>
            </w:tcBorders>
            <w:shd w:val="clear" w:color="000000" w:fill="FFFFFF"/>
            <w:noWrap/>
            <w:vAlign w:val="bottom"/>
            <w:hideMark/>
          </w:tcPr>
          <w:p w14:paraId="7C565826"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Tasmania</w:t>
            </w:r>
          </w:p>
        </w:tc>
        <w:tc>
          <w:tcPr>
            <w:tcW w:w="1124" w:type="dxa"/>
            <w:tcBorders>
              <w:top w:val="single" w:sz="4" w:space="0" w:color="auto"/>
              <w:left w:val="nil"/>
              <w:bottom w:val="single" w:sz="4" w:space="0" w:color="auto"/>
              <w:right w:val="nil"/>
            </w:tcBorders>
            <w:shd w:val="clear" w:color="000000" w:fill="FFFFFF"/>
            <w:noWrap/>
            <w:vAlign w:val="bottom"/>
            <w:hideMark/>
          </w:tcPr>
          <w:p w14:paraId="1780A6F0"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89.9%</w:t>
            </w:r>
          </w:p>
        </w:tc>
        <w:tc>
          <w:tcPr>
            <w:tcW w:w="1124" w:type="dxa"/>
            <w:tcBorders>
              <w:top w:val="single" w:sz="4" w:space="0" w:color="auto"/>
              <w:left w:val="nil"/>
              <w:bottom w:val="single" w:sz="4" w:space="0" w:color="auto"/>
              <w:right w:val="nil"/>
            </w:tcBorders>
            <w:shd w:val="clear" w:color="000000" w:fill="FFFFFF"/>
            <w:noWrap/>
            <w:vAlign w:val="bottom"/>
            <w:hideMark/>
          </w:tcPr>
          <w:p w14:paraId="3D9105DA"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88.7%</w:t>
            </w:r>
          </w:p>
        </w:tc>
        <w:tc>
          <w:tcPr>
            <w:tcW w:w="1124" w:type="dxa"/>
            <w:tcBorders>
              <w:top w:val="single" w:sz="4" w:space="0" w:color="auto"/>
              <w:left w:val="nil"/>
              <w:bottom w:val="single" w:sz="4" w:space="0" w:color="auto"/>
              <w:right w:val="nil"/>
            </w:tcBorders>
            <w:shd w:val="clear" w:color="000000" w:fill="FFFFFF"/>
            <w:noWrap/>
            <w:vAlign w:val="bottom"/>
            <w:hideMark/>
          </w:tcPr>
          <w:p w14:paraId="7F9A4CAA"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88.9%</w:t>
            </w:r>
          </w:p>
        </w:tc>
        <w:tc>
          <w:tcPr>
            <w:tcW w:w="1124" w:type="dxa"/>
            <w:tcBorders>
              <w:top w:val="single" w:sz="4" w:space="0" w:color="auto"/>
              <w:left w:val="nil"/>
              <w:bottom w:val="single" w:sz="4" w:space="0" w:color="auto"/>
              <w:right w:val="nil"/>
            </w:tcBorders>
            <w:shd w:val="clear" w:color="000000" w:fill="FFFFFF"/>
            <w:noWrap/>
            <w:vAlign w:val="bottom"/>
            <w:hideMark/>
          </w:tcPr>
          <w:p w14:paraId="5D7C191B"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89.2%</w:t>
            </w:r>
          </w:p>
        </w:tc>
        <w:tc>
          <w:tcPr>
            <w:tcW w:w="1125" w:type="dxa"/>
            <w:tcBorders>
              <w:top w:val="single" w:sz="4" w:space="0" w:color="auto"/>
              <w:left w:val="nil"/>
              <w:bottom w:val="single" w:sz="4" w:space="0" w:color="auto"/>
              <w:right w:val="nil"/>
            </w:tcBorders>
            <w:shd w:val="clear" w:color="000000" w:fill="FFFFFF"/>
            <w:noWrap/>
            <w:vAlign w:val="bottom"/>
            <w:hideMark/>
          </w:tcPr>
          <w:p w14:paraId="7CDC0AAE"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88.5%</w:t>
            </w:r>
          </w:p>
        </w:tc>
      </w:tr>
      <w:tr w:rsidR="00A44FBD" w:rsidRPr="00A44FBD" w14:paraId="2B3D8FB6" w14:textId="77777777" w:rsidTr="006E775E">
        <w:trPr>
          <w:trHeight w:val="310"/>
        </w:trPr>
        <w:tc>
          <w:tcPr>
            <w:tcW w:w="3380" w:type="dxa"/>
            <w:tcBorders>
              <w:top w:val="nil"/>
              <w:left w:val="nil"/>
              <w:bottom w:val="nil"/>
              <w:right w:val="nil"/>
            </w:tcBorders>
            <w:shd w:val="clear" w:color="000000" w:fill="FFFFFF"/>
            <w:noWrap/>
            <w:vAlign w:val="bottom"/>
            <w:hideMark/>
          </w:tcPr>
          <w:p w14:paraId="354F6BD0"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Australian Capital Territory</w:t>
            </w:r>
          </w:p>
        </w:tc>
        <w:tc>
          <w:tcPr>
            <w:tcW w:w="1124" w:type="dxa"/>
            <w:tcBorders>
              <w:top w:val="nil"/>
              <w:left w:val="nil"/>
              <w:bottom w:val="nil"/>
              <w:right w:val="nil"/>
            </w:tcBorders>
            <w:shd w:val="clear" w:color="000000" w:fill="FFFFFF"/>
            <w:noWrap/>
            <w:vAlign w:val="bottom"/>
            <w:hideMark/>
          </w:tcPr>
          <w:p w14:paraId="42E7DC3C"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89.6%</w:t>
            </w:r>
          </w:p>
        </w:tc>
        <w:tc>
          <w:tcPr>
            <w:tcW w:w="1124" w:type="dxa"/>
            <w:tcBorders>
              <w:top w:val="nil"/>
              <w:left w:val="nil"/>
              <w:bottom w:val="nil"/>
              <w:right w:val="nil"/>
            </w:tcBorders>
            <w:shd w:val="clear" w:color="000000" w:fill="FFFFFF"/>
            <w:noWrap/>
            <w:vAlign w:val="bottom"/>
            <w:hideMark/>
          </w:tcPr>
          <w:p w14:paraId="53F8C32F"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89.4%</w:t>
            </w:r>
          </w:p>
        </w:tc>
        <w:tc>
          <w:tcPr>
            <w:tcW w:w="1124" w:type="dxa"/>
            <w:tcBorders>
              <w:top w:val="nil"/>
              <w:left w:val="nil"/>
              <w:bottom w:val="nil"/>
              <w:right w:val="nil"/>
            </w:tcBorders>
            <w:shd w:val="clear" w:color="000000" w:fill="FFFFFF"/>
            <w:noWrap/>
            <w:vAlign w:val="bottom"/>
            <w:hideMark/>
          </w:tcPr>
          <w:p w14:paraId="0964D6AB"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87.3%</w:t>
            </w:r>
          </w:p>
        </w:tc>
        <w:tc>
          <w:tcPr>
            <w:tcW w:w="1124" w:type="dxa"/>
            <w:tcBorders>
              <w:top w:val="nil"/>
              <w:left w:val="nil"/>
              <w:bottom w:val="nil"/>
              <w:right w:val="nil"/>
            </w:tcBorders>
            <w:shd w:val="clear" w:color="000000" w:fill="FFFFFF"/>
            <w:noWrap/>
            <w:vAlign w:val="bottom"/>
            <w:hideMark/>
          </w:tcPr>
          <w:p w14:paraId="7C8C0382"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85.3%</w:t>
            </w:r>
          </w:p>
        </w:tc>
        <w:tc>
          <w:tcPr>
            <w:tcW w:w="1125" w:type="dxa"/>
            <w:tcBorders>
              <w:top w:val="nil"/>
              <w:left w:val="nil"/>
              <w:bottom w:val="nil"/>
              <w:right w:val="nil"/>
            </w:tcBorders>
            <w:shd w:val="clear" w:color="000000" w:fill="FFFFFF"/>
            <w:noWrap/>
            <w:vAlign w:val="bottom"/>
            <w:hideMark/>
          </w:tcPr>
          <w:p w14:paraId="226F8492"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87.7%</w:t>
            </w:r>
          </w:p>
        </w:tc>
      </w:tr>
      <w:tr w:rsidR="00A44FBD" w:rsidRPr="00A44FBD" w14:paraId="78EB1C7F" w14:textId="77777777" w:rsidTr="006E775E">
        <w:trPr>
          <w:trHeight w:val="310"/>
        </w:trPr>
        <w:tc>
          <w:tcPr>
            <w:tcW w:w="3380" w:type="dxa"/>
            <w:tcBorders>
              <w:top w:val="single" w:sz="4" w:space="0" w:color="auto"/>
              <w:left w:val="nil"/>
              <w:bottom w:val="single" w:sz="4" w:space="0" w:color="auto"/>
              <w:right w:val="nil"/>
            </w:tcBorders>
            <w:shd w:val="clear" w:color="000000" w:fill="FFFFFF"/>
            <w:noWrap/>
            <w:vAlign w:val="bottom"/>
            <w:hideMark/>
          </w:tcPr>
          <w:p w14:paraId="73BEF535"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Northern Territory</w:t>
            </w:r>
          </w:p>
        </w:tc>
        <w:tc>
          <w:tcPr>
            <w:tcW w:w="1124" w:type="dxa"/>
            <w:tcBorders>
              <w:top w:val="single" w:sz="4" w:space="0" w:color="auto"/>
              <w:left w:val="nil"/>
              <w:bottom w:val="single" w:sz="4" w:space="0" w:color="auto"/>
              <w:right w:val="nil"/>
            </w:tcBorders>
            <w:shd w:val="clear" w:color="000000" w:fill="FFFFFF"/>
            <w:noWrap/>
            <w:vAlign w:val="bottom"/>
            <w:hideMark/>
          </w:tcPr>
          <w:p w14:paraId="7FD1E604"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94.3%</w:t>
            </w:r>
          </w:p>
        </w:tc>
        <w:tc>
          <w:tcPr>
            <w:tcW w:w="1124" w:type="dxa"/>
            <w:tcBorders>
              <w:top w:val="single" w:sz="4" w:space="0" w:color="auto"/>
              <w:left w:val="nil"/>
              <w:bottom w:val="single" w:sz="4" w:space="0" w:color="auto"/>
              <w:right w:val="nil"/>
            </w:tcBorders>
            <w:shd w:val="clear" w:color="000000" w:fill="FFFFFF"/>
            <w:noWrap/>
            <w:vAlign w:val="bottom"/>
            <w:hideMark/>
          </w:tcPr>
          <w:p w14:paraId="327219B8"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94.0%</w:t>
            </w:r>
          </w:p>
        </w:tc>
        <w:tc>
          <w:tcPr>
            <w:tcW w:w="1124" w:type="dxa"/>
            <w:tcBorders>
              <w:top w:val="single" w:sz="4" w:space="0" w:color="auto"/>
              <w:left w:val="nil"/>
              <w:bottom w:val="single" w:sz="4" w:space="0" w:color="auto"/>
              <w:right w:val="nil"/>
            </w:tcBorders>
            <w:shd w:val="clear" w:color="000000" w:fill="FFFFFF"/>
            <w:noWrap/>
            <w:vAlign w:val="bottom"/>
            <w:hideMark/>
          </w:tcPr>
          <w:p w14:paraId="5E5181D5"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94.9%</w:t>
            </w:r>
          </w:p>
        </w:tc>
        <w:tc>
          <w:tcPr>
            <w:tcW w:w="1124" w:type="dxa"/>
            <w:tcBorders>
              <w:top w:val="single" w:sz="4" w:space="0" w:color="auto"/>
              <w:left w:val="nil"/>
              <w:bottom w:val="single" w:sz="4" w:space="0" w:color="auto"/>
              <w:right w:val="nil"/>
            </w:tcBorders>
            <w:shd w:val="clear" w:color="000000" w:fill="FFFFFF"/>
            <w:noWrap/>
            <w:vAlign w:val="bottom"/>
            <w:hideMark/>
          </w:tcPr>
          <w:p w14:paraId="77EEA7FC"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89.8%</w:t>
            </w:r>
          </w:p>
        </w:tc>
        <w:tc>
          <w:tcPr>
            <w:tcW w:w="1125" w:type="dxa"/>
            <w:tcBorders>
              <w:top w:val="single" w:sz="4" w:space="0" w:color="auto"/>
              <w:left w:val="nil"/>
              <w:bottom w:val="single" w:sz="4" w:space="0" w:color="auto"/>
              <w:right w:val="nil"/>
            </w:tcBorders>
            <w:shd w:val="clear" w:color="000000" w:fill="FFFFFF"/>
            <w:noWrap/>
            <w:vAlign w:val="bottom"/>
            <w:hideMark/>
          </w:tcPr>
          <w:p w14:paraId="19AF660F"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91.8%</w:t>
            </w:r>
          </w:p>
        </w:tc>
      </w:tr>
      <w:tr w:rsidR="00A44FBD" w:rsidRPr="00A44FBD" w14:paraId="33F654BB" w14:textId="77777777" w:rsidTr="006E775E">
        <w:trPr>
          <w:trHeight w:val="310"/>
        </w:trPr>
        <w:tc>
          <w:tcPr>
            <w:tcW w:w="3380" w:type="dxa"/>
            <w:tcBorders>
              <w:top w:val="nil"/>
              <w:left w:val="nil"/>
              <w:bottom w:val="single" w:sz="4" w:space="0" w:color="auto"/>
              <w:right w:val="nil"/>
            </w:tcBorders>
            <w:shd w:val="clear" w:color="000000" w:fill="FFFFFF"/>
            <w:noWrap/>
            <w:vAlign w:val="bottom"/>
            <w:hideMark/>
          </w:tcPr>
          <w:p w14:paraId="6EB1262D" w14:textId="77777777" w:rsidR="00A44FBD" w:rsidRPr="00A44FBD" w:rsidRDefault="00A44FBD" w:rsidP="00A44FBD">
            <w:pPr>
              <w:spacing w:before="0" w:after="0" w:line="240" w:lineRule="auto"/>
              <w:rPr>
                <w:rFonts w:cs="Arial"/>
                <w:bCs w:val="0"/>
                <w:color w:val="1E1545"/>
                <w:sz w:val="21"/>
                <w:szCs w:val="21"/>
                <w:lang w:eastAsia="en-AU"/>
              </w:rPr>
            </w:pPr>
            <w:r w:rsidRPr="00A44FBD">
              <w:rPr>
                <w:rFonts w:cs="Arial"/>
                <w:bCs w:val="0"/>
                <w:color w:val="1E1545"/>
                <w:sz w:val="21"/>
                <w:szCs w:val="21"/>
                <w:lang w:eastAsia="en-AU"/>
              </w:rPr>
              <w:t>Australia</w:t>
            </w:r>
          </w:p>
        </w:tc>
        <w:tc>
          <w:tcPr>
            <w:tcW w:w="1124" w:type="dxa"/>
            <w:tcBorders>
              <w:top w:val="nil"/>
              <w:left w:val="nil"/>
              <w:bottom w:val="single" w:sz="4" w:space="0" w:color="auto"/>
              <w:right w:val="nil"/>
            </w:tcBorders>
            <w:shd w:val="clear" w:color="000000" w:fill="FFFFFF"/>
            <w:noWrap/>
            <w:vAlign w:val="bottom"/>
            <w:hideMark/>
          </w:tcPr>
          <w:p w14:paraId="1D1277DF"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89.4%</w:t>
            </w:r>
          </w:p>
        </w:tc>
        <w:tc>
          <w:tcPr>
            <w:tcW w:w="1124" w:type="dxa"/>
            <w:tcBorders>
              <w:top w:val="nil"/>
              <w:left w:val="nil"/>
              <w:bottom w:val="single" w:sz="4" w:space="0" w:color="auto"/>
              <w:right w:val="nil"/>
            </w:tcBorders>
            <w:shd w:val="clear" w:color="000000" w:fill="FFFFFF"/>
            <w:noWrap/>
            <w:vAlign w:val="bottom"/>
            <w:hideMark/>
          </w:tcPr>
          <w:p w14:paraId="688D72A9"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88.3%</w:t>
            </w:r>
          </w:p>
        </w:tc>
        <w:tc>
          <w:tcPr>
            <w:tcW w:w="1124" w:type="dxa"/>
            <w:tcBorders>
              <w:top w:val="nil"/>
              <w:left w:val="nil"/>
              <w:bottom w:val="single" w:sz="4" w:space="0" w:color="auto"/>
              <w:right w:val="nil"/>
            </w:tcBorders>
            <w:shd w:val="clear" w:color="000000" w:fill="FFFFFF"/>
            <w:noWrap/>
            <w:vAlign w:val="bottom"/>
            <w:hideMark/>
          </w:tcPr>
          <w:p w14:paraId="1574B6A2"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86.8%</w:t>
            </w:r>
          </w:p>
        </w:tc>
        <w:tc>
          <w:tcPr>
            <w:tcW w:w="1124" w:type="dxa"/>
            <w:tcBorders>
              <w:top w:val="nil"/>
              <w:left w:val="nil"/>
              <w:bottom w:val="single" w:sz="4" w:space="0" w:color="auto"/>
              <w:right w:val="nil"/>
            </w:tcBorders>
            <w:shd w:val="clear" w:color="000000" w:fill="FFFFFF"/>
            <w:noWrap/>
            <w:vAlign w:val="bottom"/>
            <w:hideMark/>
          </w:tcPr>
          <w:p w14:paraId="398F1448" w14:textId="77777777"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86.2%</w:t>
            </w:r>
          </w:p>
        </w:tc>
        <w:tc>
          <w:tcPr>
            <w:tcW w:w="1125" w:type="dxa"/>
            <w:tcBorders>
              <w:top w:val="nil"/>
              <w:left w:val="nil"/>
              <w:bottom w:val="single" w:sz="4" w:space="0" w:color="auto"/>
              <w:right w:val="nil"/>
            </w:tcBorders>
            <w:shd w:val="clear" w:color="000000" w:fill="FFFFFF"/>
            <w:noWrap/>
            <w:vAlign w:val="bottom"/>
            <w:hideMark/>
          </w:tcPr>
          <w:p w14:paraId="4109E72C" w14:textId="7B03817E" w:rsidR="00A44FBD" w:rsidRPr="00A44FBD" w:rsidRDefault="00A44FBD" w:rsidP="00A44FBD">
            <w:pPr>
              <w:spacing w:before="0" w:after="0" w:line="240" w:lineRule="auto"/>
              <w:jc w:val="right"/>
              <w:rPr>
                <w:rFonts w:cs="Arial"/>
                <w:bCs w:val="0"/>
                <w:color w:val="1E1545"/>
                <w:sz w:val="21"/>
                <w:szCs w:val="21"/>
                <w:lang w:eastAsia="en-AU"/>
              </w:rPr>
            </w:pPr>
            <w:r w:rsidRPr="00A44FBD">
              <w:rPr>
                <w:rFonts w:cs="Arial"/>
                <w:bCs w:val="0"/>
                <w:color w:val="1E1545"/>
                <w:sz w:val="21"/>
                <w:szCs w:val="21"/>
                <w:lang w:eastAsia="en-AU"/>
              </w:rPr>
              <w:t>86.1%</w:t>
            </w:r>
          </w:p>
        </w:tc>
      </w:tr>
    </w:tbl>
    <w:p w14:paraId="1D0BD8AA" w14:textId="77777777" w:rsidR="00A44FBD" w:rsidRPr="00A44FBD" w:rsidRDefault="00A44FBD" w:rsidP="00A44FBD"/>
    <w:p w14:paraId="3B967F98" w14:textId="0686C166" w:rsidR="002242C1" w:rsidRPr="00ED42FD" w:rsidRDefault="002242C1" w:rsidP="002242C1">
      <w:r w:rsidRPr="00ED42FD">
        <w:fldChar w:fldCharType="begin"/>
      </w:r>
      <w:r w:rsidRPr="00ED42FD">
        <w:instrText xml:space="preserve"> REF _Ref162511578 \h </w:instrText>
      </w:r>
      <w:r w:rsidR="00ED42FD">
        <w:instrText xml:space="preserve"> \* MERGEFORMAT </w:instrText>
      </w:r>
      <w:r w:rsidRPr="00ED42FD">
        <w:fldChar w:fldCharType="separate"/>
      </w:r>
      <w:r w:rsidR="001377BE">
        <w:t xml:space="preserve">Table </w:t>
      </w:r>
      <w:r w:rsidR="001377BE">
        <w:rPr>
          <w:noProof/>
        </w:rPr>
        <w:t>2.5</w:t>
      </w:r>
      <w:r w:rsidRPr="00ED42FD">
        <w:fldChar w:fldCharType="end"/>
      </w:r>
      <w:r w:rsidRPr="00ED42FD">
        <w:t xml:space="preserve"> shows</w:t>
      </w:r>
      <w:r w:rsidRPr="00ED42FD">
        <w:rPr>
          <w:spacing w:val="-11"/>
        </w:rPr>
        <w:t xml:space="preserve"> </w:t>
      </w:r>
      <w:r w:rsidRPr="00ED42FD">
        <w:t>average</w:t>
      </w:r>
      <w:r w:rsidRPr="00ED42FD">
        <w:rPr>
          <w:spacing w:val="-11"/>
        </w:rPr>
        <w:t xml:space="preserve"> </w:t>
      </w:r>
      <w:r w:rsidRPr="00ED42FD">
        <w:t>occupancy</w:t>
      </w:r>
      <w:r w:rsidRPr="00ED42FD">
        <w:rPr>
          <w:spacing w:val="-11"/>
        </w:rPr>
        <w:t xml:space="preserve"> </w:t>
      </w:r>
      <w:r w:rsidRPr="00ED42FD">
        <w:t>in</w:t>
      </w:r>
      <w:r w:rsidRPr="00ED42FD">
        <w:rPr>
          <w:spacing w:val="-11"/>
        </w:rPr>
        <w:t xml:space="preserve"> </w:t>
      </w:r>
      <w:r w:rsidRPr="00ED42FD">
        <w:t>residential</w:t>
      </w:r>
      <w:r w:rsidRPr="00ED42FD">
        <w:rPr>
          <w:spacing w:val="-11"/>
        </w:rPr>
        <w:t xml:space="preserve"> </w:t>
      </w:r>
      <w:r w:rsidRPr="00ED42FD">
        <w:t>care by location from 201</w:t>
      </w:r>
      <w:r w:rsidR="00ED42FD" w:rsidRPr="00ED42FD">
        <w:t>8-19</w:t>
      </w:r>
      <w:r w:rsidRPr="00ED42FD">
        <w:t xml:space="preserve"> to 2</w:t>
      </w:r>
      <w:r w:rsidR="00ED42FD" w:rsidRPr="00ED42FD">
        <w:t>0</w:t>
      </w:r>
      <w:r w:rsidRPr="00ED42FD">
        <w:t>22</w:t>
      </w:r>
      <w:r w:rsidR="00ED42FD" w:rsidRPr="00ED42FD">
        <w:t>-23</w:t>
      </w:r>
      <w:r w:rsidRPr="00ED42FD">
        <w:t xml:space="preserve">. </w:t>
      </w:r>
    </w:p>
    <w:p w14:paraId="17A9ACE8" w14:textId="481809D6" w:rsidR="002242C1" w:rsidRDefault="002242C1" w:rsidP="002242C1">
      <w:r w:rsidRPr="00ED42FD">
        <w:t>There remained a variation in occupancy rates by remoteness</w:t>
      </w:r>
      <w:r w:rsidRPr="00ED42FD">
        <w:rPr>
          <w:spacing w:val="-11"/>
        </w:rPr>
        <w:t xml:space="preserve"> </w:t>
      </w:r>
      <w:r w:rsidRPr="00ED42FD">
        <w:t>location.</w:t>
      </w:r>
      <w:r w:rsidRPr="00ED42FD">
        <w:rPr>
          <w:spacing w:val="-9"/>
        </w:rPr>
        <w:t xml:space="preserve"> </w:t>
      </w:r>
      <w:r w:rsidRPr="00ED42FD">
        <w:t>In</w:t>
      </w:r>
      <w:r w:rsidRPr="00ED42FD">
        <w:rPr>
          <w:spacing w:val="-11"/>
        </w:rPr>
        <w:t xml:space="preserve"> </w:t>
      </w:r>
      <w:r w:rsidRPr="00ED42FD">
        <w:t>2</w:t>
      </w:r>
      <w:r w:rsidR="00ED42FD" w:rsidRPr="00ED42FD">
        <w:t>0</w:t>
      </w:r>
      <w:r w:rsidRPr="00ED42FD">
        <w:t>22</w:t>
      </w:r>
      <w:r w:rsidR="00ED42FD" w:rsidRPr="00ED42FD">
        <w:t>-23</w:t>
      </w:r>
      <w:r w:rsidRPr="00ED42FD">
        <w:t>,</w:t>
      </w:r>
      <w:r w:rsidRPr="00ED42FD">
        <w:rPr>
          <w:spacing w:val="-9"/>
        </w:rPr>
        <w:t xml:space="preserve"> </w:t>
      </w:r>
      <w:r w:rsidRPr="00ED42FD">
        <w:t>occupancy</w:t>
      </w:r>
      <w:r w:rsidRPr="00ED42FD">
        <w:rPr>
          <w:spacing w:val="-9"/>
        </w:rPr>
        <w:t xml:space="preserve"> </w:t>
      </w:r>
      <w:r w:rsidRPr="00ED42FD">
        <w:t>in major cities</w:t>
      </w:r>
      <w:r w:rsidR="00700D4B">
        <w:t xml:space="preserve"> increased to 86.2%</w:t>
      </w:r>
      <w:r w:rsidR="00273464">
        <w:t>, up from 85.9%</w:t>
      </w:r>
      <w:r w:rsidR="00700D4B">
        <w:t>. While</w:t>
      </w:r>
      <w:r w:rsidRPr="00ED42FD">
        <w:t xml:space="preserve"> inner regional, outer regional</w:t>
      </w:r>
      <w:r w:rsidR="00E3164C">
        <w:t xml:space="preserve">, </w:t>
      </w:r>
      <w:r w:rsidRPr="00ED42FD">
        <w:t>remote</w:t>
      </w:r>
      <w:r w:rsidR="00236CD1">
        <w:t>, and very remote</w:t>
      </w:r>
      <w:r w:rsidRPr="00ED42FD">
        <w:t xml:space="preserve"> locations</w:t>
      </w:r>
      <w:r w:rsidRPr="00ED42FD">
        <w:rPr>
          <w:spacing w:val="-7"/>
        </w:rPr>
        <w:t xml:space="preserve"> </w:t>
      </w:r>
      <w:r w:rsidRPr="00ED42FD">
        <w:t>decreased</w:t>
      </w:r>
      <w:r w:rsidRPr="00ED42FD">
        <w:rPr>
          <w:spacing w:val="-5"/>
        </w:rPr>
        <w:t xml:space="preserve"> on the </w:t>
      </w:r>
      <w:r w:rsidR="00236CD1">
        <w:rPr>
          <w:spacing w:val="-5"/>
        </w:rPr>
        <w:t>2022-23</w:t>
      </w:r>
      <w:r w:rsidRPr="00ED42FD">
        <w:rPr>
          <w:spacing w:val="-5"/>
        </w:rPr>
        <w:t xml:space="preserve"> result </w:t>
      </w:r>
      <w:r w:rsidRPr="00ED42FD">
        <w:t>(by approximately</w:t>
      </w:r>
      <w:r w:rsidRPr="00ED42FD">
        <w:rPr>
          <w:spacing w:val="-5"/>
        </w:rPr>
        <w:t xml:space="preserve"> </w:t>
      </w:r>
      <w:r w:rsidRPr="00ED42FD">
        <w:t>1</w:t>
      </w:r>
      <w:r w:rsidRPr="00ED42FD">
        <w:rPr>
          <w:spacing w:val="-5"/>
        </w:rPr>
        <w:t xml:space="preserve"> </w:t>
      </w:r>
      <w:r w:rsidRPr="00ED42FD">
        <w:t>to</w:t>
      </w:r>
      <w:r w:rsidRPr="00ED42FD">
        <w:rPr>
          <w:spacing w:val="-5"/>
        </w:rPr>
        <w:t xml:space="preserve"> </w:t>
      </w:r>
      <w:r w:rsidRPr="00ED42FD">
        <w:t>3</w:t>
      </w:r>
      <w:r w:rsidRPr="00ED42FD">
        <w:rPr>
          <w:spacing w:val="-5"/>
        </w:rPr>
        <w:t xml:space="preserve"> </w:t>
      </w:r>
      <w:r w:rsidRPr="00ED42FD">
        <w:t>percentage points).</w:t>
      </w:r>
      <w:r w:rsidRPr="00ED42FD">
        <w:rPr>
          <w:spacing w:val="-11"/>
        </w:rPr>
        <w:t xml:space="preserve"> </w:t>
      </w:r>
    </w:p>
    <w:p w14:paraId="6E9E4ACD" w14:textId="7D31ACFC" w:rsidR="00CE7D54" w:rsidRDefault="00CE7D54" w:rsidP="00706D0A">
      <w:pPr>
        <w:pStyle w:val="Caption"/>
      </w:pPr>
      <w:bookmarkStart w:id="84" w:name="_Ref162511578"/>
      <w:bookmarkStart w:id="85" w:name="_Toc173428882"/>
      <w:r>
        <w:t xml:space="preserve">Table </w:t>
      </w:r>
      <w:r w:rsidR="00AE19AA">
        <w:fldChar w:fldCharType="begin"/>
      </w:r>
      <w:r w:rsidR="00AE19AA">
        <w:instrText xml:space="preserve"> STYLEREF 1 \s </w:instrText>
      </w:r>
      <w:r w:rsidR="00AE19AA">
        <w:fldChar w:fldCharType="separate"/>
      </w:r>
      <w:r w:rsidR="001377BE">
        <w:rPr>
          <w:noProof/>
        </w:rPr>
        <w:t>2</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5</w:t>
      </w:r>
      <w:r w:rsidR="00AE19AA">
        <w:rPr>
          <w:noProof/>
        </w:rPr>
        <w:fldChar w:fldCharType="end"/>
      </w:r>
      <w:bookmarkEnd w:id="84"/>
      <w:r>
        <w:t xml:space="preserve">: </w:t>
      </w:r>
      <w:r w:rsidRPr="0069281C">
        <w:t>Occupancy in residential care, by location, 2018</w:t>
      </w:r>
      <w:r w:rsidR="00ED42FD">
        <w:t>-19</w:t>
      </w:r>
      <w:r w:rsidRPr="0069281C">
        <w:t xml:space="preserve"> to 2022</w:t>
      </w:r>
      <w:r w:rsidR="00ED42FD">
        <w:t>-23</w:t>
      </w:r>
      <w:bookmarkEnd w:id="85"/>
    </w:p>
    <w:tbl>
      <w:tblPr>
        <w:tblW w:w="8931" w:type="dxa"/>
        <w:tblLayout w:type="fixed"/>
        <w:tblLook w:val="04A0" w:firstRow="1" w:lastRow="0" w:firstColumn="1" w:lastColumn="0" w:noHBand="0" w:noVBand="1"/>
      </w:tblPr>
      <w:tblGrid>
        <w:gridCol w:w="2552"/>
        <w:gridCol w:w="1275"/>
        <w:gridCol w:w="1276"/>
        <w:gridCol w:w="1276"/>
        <w:gridCol w:w="1276"/>
        <w:gridCol w:w="1276"/>
      </w:tblGrid>
      <w:tr w:rsidR="00ED42FD" w:rsidRPr="00ED42FD" w14:paraId="456532D7" w14:textId="77777777" w:rsidTr="00032827">
        <w:trPr>
          <w:trHeight w:val="310"/>
        </w:trPr>
        <w:tc>
          <w:tcPr>
            <w:tcW w:w="2552" w:type="dxa"/>
            <w:tcBorders>
              <w:top w:val="single" w:sz="4" w:space="0" w:color="1E1545"/>
              <w:left w:val="nil"/>
              <w:bottom w:val="nil"/>
              <w:right w:val="nil"/>
            </w:tcBorders>
            <w:shd w:val="clear" w:color="000000" w:fill="1E1545"/>
            <w:vAlign w:val="center"/>
            <w:hideMark/>
          </w:tcPr>
          <w:p w14:paraId="5D45857A" w14:textId="77777777" w:rsidR="00ED42FD" w:rsidRPr="00ED42FD" w:rsidRDefault="00ED42FD" w:rsidP="00ED42FD">
            <w:pPr>
              <w:spacing w:before="0" w:after="0" w:line="240" w:lineRule="auto"/>
              <w:rPr>
                <w:rFonts w:cs="Arial"/>
                <w:b/>
                <w:color w:val="FFFFFF"/>
                <w:sz w:val="21"/>
                <w:szCs w:val="21"/>
                <w:lang w:eastAsia="en-AU"/>
              </w:rPr>
            </w:pPr>
            <w:r w:rsidRPr="00ED42FD">
              <w:rPr>
                <w:rFonts w:cs="Arial"/>
                <w:b/>
                <w:color w:val="FFFFFF"/>
                <w:sz w:val="21"/>
                <w:szCs w:val="21"/>
                <w:lang w:eastAsia="en-AU"/>
              </w:rPr>
              <w:t>Provider location</w:t>
            </w:r>
          </w:p>
        </w:tc>
        <w:tc>
          <w:tcPr>
            <w:tcW w:w="1275" w:type="dxa"/>
            <w:tcBorders>
              <w:top w:val="single" w:sz="4" w:space="0" w:color="1E1545"/>
              <w:left w:val="nil"/>
              <w:bottom w:val="nil"/>
              <w:right w:val="nil"/>
            </w:tcBorders>
            <w:shd w:val="clear" w:color="000000" w:fill="1E1545"/>
            <w:vAlign w:val="center"/>
            <w:hideMark/>
          </w:tcPr>
          <w:p w14:paraId="4F1E8DAF" w14:textId="77777777" w:rsidR="00ED42FD" w:rsidRPr="00ED42FD" w:rsidRDefault="00ED42FD" w:rsidP="00ED42FD">
            <w:pPr>
              <w:spacing w:before="0" w:after="0" w:line="240" w:lineRule="auto"/>
              <w:jc w:val="center"/>
              <w:rPr>
                <w:rFonts w:cs="Arial"/>
                <w:b/>
                <w:color w:val="FFFFFF"/>
                <w:sz w:val="21"/>
                <w:szCs w:val="21"/>
                <w:lang w:eastAsia="en-AU"/>
              </w:rPr>
            </w:pPr>
            <w:r w:rsidRPr="00ED42FD">
              <w:rPr>
                <w:rFonts w:cs="Arial"/>
                <w:b/>
                <w:color w:val="FFFFFF"/>
                <w:sz w:val="21"/>
                <w:szCs w:val="21"/>
                <w:lang w:eastAsia="en-AU"/>
              </w:rPr>
              <w:t>2018-19</w:t>
            </w:r>
          </w:p>
        </w:tc>
        <w:tc>
          <w:tcPr>
            <w:tcW w:w="1276" w:type="dxa"/>
            <w:tcBorders>
              <w:top w:val="single" w:sz="4" w:space="0" w:color="1E1545"/>
              <w:left w:val="nil"/>
              <w:bottom w:val="nil"/>
              <w:right w:val="nil"/>
            </w:tcBorders>
            <w:shd w:val="clear" w:color="000000" w:fill="1E1545"/>
            <w:vAlign w:val="center"/>
            <w:hideMark/>
          </w:tcPr>
          <w:p w14:paraId="622E4FC9" w14:textId="77777777" w:rsidR="00ED42FD" w:rsidRPr="00ED42FD" w:rsidRDefault="00ED42FD" w:rsidP="00ED42FD">
            <w:pPr>
              <w:spacing w:before="0" w:after="0" w:line="240" w:lineRule="auto"/>
              <w:jc w:val="center"/>
              <w:rPr>
                <w:rFonts w:cs="Arial"/>
                <w:b/>
                <w:color w:val="FFFFFF"/>
                <w:sz w:val="21"/>
                <w:szCs w:val="21"/>
                <w:lang w:eastAsia="en-AU"/>
              </w:rPr>
            </w:pPr>
            <w:r w:rsidRPr="00ED42FD">
              <w:rPr>
                <w:rFonts w:cs="Arial"/>
                <w:b/>
                <w:color w:val="FFFFFF"/>
                <w:sz w:val="21"/>
                <w:szCs w:val="21"/>
                <w:lang w:eastAsia="en-AU"/>
              </w:rPr>
              <w:t>2019-20</w:t>
            </w:r>
          </w:p>
        </w:tc>
        <w:tc>
          <w:tcPr>
            <w:tcW w:w="1276" w:type="dxa"/>
            <w:tcBorders>
              <w:top w:val="single" w:sz="4" w:space="0" w:color="1E1545"/>
              <w:left w:val="nil"/>
              <w:bottom w:val="nil"/>
              <w:right w:val="nil"/>
            </w:tcBorders>
            <w:shd w:val="clear" w:color="000000" w:fill="1E1545"/>
            <w:vAlign w:val="center"/>
            <w:hideMark/>
          </w:tcPr>
          <w:p w14:paraId="25B7AA5D" w14:textId="77777777" w:rsidR="00ED42FD" w:rsidRPr="00ED42FD" w:rsidRDefault="00ED42FD" w:rsidP="00ED42FD">
            <w:pPr>
              <w:spacing w:before="0" w:after="0" w:line="240" w:lineRule="auto"/>
              <w:jc w:val="center"/>
              <w:rPr>
                <w:rFonts w:cs="Arial"/>
                <w:b/>
                <w:color w:val="FFFFFF"/>
                <w:sz w:val="21"/>
                <w:szCs w:val="21"/>
                <w:lang w:eastAsia="en-AU"/>
              </w:rPr>
            </w:pPr>
            <w:r w:rsidRPr="00ED42FD">
              <w:rPr>
                <w:rFonts w:cs="Arial"/>
                <w:b/>
                <w:color w:val="FFFFFF"/>
                <w:sz w:val="21"/>
                <w:szCs w:val="21"/>
                <w:lang w:eastAsia="en-AU"/>
              </w:rPr>
              <w:t>2020-21</w:t>
            </w:r>
          </w:p>
        </w:tc>
        <w:tc>
          <w:tcPr>
            <w:tcW w:w="1276" w:type="dxa"/>
            <w:tcBorders>
              <w:top w:val="single" w:sz="4" w:space="0" w:color="1E1545"/>
              <w:left w:val="nil"/>
              <w:bottom w:val="nil"/>
              <w:right w:val="nil"/>
            </w:tcBorders>
            <w:shd w:val="clear" w:color="000000" w:fill="1E1545"/>
            <w:vAlign w:val="center"/>
            <w:hideMark/>
          </w:tcPr>
          <w:p w14:paraId="120F6B2F" w14:textId="77777777" w:rsidR="00ED42FD" w:rsidRPr="00ED42FD" w:rsidRDefault="00ED42FD" w:rsidP="00ED42FD">
            <w:pPr>
              <w:spacing w:before="0" w:after="0" w:line="240" w:lineRule="auto"/>
              <w:jc w:val="center"/>
              <w:rPr>
                <w:rFonts w:cs="Arial"/>
                <w:b/>
                <w:color w:val="FFFFFF"/>
                <w:sz w:val="21"/>
                <w:szCs w:val="21"/>
                <w:lang w:eastAsia="en-AU"/>
              </w:rPr>
            </w:pPr>
            <w:r w:rsidRPr="00ED42FD">
              <w:rPr>
                <w:rFonts w:cs="Arial"/>
                <w:b/>
                <w:color w:val="FFFFFF"/>
                <w:sz w:val="21"/>
                <w:szCs w:val="21"/>
                <w:lang w:eastAsia="en-AU"/>
              </w:rPr>
              <w:t>2021-22</w:t>
            </w:r>
          </w:p>
        </w:tc>
        <w:tc>
          <w:tcPr>
            <w:tcW w:w="1276" w:type="dxa"/>
            <w:tcBorders>
              <w:top w:val="single" w:sz="4" w:space="0" w:color="1E1545"/>
              <w:left w:val="nil"/>
              <w:bottom w:val="nil"/>
              <w:right w:val="nil"/>
            </w:tcBorders>
            <w:shd w:val="clear" w:color="000000" w:fill="1E1545"/>
            <w:vAlign w:val="center"/>
            <w:hideMark/>
          </w:tcPr>
          <w:p w14:paraId="748FA2CB" w14:textId="77777777" w:rsidR="00ED42FD" w:rsidRPr="00ED42FD" w:rsidRDefault="00ED42FD" w:rsidP="00ED42FD">
            <w:pPr>
              <w:spacing w:before="0" w:after="0" w:line="240" w:lineRule="auto"/>
              <w:jc w:val="center"/>
              <w:rPr>
                <w:rFonts w:cs="Arial"/>
                <w:b/>
                <w:color w:val="FFFFFF"/>
                <w:sz w:val="21"/>
                <w:szCs w:val="21"/>
                <w:lang w:eastAsia="en-AU"/>
              </w:rPr>
            </w:pPr>
            <w:r w:rsidRPr="00ED42FD">
              <w:rPr>
                <w:rFonts w:cs="Arial"/>
                <w:b/>
                <w:color w:val="FFFFFF"/>
                <w:sz w:val="21"/>
                <w:szCs w:val="21"/>
                <w:lang w:eastAsia="en-AU"/>
              </w:rPr>
              <w:t>2022-23</w:t>
            </w:r>
          </w:p>
        </w:tc>
      </w:tr>
      <w:tr w:rsidR="00ED42FD" w:rsidRPr="00ED42FD" w14:paraId="6BBA87D1" w14:textId="77777777" w:rsidTr="00032827">
        <w:trPr>
          <w:trHeight w:val="310"/>
        </w:trPr>
        <w:tc>
          <w:tcPr>
            <w:tcW w:w="2552" w:type="dxa"/>
            <w:tcBorders>
              <w:top w:val="nil"/>
              <w:left w:val="nil"/>
              <w:bottom w:val="nil"/>
              <w:right w:val="nil"/>
            </w:tcBorders>
            <w:shd w:val="clear" w:color="000000" w:fill="FFFFFF"/>
            <w:noWrap/>
            <w:vAlign w:val="bottom"/>
            <w:hideMark/>
          </w:tcPr>
          <w:p w14:paraId="565C4DED"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Major cities</w:t>
            </w:r>
          </w:p>
        </w:tc>
        <w:tc>
          <w:tcPr>
            <w:tcW w:w="1275" w:type="dxa"/>
            <w:tcBorders>
              <w:top w:val="nil"/>
              <w:left w:val="nil"/>
              <w:bottom w:val="nil"/>
              <w:right w:val="nil"/>
            </w:tcBorders>
            <w:shd w:val="clear" w:color="000000" w:fill="FFFFFF"/>
            <w:noWrap/>
            <w:vAlign w:val="bottom"/>
            <w:hideMark/>
          </w:tcPr>
          <w:p w14:paraId="2E26658D"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88.9%</w:t>
            </w:r>
          </w:p>
        </w:tc>
        <w:tc>
          <w:tcPr>
            <w:tcW w:w="1276" w:type="dxa"/>
            <w:tcBorders>
              <w:top w:val="nil"/>
              <w:left w:val="nil"/>
              <w:bottom w:val="nil"/>
              <w:right w:val="nil"/>
            </w:tcBorders>
            <w:shd w:val="clear" w:color="000000" w:fill="FFFFFF"/>
            <w:noWrap/>
            <w:vAlign w:val="bottom"/>
            <w:hideMark/>
          </w:tcPr>
          <w:p w14:paraId="12128DA5"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88.0%</w:t>
            </w:r>
          </w:p>
        </w:tc>
        <w:tc>
          <w:tcPr>
            <w:tcW w:w="1276" w:type="dxa"/>
            <w:tcBorders>
              <w:top w:val="nil"/>
              <w:left w:val="nil"/>
              <w:bottom w:val="nil"/>
              <w:right w:val="nil"/>
            </w:tcBorders>
            <w:shd w:val="clear" w:color="000000" w:fill="FFFFFF"/>
            <w:noWrap/>
            <w:vAlign w:val="bottom"/>
            <w:hideMark/>
          </w:tcPr>
          <w:p w14:paraId="6CD0A7FD"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86.4%</w:t>
            </w:r>
          </w:p>
        </w:tc>
        <w:tc>
          <w:tcPr>
            <w:tcW w:w="1276" w:type="dxa"/>
            <w:tcBorders>
              <w:top w:val="nil"/>
              <w:left w:val="nil"/>
              <w:bottom w:val="nil"/>
              <w:right w:val="nil"/>
            </w:tcBorders>
            <w:shd w:val="clear" w:color="000000" w:fill="FFFFFF"/>
            <w:noWrap/>
            <w:vAlign w:val="bottom"/>
            <w:hideMark/>
          </w:tcPr>
          <w:p w14:paraId="1BC985D4"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85.9%</w:t>
            </w:r>
          </w:p>
        </w:tc>
        <w:tc>
          <w:tcPr>
            <w:tcW w:w="1276" w:type="dxa"/>
            <w:tcBorders>
              <w:top w:val="nil"/>
              <w:left w:val="nil"/>
              <w:bottom w:val="nil"/>
              <w:right w:val="nil"/>
            </w:tcBorders>
            <w:shd w:val="clear" w:color="000000" w:fill="FFFFFF"/>
            <w:noWrap/>
            <w:vAlign w:val="bottom"/>
            <w:hideMark/>
          </w:tcPr>
          <w:p w14:paraId="1D1FE5AB"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86.2%</w:t>
            </w:r>
          </w:p>
        </w:tc>
      </w:tr>
      <w:tr w:rsidR="00ED42FD" w:rsidRPr="00ED42FD" w14:paraId="77516AEC" w14:textId="77777777" w:rsidTr="00032827">
        <w:trPr>
          <w:trHeight w:val="310"/>
        </w:trPr>
        <w:tc>
          <w:tcPr>
            <w:tcW w:w="2552" w:type="dxa"/>
            <w:tcBorders>
              <w:top w:val="single" w:sz="4" w:space="0" w:color="auto"/>
              <w:left w:val="nil"/>
              <w:bottom w:val="single" w:sz="4" w:space="0" w:color="auto"/>
              <w:right w:val="nil"/>
            </w:tcBorders>
            <w:shd w:val="clear" w:color="000000" w:fill="FFFFFF"/>
            <w:noWrap/>
            <w:vAlign w:val="bottom"/>
            <w:hideMark/>
          </w:tcPr>
          <w:p w14:paraId="6DF94DB1"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Inner regional</w:t>
            </w:r>
          </w:p>
        </w:tc>
        <w:tc>
          <w:tcPr>
            <w:tcW w:w="1275" w:type="dxa"/>
            <w:tcBorders>
              <w:top w:val="single" w:sz="4" w:space="0" w:color="auto"/>
              <w:left w:val="nil"/>
              <w:bottom w:val="single" w:sz="4" w:space="0" w:color="auto"/>
              <w:right w:val="nil"/>
            </w:tcBorders>
            <w:shd w:val="clear" w:color="000000" w:fill="FFFFFF"/>
            <w:noWrap/>
            <w:vAlign w:val="bottom"/>
            <w:hideMark/>
          </w:tcPr>
          <w:p w14:paraId="10266761"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91.1%</w:t>
            </w:r>
          </w:p>
        </w:tc>
        <w:tc>
          <w:tcPr>
            <w:tcW w:w="1276" w:type="dxa"/>
            <w:tcBorders>
              <w:top w:val="single" w:sz="4" w:space="0" w:color="auto"/>
              <w:left w:val="nil"/>
              <w:bottom w:val="single" w:sz="4" w:space="0" w:color="auto"/>
              <w:right w:val="nil"/>
            </w:tcBorders>
            <w:shd w:val="clear" w:color="000000" w:fill="FFFFFF"/>
            <w:noWrap/>
            <w:vAlign w:val="bottom"/>
            <w:hideMark/>
          </w:tcPr>
          <w:p w14:paraId="2C58B341"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89.8%</w:t>
            </w:r>
          </w:p>
        </w:tc>
        <w:tc>
          <w:tcPr>
            <w:tcW w:w="1276" w:type="dxa"/>
            <w:tcBorders>
              <w:top w:val="single" w:sz="4" w:space="0" w:color="auto"/>
              <w:left w:val="nil"/>
              <w:bottom w:val="single" w:sz="4" w:space="0" w:color="auto"/>
              <w:right w:val="nil"/>
            </w:tcBorders>
            <w:shd w:val="clear" w:color="000000" w:fill="FFFFFF"/>
            <w:noWrap/>
            <w:vAlign w:val="bottom"/>
            <w:hideMark/>
          </w:tcPr>
          <w:p w14:paraId="61E1953C"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88.4%</w:t>
            </w:r>
          </w:p>
        </w:tc>
        <w:tc>
          <w:tcPr>
            <w:tcW w:w="1276" w:type="dxa"/>
            <w:tcBorders>
              <w:top w:val="single" w:sz="4" w:space="0" w:color="auto"/>
              <w:left w:val="nil"/>
              <w:bottom w:val="single" w:sz="4" w:space="0" w:color="auto"/>
              <w:right w:val="nil"/>
            </w:tcBorders>
            <w:shd w:val="clear" w:color="000000" w:fill="FFFFFF"/>
            <w:noWrap/>
            <w:vAlign w:val="bottom"/>
            <w:hideMark/>
          </w:tcPr>
          <w:p w14:paraId="262709B9"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87.3%</w:t>
            </w:r>
          </w:p>
        </w:tc>
        <w:tc>
          <w:tcPr>
            <w:tcW w:w="1276" w:type="dxa"/>
            <w:tcBorders>
              <w:top w:val="single" w:sz="4" w:space="0" w:color="auto"/>
              <w:left w:val="nil"/>
              <w:bottom w:val="single" w:sz="4" w:space="0" w:color="auto"/>
              <w:right w:val="nil"/>
            </w:tcBorders>
            <w:shd w:val="clear" w:color="000000" w:fill="FFFFFF"/>
            <w:noWrap/>
            <w:vAlign w:val="bottom"/>
            <w:hideMark/>
          </w:tcPr>
          <w:p w14:paraId="42ACB967"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86.0%</w:t>
            </w:r>
          </w:p>
        </w:tc>
      </w:tr>
      <w:tr w:rsidR="00ED42FD" w:rsidRPr="00ED42FD" w14:paraId="56C9A0A8" w14:textId="77777777" w:rsidTr="00032827">
        <w:trPr>
          <w:trHeight w:val="310"/>
        </w:trPr>
        <w:tc>
          <w:tcPr>
            <w:tcW w:w="2552" w:type="dxa"/>
            <w:tcBorders>
              <w:top w:val="nil"/>
              <w:left w:val="nil"/>
              <w:bottom w:val="nil"/>
              <w:right w:val="nil"/>
            </w:tcBorders>
            <w:shd w:val="clear" w:color="000000" w:fill="FFFFFF"/>
            <w:noWrap/>
            <w:vAlign w:val="bottom"/>
            <w:hideMark/>
          </w:tcPr>
          <w:p w14:paraId="097FDD05"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Outer regional</w:t>
            </w:r>
          </w:p>
        </w:tc>
        <w:tc>
          <w:tcPr>
            <w:tcW w:w="1275" w:type="dxa"/>
            <w:tcBorders>
              <w:top w:val="nil"/>
              <w:left w:val="nil"/>
              <w:bottom w:val="nil"/>
              <w:right w:val="nil"/>
            </w:tcBorders>
            <w:shd w:val="clear" w:color="000000" w:fill="FFFFFF"/>
            <w:noWrap/>
            <w:vAlign w:val="bottom"/>
            <w:hideMark/>
          </w:tcPr>
          <w:p w14:paraId="094EB0E8"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90.0%</w:t>
            </w:r>
          </w:p>
        </w:tc>
        <w:tc>
          <w:tcPr>
            <w:tcW w:w="1276" w:type="dxa"/>
            <w:tcBorders>
              <w:top w:val="nil"/>
              <w:left w:val="nil"/>
              <w:bottom w:val="nil"/>
              <w:right w:val="nil"/>
            </w:tcBorders>
            <w:shd w:val="clear" w:color="000000" w:fill="FFFFFF"/>
            <w:noWrap/>
            <w:vAlign w:val="bottom"/>
            <w:hideMark/>
          </w:tcPr>
          <w:p w14:paraId="2AE56E94"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87.2%</w:t>
            </w:r>
          </w:p>
        </w:tc>
        <w:tc>
          <w:tcPr>
            <w:tcW w:w="1276" w:type="dxa"/>
            <w:tcBorders>
              <w:top w:val="nil"/>
              <w:left w:val="nil"/>
              <w:bottom w:val="nil"/>
              <w:right w:val="nil"/>
            </w:tcBorders>
            <w:shd w:val="clear" w:color="000000" w:fill="FFFFFF"/>
            <w:noWrap/>
            <w:vAlign w:val="bottom"/>
            <w:hideMark/>
          </w:tcPr>
          <w:p w14:paraId="3ECFE361"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86.9%</w:t>
            </w:r>
          </w:p>
        </w:tc>
        <w:tc>
          <w:tcPr>
            <w:tcW w:w="1276" w:type="dxa"/>
            <w:tcBorders>
              <w:top w:val="nil"/>
              <w:left w:val="nil"/>
              <w:bottom w:val="nil"/>
              <w:right w:val="nil"/>
            </w:tcBorders>
            <w:shd w:val="clear" w:color="000000" w:fill="FFFFFF"/>
            <w:noWrap/>
            <w:vAlign w:val="bottom"/>
            <w:hideMark/>
          </w:tcPr>
          <w:p w14:paraId="4852E23F"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86.6%</w:t>
            </w:r>
          </w:p>
        </w:tc>
        <w:tc>
          <w:tcPr>
            <w:tcW w:w="1276" w:type="dxa"/>
            <w:tcBorders>
              <w:top w:val="nil"/>
              <w:left w:val="nil"/>
              <w:bottom w:val="nil"/>
              <w:right w:val="nil"/>
            </w:tcBorders>
            <w:shd w:val="clear" w:color="000000" w:fill="FFFFFF"/>
            <w:noWrap/>
            <w:vAlign w:val="bottom"/>
            <w:hideMark/>
          </w:tcPr>
          <w:p w14:paraId="2EBE54D8"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86.5%</w:t>
            </w:r>
          </w:p>
        </w:tc>
      </w:tr>
      <w:tr w:rsidR="00ED42FD" w:rsidRPr="00ED42FD" w14:paraId="3E960988" w14:textId="77777777" w:rsidTr="00032827">
        <w:trPr>
          <w:trHeight w:val="310"/>
        </w:trPr>
        <w:tc>
          <w:tcPr>
            <w:tcW w:w="2552" w:type="dxa"/>
            <w:tcBorders>
              <w:top w:val="single" w:sz="4" w:space="0" w:color="auto"/>
              <w:left w:val="nil"/>
              <w:bottom w:val="single" w:sz="4" w:space="0" w:color="auto"/>
              <w:right w:val="nil"/>
            </w:tcBorders>
            <w:shd w:val="clear" w:color="000000" w:fill="FFFFFF"/>
            <w:noWrap/>
            <w:vAlign w:val="bottom"/>
            <w:hideMark/>
          </w:tcPr>
          <w:p w14:paraId="10254418"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Remote</w:t>
            </w:r>
          </w:p>
        </w:tc>
        <w:tc>
          <w:tcPr>
            <w:tcW w:w="1275" w:type="dxa"/>
            <w:tcBorders>
              <w:top w:val="single" w:sz="4" w:space="0" w:color="auto"/>
              <w:left w:val="nil"/>
              <w:bottom w:val="single" w:sz="4" w:space="0" w:color="auto"/>
              <w:right w:val="nil"/>
            </w:tcBorders>
            <w:shd w:val="clear" w:color="000000" w:fill="FFFFFF"/>
            <w:noWrap/>
            <w:vAlign w:val="bottom"/>
            <w:hideMark/>
          </w:tcPr>
          <w:p w14:paraId="00B21840"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87.6%</w:t>
            </w:r>
          </w:p>
        </w:tc>
        <w:tc>
          <w:tcPr>
            <w:tcW w:w="1276" w:type="dxa"/>
            <w:tcBorders>
              <w:top w:val="single" w:sz="4" w:space="0" w:color="auto"/>
              <w:left w:val="nil"/>
              <w:bottom w:val="single" w:sz="4" w:space="0" w:color="auto"/>
              <w:right w:val="nil"/>
            </w:tcBorders>
            <w:shd w:val="clear" w:color="000000" w:fill="FFFFFF"/>
            <w:noWrap/>
            <w:vAlign w:val="bottom"/>
            <w:hideMark/>
          </w:tcPr>
          <w:p w14:paraId="4B590652"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84.4%</w:t>
            </w:r>
          </w:p>
        </w:tc>
        <w:tc>
          <w:tcPr>
            <w:tcW w:w="1276" w:type="dxa"/>
            <w:tcBorders>
              <w:top w:val="single" w:sz="4" w:space="0" w:color="auto"/>
              <w:left w:val="nil"/>
              <w:bottom w:val="single" w:sz="4" w:space="0" w:color="auto"/>
              <w:right w:val="nil"/>
            </w:tcBorders>
            <w:shd w:val="clear" w:color="000000" w:fill="FFFFFF"/>
            <w:noWrap/>
            <w:vAlign w:val="bottom"/>
            <w:hideMark/>
          </w:tcPr>
          <w:p w14:paraId="31546509"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83.5%</w:t>
            </w:r>
          </w:p>
        </w:tc>
        <w:tc>
          <w:tcPr>
            <w:tcW w:w="1276" w:type="dxa"/>
            <w:tcBorders>
              <w:top w:val="single" w:sz="4" w:space="0" w:color="auto"/>
              <w:left w:val="nil"/>
              <w:bottom w:val="single" w:sz="4" w:space="0" w:color="auto"/>
              <w:right w:val="nil"/>
            </w:tcBorders>
            <w:shd w:val="clear" w:color="000000" w:fill="FFFFFF"/>
            <w:noWrap/>
            <w:vAlign w:val="bottom"/>
            <w:hideMark/>
          </w:tcPr>
          <w:p w14:paraId="0DB4E922"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80.3%</w:t>
            </w:r>
          </w:p>
        </w:tc>
        <w:tc>
          <w:tcPr>
            <w:tcW w:w="1276" w:type="dxa"/>
            <w:tcBorders>
              <w:top w:val="single" w:sz="4" w:space="0" w:color="auto"/>
              <w:left w:val="nil"/>
              <w:bottom w:val="single" w:sz="4" w:space="0" w:color="auto"/>
              <w:right w:val="nil"/>
            </w:tcBorders>
            <w:shd w:val="clear" w:color="000000" w:fill="FFFFFF"/>
            <w:noWrap/>
            <w:vAlign w:val="bottom"/>
            <w:hideMark/>
          </w:tcPr>
          <w:p w14:paraId="70606F2D"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77.6%</w:t>
            </w:r>
          </w:p>
        </w:tc>
      </w:tr>
      <w:tr w:rsidR="00ED42FD" w:rsidRPr="00ED42FD" w14:paraId="479CDA5A" w14:textId="77777777" w:rsidTr="00032827">
        <w:trPr>
          <w:trHeight w:val="310"/>
        </w:trPr>
        <w:tc>
          <w:tcPr>
            <w:tcW w:w="2552" w:type="dxa"/>
            <w:tcBorders>
              <w:top w:val="nil"/>
              <w:left w:val="nil"/>
              <w:bottom w:val="nil"/>
              <w:right w:val="nil"/>
            </w:tcBorders>
            <w:shd w:val="clear" w:color="000000" w:fill="FFFFFF"/>
            <w:noWrap/>
            <w:vAlign w:val="bottom"/>
            <w:hideMark/>
          </w:tcPr>
          <w:p w14:paraId="1CF88DBC"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Very remote</w:t>
            </w:r>
          </w:p>
        </w:tc>
        <w:tc>
          <w:tcPr>
            <w:tcW w:w="1275" w:type="dxa"/>
            <w:tcBorders>
              <w:top w:val="nil"/>
              <w:left w:val="nil"/>
              <w:bottom w:val="nil"/>
              <w:right w:val="nil"/>
            </w:tcBorders>
            <w:shd w:val="clear" w:color="000000" w:fill="FFFFFF"/>
            <w:noWrap/>
            <w:vAlign w:val="bottom"/>
            <w:hideMark/>
          </w:tcPr>
          <w:p w14:paraId="06622B49"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71.9%</w:t>
            </w:r>
          </w:p>
        </w:tc>
        <w:tc>
          <w:tcPr>
            <w:tcW w:w="1276" w:type="dxa"/>
            <w:tcBorders>
              <w:top w:val="nil"/>
              <w:left w:val="nil"/>
              <w:bottom w:val="nil"/>
              <w:right w:val="nil"/>
            </w:tcBorders>
            <w:shd w:val="clear" w:color="000000" w:fill="FFFFFF"/>
            <w:noWrap/>
            <w:vAlign w:val="bottom"/>
            <w:hideMark/>
          </w:tcPr>
          <w:p w14:paraId="7F2335A8"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72.6%</w:t>
            </w:r>
          </w:p>
        </w:tc>
        <w:tc>
          <w:tcPr>
            <w:tcW w:w="1276" w:type="dxa"/>
            <w:tcBorders>
              <w:top w:val="nil"/>
              <w:left w:val="nil"/>
              <w:bottom w:val="nil"/>
              <w:right w:val="nil"/>
            </w:tcBorders>
            <w:shd w:val="clear" w:color="000000" w:fill="FFFFFF"/>
            <w:noWrap/>
            <w:vAlign w:val="bottom"/>
            <w:hideMark/>
          </w:tcPr>
          <w:p w14:paraId="04CE5955"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75.1%</w:t>
            </w:r>
          </w:p>
        </w:tc>
        <w:tc>
          <w:tcPr>
            <w:tcW w:w="1276" w:type="dxa"/>
            <w:tcBorders>
              <w:top w:val="nil"/>
              <w:left w:val="nil"/>
              <w:bottom w:val="nil"/>
              <w:right w:val="nil"/>
            </w:tcBorders>
            <w:shd w:val="clear" w:color="000000" w:fill="FFFFFF"/>
            <w:noWrap/>
            <w:vAlign w:val="bottom"/>
            <w:hideMark/>
          </w:tcPr>
          <w:p w14:paraId="7B45C98C"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77.6%</w:t>
            </w:r>
          </w:p>
        </w:tc>
        <w:tc>
          <w:tcPr>
            <w:tcW w:w="1276" w:type="dxa"/>
            <w:tcBorders>
              <w:top w:val="nil"/>
              <w:left w:val="nil"/>
              <w:bottom w:val="nil"/>
              <w:right w:val="nil"/>
            </w:tcBorders>
            <w:shd w:val="clear" w:color="000000" w:fill="FFFFFF"/>
            <w:noWrap/>
            <w:vAlign w:val="bottom"/>
            <w:hideMark/>
          </w:tcPr>
          <w:p w14:paraId="3F51FE7D"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76.8%</w:t>
            </w:r>
          </w:p>
        </w:tc>
      </w:tr>
      <w:tr w:rsidR="00ED42FD" w:rsidRPr="00ED42FD" w14:paraId="7CC08E51" w14:textId="77777777" w:rsidTr="00032827">
        <w:trPr>
          <w:trHeight w:val="310"/>
        </w:trPr>
        <w:tc>
          <w:tcPr>
            <w:tcW w:w="2552" w:type="dxa"/>
            <w:tcBorders>
              <w:top w:val="single" w:sz="4" w:space="0" w:color="auto"/>
              <w:left w:val="nil"/>
              <w:bottom w:val="single" w:sz="4" w:space="0" w:color="auto"/>
              <w:right w:val="nil"/>
            </w:tcBorders>
            <w:shd w:val="clear" w:color="000000" w:fill="FFFFFF"/>
            <w:noWrap/>
            <w:vAlign w:val="bottom"/>
            <w:hideMark/>
          </w:tcPr>
          <w:p w14:paraId="67717979" w14:textId="77777777" w:rsidR="00ED42FD" w:rsidRPr="00ED42FD" w:rsidRDefault="00ED42FD" w:rsidP="00ED42FD">
            <w:pPr>
              <w:spacing w:before="0" w:after="0" w:line="240" w:lineRule="auto"/>
              <w:rPr>
                <w:rFonts w:cs="Arial"/>
                <w:bCs w:val="0"/>
                <w:color w:val="1E1545"/>
                <w:sz w:val="21"/>
                <w:szCs w:val="21"/>
                <w:lang w:eastAsia="en-AU"/>
              </w:rPr>
            </w:pPr>
            <w:r w:rsidRPr="00ED42FD">
              <w:rPr>
                <w:rFonts w:cs="Arial"/>
                <w:bCs w:val="0"/>
                <w:color w:val="1E1545"/>
                <w:sz w:val="21"/>
                <w:szCs w:val="21"/>
                <w:lang w:eastAsia="en-AU"/>
              </w:rPr>
              <w:t>Australia</w:t>
            </w:r>
          </w:p>
        </w:tc>
        <w:tc>
          <w:tcPr>
            <w:tcW w:w="1275" w:type="dxa"/>
            <w:tcBorders>
              <w:top w:val="single" w:sz="4" w:space="0" w:color="auto"/>
              <w:left w:val="nil"/>
              <w:bottom w:val="single" w:sz="4" w:space="0" w:color="auto"/>
              <w:right w:val="nil"/>
            </w:tcBorders>
            <w:shd w:val="clear" w:color="000000" w:fill="FFFFFF"/>
            <w:noWrap/>
            <w:vAlign w:val="bottom"/>
            <w:hideMark/>
          </w:tcPr>
          <w:p w14:paraId="074DFB71"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89.4%</w:t>
            </w:r>
          </w:p>
        </w:tc>
        <w:tc>
          <w:tcPr>
            <w:tcW w:w="1276" w:type="dxa"/>
            <w:tcBorders>
              <w:top w:val="single" w:sz="4" w:space="0" w:color="auto"/>
              <w:left w:val="nil"/>
              <w:bottom w:val="single" w:sz="4" w:space="0" w:color="auto"/>
              <w:right w:val="nil"/>
            </w:tcBorders>
            <w:shd w:val="clear" w:color="000000" w:fill="FFFFFF"/>
            <w:noWrap/>
            <w:vAlign w:val="bottom"/>
            <w:hideMark/>
          </w:tcPr>
          <w:p w14:paraId="55B3C16A"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88.3%</w:t>
            </w:r>
          </w:p>
        </w:tc>
        <w:tc>
          <w:tcPr>
            <w:tcW w:w="1276" w:type="dxa"/>
            <w:tcBorders>
              <w:top w:val="single" w:sz="4" w:space="0" w:color="auto"/>
              <w:left w:val="nil"/>
              <w:bottom w:val="single" w:sz="4" w:space="0" w:color="auto"/>
              <w:right w:val="nil"/>
            </w:tcBorders>
            <w:shd w:val="clear" w:color="000000" w:fill="FFFFFF"/>
            <w:noWrap/>
            <w:vAlign w:val="bottom"/>
            <w:hideMark/>
          </w:tcPr>
          <w:p w14:paraId="6C0FF584"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86.8%</w:t>
            </w:r>
          </w:p>
        </w:tc>
        <w:tc>
          <w:tcPr>
            <w:tcW w:w="1276" w:type="dxa"/>
            <w:tcBorders>
              <w:top w:val="single" w:sz="4" w:space="0" w:color="auto"/>
              <w:left w:val="nil"/>
              <w:bottom w:val="single" w:sz="4" w:space="0" w:color="auto"/>
              <w:right w:val="nil"/>
            </w:tcBorders>
            <w:shd w:val="clear" w:color="000000" w:fill="FFFFFF"/>
            <w:noWrap/>
            <w:vAlign w:val="bottom"/>
            <w:hideMark/>
          </w:tcPr>
          <w:p w14:paraId="3B4ACC61"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86.2%</w:t>
            </w:r>
          </w:p>
        </w:tc>
        <w:tc>
          <w:tcPr>
            <w:tcW w:w="1276" w:type="dxa"/>
            <w:tcBorders>
              <w:top w:val="single" w:sz="4" w:space="0" w:color="auto"/>
              <w:left w:val="nil"/>
              <w:bottom w:val="single" w:sz="4" w:space="0" w:color="auto"/>
              <w:right w:val="nil"/>
            </w:tcBorders>
            <w:shd w:val="clear" w:color="000000" w:fill="FFFFFF"/>
            <w:noWrap/>
            <w:vAlign w:val="bottom"/>
            <w:hideMark/>
          </w:tcPr>
          <w:p w14:paraId="3F8F6FCB" w14:textId="77777777" w:rsidR="00ED42FD" w:rsidRPr="00ED42FD" w:rsidRDefault="00ED42FD" w:rsidP="00ED42FD">
            <w:pPr>
              <w:spacing w:before="0" w:after="0" w:line="240" w:lineRule="auto"/>
              <w:jc w:val="right"/>
              <w:rPr>
                <w:rFonts w:cs="Arial"/>
                <w:bCs w:val="0"/>
                <w:color w:val="1E1545"/>
                <w:sz w:val="21"/>
                <w:szCs w:val="21"/>
                <w:lang w:eastAsia="en-AU"/>
              </w:rPr>
            </w:pPr>
            <w:r w:rsidRPr="00ED42FD">
              <w:rPr>
                <w:rFonts w:cs="Arial"/>
                <w:bCs w:val="0"/>
                <w:color w:val="1E1545"/>
                <w:sz w:val="21"/>
                <w:szCs w:val="21"/>
                <w:lang w:eastAsia="en-AU"/>
              </w:rPr>
              <w:t>86.1%</w:t>
            </w:r>
          </w:p>
        </w:tc>
      </w:tr>
    </w:tbl>
    <w:p w14:paraId="64B2CBA0" w14:textId="77777777" w:rsidR="00CE7D54" w:rsidRDefault="00CE7D54" w:rsidP="00706D0A">
      <w:pPr>
        <w:pStyle w:val="Caption"/>
      </w:pPr>
    </w:p>
    <w:p w14:paraId="20DD98E2" w14:textId="77777777" w:rsidR="00B92B4E" w:rsidRDefault="00B92B4E" w:rsidP="00706D0A">
      <w:pPr>
        <w:sectPr w:rsidR="00B92B4E" w:rsidSect="006B7D78">
          <w:headerReference w:type="even" r:id="rId60"/>
          <w:headerReference w:type="default" r:id="rId61"/>
          <w:footerReference w:type="even" r:id="rId62"/>
          <w:footerReference w:type="default" r:id="rId63"/>
          <w:headerReference w:type="first" r:id="rId64"/>
          <w:type w:val="continuous"/>
          <w:pgSz w:w="11906" w:h="16838"/>
          <w:pgMar w:top="1701" w:right="1418" w:bottom="1418" w:left="1418" w:header="709" w:footer="709" w:gutter="0"/>
          <w:cols w:space="708"/>
          <w:docGrid w:linePitch="360"/>
        </w:sectPr>
      </w:pPr>
    </w:p>
    <w:p w14:paraId="316EB85C" w14:textId="56A4067B" w:rsidR="00DF68B4" w:rsidRDefault="0001756E" w:rsidP="00706D0A">
      <w:pPr>
        <w:rPr>
          <w:b/>
        </w:rPr>
      </w:pPr>
      <w:r>
        <w:rPr>
          <w:noProof/>
        </w:rPr>
        <w:drawing>
          <wp:anchor distT="0" distB="0" distL="114300" distR="114300" simplePos="0" relativeHeight="251658247" behindDoc="0" locked="0" layoutInCell="1" allowOverlap="1" wp14:anchorId="6D997E8A" wp14:editId="6CAECAAD">
            <wp:simplePos x="0" y="0"/>
            <wp:positionH relativeFrom="column">
              <wp:posOffset>-887730</wp:posOffset>
            </wp:positionH>
            <wp:positionV relativeFrom="page">
              <wp:posOffset>-6350</wp:posOffset>
            </wp:positionV>
            <wp:extent cx="7547610" cy="9836150"/>
            <wp:effectExtent l="0" t="0" r="0" b="0"/>
            <wp:wrapTopAndBottom/>
            <wp:docPr id="1322519797" name="Picture 1322519797" descr="The infographic at the beginning of Chapter 3 titled residential care: financial performance, shows a summary of the financial performance in residential care for 2022-23. Australian Government funding was $16.05 billion, a 7.26% increase on 2021-22. The average EBITDA was $2,764 per resident per year, an increase of $2,810 on 2021-22. The net profit before tax result per resident per day was negative $25.31. There were 43% profitable providers, an increase of 12 percentage points on 2021-22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97" name="Picture 1322519797" descr="The infographic at the beginning of Chapter 3 titled residential care: financial performance, shows a summary of the financial performance in residential care for 2022-23. Australian Government funding was $16.05 billion, a 7.26% increase on 2021-22. The average EBITDA was $2,764 per resident per year, an increase of $2,810 on 2021-22. The net profit before tax result per resident per day was negative $25.31. There were 43% profitable providers, an increase of 12 percentage points on 2021-22 result."/>
                    <pic:cNvPicPr/>
                  </pic:nvPicPr>
                  <pic:blipFill rotWithShape="1">
                    <a:blip r:embed="rId65" cstate="print">
                      <a:extLst>
                        <a:ext uri="{28A0092B-C50C-407E-A947-70E740481C1C}">
                          <a14:useLocalDpi xmlns:a14="http://schemas.microsoft.com/office/drawing/2010/main" val="0"/>
                        </a:ext>
                      </a:extLst>
                    </a:blip>
                    <a:srcRect b="7865"/>
                    <a:stretch/>
                  </pic:blipFill>
                  <pic:spPr bwMode="auto">
                    <a:xfrm>
                      <a:off x="0" y="0"/>
                      <a:ext cx="7547610" cy="9836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68B4">
        <w:br w:type="page"/>
      </w:r>
    </w:p>
    <w:p w14:paraId="49F0E35D" w14:textId="77777777" w:rsidR="003B31C8" w:rsidRDefault="00CC729E" w:rsidP="003B31C8">
      <w:pPr>
        <w:pStyle w:val="Heading1"/>
      </w:pPr>
      <w:bookmarkStart w:id="86" w:name="_Toc173428603"/>
      <w:r>
        <w:t xml:space="preserve">Residential </w:t>
      </w:r>
      <w:r w:rsidR="00AA171D">
        <w:t xml:space="preserve">care: financial </w:t>
      </w:r>
      <w:r w:rsidR="00643558">
        <w:t>performance</w:t>
      </w:r>
      <w:bookmarkEnd w:id="86"/>
    </w:p>
    <w:p w14:paraId="76D1CC8F" w14:textId="77777777" w:rsidR="00176619" w:rsidRDefault="00FD436D" w:rsidP="00FD436D">
      <w:pPr>
        <w:pStyle w:val="Heading2"/>
      </w:pPr>
      <w:bookmarkStart w:id="87" w:name="_Toc173428604"/>
      <w:r>
        <w:t>Operational funding</w:t>
      </w:r>
      <w:bookmarkEnd w:id="87"/>
    </w:p>
    <w:p w14:paraId="601594A3" w14:textId="77777777" w:rsidR="00175A2D" w:rsidRPr="009E3397" w:rsidRDefault="00175A2D" w:rsidP="00175A2D">
      <w:r w:rsidRPr="009E3397">
        <w:t>Operational funding supports day-to-day services such</w:t>
      </w:r>
      <w:r w:rsidRPr="009E3397">
        <w:rPr>
          <w:spacing w:val="-8"/>
        </w:rPr>
        <w:t xml:space="preserve"> </w:t>
      </w:r>
      <w:r w:rsidRPr="009E3397">
        <w:t>as</w:t>
      </w:r>
      <w:r w:rsidRPr="009E3397">
        <w:rPr>
          <w:spacing w:val="-8"/>
        </w:rPr>
        <w:t xml:space="preserve"> </w:t>
      </w:r>
      <w:r w:rsidRPr="009E3397">
        <w:t>nursing</w:t>
      </w:r>
      <w:r w:rsidRPr="009E3397">
        <w:rPr>
          <w:spacing w:val="-8"/>
        </w:rPr>
        <w:t xml:space="preserve"> </w:t>
      </w:r>
      <w:r w:rsidRPr="009E3397">
        <w:t>and</w:t>
      </w:r>
      <w:r w:rsidRPr="009E3397">
        <w:rPr>
          <w:spacing w:val="-8"/>
        </w:rPr>
        <w:t xml:space="preserve"> </w:t>
      </w:r>
      <w:r w:rsidRPr="009E3397">
        <w:t>personal</w:t>
      </w:r>
      <w:r w:rsidRPr="009E3397">
        <w:rPr>
          <w:spacing w:val="-8"/>
        </w:rPr>
        <w:t xml:space="preserve"> </w:t>
      </w:r>
      <w:r w:rsidRPr="009E3397">
        <w:t>care,</w:t>
      </w:r>
      <w:r w:rsidRPr="009E3397">
        <w:rPr>
          <w:spacing w:val="-8"/>
        </w:rPr>
        <w:t xml:space="preserve"> </w:t>
      </w:r>
      <w:r w:rsidRPr="009E3397">
        <w:t>living</w:t>
      </w:r>
      <w:r w:rsidRPr="009E3397">
        <w:rPr>
          <w:spacing w:val="-8"/>
        </w:rPr>
        <w:t xml:space="preserve"> </w:t>
      </w:r>
      <w:r w:rsidRPr="009E3397">
        <w:t>expenses</w:t>
      </w:r>
      <w:r w:rsidRPr="009E3397">
        <w:rPr>
          <w:spacing w:val="-8"/>
        </w:rPr>
        <w:t xml:space="preserve"> </w:t>
      </w:r>
      <w:r w:rsidRPr="009E3397">
        <w:t>and accommodation expenses.</w:t>
      </w:r>
    </w:p>
    <w:p w14:paraId="36F4170B" w14:textId="707925AE" w:rsidR="00175A2D" w:rsidRPr="009E3397" w:rsidRDefault="00175A2D" w:rsidP="00175A2D">
      <w:r w:rsidRPr="009E3397">
        <w:t xml:space="preserve">A combination of Australian Government </w:t>
      </w:r>
      <w:r w:rsidR="001A1E9C">
        <w:t xml:space="preserve">funding </w:t>
      </w:r>
      <w:r w:rsidRPr="009E3397">
        <w:t>and resident</w:t>
      </w:r>
      <w:r w:rsidRPr="009E3397">
        <w:rPr>
          <w:spacing w:val="-11"/>
        </w:rPr>
        <w:t xml:space="preserve"> </w:t>
      </w:r>
      <w:r w:rsidRPr="009E3397">
        <w:t>contributions</w:t>
      </w:r>
      <w:r w:rsidRPr="009E3397">
        <w:rPr>
          <w:spacing w:val="-11"/>
        </w:rPr>
        <w:t xml:space="preserve"> </w:t>
      </w:r>
      <w:r w:rsidRPr="009E3397">
        <w:t>provide</w:t>
      </w:r>
      <w:r w:rsidRPr="009E3397">
        <w:rPr>
          <w:spacing w:val="-11"/>
        </w:rPr>
        <w:t xml:space="preserve"> </w:t>
      </w:r>
      <w:r w:rsidRPr="009E3397">
        <w:t>the</w:t>
      </w:r>
      <w:r w:rsidRPr="009E3397">
        <w:rPr>
          <w:spacing w:val="-11"/>
        </w:rPr>
        <w:t xml:space="preserve"> </w:t>
      </w:r>
      <w:r w:rsidRPr="009E3397">
        <w:t>operational</w:t>
      </w:r>
      <w:r w:rsidRPr="009E3397">
        <w:rPr>
          <w:spacing w:val="-11"/>
        </w:rPr>
        <w:t xml:space="preserve"> </w:t>
      </w:r>
      <w:r w:rsidRPr="009E3397">
        <w:t>funding for residential care</w:t>
      </w:r>
      <w:r w:rsidR="0013176B">
        <w:t>,</w:t>
      </w:r>
      <w:r w:rsidR="00AB4CC6">
        <w:t xml:space="preserve"> as shown in Figure 3.1</w:t>
      </w:r>
      <w:r w:rsidRPr="009E3397">
        <w:t>.</w:t>
      </w:r>
    </w:p>
    <w:p w14:paraId="190EBF60" w14:textId="7326A247" w:rsidR="00175A2D" w:rsidRPr="000014ED" w:rsidRDefault="00175A2D" w:rsidP="00175A2D">
      <w:r w:rsidRPr="000014ED">
        <w:t xml:space="preserve">The Australian Government determines its contributions on behalf of permanent residents in residential care </w:t>
      </w:r>
      <w:r w:rsidR="00DB4FFD">
        <w:t>through</w:t>
      </w:r>
      <w:r w:rsidRPr="000014ED">
        <w:t xml:space="preserve">: </w:t>
      </w:r>
    </w:p>
    <w:p w14:paraId="65D08350" w14:textId="1A828FA8" w:rsidR="00175A2D" w:rsidRPr="000014ED" w:rsidRDefault="0064456A" w:rsidP="00175A2D">
      <w:pPr>
        <w:pStyle w:val="ListBullet"/>
      </w:pPr>
      <w:r>
        <w:t>t</w:t>
      </w:r>
      <w:r w:rsidR="00B3123E" w:rsidRPr="00B3123E">
        <w:t>he Aged Care Funding Instrument (ACFI)</w:t>
      </w:r>
      <w:r w:rsidR="002E5548">
        <w:t>,</w:t>
      </w:r>
      <w:r w:rsidR="00B3123E">
        <w:t xml:space="preserve"> </w:t>
      </w:r>
      <w:r w:rsidR="00175A2D" w:rsidRPr="000014ED">
        <w:t>a basic care subsidy for personal and nursing care</w:t>
      </w:r>
      <w:r w:rsidR="004E0411" w:rsidRPr="000014ED">
        <w:t xml:space="preserve"> </w:t>
      </w:r>
      <w:r w:rsidR="00D97BCB">
        <w:t xml:space="preserve">paid </w:t>
      </w:r>
      <w:r w:rsidR="004E0411" w:rsidRPr="000014ED">
        <w:t>from 1 July 2022 to 30 September 2022</w:t>
      </w:r>
      <w:r w:rsidR="00C105B4">
        <w:t>,</w:t>
      </w:r>
      <w:r w:rsidR="00FE2995" w:rsidDel="00FE2995">
        <w:t xml:space="preserve"> </w:t>
      </w:r>
    </w:p>
    <w:p w14:paraId="66BBA1C2" w14:textId="4345FB85" w:rsidR="00DB4FFD" w:rsidRDefault="007A3895" w:rsidP="00DB4FFD">
      <w:pPr>
        <w:pStyle w:val="ListBullet"/>
      </w:pPr>
      <w:r>
        <w:t>Australian National Aged Care Classification (</w:t>
      </w:r>
      <w:r w:rsidR="00DB4FFD">
        <w:t>AN-ACC</w:t>
      </w:r>
      <w:r>
        <w:t>)</w:t>
      </w:r>
      <w:r w:rsidR="00DB4FFD">
        <w:t xml:space="preserve"> funding</w:t>
      </w:r>
      <w:r w:rsidR="00420D3F">
        <w:t xml:space="preserve"> from </w:t>
      </w:r>
      <w:r w:rsidR="0043134A">
        <w:br/>
      </w:r>
      <w:r w:rsidR="00420D3F">
        <w:t>1 October 2022</w:t>
      </w:r>
      <w:r w:rsidR="00DB4FFD">
        <w:t xml:space="preserve">, </w:t>
      </w:r>
      <w:r w:rsidR="0043134A">
        <w:t xml:space="preserve">calculated </w:t>
      </w:r>
      <w:r w:rsidR="00DB4FFD">
        <w:t>through 3 components:</w:t>
      </w:r>
    </w:p>
    <w:p w14:paraId="01815D5E" w14:textId="73AE2C88" w:rsidR="00DB4FFD" w:rsidRDefault="00DB4FFD" w:rsidP="00CD1E1B">
      <w:pPr>
        <w:pStyle w:val="ListBullet"/>
        <w:numPr>
          <w:ilvl w:val="1"/>
          <w:numId w:val="20"/>
        </w:numPr>
      </w:pPr>
      <w:r>
        <w:t xml:space="preserve">Base Care Tariff </w:t>
      </w:r>
      <w:r w:rsidR="00222671">
        <w:t xml:space="preserve">(BCT) </w:t>
      </w:r>
      <w:r>
        <w:t>subsidy – fixed funding for services based on location and specialisations for homelessness or remote Aboriginal and Torres Strait Islander persons</w:t>
      </w:r>
    </w:p>
    <w:p w14:paraId="5AE7843D" w14:textId="77777777" w:rsidR="00DB4FFD" w:rsidRDefault="00DB4FFD" w:rsidP="00CD1E1B">
      <w:pPr>
        <w:pStyle w:val="ListBullet"/>
        <w:numPr>
          <w:ilvl w:val="1"/>
          <w:numId w:val="20"/>
        </w:numPr>
      </w:pPr>
      <w:r>
        <w:t>AN-ACC classification subsidy – variable funding based on the individual care needs of residents</w:t>
      </w:r>
    </w:p>
    <w:p w14:paraId="24AEA7BD" w14:textId="1DCDE8B7" w:rsidR="009C38FD" w:rsidRPr="000014ED" w:rsidRDefault="00DB4FFD" w:rsidP="00CD1E1B">
      <w:pPr>
        <w:pStyle w:val="ListBullet"/>
        <w:numPr>
          <w:ilvl w:val="1"/>
          <w:numId w:val="20"/>
        </w:numPr>
      </w:pPr>
      <w:r>
        <w:t>initial entry adjustment payment for transitioning a new permanent resident into a service</w:t>
      </w:r>
      <w:r w:rsidR="00C105B4">
        <w:t>,</w:t>
      </w:r>
    </w:p>
    <w:p w14:paraId="0B4A922C" w14:textId="77777777" w:rsidR="00175A2D" w:rsidRPr="00741653" w:rsidRDefault="00175A2D" w:rsidP="00BF6BE5">
      <w:pPr>
        <w:pStyle w:val="ListBullet"/>
      </w:pPr>
      <w:r w:rsidRPr="000014ED">
        <w:t xml:space="preserve">the rates of supplements paid to support aspects of residential care that have </w:t>
      </w:r>
      <w:r w:rsidRPr="00741653">
        <w:t xml:space="preserve">higher delivery costs and </w:t>
      </w:r>
    </w:p>
    <w:p w14:paraId="46D649FF" w14:textId="391A415A" w:rsidR="00175A2D" w:rsidRPr="00741653" w:rsidRDefault="00175A2D" w:rsidP="00BF6BE5">
      <w:pPr>
        <w:pStyle w:val="ListBullet"/>
      </w:pPr>
      <w:r w:rsidRPr="00741653">
        <w:t>the maximum rate of accommodation supplement.</w:t>
      </w:r>
    </w:p>
    <w:p w14:paraId="0B4FBE42" w14:textId="716BA700" w:rsidR="00653545" w:rsidRPr="00741653" w:rsidRDefault="00653545" w:rsidP="00653545">
      <w:pPr>
        <w:shd w:val="clear" w:color="auto" w:fill="FFFFFF"/>
        <w:spacing w:before="100" w:beforeAutospacing="1" w:after="100" w:afterAutospacing="1" w:line="240" w:lineRule="auto"/>
      </w:pPr>
      <w:r w:rsidRPr="00741653">
        <w:t xml:space="preserve">Residential aged care subsidies for respite care are payable for each day a respite resident was in care. </w:t>
      </w:r>
      <w:r w:rsidR="00B428AD">
        <w:t>Since 1 October 2022</w:t>
      </w:r>
      <w:r w:rsidR="004F2C46">
        <w:t xml:space="preserve"> when AN-ACC was introduced</w:t>
      </w:r>
      <w:r w:rsidR="00B428AD">
        <w:t xml:space="preserve">, </w:t>
      </w:r>
      <w:r w:rsidR="00CC51A4">
        <w:t xml:space="preserve">the </w:t>
      </w:r>
      <w:r w:rsidR="00B428AD">
        <w:t>r</w:t>
      </w:r>
      <w:r w:rsidRPr="00741653">
        <w:t>espite subsidies</w:t>
      </w:r>
      <w:r w:rsidR="00F64EB3">
        <w:t xml:space="preserve"> and supplements</w:t>
      </w:r>
      <w:r w:rsidRPr="00741653">
        <w:t xml:space="preserve"> consist of </w:t>
      </w:r>
      <w:r w:rsidR="00F64EB3">
        <w:t>3</w:t>
      </w:r>
      <w:r w:rsidRPr="00741653">
        <w:t xml:space="preserve"> components:</w:t>
      </w:r>
    </w:p>
    <w:p w14:paraId="0D42AE64" w14:textId="68062411" w:rsidR="00653545" w:rsidRPr="00741653" w:rsidRDefault="00653545" w:rsidP="00741653">
      <w:pPr>
        <w:pStyle w:val="ListBullet"/>
      </w:pPr>
      <w:r w:rsidRPr="00741653">
        <w:t>fixed funding or BCT to reflect the characteristics of the service, identical to BCT funding for permanent residents</w:t>
      </w:r>
    </w:p>
    <w:p w14:paraId="5228DF96" w14:textId="69A712BF" w:rsidR="00653545" w:rsidRDefault="00653545" w:rsidP="00741653">
      <w:pPr>
        <w:pStyle w:val="ListBullet"/>
      </w:pPr>
      <w:r w:rsidRPr="00741653">
        <w:t>variable funding based on the resident’s respite class</w:t>
      </w:r>
      <w:r w:rsidR="00F64EB3">
        <w:t>,</w:t>
      </w:r>
      <w:r w:rsidR="006A66DD">
        <w:t xml:space="preserve"> and</w:t>
      </w:r>
    </w:p>
    <w:p w14:paraId="413B414E" w14:textId="0C0494A6" w:rsidR="00F64EB3" w:rsidRPr="00741653" w:rsidRDefault="00CF6E00" w:rsidP="00741653">
      <w:pPr>
        <w:pStyle w:val="ListBullet"/>
      </w:pPr>
      <w:r>
        <w:t>a respite supplement equivalent to</w:t>
      </w:r>
      <w:r w:rsidR="004A61A7">
        <w:t xml:space="preserve"> the </w:t>
      </w:r>
      <w:r w:rsidR="006A66DD">
        <w:t xml:space="preserve">maximum </w:t>
      </w:r>
      <w:r w:rsidR="004A61A7">
        <w:t>accommodation supplement</w:t>
      </w:r>
      <w:r w:rsidR="006A66DD">
        <w:t xml:space="preserve"> for permanent residents.</w:t>
      </w:r>
    </w:p>
    <w:p w14:paraId="49E1B36B" w14:textId="77777777" w:rsidR="006F4F12" w:rsidRDefault="006F4F12" w:rsidP="006F4F12">
      <w:pPr>
        <w:pStyle w:val="ListBullet"/>
      </w:pPr>
      <w:bookmarkStart w:id="88" w:name="_Ref162511625"/>
      <w:bookmarkStart w:id="89" w:name="_Toc173428961"/>
      <w:r>
        <w:br w:type="page"/>
      </w:r>
    </w:p>
    <w:p w14:paraId="735521E6" w14:textId="4E74E033" w:rsidR="00176619" w:rsidRDefault="00176619" w:rsidP="00706D0A">
      <w:pPr>
        <w:pStyle w:val="Caption"/>
      </w:pPr>
      <w:r>
        <w:t xml:space="preserve">Figure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C23961">
        <w:t>.</w:t>
      </w:r>
      <w:r w:rsidR="00AE19AA">
        <w:fldChar w:fldCharType="begin"/>
      </w:r>
      <w:r w:rsidR="00AE19AA">
        <w:instrText xml:space="preserve"> SEQ Figure \* ARABIC \s 1 </w:instrText>
      </w:r>
      <w:r w:rsidR="00AE19AA">
        <w:fldChar w:fldCharType="separate"/>
      </w:r>
      <w:r w:rsidR="001377BE">
        <w:rPr>
          <w:noProof/>
        </w:rPr>
        <w:t>1</w:t>
      </w:r>
      <w:r w:rsidR="00AE19AA">
        <w:rPr>
          <w:noProof/>
        </w:rPr>
        <w:fldChar w:fldCharType="end"/>
      </w:r>
      <w:bookmarkEnd w:id="88"/>
      <w:r>
        <w:t xml:space="preserve">: </w:t>
      </w:r>
      <w:r w:rsidR="00F3277D">
        <w:t>Operational</w:t>
      </w:r>
      <w:r w:rsidR="00944265">
        <w:t xml:space="preserve"> funding types for r</w:t>
      </w:r>
      <w:r>
        <w:t>esidential care services</w:t>
      </w:r>
      <w:bookmarkEnd w:id="89"/>
    </w:p>
    <w:p w14:paraId="3DE94BDB" w14:textId="14032E13" w:rsidR="00BE69E1" w:rsidRDefault="00BE69E1" w:rsidP="00706D0A">
      <w:r>
        <w:rPr>
          <w:noProof/>
        </w:rPr>
        <w:drawing>
          <wp:inline distT="0" distB="0" distL="0" distR="0" wp14:anchorId="7180DD81" wp14:editId="77B26840">
            <wp:extent cx="5738400" cy="2906111"/>
            <wp:effectExtent l="0" t="0" r="0" b="8890"/>
            <wp:docPr id="1465481043" name="Picture 1465481043" descr="Figure 3.1 is titled Operational funding types for residential care services. The figure shows the different funding types from the Australian Government and residents contributions for operational funding. The Australian Government funding has four different streams including care, accommodation, hotel and other. Residents contributions consist of extra and additional fees, means tested care fees, accommodation payment/contributions by non or partially supported reside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3" name="Picture 1465481043" descr="Figure 3.1 is titled Operational funding types for residential care services. The figure shows the different funding types from the Australian Government and residents contributions for operational funding. The Australian Government funding has four different streams including care, accommodation, hotel and other. Residents contributions consist of extra and additional fees, means tested care fees, accommodation payment/contributions by non or partially supported residents. &#10;"/>
                    <pic:cNvPicPr/>
                  </pic:nvPicPr>
                  <pic:blipFill rotWithShape="1">
                    <a:blip r:embed="rId66" cstate="print">
                      <a:extLst>
                        <a:ext uri="{28A0092B-C50C-407E-A947-70E740481C1C}">
                          <a14:useLocalDpi xmlns:a14="http://schemas.microsoft.com/office/drawing/2010/main" val="0"/>
                        </a:ext>
                      </a:extLst>
                    </a:blip>
                    <a:srcRect l="10887" t="35484" r="10479" b="36362"/>
                    <a:stretch/>
                  </pic:blipFill>
                  <pic:spPr bwMode="auto">
                    <a:xfrm>
                      <a:off x="0" y="0"/>
                      <a:ext cx="5772272" cy="2923265"/>
                    </a:xfrm>
                    <a:prstGeom prst="rect">
                      <a:avLst/>
                    </a:prstGeom>
                    <a:ln>
                      <a:noFill/>
                    </a:ln>
                    <a:extLst>
                      <a:ext uri="{53640926-AAD7-44D8-BBD7-CCE9431645EC}">
                        <a14:shadowObscured xmlns:a14="http://schemas.microsoft.com/office/drawing/2010/main"/>
                      </a:ext>
                    </a:extLst>
                  </pic:spPr>
                </pic:pic>
              </a:graphicData>
            </a:graphic>
          </wp:inline>
        </w:drawing>
      </w:r>
    </w:p>
    <w:p w14:paraId="0574936A" w14:textId="77777777" w:rsidR="006F4F12" w:rsidRDefault="006F4F12" w:rsidP="006F4F12">
      <w:pPr>
        <w:spacing w:before="0" w:after="0" w:line="240" w:lineRule="auto"/>
      </w:pPr>
      <w:r>
        <w:br w:type="page"/>
      </w:r>
    </w:p>
    <w:p w14:paraId="37C4589F" w14:textId="35B75AFF" w:rsidR="0026044F" w:rsidRDefault="0026044F" w:rsidP="0026044F">
      <w:r>
        <w:fldChar w:fldCharType="begin"/>
      </w:r>
      <w:r>
        <w:instrText xml:space="preserve"> REF _Ref163467292 \h </w:instrText>
      </w:r>
      <w:r>
        <w:fldChar w:fldCharType="separate"/>
      </w:r>
      <w:r w:rsidR="001377BE">
        <w:t xml:space="preserve">Chart </w:t>
      </w:r>
      <w:r w:rsidR="001377BE">
        <w:rPr>
          <w:noProof/>
        </w:rPr>
        <w:t>3</w:t>
      </w:r>
      <w:r w:rsidR="001377BE">
        <w:t>.</w:t>
      </w:r>
      <w:r w:rsidR="001377BE">
        <w:rPr>
          <w:noProof/>
        </w:rPr>
        <w:t>1</w:t>
      </w:r>
      <w:r>
        <w:fldChar w:fldCharType="end"/>
      </w:r>
      <w:r>
        <w:t xml:space="preserve"> </w:t>
      </w:r>
      <w:r w:rsidRPr="00092287">
        <w:t>shows the proportion of revenue that residential care</w:t>
      </w:r>
      <w:r w:rsidRPr="003C3425">
        <w:t xml:space="preserve"> providers received from the Australian Government in 2022</w:t>
      </w:r>
      <w:r>
        <w:t>-23</w:t>
      </w:r>
      <w:r w:rsidRPr="003C3425">
        <w:t>. Basic care subsidies</w:t>
      </w:r>
      <w:r w:rsidR="00721421">
        <w:t>, which includes ACFI and AN-ACC funding</w:t>
      </w:r>
      <w:r w:rsidR="00441C25">
        <w:t>,</w:t>
      </w:r>
      <w:r w:rsidRPr="003C3425">
        <w:t xml:space="preserve"> comprised by far the greatest share at </w:t>
      </w:r>
      <w:r w:rsidR="00D06B01">
        <w:t>82.7%</w:t>
      </w:r>
      <w:r w:rsidR="00114B93">
        <w:t xml:space="preserve">, an increase of </w:t>
      </w:r>
      <w:r w:rsidR="00DB2A5B">
        <w:t>3.3 percentage points</w:t>
      </w:r>
      <w:r w:rsidR="00984474">
        <w:t xml:space="preserve"> on the prior year.</w:t>
      </w:r>
      <w:r w:rsidR="00705836">
        <w:t xml:space="preserve"> </w:t>
      </w:r>
    </w:p>
    <w:p w14:paraId="6351B6D6" w14:textId="6C640FAD" w:rsidR="00A67ED5" w:rsidRDefault="00705836" w:rsidP="00706D0A">
      <w:pPr>
        <w:pStyle w:val="Caption"/>
        <w:rPr>
          <w:b w:val="0"/>
          <w:bCs/>
        </w:rPr>
      </w:pPr>
      <w:r w:rsidRPr="005D6C76">
        <w:rPr>
          <w:b w:val="0"/>
          <w:bCs/>
        </w:rPr>
        <w:t xml:space="preserve">The proportion </w:t>
      </w:r>
      <w:r w:rsidR="001B21E5">
        <w:rPr>
          <w:b w:val="0"/>
          <w:bCs/>
        </w:rPr>
        <w:t xml:space="preserve">of </w:t>
      </w:r>
      <w:r w:rsidRPr="005D6C76">
        <w:rPr>
          <w:b w:val="0"/>
          <w:bCs/>
        </w:rPr>
        <w:t>revenue provided by the Australian Government for residential aged care</w:t>
      </w:r>
      <w:r w:rsidR="009C6F51">
        <w:rPr>
          <w:b w:val="0"/>
          <w:bCs/>
        </w:rPr>
        <w:t xml:space="preserve"> represented </w:t>
      </w:r>
      <w:r w:rsidR="001B21E5">
        <w:rPr>
          <w:b w:val="0"/>
          <w:bCs/>
        </w:rPr>
        <w:t>66</w:t>
      </w:r>
      <w:r w:rsidR="005E4A2B">
        <w:rPr>
          <w:b w:val="0"/>
          <w:bCs/>
        </w:rPr>
        <w:t>.2</w:t>
      </w:r>
      <w:r w:rsidR="001B21E5">
        <w:rPr>
          <w:b w:val="0"/>
          <w:bCs/>
        </w:rPr>
        <w:t>% of total revenue reported by residential aged care providers in 2022-23.</w:t>
      </w:r>
    </w:p>
    <w:p w14:paraId="07747219" w14:textId="4D10E48B" w:rsidR="00EF51E7" w:rsidRPr="00EF51E7" w:rsidRDefault="00EF51E7" w:rsidP="00EF51E7">
      <w:r w:rsidRPr="00886162">
        <w:t xml:space="preserve">Revenue from the Australian Government represents 72.3% of total provider revenue when ‘other revenue’ is excluded and only income from residents and </w:t>
      </w:r>
      <w:r>
        <w:t>the G</w:t>
      </w:r>
      <w:r w:rsidRPr="00886162">
        <w:t>overnment is considered. Other revenue makes up 8.5% of total provider revenue and includes financing income, imputed interest on RADs, and asset revaluation.</w:t>
      </w:r>
    </w:p>
    <w:p w14:paraId="257D6A28" w14:textId="1A4A6DA4" w:rsidR="00176619" w:rsidRDefault="00212F47" w:rsidP="00706D0A">
      <w:pPr>
        <w:pStyle w:val="Caption"/>
      </w:pPr>
      <w:bookmarkStart w:id="90" w:name="_Ref163467292"/>
      <w:bookmarkStart w:id="91" w:name="_Toc173428918"/>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90"/>
      <w:r>
        <w:t xml:space="preserve">: </w:t>
      </w:r>
      <w:r w:rsidRPr="00BA5A08">
        <w:t>Proportions of provider revenue from the Australian Government, 202</w:t>
      </w:r>
      <w:r w:rsidR="00C83ED0">
        <w:t>2-23</w:t>
      </w:r>
      <w:r w:rsidRPr="00BA5A08">
        <w:t xml:space="preserve"> ($m)</w:t>
      </w:r>
      <w:bookmarkEnd w:id="91"/>
    </w:p>
    <w:p w14:paraId="187A5596" w14:textId="5466ED56" w:rsidR="000E5135" w:rsidRPr="000E5135" w:rsidRDefault="00C31B4E" w:rsidP="000E5135">
      <w:r>
        <w:rPr>
          <w:noProof/>
        </w:rPr>
        <w:drawing>
          <wp:inline distT="0" distB="0" distL="0" distR="0" wp14:anchorId="3BD537F1" wp14:editId="6DEB39F4">
            <wp:extent cx="5745600" cy="2591782"/>
            <wp:effectExtent l="0" t="0" r="7620" b="0"/>
            <wp:docPr id="1271021930" name="Picture 1271021930" descr="Chart 3.1 is a bar graph titled Proportions of provider revenue from the Australian Government, 2022-23 ($m). Basic care subsidies, which includes Aged Care Funding Instrument (ACFI) and AN-ACC funding, comprised by far the greatest share at 82.7%. Accommodation supplements from the Australian Government was the next highest proportion at 8.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0" name="Picture 1271021930" descr="Chart 3.1 is a bar graph titled Proportions of provider revenue from the Australian Government, 2022-23 ($m). Basic care subsidies, which includes Aged Care Funding Instrument (ACFI) and AN-ACC funding, comprised by far the greatest share at 82.7%. Accommodation supplements from the Australian Government was the next highest proportion at 8.6%.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99860" cy="2616258"/>
                    </a:xfrm>
                    <a:prstGeom prst="rect">
                      <a:avLst/>
                    </a:prstGeom>
                    <a:noFill/>
                  </pic:spPr>
                </pic:pic>
              </a:graphicData>
            </a:graphic>
          </wp:inline>
        </w:drawing>
      </w:r>
    </w:p>
    <w:p w14:paraId="724B6073" w14:textId="0832DE1F" w:rsidR="00112EAD" w:rsidRPr="00EF17A3" w:rsidRDefault="003967C0" w:rsidP="00EF17A3">
      <w:pPr>
        <w:pStyle w:val="FootnoteText"/>
        <w:rPr>
          <w:rFonts w:ascii="Calibri" w:hAnsi="Calibri"/>
          <w:sz w:val="22"/>
          <w:szCs w:val="22"/>
        </w:rPr>
      </w:pPr>
      <w:r>
        <w:t xml:space="preserve">Note: The figures provided in Chart 3.1 are provider reported revenue from the Australian Government and may differ from other published sources </w:t>
      </w:r>
      <w:r w:rsidR="00995FE9">
        <w:t>provided by the</w:t>
      </w:r>
      <w:r>
        <w:t xml:space="preserve"> department. </w:t>
      </w:r>
    </w:p>
    <w:p w14:paraId="06AE4C23" w14:textId="77777777" w:rsidR="006F4F12" w:rsidRDefault="006F4F12" w:rsidP="006F4F12">
      <w:pPr>
        <w:spacing w:before="0" w:after="0" w:line="240" w:lineRule="auto"/>
      </w:pPr>
      <w:r>
        <w:br w:type="page"/>
      </w:r>
    </w:p>
    <w:p w14:paraId="229FF6A4" w14:textId="5E8F90FB" w:rsidR="00212F47" w:rsidRDefault="00FE0534" w:rsidP="00706D0A">
      <w:r>
        <w:t xml:space="preserve">Chart 3.2 shows total Australian Government payments for residential respite care since 2018-19. Payments increased to $705.0 million in 2022-23, up from </w:t>
      </w:r>
      <w:r w:rsidR="008D4A70">
        <w:br/>
      </w:r>
      <w:r>
        <w:t>$509.2 million in 2021-22.</w:t>
      </w:r>
      <w:r w:rsidR="00866657">
        <w:t xml:space="preserve"> </w:t>
      </w:r>
      <w:r w:rsidR="003B60B8">
        <w:t xml:space="preserve">This is an increase of </w:t>
      </w:r>
      <w:r w:rsidR="003106DE">
        <w:t>38%</w:t>
      </w:r>
      <w:r w:rsidR="00E5212D">
        <w:t xml:space="preserve"> </w:t>
      </w:r>
      <w:r w:rsidR="00215D8E">
        <w:t xml:space="preserve">which is largely linked to </w:t>
      </w:r>
      <w:r w:rsidR="00F54E7F" w:rsidRPr="00F54E7F">
        <w:t>the introduction of AN-ACC from October 2022</w:t>
      </w:r>
      <w:r w:rsidR="00170B28">
        <w:t xml:space="preserve"> and reforms to the respite supplement to </w:t>
      </w:r>
      <w:r w:rsidR="00F43DB8">
        <w:t>better match respite accommodation costs</w:t>
      </w:r>
      <w:r w:rsidR="00F54E7F" w:rsidRPr="00F54E7F">
        <w:t>.</w:t>
      </w:r>
      <w:r w:rsidR="00316B30">
        <w:t xml:space="preserve"> There were 8,115 respite residents at </w:t>
      </w:r>
      <w:r w:rsidR="008D4A70">
        <w:br/>
      </w:r>
      <w:r w:rsidR="00316B30">
        <w:t>30 June 2023 (</w:t>
      </w:r>
      <w:r w:rsidR="00232A2B">
        <w:t>up</w:t>
      </w:r>
      <w:r w:rsidR="00865B9D">
        <w:t xml:space="preserve"> from 7,478 at 30 June) and </w:t>
      </w:r>
      <w:r w:rsidR="00C4294C">
        <w:t>99.</w:t>
      </w:r>
      <w:r w:rsidR="009201C0">
        <w:t xml:space="preserve">9% </w:t>
      </w:r>
      <w:r w:rsidR="00214331">
        <w:t xml:space="preserve">of </w:t>
      </w:r>
      <w:r w:rsidR="003E6891">
        <w:t xml:space="preserve">all respite residents were </w:t>
      </w:r>
      <w:r w:rsidR="51D851BC">
        <w:t xml:space="preserve">funded by </w:t>
      </w:r>
      <w:r w:rsidR="003E6891">
        <w:t>AN-ACC at 30 June 2023.</w:t>
      </w:r>
      <w:r w:rsidR="002909A8">
        <w:t xml:space="preserve"> </w:t>
      </w:r>
    </w:p>
    <w:p w14:paraId="548782AB" w14:textId="67FEEAE3" w:rsidR="00212F47" w:rsidRDefault="00B115E2" w:rsidP="00706D0A">
      <w:pPr>
        <w:pStyle w:val="Caption"/>
      </w:pPr>
      <w:bookmarkStart w:id="92" w:name="_Toc173428919"/>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r>
        <w:t xml:space="preserve">: </w:t>
      </w:r>
      <w:r w:rsidRPr="00DA2B70">
        <w:t>Total residential respite care expenditure, 2018</w:t>
      </w:r>
      <w:r w:rsidR="00420F51">
        <w:t>-19</w:t>
      </w:r>
      <w:r w:rsidRPr="00DA2B70">
        <w:t xml:space="preserve"> to 20</w:t>
      </w:r>
      <w:r w:rsidR="00420F51">
        <w:t>22-23</w:t>
      </w:r>
      <w:r w:rsidRPr="00DA2B70">
        <w:t xml:space="preserve"> ($m)</w:t>
      </w:r>
      <w:bookmarkEnd w:id="92"/>
    </w:p>
    <w:p w14:paraId="7D579158" w14:textId="51ACAB4A" w:rsidR="00B115E2" w:rsidRDefault="008574CF" w:rsidP="00706D0A">
      <w:r>
        <w:rPr>
          <w:noProof/>
        </w:rPr>
        <w:drawing>
          <wp:inline distT="0" distB="0" distL="0" distR="0" wp14:anchorId="072CA01F" wp14:editId="721584D0">
            <wp:extent cx="5781399" cy="3283200"/>
            <wp:effectExtent l="0" t="0" r="0" b="0"/>
            <wp:docPr id="19" name="Picture 19" descr="Chart 3.2 is a column chart titled Total residential respite care expenditure, 2018-19 to 2022-23 ($m). The total residential respite care expenditure increased to $705.0 million in 2022-23, up from $509.2 million in 2021-2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3.2 is a column chart titled Total residential respite care expenditure, 2018-19 to 2022-23 ($m). The total residential respite care expenditure increased to $705.0 million in 2022-23, up from $509.2 million in 2021-22.&#10;&#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92960" cy="3289765"/>
                    </a:xfrm>
                    <a:prstGeom prst="rect">
                      <a:avLst/>
                    </a:prstGeom>
                    <a:noFill/>
                  </pic:spPr>
                </pic:pic>
              </a:graphicData>
            </a:graphic>
          </wp:inline>
        </w:drawing>
      </w:r>
    </w:p>
    <w:p w14:paraId="19E9FDAC" w14:textId="77777777" w:rsidR="006F4F12" w:rsidRDefault="006F4F12" w:rsidP="006F4F12">
      <w:pPr>
        <w:spacing w:before="0" w:after="0" w:line="240" w:lineRule="auto"/>
      </w:pPr>
      <w:bookmarkStart w:id="93" w:name="_Toc173428605"/>
      <w:r>
        <w:br w:type="page"/>
      </w:r>
    </w:p>
    <w:p w14:paraId="27171D7E" w14:textId="5AB32F4C" w:rsidR="00EF51E7" w:rsidRPr="007F3FC3" w:rsidRDefault="00611CA7" w:rsidP="00E80B9A">
      <w:pPr>
        <w:pStyle w:val="Heading2"/>
      </w:pPr>
      <w:r>
        <w:t>Financial summary</w:t>
      </w:r>
      <w:bookmarkEnd w:id="93"/>
    </w:p>
    <w:p w14:paraId="096E2237" w14:textId="334EB5AD" w:rsidR="00A7156D" w:rsidRPr="007F3FC3" w:rsidRDefault="00EF51E7" w:rsidP="00A7156D">
      <w:r>
        <w:fldChar w:fldCharType="begin"/>
      </w:r>
      <w:r>
        <w:instrText xml:space="preserve"> REF _Ref172017246 \h </w:instrText>
      </w:r>
      <w:r>
        <w:fldChar w:fldCharType="separate"/>
      </w:r>
      <w:r w:rsidR="001377BE">
        <w:t xml:space="preserve">Table </w:t>
      </w:r>
      <w:r w:rsidR="001377BE">
        <w:rPr>
          <w:noProof/>
        </w:rPr>
        <w:t>3</w:t>
      </w:r>
      <w:r w:rsidR="001377BE">
        <w:t>.</w:t>
      </w:r>
      <w:r w:rsidR="001377BE">
        <w:rPr>
          <w:noProof/>
        </w:rPr>
        <w:t>1</w:t>
      </w:r>
      <w:r>
        <w:fldChar w:fldCharType="end"/>
      </w:r>
      <w:r w:rsidR="00A7156D">
        <w:t xml:space="preserve"> </w:t>
      </w:r>
      <w:r w:rsidR="00A7156D" w:rsidRPr="007F3FC3">
        <w:t>provides a summary of the overall financial performance of residential care providers since 20</w:t>
      </w:r>
      <w:r w:rsidR="007F3FC3">
        <w:t>1</w:t>
      </w:r>
      <w:r w:rsidR="00A7156D" w:rsidRPr="007F3FC3">
        <w:t>8</w:t>
      </w:r>
      <w:r w:rsidR="007F3FC3">
        <w:t>-19</w:t>
      </w:r>
      <w:r w:rsidR="00A7156D" w:rsidRPr="007F3FC3">
        <w:t>. It shows that</w:t>
      </w:r>
      <w:r w:rsidR="00A7156D" w:rsidRPr="007F3FC3" w:rsidDel="00610640">
        <w:t xml:space="preserve"> </w:t>
      </w:r>
      <w:r w:rsidR="00A7156D" w:rsidRPr="007F3FC3">
        <w:t xml:space="preserve">the overall </w:t>
      </w:r>
      <w:r w:rsidR="00BD49BB">
        <w:t xml:space="preserve">position of the </w:t>
      </w:r>
      <w:r w:rsidR="00A7156D" w:rsidRPr="007F3FC3">
        <w:t xml:space="preserve">sector </w:t>
      </w:r>
      <w:r w:rsidR="005E2406">
        <w:t xml:space="preserve">has </w:t>
      </w:r>
      <w:r w:rsidR="001B4FCD">
        <w:t xml:space="preserve">improved </w:t>
      </w:r>
      <w:r w:rsidR="005E2406">
        <w:t xml:space="preserve">compared to the 2021-22 result. </w:t>
      </w:r>
      <w:r w:rsidR="008E3CD8">
        <w:t xml:space="preserve">The overall </w:t>
      </w:r>
      <w:r w:rsidR="008D3191">
        <w:t>net loss position improved</w:t>
      </w:r>
      <w:r w:rsidR="008D3191" w:rsidDel="001C3C26">
        <w:t xml:space="preserve"> </w:t>
      </w:r>
      <w:r w:rsidR="008E3CD8">
        <w:t>from</w:t>
      </w:r>
      <w:r w:rsidR="007319BB">
        <w:t xml:space="preserve"> negative</w:t>
      </w:r>
      <w:r w:rsidR="008E3CD8">
        <w:t xml:space="preserve"> $2,264 million</w:t>
      </w:r>
      <w:r w:rsidR="007319BB">
        <w:t xml:space="preserve"> in 2021-22 to negative $1,737 million in 2022-23. </w:t>
      </w:r>
    </w:p>
    <w:p w14:paraId="54C8DD55" w14:textId="031A4ECA" w:rsidR="00460184" w:rsidRDefault="00A7156D" w:rsidP="00385C81">
      <w:r w:rsidRPr="007F3FC3">
        <w:t xml:space="preserve">The </w:t>
      </w:r>
      <w:r w:rsidR="00373A65">
        <w:t>improvement</w:t>
      </w:r>
      <w:r w:rsidRPr="007F3FC3">
        <w:t xml:space="preserve"> in </w:t>
      </w:r>
      <w:r w:rsidR="00D66993">
        <w:t>net profit before tax</w:t>
      </w:r>
      <w:r w:rsidRPr="007F3FC3">
        <w:t xml:space="preserve"> </w:t>
      </w:r>
      <w:r w:rsidR="00556217">
        <w:t>(</w:t>
      </w:r>
      <w:r w:rsidRPr="007F3FC3">
        <w:t>NPBT</w:t>
      </w:r>
      <w:r w:rsidR="00556217">
        <w:t>)</w:t>
      </w:r>
      <w:r w:rsidRPr="007F3FC3">
        <w:t xml:space="preserve"> and earnings before interest, tax, depreciation and amortisation (EBITDA) margin can </w:t>
      </w:r>
      <w:r w:rsidRPr="001F2095">
        <w:t>likely</w:t>
      </w:r>
      <w:r w:rsidR="00F5482D">
        <w:t xml:space="preserve"> be</w:t>
      </w:r>
      <w:r w:rsidRPr="001F2095">
        <w:t xml:space="preserve"> attributed to </w:t>
      </w:r>
      <w:r w:rsidR="001F2095">
        <w:t>the</w:t>
      </w:r>
      <w:r>
        <w:t xml:space="preserve"> increase in </w:t>
      </w:r>
      <w:r w:rsidR="001F2095">
        <w:t xml:space="preserve">care funding with the introduction of AN-ACC </w:t>
      </w:r>
      <w:r w:rsidR="00F5482D">
        <w:t>(from</w:t>
      </w:r>
      <w:r w:rsidR="001F2095">
        <w:t xml:space="preserve"> October 2022</w:t>
      </w:r>
      <w:r w:rsidR="00F5482D">
        <w:t>)</w:t>
      </w:r>
      <w:r w:rsidR="00552012">
        <w:t xml:space="preserve"> and </w:t>
      </w:r>
      <w:r w:rsidR="002C52A1">
        <w:t>an</w:t>
      </w:r>
      <w:r w:rsidR="00552012">
        <w:t xml:space="preserve"> </w:t>
      </w:r>
      <w:r w:rsidR="00C27E77">
        <w:t xml:space="preserve">increase in approved </w:t>
      </w:r>
      <w:r w:rsidR="00E50D21">
        <w:t xml:space="preserve">and finalised </w:t>
      </w:r>
      <w:r w:rsidR="00C27E77">
        <w:t>COVID-19 grants</w:t>
      </w:r>
      <w:r w:rsidR="000B6938">
        <w:t>.</w:t>
      </w:r>
      <w:r w:rsidRPr="007F3FC3">
        <w:t xml:space="preserve"> A more detailed breakdown of expenses for residential care providers is available in Appendix </w:t>
      </w:r>
      <w:r w:rsidR="00C70FBB">
        <w:t>B</w:t>
      </w:r>
      <w:r w:rsidRPr="007F3FC3">
        <w:t>.</w:t>
      </w:r>
      <w:bookmarkStart w:id="94" w:name="_Ref162511738"/>
    </w:p>
    <w:p w14:paraId="4E2E6C14" w14:textId="3ECE6ECB" w:rsidR="0062584B" w:rsidRDefault="0030130C" w:rsidP="00706D0A">
      <w:pPr>
        <w:pStyle w:val="Caption"/>
      </w:pPr>
      <w:bookmarkStart w:id="95" w:name="_Ref172017246"/>
      <w:bookmarkStart w:id="96" w:name="_Toc173428883"/>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w:t>
      </w:r>
      <w:r w:rsidR="00AE19AA">
        <w:rPr>
          <w:noProof/>
        </w:rPr>
        <w:fldChar w:fldCharType="end"/>
      </w:r>
      <w:bookmarkEnd w:id="94"/>
      <w:bookmarkEnd w:id="95"/>
      <w:r>
        <w:t xml:space="preserve">: </w:t>
      </w:r>
      <w:r w:rsidRPr="00030B32">
        <w:t>Summary of financial performance of residential care providers, 2</w:t>
      </w:r>
      <w:r w:rsidR="00D20FBE">
        <w:t>0</w:t>
      </w:r>
      <w:r w:rsidRPr="00030B32">
        <w:t>18</w:t>
      </w:r>
      <w:r w:rsidR="00D20FBE">
        <w:t>-19</w:t>
      </w:r>
      <w:r w:rsidRPr="00030B32">
        <w:t xml:space="preserve"> to 2022</w:t>
      </w:r>
      <w:r w:rsidR="00D20FBE">
        <w:t>-23</w:t>
      </w:r>
      <w:bookmarkEnd w:id="96"/>
    </w:p>
    <w:tbl>
      <w:tblPr>
        <w:tblW w:w="9072" w:type="dxa"/>
        <w:tblLayout w:type="fixed"/>
        <w:tblLook w:val="04A0" w:firstRow="1" w:lastRow="0" w:firstColumn="1" w:lastColumn="0" w:noHBand="0" w:noVBand="1"/>
      </w:tblPr>
      <w:tblGrid>
        <w:gridCol w:w="2410"/>
        <w:gridCol w:w="1332"/>
        <w:gridCol w:w="1332"/>
        <w:gridCol w:w="1333"/>
        <w:gridCol w:w="1332"/>
        <w:gridCol w:w="1333"/>
      </w:tblGrid>
      <w:tr w:rsidR="009F4831" w:rsidRPr="009F4831" w14:paraId="3FDFB515" w14:textId="77777777" w:rsidTr="00032827">
        <w:trPr>
          <w:trHeight w:val="330"/>
        </w:trPr>
        <w:tc>
          <w:tcPr>
            <w:tcW w:w="2410" w:type="dxa"/>
            <w:tcBorders>
              <w:top w:val="single" w:sz="12" w:space="0" w:color="1E1545"/>
              <w:left w:val="nil"/>
              <w:bottom w:val="single" w:sz="12" w:space="0" w:color="1E1545"/>
              <w:right w:val="nil"/>
            </w:tcBorders>
            <w:shd w:val="clear" w:color="000000" w:fill="1E1545"/>
            <w:vAlign w:val="center"/>
            <w:hideMark/>
          </w:tcPr>
          <w:p w14:paraId="709C68B6" w14:textId="77777777" w:rsidR="009F4831" w:rsidRPr="009F4831" w:rsidRDefault="009F4831" w:rsidP="009F4831">
            <w:pPr>
              <w:spacing w:before="0" w:after="0" w:line="240" w:lineRule="auto"/>
              <w:rPr>
                <w:rFonts w:cs="Arial"/>
                <w:b/>
                <w:color w:val="F1F2F2"/>
                <w:sz w:val="21"/>
                <w:szCs w:val="21"/>
                <w:lang w:eastAsia="en-AU"/>
              </w:rPr>
            </w:pPr>
            <w:r w:rsidRPr="009F4831">
              <w:rPr>
                <w:rFonts w:cs="Arial"/>
                <w:b/>
                <w:color w:val="F1F2F2"/>
                <w:sz w:val="21"/>
                <w:szCs w:val="21"/>
                <w:lang w:eastAsia="en-AU"/>
              </w:rPr>
              <w:t> </w:t>
            </w:r>
          </w:p>
        </w:tc>
        <w:tc>
          <w:tcPr>
            <w:tcW w:w="1332" w:type="dxa"/>
            <w:tcBorders>
              <w:top w:val="single" w:sz="12" w:space="0" w:color="1E1545"/>
              <w:left w:val="nil"/>
              <w:bottom w:val="single" w:sz="12" w:space="0" w:color="1E1545"/>
              <w:right w:val="nil"/>
            </w:tcBorders>
            <w:shd w:val="clear" w:color="000000" w:fill="1E1545"/>
            <w:vAlign w:val="center"/>
            <w:hideMark/>
          </w:tcPr>
          <w:p w14:paraId="3B6A0747" w14:textId="77777777" w:rsidR="009F4831" w:rsidRPr="009F4831" w:rsidRDefault="009F4831" w:rsidP="009F4831">
            <w:pPr>
              <w:spacing w:before="0" w:after="0" w:line="240" w:lineRule="auto"/>
              <w:jc w:val="right"/>
              <w:rPr>
                <w:rFonts w:cs="Arial"/>
                <w:b/>
                <w:color w:val="F1F2F2"/>
                <w:sz w:val="21"/>
                <w:szCs w:val="21"/>
                <w:lang w:eastAsia="en-AU"/>
              </w:rPr>
            </w:pPr>
            <w:r w:rsidRPr="009F4831">
              <w:rPr>
                <w:rFonts w:cs="Arial"/>
                <w:b/>
                <w:color w:val="F1F2F2"/>
                <w:sz w:val="21"/>
                <w:szCs w:val="21"/>
                <w:lang w:eastAsia="en-AU"/>
              </w:rPr>
              <w:t>2018-19</w:t>
            </w:r>
          </w:p>
        </w:tc>
        <w:tc>
          <w:tcPr>
            <w:tcW w:w="1332" w:type="dxa"/>
            <w:tcBorders>
              <w:top w:val="single" w:sz="12" w:space="0" w:color="1E1545"/>
              <w:left w:val="nil"/>
              <w:bottom w:val="single" w:sz="12" w:space="0" w:color="1E1545"/>
              <w:right w:val="nil"/>
            </w:tcBorders>
            <w:shd w:val="clear" w:color="000000" w:fill="1E1545"/>
            <w:vAlign w:val="center"/>
            <w:hideMark/>
          </w:tcPr>
          <w:p w14:paraId="6DA5FDB1" w14:textId="77777777" w:rsidR="009F4831" w:rsidRPr="009F4831" w:rsidRDefault="009F4831" w:rsidP="009F4831">
            <w:pPr>
              <w:spacing w:before="0" w:after="0" w:line="240" w:lineRule="auto"/>
              <w:jc w:val="right"/>
              <w:rPr>
                <w:rFonts w:cs="Arial"/>
                <w:b/>
                <w:color w:val="F1F2F2"/>
                <w:sz w:val="21"/>
                <w:szCs w:val="21"/>
                <w:lang w:eastAsia="en-AU"/>
              </w:rPr>
            </w:pPr>
            <w:r w:rsidRPr="009F4831">
              <w:rPr>
                <w:rFonts w:cs="Arial"/>
                <w:b/>
                <w:color w:val="F1F2F2"/>
                <w:sz w:val="21"/>
                <w:szCs w:val="21"/>
                <w:lang w:eastAsia="en-AU"/>
              </w:rPr>
              <w:t>2019-20</w:t>
            </w:r>
          </w:p>
        </w:tc>
        <w:tc>
          <w:tcPr>
            <w:tcW w:w="1333" w:type="dxa"/>
            <w:tcBorders>
              <w:top w:val="single" w:sz="12" w:space="0" w:color="1E1545"/>
              <w:left w:val="nil"/>
              <w:bottom w:val="single" w:sz="12" w:space="0" w:color="1E1545"/>
              <w:right w:val="nil"/>
            </w:tcBorders>
            <w:shd w:val="clear" w:color="000000" w:fill="1E1545"/>
            <w:vAlign w:val="center"/>
            <w:hideMark/>
          </w:tcPr>
          <w:p w14:paraId="14025368" w14:textId="77777777" w:rsidR="009F4831" w:rsidRPr="009F4831" w:rsidRDefault="009F4831" w:rsidP="009F4831">
            <w:pPr>
              <w:spacing w:before="0" w:after="0" w:line="240" w:lineRule="auto"/>
              <w:jc w:val="right"/>
              <w:rPr>
                <w:rFonts w:cs="Arial"/>
                <w:b/>
                <w:color w:val="F1F2F2"/>
                <w:sz w:val="21"/>
                <w:szCs w:val="21"/>
                <w:lang w:eastAsia="en-AU"/>
              </w:rPr>
            </w:pPr>
            <w:r w:rsidRPr="009F4831">
              <w:rPr>
                <w:rFonts w:cs="Arial"/>
                <w:b/>
                <w:color w:val="F1F2F2"/>
                <w:sz w:val="21"/>
                <w:szCs w:val="21"/>
                <w:lang w:eastAsia="en-AU"/>
              </w:rPr>
              <w:t>2020-21</w:t>
            </w:r>
          </w:p>
        </w:tc>
        <w:tc>
          <w:tcPr>
            <w:tcW w:w="1332" w:type="dxa"/>
            <w:tcBorders>
              <w:top w:val="single" w:sz="12" w:space="0" w:color="1E1545"/>
              <w:left w:val="nil"/>
              <w:bottom w:val="single" w:sz="12" w:space="0" w:color="1E1545"/>
              <w:right w:val="nil"/>
            </w:tcBorders>
            <w:shd w:val="clear" w:color="000000" w:fill="1E1545"/>
            <w:vAlign w:val="center"/>
            <w:hideMark/>
          </w:tcPr>
          <w:p w14:paraId="38468A08" w14:textId="77777777" w:rsidR="009F4831" w:rsidRPr="009F4831" w:rsidRDefault="009F4831" w:rsidP="009F4831">
            <w:pPr>
              <w:spacing w:before="0" w:after="0" w:line="240" w:lineRule="auto"/>
              <w:jc w:val="right"/>
              <w:rPr>
                <w:rFonts w:cs="Arial"/>
                <w:b/>
                <w:color w:val="F1F2F2"/>
                <w:sz w:val="21"/>
                <w:szCs w:val="21"/>
                <w:lang w:eastAsia="en-AU"/>
              </w:rPr>
            </w:pPr>
            <w:r w:rsidRPr="009F4831">
              <w:rPr>
                <w:rFonts w:cs="Arial"/>
                <w:b/>
                <w:color w:val="F1F2F2"/>
                <w:sz w:val="21"/>
                <w:szCs w:val="21"/>
                <w:lang w:eastAsia="en-AU"/>
              </w:rPr>
              <w:t>2021-22</w:t>
            </w:r>
          </w:p>
        </w:tc>
        <w:tc>
          <w:tcPr>
            <w:tcW w:w="1333" w:type="dxa"/>
            <w:tcBorders>
              <w:top w:val="single" w:sz="12" w:space="0" w:color="1E1545"/>
              <w:left w:val="nil"/>
              <w:bottom w:val="single" w:sz="12" w:space="0" w:color="1E1545"/>
              <w:right w:val="nil"/>
            </w:tcBorders>
            <w:shd w:val="clear" w:color="000000" w:fill="1E1545"/>
            <w:vAlign w:val="center"/>
            <w:hideMark/>
          </w:tcPr>
          <w:p w14:paraId="052A392A" w14:textId="77777777" w:rsidR="009F4831" w:rsidRPr="009F4831" w:rsidRDefault="009F4831" w:rsidP="009F4831">
            <w:pPr>
              <w:spacing w:before="0" w:after="0" w:line="240" w:lineRule="auto"/>
              <w:jc w:val="right"/>
              <w:rPr>
                <w:rFonts w:cs="Arial"/>
                <w:b/>
                <w:color w:val="F1F2F2"/>
                <w:sz w:val="21"/>
                <w:szCs w:val="21"/>
                <w:lang w:eastAsia="en-AU"/>
              </w:rPr>
            </w:pPr>
            <w:r w:rsidRPr="009F4831">
              <w:rPr>
                <w:rFonts w:cs="Arial"/>
                <w:b/>
                <w:color w:val="F1F2F2"/>
                <w:sz w:val="21"/>
                <w:szCs w:val="21"/>
                <w:lang w:eastAsia="en-AU"/>
              </w:rPr>
              <w:t>2022-23</w:t>
            </w:r>
          </w:p>
        </w:tc>
      </w:tr>
      <w:tr w:rsidR="009F4831" w:rsidRPr="009F4831" w14:paraId="60DB1871"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0432C2A5"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Revenue ($m)</w:t>
            </w:r>
          </w:p>
        </w:tc>
        <w:tc>
          <w:tcPr>
            <w:tcW w:w="1332" w:type="dxa"/>
            <w:tcBorders>
              <w:top w:val="nil"/>
              <w:left w:val="nil"/>
              <w:bottom w:val="single" w:sz="12" w:space="0" w:color="1E1545"/>
              <w:right w:val="nil"/>
            </w:tcBorders>
            <w:shd w:val="clear" w:color="000000" w:fill="FFFFFF"/>
            <w:noWrap/>
            <w:vAlign w:val="center"/>
            <w:hideMark/>
          </w:tcPr>
          <w:p w14:paraId="2A61E984"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$19,302 </w:t>
            </w:r>
          </w:p>
        </w:tc>
        <w:tc>
          <w:tcPr>
            <w:tcW w:w="1332" w:type="dxa"/>
            <w:tcBorders>
              <w:top w:val="nil"/>
              <w:left w:val="nil"/>
              <w:bottom w:val="single" w:sz="12" w:space="0" w:color="1E1545"/>
              <w:right w:val="nil"/>
            </w:tcBorders>
            <w:shd w:val="clear" w:color="000000" w:fill="FFFFFF"/>
            <w:noWrap/>
            <w:vAlign w:val="center"/>
            <w:hideMark/>
          </w:tcPr>
          <w:p w14:paraId="094841ED"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$20,536 </w:t>
            </w:r>
          </w:p>
        </w:tc>
        <w:tc>
          <w:tcPr>
            <w:tcW w:w="1333" w:type="dxa"/>
            <w:tcBorders>
              <w:top w:val="nil"/>
              <w:left w:val="nil"/>
              <w:bottom w:val="single" w:sz="12" w:space="0" w:color="1E1545"/>
              <w:right w:val="nil"/>
            </w:tcBorders>
            <w:shd w:val="clear" w:color="000000" w:fill="FFFFFF"/>
            <w:noWrap/>
            <w:vAlign w:val="center"/>
            <w:hideMark/>
          </w:tcPr>
          <w:p w14:paraId="3415D3D3"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$21,478 </w:t>
            </w:r>
          </w:p>
        </w:tc>
        <w:tc>
          <w:tcPr>
            <w:tcW w:w="1332" w:type="dxa"/>
            <w:tcBorders>
              <w:top w:val="nil"/>
              <w:left w:val="nil"/>
              <w:bottom w:val="single" w:sz="12" w:space="0" w:color="1E1545"/>
              <w:right w:val="nil"/>
            </w:tcBorders>
            <w:shd w:val="clear" w:color="000000" w:fill="FFFFFF"/>
            <w:noWrap/>
            <w:vAlign w:val="center"/>
            <w:hideMark/>
          </w:tcPr>
          <w:p w14:paraId="446C1E5E"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$22,075 </w:t>
            </w:r>
          </w:p>
        </w:tc>
        <w:tc>
          <w:tcPr>
            <w:tcW w:w="1333" w:type="dxa"/>
            <w:tcBorders>
              <w:top w:val="nil"/>
              <w:left w:val="nil"/>
              <w:bottom w:val="single" w:sz="12" w:space="0" w:color="1E1545"/>
              <w:right w:val="nil"/>
            </w:tcBorders>
            <w:shd w:val="clear" w:color="000000" w:fill="FFFFFF"/>
            <w:noWrap/>
            <w:vAlign w:val="center"/>
            <w:hideMark/>
          </w:tcPr>
          <w:p w14:paraId="02D5D864"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$24,240 </w:t>
            </w:r>
          </w:p>
        </w:tc>
      </w:tr>
      <w:tr w:rsidR="009F4831" w:rsidRPr="009F4831" w14:paraId="0947D1D0"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50459605"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Expenses ($m)</w:t>
            </w:r>
          </w:p>
        </w:tc>
        <w:tc>
          <w:tcPr>
            <w:tcW w:w="1332" w:type="dxa"/>
            <w:tcBorders>
              <w:top w:val="nil"/>
              <w:left w:val="nil"/>
              <w:bottom w:val="single" w:sz="12" w:space="0" w:color="1E1545"/>
              <w:right w:val="nil"/>
            </w:tcBorders>
            <w:shd w:val="clear" w:color="000000" w:fill="FFFFFF"/>
            <w:noWrap/>
            <w:vAlign w:val="center"/>
            <w:hideMark/>
          </w:tcPr>
          <w:p w14:paraId="18992F09"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$19,037 </w:t>
            </w:r>
          </w:p>
        </w:tc>
        <w:tc>
          <w:tcPr>
            <w:tcW w:w="1332" w:type="dxa"/>
            <w:tcBorders>
              <w:top w:val="nil"/>
              <w:left w:val="nil"/>
              <w:bottom w:val="single" w:sz="12" w:space="0" w:color="1E1545"/>
              <w:right w:val="nil"/>
            </w:tcBorders>
            <w:shd w:val="clear" w:color="000000" w:fill="FFFFFF"/>
            <w:noWrap/>
            <w:vAlign w:val="center"/>
            <w:hideMark/>
          </w:tcPr>
          <w:p w14:paraId="47AE315A"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$21,273 </w:t>
            </w:r>
          </w:p>
        </w:tc>
        <w:tc>
          <w:tcPr>
            <w:tcW w:w="1333" w:type="dxa"/>
            <w:tcBorders>
              <w:top w:val="nil"/>
              <w:left w:val="nil"/>
              <w:bottom w:val="single" w:sz="12" w:space="0" w:color="1E1545"/>
              <w:right w:val="nil"/>
            </w:tcBorders>
            <w:shd w:val="clear" w:color="000000" w:fill="FFFFFF"/>
            <w:noWrap/>
            <w:vAlign w:val="center"/>
            <w:hideMark/>
          </w:tcPr>
          <w:p w14:paraId="00A835AC"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$22,332 </w:t>
            </w:r>
          </w:p>
        </w:tc>
        <w:tc>
          <w:tcPr>
            <w:tcW w:w="1332" w:type="dxa"/>
            <w:tcBorders>
              <w:top w:val="nil"/>
              <w:left w:val="nil"/>
              <w:bottom w:val="single" w:sz="12" w:space="0" w:color="1E1545"/>
              <w:right w:val="nil"/>
            </w:tcBorders>
            <w:shd w:val="clear" w:color="000000" w:fill="FFFFFF"/>
            <w:noWrap/>
            <w:vAlign w:val="center"/>
            <w:hideMark/>
          </w:tcPr>
          <w:p w14:paraId="501FB125"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$24,339 </w:t>
            </w:r>
          </w:p>
        </w:tc>
        <w:tc>
          <w:tcPr>
            <w:tcW w:w="1333" w:type="dxa"/>
            <w:tcBorders>
              <w:top w:val="nil"/>
              <w:left w:val="nil"/>
              <w:bottom w:val="single" w:sz="12" w:space="0" w:color="1E1545"/>
              <w:right w:val="nil"/>
            </w:tcBorders>
            <w:shd w:val="clear" w:color="000000" w:fill="FFFFFF"/>
            <w:noWrap/>
            <w:vAlign w:val="center"/>
            <w:hideMark/>
          </w:tcPr>
          <w:p w14:paraId="6ADBB1FB"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$25,977 </w:t>
            </w:r>
          </w:p>
        </w:tc>
      </w:tr>
      <w:tr w:rsidR="009F4831" w:rsidRPr="009F4831" w14:paraId="29AD05DA"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2348D422"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NPBT ($m)</w:t>
            </w:r>
          </w:p>
        </w:tc>
        <w:tc>
          <w:tcPr>
            <w:tcW w:w="1332" w:type="dxa"/>
            <w:tcBorders>
              <w:top w:val="nil"/>
              <w:left w:val="nil"/>
              <w:bottom w:val="single" w:sz="12" w:space="0" w:color="1E1545"/>
              <w:right w:val="nil"/>
            </w:tcBorders>
            <w:shd w:val="clear" w:color="000000" w:fill="FFFFFF"/>
            <w:noWrap/>
            <w:vAlign w:val="center"/>
            <w:hideMark/>
          </w:tcPr>
          <w:p w14:paraId="3BFEDF57"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$264 </w:t>
            </w:r>
          </w:p>
        </w:tc>
        <w:tc>
          <w:tcPr>
            <w:tcW w:w="1332" w:type="dxa"/>
            <w:tcBorders>
              <w:top w:val="nil"/>
              <w:left w:val="nil"/>
              <w:bottom w:val="single" w:sz="12" w:space="0" w:color="1E1545"/>
              <w:right w:val="nil"/>
            </w:tcBorders>
            <w:shd w:val="clear" w:color="000000" w:fill="FFFFFF"/>
            <w:noWrap/>
            <w:vAlign w:val="center"/>
            <w:hideMark/>
          </w:tcPr>
          <w:p w14:paraId="3BCACEEB"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($736)</w:t>
            </w:r>
          </w:p>
        </w:tc>
        <w:tc>
          <w:tcPr>
            <w:tcW w:w="1333" w:type="dxa"/>
            <w:tcBorders>
              <w:top w:val="nil"/>
              <w:left w:val="nil"/>
              <w:bottom w:val="single" w:sz="12" w:space="0" w:color="1E1545"/>
              <w:right w:val="nil"/>
            </w:tcBorders>
            <w:shd w:val="clear" w:color="000000" w:fill="FFFFFF"/>
            <w:noWrap/>
            <w:vAlign w:val="center"/>
            <w:hideMark/>
          </w:tcPr>
          <w:p w14:paraId="6E70DDB1"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($854)</w:t>
            </w:r>
          </w:p>
        </w:tc>
        <w:tc>
          <w:tcPr>
            <w:tcW w:w="1332" w:type="dxa"/>
            <w:tcBorders>
              <w:top w:val="nil"/>
              <w:left w:val="nil"/>
              <w:bottom w:val="single" w:sz="12" w:space="0" w:color="1E1545"/>
              <w:right w:val="nil"/>
            </w:tcBorders>
            <w:shd w:val="clear" w:color="000000" w:fill="FFFFFF"/>
            <w:noWrap/>
            <w:vAlign w:val="center"/>
            <w:hideMark/>
          </w:tcPr>
          <w:p w14:paraId="7AF5C4B6"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($2,264)</w:t>
            </w:r>
          </w:p>
        </w:tc>
        <w:tc>
          <w:tcPr>
            <w:tcW w:w="1333" w:type="dxa"/>
            <w:tcBorders>
              <w:top w:val="nil"/>
              <w:left w:val="nil"/>
              <w:bottom w:val="single" w:sz="12" w:space="0" w:color="1E1545"/>
              <w:right w:val="nil"/>
            </w:tcBorders>
            <w:shd w:val="clear" w:color="000000" w:fill="FFFFFF"/>
            <w:noWrap/>
            <w:vAlign w:val="center"/>
            <w:hideMark/>
          </w:tcPr>
          <w:p w14:paraId="41886C3C"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($1,737)</w:t>
            </w:r>
          </w:p>
        </w:tc>
      </w:tr>
      <w:tr w:rsidR="009F4831" w:rsidRPr="009F4831" w14:paraId="2E0EA44C"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6DC63DAE"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NPBT margin</w:t>
            </w:r>
          </w:p>
        </w:tc>
        <w:tc>
          <w:tcPr>
            <w:tcW w:w="1332" w:type="dxa"/>
            <w:tcBorders>
              <w:top w:val="nil"/>
              <w:left w:val="nil"/>
              <w:bottom w:val="single" w:sz="12" w:space="0" w:color="1E1545"/>
              <w:right w:val="nil"/>
            </w:tcBorders>
            <w:shd w:val="clear" w:color="000000" w:fill="FFFFFF"/>
            <w:noWrap/>
            <w:vAlign w:val="center"/>
            <w:hideMark/>
          </w:tcPr>
          <w:p w14:paraId="693932F8"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1.40%</w:t>
            </w:r>
          </w:p>
        </w:tc>
        <w:tc>
          <w:tcPr>
            <w:tcW w:w="1332" w:type="dxa"/>
            <w:tcBorders>
              <w:top w:val="nil"/>
              <w:left w:val="nil"/>
              <w:bottom w:val="single" w:sz="12" w:space="0" w:color="1E1545"/>
              <w:right w:val="nil"/>
            </w:tcBorders>
            <w:shd w:val="clear" w:color="000000" w:fill="FFFFFF"/>
            <w:noWrap/>
            <w:vAlign w:val="center"/>
            <w:hideMark/>
          </w:tcPr>
          <w:p w14:paraId="5265508D"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(3.60%)</w:t>
            </w:r>
          </w:p>
        </w:tc>
        <w:tc>
          <w:tcPr>
            <w:tcW w:w="1333" w:type="dxa"/>
            <w:tcBorders>
              <w:top w:val="nil"/>
              <w:left w:val="nil"/>
              <w:bottom w:val="single" w:sz="12" w:space="0" w:color="1E1545"/>
              <w:right w:val="nil"/>
            </w:tcBorders>
            <w:shd w:val="clear" w:color="000000" w:fill="FFFFFF"/>
            <w:noWrap/>
            <w:vAlign w:val="center"/>
            <w:hideMark/>
          </w:tcPr>
          <w:p w14:paraId="13CFFFC0"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(4.00%)</w:t>
            </w:r>
          </w:p>
        </w:tc>
        <w:tc>
          <w:tcPr>
            <w:tcW w:w="1332" w:type="dxa"/>
            <w:tcBorders>
              <w:top w:val="nil"/>
              <w:left w:val="nil"/>
              <w:bottom w:val="single" w:sz="12" w:space="0" w:color="1E1545"/>
              <w:right w:val="nil"/>
            </w:tcBorders>
            <w:shd w:val="clear" w:color="000000" w:fill="FFFFFF"/>
            <w:noWrap/>
            <w:vAlign w:val="center"/>
            <w:hideMark/>
          </w:tcPr>
          <w:p w14:paraId="2D932A04"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(10.30%)</w:t>
            </w:r>
          </w:p>
        </w:tc>
        <w:tc>
          <w:tcPr>
            <w:tcW w:w="1333" w:type="dxa"/>
            <w:tcBorders>
              <w:top w:val="nil"/>
              <w:left w:val="nil"/>
              <w:bottom w:val="single" w:sz="12" w:space="0" w:color="1E1545"/>
              <w:right w:val="nil"/>
            </w:tcBorders>
            <w:shd w:val="clear" w:color="000000" w:fill="FFFFFF"/>
            <w:noWrap/>
            <w:vAlign w:val="center"/>
            <w:hideMark/>
          </w:tcPr>
          <w:p w14:paraId="01BF96F3"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(7.20%)</w:t>
            </w:r>
          </w:p>
        </w:tc>
      </w:tr>
      <w:tr w:rsidR="009F4831" w:rsidRPr="009F4831" w14:paraId="20D4EF00"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02C1BE0C"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EBITDA ($m)</w:t>
            </w:r>
          </w:p>
        </w:tc>
        <w:tc>
          <w:tcPr>
            <w:tcW w:w="1332" w:type="dxa"/>
            <w:tcBorders>
              <w:top w:val="nil"/>
              <w:left w:val="nil"/>
              <w:bottom w:val="single" w:sz="12" w:space="0" w:color="1E1545"/>
              <w:right w:val="nil"/>
            </w:tcBorders>
            <w:shd w:val="clear" w:color="000000" w:fill="FFFFFF"/>
            <w:noWrap/>
            <w:vAlign w:val="center"/>
            <w:hideMark/>
          </w:tcPr>
          <w:p w14:paraId="5DA492F2"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$1,590 </w:t>
            </w:r>
          </w:p>
        </w:tc>
        <w:tc>
          <w:tcPr>
            <w:tcW w:w="1332" w:type="dxa"/>
            <w:tcBorders>
              <w:top w:val="nil"/>
              <w:left w:val="nil"/>
              <w:bottom w:val="single" w:sz="12" w:space="0" w:color="1E1545"/>
              <w:right w:val="nil"/>
            </w:tcBorders>
            <w:shd w:val="clear" w:color="000000" w:fill="FFFFFF"/>
            <w:noWrap/>
            <w:vAlign w:val="center"/>
            <w:hideMark/>
          </w:tcPr>
          <w:p w14:paraId="0DA63DCA"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$1,222 </w:t>
            </w:r>
          </w:p>
        </w:tc>
        <w:tc>
          <w:tcPr>
            <w:tcW w:w="1333" w:type="dxa"/>
            <w:tcBorders>
              <w:top w:val="nil"/>
              <w:left w:val="nil"/>
              <w:bottom w:val="single" w:sz="12" w:space="0" w:color="1E1545"/>
              <w:right w:val="nil"/>
            </w:tcBorders>
            <w:shd w:val="clear" w:color="000000" w:fill="FFFFFF"/>
            <w:noWrap/>
            <w:vAlign w:val="center"/>
            <w:hideMark/>
          </w:tcPr>
          <w:p w14:paraId="3D9D19C4"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$713 </w:t>
            </w:r>
          </w:p>
        </w:tc>
        <w:tc>
          <w:tcPr>
            <w:tcW w:w="1332" w:type="dxa"/>
            <w:tcBorders>
              <w:top w:val="nil"/>
              <w:left w:val="nil"/>
              <w:bottom w:val="single" w:sz="12" w:space="0" w:color="1E1545"/>
              <w:right w:val="nil"/>
            </w:tcBorders>
            <w:shd w:val="clear" w:color="000000" w:fill="FFFFFF"/>
            <w:noWrap/>
            <w:vAlign w:val="center"/>
            <w:hideMark/>
          </w:tcPr>
          <w:p w14:paraId="4EF2548F"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($9)</w:t>
            </w:r>
          </w:p>
        </w:tc>
        <w:tc>
          <w:tcPr>
            <w:tcW w:w="1333" w:type="dxa"/>
            <w:tcBorders>
              <w:top w:val="nil"/>
              <w:left w:val="nil"/>
              <w:bottom w:val="single" w:sz="12" w:space="0" w:color="1E1545"/>
              <w:right w:val="nil"/>
            </w:tcBorders>
            <w:shd w:val="clear" w:color="000000" w:fill="FFFFFF"/>
            <w:noWrap/>
            <w:vAlign w:val="center"/>
            <w:hideMark/>
          </w:tcPr>
          <w:p w14:paraId="41A2E26B"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$520 </w:t>
            </w:r>
          </w:p>
        </w:tc>
      </w:tr>
      <w:tr w:rsidR="009F4831" w:rsidRPr="009F4831" w14:paraId="1E307569" w14:textId="77777777" w:rsidTr="00032827">
        <w:trPr>
          <w:trHeight w:val="560"/>
        </w:trPr>
        <w:tc>
          <w:tcPr>
            <w:tcW w:w="2410" w:type="dxa"/>
            <w:tcBorders>
              <w:top w:val="nil"/>
              <w:left w:val="nil"/>
              <w:bottom w:val="single" w:sz="12" w:space="0" w:color="1E1545"/>
              <w:right w:val="nil"/>
            </w:tcBorders>
            <w:shd w:val="clear" w:color="000000" w:fill="FFFFFF"/>
            <w:vAlign w:val="center"/>
            <w:hideMark/>
          </w:tcPr>
          <w:p w14:paraId="23E19B75"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Average EBITDA per resident per annum</w:t>
            </w:r>
          </w:p>
        </w:tc>
        <w:tc>
          <w:tcPr>
            <w:tcW w:w="1332" w:type="dxa"/>
            <w:tcBorders>
              <w:top w:val="nil"/>
              <w:left w:val="nil"/>
              <w:bottom w:val="single" w:sz="12" w:space="0" w:color="1E1545"/>
              <w:right w:val="nil"/>
            </w:tcBorders>
            <w:shd w:val="clear" w:color="000000" w:fill="FFFFFF"/>
            <w:noWrap/>
            <w:vAlign w:val="center"/>
            <w:hideMark/>
          </w:tcPr>
          <w:p w14:paraId="2115A3C8"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$8,523 </w:t>
            </w:r>
          </w:p>
        </w:tc>
        <w:tc>
          <w:tcPr>
            <w:tcW w:w="1332" w:type="dxa"/>
            <w:tcBorders>
              <w:top w:val="nil"/>
              <w:left w:val="nil"/>
              <w:bottom w:val="single" w:sz="12" w:space="0" w:color="1E1545"/>
              <w:right w:val="nil"/>
            </w:tcBorders>
            <w:shd w:val="clear" w:color="000000" w:fill="FFFFFF"/>
            <w:noWrap/>
            <w:vAlign w:val="center"/>
            <w:hideMark/>
          </w:tcPr>
          <w:p w14:paraId="5639060C"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$6,445 </w:t>
            </w:r>
          </w:p>
        </w:tc>
        <w:tc>
          <w:tcPr>
            <w:tcW w:w="1333" w:type="dxa"/>
            <w:tcBorders>
              <w:top w:val="nil"/>
              <w:left w:val="nil"/>
              <w:bottom w:val="single" w:sz="12" w:space="0" w:color="1E1545"/>
              <w:right w:val="nil"/>
            </w:tcBorders>
            <w:shd w:val="clear" w:color="000000" w:fill="FFFFFF"/>
            <w:noWrap/>
            <w:vAlign w:val="center"/>
            <w:hideMark/>
          </w:tcPr>
          <w:p w14:paraId="64A9E4C1"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$3,771 </w:t>
            </w:r>
          </w:p>
        </w:tc>
        <w:tc>
          <w:tcPr>
            <w:tcW w:w="1332" w:type="dxa"/>
            <w:tcBorders>
              <w:top w:val="nil"/>
              <w:left w:val="nil"/>
              <w:bottom w:val="single" w:sz="12" w:space="0" w:color="1E1545"/>
              <w:right w:val="nil"/>
            </w:tcBorders>
            <w:shd w:val="clear" w:color="000000" w:fill="FFFFFF"/>
            <w:noWrap/>
            <w:vAlign w:val="center"/>
            <w:hideMark/>
          </w:tcPr>
          <w:p w14:paraId="64B9BD9E"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($46)</w:t>
            </w:r>
          </w:p>
        </w:tc>
        <w:tc>
          <w:tcPr>
            <w:tcW w:w="1333" w:type="dxa"/>
            <w:tcBorders>
              <w:top w:val="nil"/>
              <w:left w:val="nil"/>
              <w:bottom w:val="single" w:sz="12" w:space="0" w:color="1E1545"/>
              <w:right w:val="nil"/>
            </w:tcBorders>
            <w:shd w:val="clear" w:color="000000" w:fill="FFFFFF"/>
            <w:noWrap/>
            <w:vAlign w:val="center"/>
            <w:hideMark/>
          </w:tcPr>
          <w:p w14:paraId="44AC39C1" w14:textId="77777777"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 xml:space="preserve">$2,764 </w:t>
            </w:r>
          </w:p>
        </w:tc>
      </w:tr>
      <w:tr w:rsidR="009F4831" w:rsidRPr="009F4831" w14:paraId="2BEC3385" w14:textId="77777777" w:rsidTr="00032827">
        <w:trPr>
          <w:trHeight w:val="330"/>
        </w:trPr>
        <w:tc>
          <w:tcPr>
            <w:tcW w:w="2410" w:type="dxa"/>
            <w:tcBorders>
              <w:top w:val="nil"/>
              <w:left w:val="nil"/>
              <w:bottom w:val="single" w:sz="12" w:space="0" w:color="1E1545"/>
              <w:right w:val="nil"/>
            </w:tcBorders>
            <w:shd w:val="clear" w:color="000000" w:fill="FFFFFF"/>
            <w:noWrap/>
            <w:vAlign w:val="center"/>
            <w:hideMark/>
          </w:tcPr>
          <w:p w14:paraId="4414FDE2" w14:textId="77777777" w:rsidR="009F4831" w:rsidRPr="009F4831" w:rsidRDefault="009F4831" w:rsidP="009F4831">
            <w:pPr>
              <w:spacing w:before="0" w:after="0" w:line="240" w:lineRule="auto"/>
              <w:rPr>
                <w:rFonts w:cs="Arial"/>
                <w:bCs w:val="0"/>
                <w:color w:val="1E1545"/>
                <w:sz w:val="21"/>
                <w:szCs w:val="21"/>
                <w:lang w:eastAsia="en-AU"/>
              </w:rPr>
            </w:pPr>
            <w:r w:rsidRPr="009F4831">
              <w:rPr>
                <w:rFonts w:cs="Arial"/>
                <w:bCs w:val="0"/>
                <w:color w:val="1E1545"/>
                <w:sz w:val="21"/>
                <w:szCs w:val="21"/>
                <w:lang w:eastAsia="en-AU"/>
              </w:rPr>
              <w:t>EBITDA margin</w:t>
            </w:r>
          </w:p>
        </w:tc>
        <w:tc>
          <w:tcPr>
            <w:tcW w:w="1332" w:type="dxa"/>
            <w:tcBorders>
              <w:top w:val="nil"/>
              <w:left w:val="nil"/>
              <w:bottom w:val="single" w:sz="12" w:space="0" w:color="1E1545"/>
              <w:right w:val="nil"/>
            </w:tcBorders>
            <w:shd w:val="clear" w:color="000000" w:fill="FFFFFF"/>
            <w:noWrap/>
            <w:vAlign w:val="center"/>
            <w:hideMark/>
          </w:tcPr>
          <w:p w14:paraId="745C9E8A" w14:textId="5EF8C455"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8.2%</w:t>
            </w:r>
          </w:p>
        </w:tc>
        <w:tc>
          <w:tcPr>
            <w:tcW w:w="1332" w:type="dxa"/>
            <w:tcBorders>
              <w:top w:val="nil"/>
              <w:left w:val="nil"/>
              <w:bottom w:val="single" w:sz="12" w:space="0" w:color="1E1545"/>
              <w:right w:val="nil"/>
            </w:tcBorders>
            <w:shd w:val="clear" w:color="000000" w:fill="FFFFFF"/>
            <w:noWrap/>
            <w:vAlign w:val="center"/>
            <w:hideMark/>
          </w:tcPr>
          <w:p w14:paraId="203B135D" w14:textId="2FF60E65"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6.0%</w:t>
            </w:r>
          </w:p>
        </w:tc>
        <w:tc>
          <w:tcPr>
            <w:tcW w:w="1333" w:type="dxa"/>
            <w:tcBorders>
              <w:top w:val="nil"/>
              <w:left w:val="nil"/>
              <w:bottom w:val="single" w:sz="12" w:space="0" w:color="1E1545"/>
              <w:right w:val="nil"/>
            </w:tcBorders>
            <w:shd w:val="clear" w:color="000000" w:fill="FFFFFF"/>
            <w:noWrap/>
            <w:vAlign w:val="center"/>
            <w:hideMark/>
          </w:tcPr>
          <w:p w14:paraId="15629ABF" w14:textId="38B994FB"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3.3%</w:t>
            </w:r>
          </w:p>
        </w:tc>
        <w:tc>
          <w:tcPr>
            <w:tcW w:w="1332" w:type="dxa"/>
            <w:tcBorders>
              <w:top w:val="nil"/>
              <w:left w:val="nil"/>
              <w:bottom w:val="single" w:sz="12" w:space="0" w:color="1E1545"/>
              <w:right w:val="nil"/>
            </w:tcBorders>
            <w:shd w:val="clear" w:color="000000" w:fill="FFFFFF"/>
            <w:noWrap/>
            <w:vAlign w:val="center"/>
            <w:hideMark/>
          </w:tcPr>
          <w:p w14:paraId="02D76190" w14:textId="6F5FC55F"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0.0%</w:t>
            </w:r>
          </w:p>
        </w:tc>
        <w:tc>
          <w:tcPr>
            <w:tcW w:w="1333" w:type="dxa"/>
            <w:tcBorders>
              <w:top w:val="nil"/>
              <w:left w:val="nil"/>
              <w:bottom w:val="single" w:sz="12" w:space="0" w:color="1E1545"/>
              <w:right w:val="nil"/>
            </w:tcBorders>
            <w:shd w:val="clear" w:color="000000" w:fill="FFFFFF"/>
            <w:noWrap/>
            <w:vAlign w:val="center"/>
            <w:hideMark/>
          </w:tcPr>
          <w:p w14:paraId="1BC6926D" w14:textId="4823B463" w:rsidR="009F4831" w:rsidRPr="009F4831" w:rsidRDefault="009F4831" w:rsidP="009F4831">
            <w:pPr>
              <w:spacing w:before="0" w:after="0" w:line="240" w:lineRule="auto"/>
              <w:jc w:val="right"/>
              <w:rPr>
                <w:rFonts w:cs="Arial"/>
                <w:bCs w:val="0"/>
                <w:color w:val="1E1545"/>
                <w:sz w:val="21"/>
                <w:szCs w:val="21"/>
                <w:lang w:eastAsia="en-AU"/>
              </w:rPr>
            </w:pPr>
            <w:r w:rsidRPr="009F4831">
              <w:rPr>
                <w:rFonts w:cs="Arial"/>
                <w:bCs w:val="0"/>
                <w:color w:val="1E1545"/>
                <w:sz w:val="21"/>
                <w:szCs w:val="21"/>
                <w:lang w:eastAsia="en-AU"/>
              </w:rPr>
              <w:t>2.1%</w:t>
            </w:r>
          </w:p>
        </w:tc>
      </w:tr>
    </w:tbl>
    <w:p w14:paraId="6F4D1C70" w14:textId="77777777" w:rsidR="006F4F12" w:rsidRDefault="006F4F12" w:rsidP="006F4F12">
      <w:pPr>
        <w:spacing w:before="0" w:after="0" w:line="240" w:lineRule="auto"/>
      </w:pPr>
      <w:r>
        <w:br w:type="page"/>
      </w:r>
    </w:p>
    <w:p w14:paraId="15979EFD" w14:textId="77777777" w:rsidR="001377BE" w:rsidRPr="00B662EC" w:rsidRDefault="00AE0AFB" w:rsidP="00E7388B">
      <w:r w:rsidRPr="00852A3B">
        <w:fldChar w:fldCharType="begin"/>
      </w:r>
      <w:r w:rsidRPr="00852A3B">
        <w:instrText xml:space="preserve"> REF _Ref162511774 \h </w:instrText>
      </w:r>
      <w:r w:rsidR="00852A3B">
        <w:instrText xml:space="preserve"> \* MERGEFORMAT </w:instrText>
      </w:r>
      <w:r w:rsidRPr="00852A3B">
        <w:fldChar w:fldCharType="separate"/>
      </w:r>
      <w:r w:rsidR="001377BE">
        <w:t>In</w:t>
      </w:r>
      <w:r w:rsidR="001377BE" w:rsidRPr="001377BE">
        <w:t xml:space="preserve"> </w:t>
      </w:r>
      <w:r w:rsidR="001377BE">
        <w:rPr>
          <w:noProof/>
        </w:rPr>
        <w:t>2022-23,</w:t>
      </w:r>
      <w:r w:rsidR="001377BE">
        <w:rPr>
          <w:spacing w:val="-6"/>
        </w:rPr>
        <w:t xml:space="preserve"> </w:t>
      </w:r>
      <w:r w:rsidR="001377BE">
        <w:t>43%</w:t>
      </w:r>
      <w:r w:rsidR="001377BE">
        <w:rPr>
          <w:spacing w:val="-10"/>
        </w:rPr>
        <w:t xml:space="preserve"> </w:t>
      </w:r>
      <w:r w:rsidR="001377BE">
        <w:t>of</w:t>
      </w:r>
      <w:r w:rsidR="001377BE">
        <w:rPr>
          <w:spacing w:val="-6"/>
        </w:rPr>
        <w:t xml:space="preserve"> </w:t>
      </w:r>
      <w:r w:rsidR="001377BE">
        <w:t>providers</w:t>
      </w:r>
      <w:r w:rsidR="001377BE">
        <w:rPr>
          <w:spacing w:val="-6"/>
        </w:rPr>
        <w:t xml:space="preserve"> </w:t>
      </w:r>
      <w:r w:rsidR="001377BE">
        <w:t>reported</w:t>
      </w:r>
      <w:r w:rsidR="001377BE">
        <w:rPr>
          <w:spacing w:val="-6"/>
        </w:rPr>
        <w:t xml:space="preserve"> </w:t>
      </w:r>
      <w:r w:rsidR="001377BE">
        <w:t>a</w:t>
      </w:r>
      <w:r w:rsidR="001377BE">
        <w:rPr>
          <w:spacing w:val="-6"/>
        </w:rPr>
        <w:t xml:space="preserve"> </w:t>
      </w:r>
      <w:r w:rsidR="001377BE">
        <w:t xml:space="preserve">positive NPBT result, up from 31% in </w:t>
      </w:r>
      <w:r w:rsidR="001377BE">
        <w:br/>
        <w:t>2021-22. This represents 30% of total operational beds in the residential care sector.</w:t>
      </w:r>
    </w:p>
    <w:p w14:paraId="2AC89D2C" w14:textId="476F0843" w:rsidR="00AE0AFB" w:rsidRPr="00852A3B" w:rsidRDefault="001377BE" w:rsidP="00AE0AFB">
      <w:r>
        <w:t xml:space="preserve">Table </w:t>
      </w:r>
      <w:r>
        <w:rPr>
          <w:noProof/>
        </w:rPr>
        <w:t>3.2</w:t>
      </w:r>
      <w:r w:rsidR="00AE0AFB" w:rsidRPr="00852A3B">
        <w:fldChar w:fldCharType="end"/>
      </w:r>
      <w:r w:rsidR="00AE0AFB" w:rsidRPr="00852A3B">
        <w:t xml:space="preserve"> shows</w:t>
      </w:r>
      <w:r w:rsidR="00AE0AFB" w:rsidRPr="00852A3B">
        <w:rPr>
          <w:spacing w:val="-7"/>
        </w:rPr>
        <w:t xml:space="preserve"> </w:t>
      </w:r>
      <w:r w:rsidR="00AE0AFB" w:rsidRPr="00852A3B">
        <w:t>the</w:t>
      </w:r>
      <w:r w:rsidR="00AE0AFB" w:rsidRPr="00852A3B">
        <w:rPr>
          <w:spacing w:val="-7"/>
        </w:rPr>
        <w:t xml:space="preserve"> </w:t>
      </w:r>
      <w:r w:rsidR="00AE0AFB" w:rsidRPr="00852A3B">
        <w:t>financial</w:t>
      </w:r>
      <w:r w:rsidR="00AE0AFB" w:rsidRPr="00852A3B">
        <w:rPr>
          <w:spacing w:val="-7"/>
        </w:rPr>
        <w:t xml:space="preserve"> </w:t>
      </w:r>
      <w:r w:rsidR="00AE0AFB" w:rsidRPr="00852A3B">
        <w:t>performance</w:t>
      </w:r>
      <w:r w:rsidR="00AE0AFB" w:rsidRPr="00852A3B">
        <w:rPr>
          <w:spacing w:val="-7"/>
        </w:rPr>
        <w:t xml:space="preserve"> </w:t>
      </w:r>
      <w:r w:rsidR="00AE0AFB" w:rsidRPr="00852A3B">
        <w:t>of providers</w:t>
      </w:r>
      <w:r w:rsidR="00AE0AFB" w:rsidRPr="00852A3B">
        <w:rPr>
          <w:spacing w:val="-9"/>
        </w:rPr>
        <w:t xml:space="preserve"> </w:t>
      </w:r>
      <w:r w:rsidR="00AE0AFB" w:rsidRPr="00852A3B">
        <w:t>in</w:t>
      </w:r>
      <w:r w:rsidR="00AE0AFB" w:rsidRPr="00852A3B">
        <w:rPr>
          <w:spacing w:val="-12"/>
        </w:rPr>
        <w:t xml:space="preserve"> </w:t>
      </w:r>
      <w:r w:rsidR="00AE0AFB" w:rsidRPr="00852A3B">
        <w:t>2022</w:t>
      </w:r>
      <w:r w:rsidR="00EA0AE3" w:rsidRPr="00852A3B">
        <w:t>-23</w:t>
      </w:r>
      <w:r w:rsidR="00AE0AFB" w:rsidRPr="00852A3B">
        <w:rPr>
          <w:spacing w:val="-9"/>
        </w:rPr>
        <w:t xml:space="preserve"> </w:t>
      </w:r>
      <w:r w:rsidR="00AE0AFB" w:rsidRPr="00852A3B">
        <w:t>by</w:t>
      </w:r>
      <w:r w:rsidR="00AE0AFB" w:rsidRPr="00852A3B">
        <w:rPr>
          <w:spacing w:val="-9"/>
        </w:rPr>
        <w:t xml:space="preserve"> </w:t>
      </w:r>
      <w:r w:rsidR="00AE0AFB" w:rsidRPr="00852A3B">
        <w:t>ownership</w:t>
      </w:r>
      <w:r w:rsidR="00AE0AFB" w:rsidRPr="00852A3B">
        <w:rPr>
          <w:spacing w:val="-9"/>
        </w:rPr>
        <w:t xml:space="preserve"> </w:t>
      </w:r>
      <w:r w:rsidR="00AE0AFB" w:rsidRPr="00852A3B">
        <w:t>type,</w:t>
      </w:r>
      <w:r w:rsidR="00AE0AFB" w:rsidRPr="00852A3B">
        <w:rPr>
          <w:spacing w:val="-9"/>
        </w:rPr>
        <w:t xml:space="preserve"> </w:t>
      </w:r>
      <w:r w:rsidR="00AE0AFB" w:rsidRPr="00852A3B">
        <w:t>location</w:t>
      </w:r>
      <w:r w:rsidR="00AE0AFB" w:rsidRPr="00852A3B">
        <w:rPr>
          <w:spacing w:val="-9"/>
        </w:rPr>
        <w:t xml:space="preserve"> </w:t>
      </w:r>
      <w:r w:rsidR="00AE0AFB" w:rsidRPr="00852A3B">
        <w:t>and scale.</w:t>
      </w:r>
      <w:r w:rsidR="00AE0AFB" w:rsidRPr="00852A3B">
        <w:rPr>
          <w:spacing w:val="-7"/>
        </w:rPr>
        <w:t xml:space="preserve"> </w:t>
      </w:r>
      <w:r w:rsidR="00AE0AFB" w:rsidRPr="00B04EB7">
        <w:t xml:space="preserve">Based on EBITDA per resident per year, </w:t>
      </w:r>
      <w:r w:rsidR="00F26403">
        <w:t>not-</w:t>
      </w:r>
      <w:r w:rsidR="00AE0AFB" w:rsidRPr="00B04EB7">
        <w:t xml:space="preserve">for-profit providers outperformed for-profit providers, and metropolitan providers significantly outperformed regional </w:t>
      </w:r>
      <w:r w:rsidR="00C27E77">
        <w:t xml:space="preserve">and </w:t>
      </w:r>
      <w:r w:rsidR="00E95E3E">
        <w:t xml:space="preserve">metropolitan/regional </w:t>
      </w:r>
      <w:r w:rsidR="00AE0AFB" w:rsidRPr="00B04EB7">
        <w:t>providers</w:t>
      </w:r>
      <w:r w:rsidR="00B02AF6">
        <w:t>.</w:t>
      </w:r>
      <w:r w:rsidR="00780132">
        <w:t xml:space="preserve"> </w:t>
      </w:r>
    </w:p>
    <w:p w14:paraId="1726A182" w14:textId="6FE5FAC6" w:rsidR="00E7388B" w:rsidRPr="00B662EC" w:rsidRDefault="00E7388B" w:rsidP="00E7388B">
      <w:bookmarkStart w:id="97" w:name="_Ref162511774"/>
      <w:r>
        <w:t>In</w:t>
      </w:r>
      <w:r>
        <w:rPr>
          <w:spacing w:val="-10"/>
        </w:rPr>
        <w:t xml:space="preserve"> </w:t>
      </w:r>
      <w:r>
        <w:t>2022-23,</w:t>
      </w:r>
      <w:r>
        <w:rPr>
          <w:spacing w:val="-6"/>
        </w:rPr>
        <w:t xml:space="preserve"> </w:t>
      </w:r>
      <w:r>
        <w:t>43%</w:t>
      </w:r>
      <w:r>
        <w:rPr>
          <w:spacing w:val="-10"/>
        </w:rPr>
        <w:t xml:space="preserve"> </w:t>
      </w:r>
      <w:r>
        <w:t>of</w:t>
      </w:r>
      <w:r>
        <w:rPr>
          <w:spacing w:val="-6"/>
        </w:rPr>
        <w:t xml:space="preserve"> </w:t>
      </w:r>
      <w:r>
        <w:t>providers</w:t>
      </w:r>
      <w:r>
        <w:rPr>
          <w:spacing w:val="-6"/>
        </w:rPr>
        <w:t xml:space="preserve"> </w:t>
      </w:r>
      <w:r>
        <w:t>reported</w:t>
      </w:r>
      <w:r>
        <w:rPr>
          <w:spacing w:val="-6"/>
        </w:rPr>
        <w:t xml:space="preserve"> </w:t>
      </w:r>
      <w:r>
        <w:t>a</w:t>
      </w:r>
      <w:r>
        <w:rPr>
          <w:spacing w:val="-6"/>
        </w:rPr>
        <w:t xml:space="preserve"> </w:t>
      </w:r>
      <w:r>
        <w:t xml:space="preserve">positive </w:t>
      </w:r>
      <w:r w:rsidR="518305F0">
        <w:t>NPBT</w:t>
      </w:r>
      <w:r>
        <w:t xml:space="preserve"> result, up from 31% in </w:t>
      </w:r>
      <w:r>
        <w:br/>
        <w:t>2021-22. This represents 30% of total operational beds in the residential care sector.</w:t>
      </w:r>
    </w:p>
    <w:p w14:paraId="618D8553" w14:textId="3B1D616C" w:rsidR="00C23961" w:rsidRDefault="00684683" w:rsidP="00706D0A">
      <w:pPr>
        <w:pStyle w:val="Caption"/>
      </w:pPr>
      <w:bookmarkStart w:id="98" w:name="_Toc173428884"/>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2</w:t>
      </w:r>
      <w:r w:rsidR="00AE19AA">
        <w:rPr>
          <w:noProof/>
        </w:rPr>
        <w:fldChar w:fldCharType="end"/>
      </w:r>
      <w:bookmarkEnd w:id="97"/>
      <w:r>
        <w:t xml:space="preserve">: </w:t>
      </w:r>
      <w:r w:rsidRPr="00525328">
        <w:t>Summary of financial performance of residential care providers, by ownership, location and scale, 2022</w:t>
      </w:r>
      <w:r w:rsidR="00D20FBE">
        <w:t>-23</w:t>
      </w:r>
      <w:bookmarkEnd w:id="98"/>
    </w:p>
    <w:tbl>
      <w:tblPr>
        <w:tblW w:w="10206" w:type="dxa"/>
        <w:tblLook w:val="04A0" w:firstRow="1" w:lastRow="0" w:firstColumn="1" w:lastColumn="0" w:noHBand="0" w:noVBand="1"/>
      </w:tblPr>
      <w:tblGrid>
        <w:gridCol w:w="919"/>
        <w:gridCol w:w="868"/>
        <w:gridCol w:w="800"/>
        <w:gridCol w:w="799"/>
        <w:gridCol w:w="901"/>
        <w:gridCol w:w="885"/>
        <w:gridCol w:w="799"/>
        <w:gridCol w:w="777"/>
        <w:gridCol w:w="907"/>
        <w:gridCol w:w="850"/>
        <w:gridCol w:w="851"/>
        <w:gridCol w:w="850"/>
      </w:tblGrid>
      <w:tr w:rsidR="00492931" w:rsidRPr="00492931" w14:paraId="3A0E61BA" w14:textId="77777777" w:rsidTr="00492931">
        <w:trPr>
          <w:trHeight w:val="561"/>
        </w:trPr>
        <w:tc>
          <w:tcPr>
            <w:tcW w:w="919" w:type="dxa"/>
            <w:tcBorders>
              <w:top w:val="single" w:sz="12" w:space="0" w:color="1E1545"/>
              <w:left w:val="nil"/>
              <w:bottom w:val="single" w:sz="12" w:space="0" w:color="1E1545"/>
              <w:right w:val="nil"/>
            </w:tcBorders>
            <w:shd w:val="clear" w:color="000000" w:fill="1E1545"/>
            <w:vAlign w:val="center"/>
            <w:hideMark/>
          </w:tcPr>
          <w:p w14:paraId="516DD54A" w14:textId="77777777" w:rsidR="00492931" w:rsidRPr="00492931" w:rsidRDefault="00492931" w:rsidP="00492931">
            <w:pPr>
              <w:spacing w:before="0" w:after="0" w:line="240" w:lineRule="auto"/>
              <w:rPr>
                <w:rFonts w:cs="Arial"/>
                <w:b/>
                <w:color w:val="F1F2F2"/>
                <w:sz w:val="16"/>
                <w:szCs w:val="16"/>
                <w:lang w:eastAsia="en-AU"/>
              </w:rPr>
            </w:pPr>
            <w:r w:rsidRPr="00492931">
              <w:rPr>
                <w:rFonts w:cs="Arial"/>
                <w:b/>
                <w:color w:val="F1F2F2"/>
                <w:sz w:val="16"/>
                <w:szCs w:val="16"/>
                <w:lang w:eastAsia="en-AU"/>
              </w:rPr>
              <w:t> </w:t>
            </w:r>
          </w:p>
        </w:tc>
        <w:tc>
          <w:tcPr>
            <w:tcW w:w="868" w:type="dxa"/>
            <w:tcBorders>
              <w:top w:val="single" w:sz="12" w:space="0" w:color="1E1545"/>
              <w:left w:val="nil"/>
              <w:bottom w:val="single" w:sz="12" w:space="0" w:color="1E1545"/>
              <w:right w:val="single" w:sz="8" w:space="0" w:color="auto"/>
            </w:tcBorders>
            <w:shd w:val="clear" w:color="000000" w:fill="1E1545"/>
            <w:vAlign w:val="center"/>
            <w:hideMark/>
          </w:tcPr>
          <w:p w14:paraId="7D9C473A" w14:textId="77777777" w:rsidR="00492931" w:rsidRPr="00492931" w:rsidRDefault="00492931" w:rsidP="00492931">
            <w:pPr>
              <w:spacing w:before="0" w:after="0" w:line="240" w:lineRule="auto"/>
              <w:jc w:val="right"/>
              <w:rPr>
                <w:rFonts w:cs="Arial"/>
                <w:b/>
                <w:color w:val="F1F2F2"/>
                <w:sz w:val="16"/>
                <w:szCs w:val="16"/>
                <w:lang w:eastAsia="en-AU"/>
              </w:rPr>
            </w:pPr>
            <w:r w:rsidRPr="00492931">
              <w:rPr>
                <w:rFonts w:cs="Arial"/>
                <w:b/>
                <w:color w:val="F1F2F2"/>
                <w:sz w:val="16"/>
                <w:szCs w:val="16"/>
                <w:lang w:eastAsia="en-AU"/>
              </w:rPr>
              <w:t> </w:t>
            </w:r>
          </w:p>
        </w:tc>
        <w:tc>
          <w:tcPr>
            <w:tcW w:w="2500" w:type="dxa"/>
            <w:gridSpan w:val="3"/>
            <w:tcBorders>
              <w:top w:val="single" w:sz="12" w:space="0" w:color="1E1545"/>
              <w:left w:val="nil"/>
              <w:bottom w:val="single" w:sz="12" w:space="0" w:color="1E1545"/>
              <w:right w:val="single" w:sz="8" w:space="0" w:color="000000"/>
            </w:tcBorders>
            <w:shd w:val="clear" w:color="000000" w:fill="1E1545"/>
            <w:vAlign w:val="center"/>
            <w:hideMark/>
          </w:tcPr>
          <w:p w14:paraId="6F6589FB" w14:textId="77777777" w:rsidR="00492931" w:rsidRPr="00492931" w:rsidRDefault="00492931" w:rsidP="00492931">
            <w:pPr>
              <w:spacing w:before="0" w:after="0" w:line="240" w:lineRule="auto"/>
              <w:jc w:val="center"/>
              <w:rPr>
                <w:rFonts w:cs="Arial"/>
                <w:b/>
                <w:color w:val="F1F2F2"/>
                <w:sz w:val="16"/>
                <w:szCs w:val="16"/>
                <w:lang w:eastAsia="en-AU"/>
              </w:rPr>
            </w:pPr>
            <w:r w:rsidRPr="00492931">
              <w:rPr>
                <w:rFonts w:cs="Arial"/>
                <w:b/>
                <w:color w:val="F1F2F2"/>
                <w:sz w:val="16"/>
                <w:szCs w:val="16"/>
                <w:lang w:eastAsia="en-AU"/>
              </w:rPr>
              <w:t>Ownership type</w:t>
            </w:r>
          </w:p>
        </w:tc>
        <w:tc>
          <w:tcPr>
            <w:tcW w:w="2461" w:type="dxa"/>
            <w:gridSpan w:val="3"/>
            <w:tcBorders>
              <w:top w:val="single" w:sz="12" w:space="0" w:color="1E1545"/>
              <w:left w:val="nil"/>
              <w:bottom w:val="single" w:sz="12" w:space="0" w:color="1E1545"/>
              <w:right w:val="single" w:sz="8" w:space="0" w:color="000000"/>
            </w:tcBorders>
            <w:shd w:val="clear" w:color="000000" w:fill="1E1545"/>
            <w:vAlign w:val="center"/>
            <w:hideMark/>
          </w:tcPr>
          <w:p w14:paraId="256B6396" w14:textId="77777777" w:rsidR="00492931" w:rsidRPr="00492931" w:rsidRDefault="00492931" w:rsidP="00492931">
            <w:pPr>
              <w:spacing w:before="0" w:after="0" w:line="240" w:lineRule="auto"/>
              <w:jc w:val="center"/>
              <w:rPr>
                <w:rFonts w:cs="Arial"/>
                <w:b/>
                <w:color w:val="F1F2F2"/>
                <w:sz w:val="16"/>
                <w:szCs w:val="16"/>
                <w:lang w:eastAsia="en-AU"/>
              </w:rPr>
            </w:pPr>
            <w:r w:rsidRPr="00492931">
              <w:rPr>
                <w:rFonts w:cs="Arial"/>
                <w:b/>
                <w:color w:val="F1F2F2"/>
                <w:sz w:val="16"/>
                <w:szCs w:val="16"/>
                <w:lang w:eastAsia="en-AU"/>
              </w:rPr>
              <w:t>Location</w:t>
            </w:r>
          </w:p>
        </w:tc>
        <w:tc>
          <w:tcPr>
            <w:tcW w:w="3458" w:type="dxa"/>
            <w:gridSpan w:val="4"/>
            <w:tcBorders>
              <w:top w:val="single" w:sz="12" w:space="0" w:color="1E1545"/>
              <w:left w:val="nil"/>
              <w:bottom w:val="single" w:sz="12" w:space="0" w:color="1E1545"/>
              <w:right w:val="nil"/>
            </w:tcBorders>
            <w:shd w:val="clear" w:color="000000" w:fill="1E1545"/>
            <w:vAlign w:val="center"/>
            <w:hideMark/>
          </w:tcPr>
          <w:p w14:paraId="23D83FA5" w14:textId="77777777" w:rsidR="00492931" w:rsidRPr="00492931" w:rsidRDefault="00492931" w:rsidP="00492931">
            <w:pPr>
              <w:spacing w:before="0" w:after="0" w:line="240" w:lineRule="auto"/>
              <w:jc w:val="center"/>
              <w:rPr>
                <w:rFonts w:cs="Arial"/>
                <w:b/>
                <w:color w:val="F1F2F2"/>
                <w:sz w:val="16"/>
                <w:szCs w:val="16"/>
                <w:lang w:eastAsia="en-AU"/>
              </w:rPr>
            </w:pPr>
            <w:r w:rsidRPr="00492931">
              <w:rPr>
                <w:rFonts w:cs="Arial"/>
                <w:b/>
                <w:color w:val="F1F2F2"/>
                <w:sz w:val="16"/>
                <w:szCs w:val="16"/>
                <w:lang w:eastAsia="en-AU"/>
              </w:rPr>
              <w:t>Scale</w:t>
            </w:r>
          </w:p>
        </w:tc>
      </w:tr>
      <w:tr w:rsidR="00492931" w:rsidRPr="00492931" w14:paraId="752EE2AE" w14:textId="77777777" w:rsidTr="00492931">
        <w:trPr>
          <w:trHeight w:val="1435"/>
        </w:trPr>
        <w:tc>
          <w:tcPr>
            <w:tcW w:w="919" w:type="dxa"/>
            <w:tcBorders>
              <w:top w:val="nil"/>
              <w:left w:val="nil"/>
              <w:bottom w:val="single" w:sz="12" w:space="0" w:color="1E1545"/>
              <w:right w:val="nil"/>
            </w:tcBorders>
            <w:shd w:val="clear" w:color="000000" w:fill="D8DADA"/>
            <w:vAlign w:val="center"/>
            <w:hideMark/>
          </w:tcPr>
          <w:p w14:paraId="54C7ECAB" w14:textId="77777777" w:rsidR="00492931" w:rsidRPr="00492931" w:rsidRDefault="00492931" w:rsidP="00492931">
            <w:pPr>
              <w:spacing w:before="0" w:after="0" w:line="240" w:lineRule="auto"/>
              <w:rPr>
                <w:rFonts w:cs="Arial"/>
                <w:b/>
                <w:color w:val="1E1545"/>
                <w:sz w:val="16"/>
                <w:szCs w:val="16"/>
                <w:lang w:eastAsia="en-AU"/>
              </w:rPr>
            </w:pPr>
            <w:r w:rsidRPr="00492931">
              <w:rPr>
                <w:rFonts w:cs="Arial"/>
                <w:b/>
                <w:color w:val="1E1545"/>
                <w:sz w:val="16"/>
                <w:szCs w:val="16"/>
                <w:lang w:eastAsia="en-AU"/>
              </w:rPr>
              <w:t> </w:t>
            </w:r>
          </w:p>
        </w:tc>
        <w:tc>
          <w:tcPr>
            <w:tcW w:w="868" w:type="dxa"/>
            <w:tcBorders>
              <w:top w:val="nil"/>
              <w:left w:val="nil"/>
              <w:bottom w:val="single" w:sz="12" w:space="0" w:color="1E1545"/>
              <w:right w:val="single" w:sz="8" w:space="0" w:color="auto"/>
            </w:tcBorders>
            <w:shd w:val="clear" w:color="000000" w:fill="D8DADA"/>
            <w:textDirection w:val="btLr"/>
            <w:vAlign w:val="bottom"/>
            <w:hideMark/>
          </w:tcPr>
          <w:p w14:paraId="14CF3CA2"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Total sector</w:t>
            </w:r>
            <w:r w:rsidRPr="00492931">
              <w:rPr>
                <w:rFonts w:cs="Arial"/>
                <w:b/>
                <w:color w:val="1E1545"/>
                <w:sz w:val="16"/>
                <w:szCs w:val="16"/>
                <w:lang w:eastAsia="en-AU"/>
              </w:rPr>
              <w:br/>
              <w:t>2022-23</w:t>
            </w:r>
          </w:p>
        </w:tc>
        <w:tc>
          <w:tcPr>
            <w:tcW w:w="800" w:type="dxa"/>
            <w:tcBorders>
              <w:top w:val="nil"/>
              <w:left w:val="nil"/>
              <w:bottom w:val="single" w:sz="12" w:space="0" w:color="1E1545"/>
              <w:right w:val="nil"/>
            </w:tcBorders>
            <w:shd w:val="clear" w:color="000000" w:fill="D8DADA"/>
            <w:textDirection w:val="btLr"/>
            <w:vAlign w:val="bottom"/>
            <w:hideMark/>
          </w:tcPr>
          <w:p w14:paraId="6D55C487"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For-profit</w:t>
            </w:r>
          </w:p>
        </w:tc>
        <w:tc>
          <w:tcPr>
            <w:tcW w:w="799" w:type="dxa"/>
            <w:tcBorders>
              <w:top w:val="nil"/>
              <w:left w:val="nil"/>
              <w:bottom w:val="single" w:sz="12" w:space="0" w:color="1E1545"/>
              <w:right w:val="nil"/>
            </w:tcBorders>
            <w:shd w:val="clear" w:color="000000" w:fill="D8DADA"/>
            <w:textDirection w:val="btLr"/>
            <w:vAlign w:val="bottom"/>
            <w:hideMark/>
          </w:tcPr>
          <w:p w14:paraId="0E61594B"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Not-for-profit</w:t>
            </w:r>
          </w:p>
        </w:tc>
        <w:tc>
          <w:tcPr>
            <w:tcW w:w="901" w:type="dxa"/>
            <w:tcBorders>
              <w:top w:val="nil"/>
              <w:left w:val="nil"/>
              <w:bottom w:val="single" w:sz="12" w:space="0" w:color="1E1545"/>
              <w:right w:val="single" w:sz="8" w:space="0" w:color="auto"/>
            </w:tcBorders>
            <w:shd w:val="clear" w:color="000000" w:fill="D8DADA"/>
            <w:textDirection w:val="btLr"/>
            <w:vAlign w:val="bottom"/>
            <w:hideMark/>
          </w:tcPr>
          <w:p w14:paraId="47AB5B9A"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LST government</w:t>
            </w:r>
          </w:p>
        </w:tc>
        <w:tc>
          <w:tcPr>
            <w:tcW w:w="885" w:type="dxa"/>
            <w:tcBorders>
              <w:top w:val="nil"/>
              <w:left w:val="nil"/>
              <w:bottom w:val="single" w:sz="12" w:space="0" w:color="1E1545"/>
              <w:right w:val="nil"/>
            </w:tcBorders>
            <w:shd w:val="clear" w:color="000000" w:fill="D8DADA"/>
            <w:textDirection w:val="btLr"/>
            <w:vAlign w:val="bottom"/>
            <w:hideMark/>
          </w:tcPr>
          <w:p w14:paraId="13E5F61E"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Metro</w:t>
            </w:r>
          </w:p>
        </w:tc>
        <w:tc>
          <w:tcPr>
            <w:tcW w:w="799" w:type="dxa"/>
            <w:tcBorders>
              <w:top w:val="nil"/>
              <w:left w:val="nil"/>
              <w:bottom w:val="single" w:sz="12" w:space="0" w:color="1E1545"/>
              <w:right w:val="nil"/>
            </w:tcBorders>
            <w:shd w:val="clear" w:color="000000" w:fill="D8DADA"/>
            <w:textDirection w:val="btLr"/>
            <w:vAlign w:val="bottom"/>
            <w:hideMark/>
          </w:tcPr>
          <w:p w14:paraId="781FA833"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Regional</w:t>
            </w:r>
          </w:p>
        </w:tc>
        <w:tc>
          <w:tcPr>
            <w:tcW w:w="777" w:type="dxa"/>
            <w:tcBorders>
              <w:top w:val="nil"/>
              <w:left w:val="nil"/>
              <w:bottom w:val="single" w:sz="12" w:space="0" w:color="1E1545"/>
              <w:right w:val="single" w:sz="8" w:space="0" w:color="auto"/>
            </w:tcBorders>
            <w:shd w:val="clear" w:color="000000" w:fill="D8DADA"/>
            <w:textDirection w:val="btLr"/>
            <w:vAlign w:val="bottom"/>
            <w:hideMark/>
          </w:tcPr>
          <w:p w14:paraId="71849B6B"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Metro/Regional</w:t>
            </w:r>
          </w:p>
        </w:tc>
        <w:tc>
          <w:tcPr>
            <w:tcW w:w="907" w:type="dxa"/>
            <w:tcBorders>
              <w:top w:val="nil"/>
              <w:left w:val="nil"/>
              <w:bottom w:val="single" w:sz="12" w:space="0" w:color="1E1545"/>
              <w:right w:val="nil"/>
            </w:tcBorders>
            <w:shd w:val="clear" w:color="000000" w:fill="D8DADA"/>
            <w:textDirection w:val="btLr"/>
            <w:vAlign w:val="bottom"/>
            <w:hideMark/>
          </w:tcPr>
          <w:p w14:paraId="074B517C"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Single facility</w:t>
            </w:r>
          </w:p>
        </w:tc>
        <w:tc>
          <w:tcPr>
            <w:tcW w:w="850" w:type="dxa"/>
            <w:tcBorders>
              <w:top w:val="nil"/>
              <w:left w:val="nil"/>
              <w:bottom w:val="single" w:sz="12" w:space="0" w:color="1E1545"/>
              <w:right w:val="nil"/>
            </w:tcBorders>
            <w:shd w:val="clear" w:color="000000" w:fill="D8DADA"/>
            <w:textDirection w:val="btLr"/>
            <w:vAlign w:val="bottom"/>
            <w:hideMark/>
          </w:tcPr>
          <w:p w14:paraId="6F81AE07"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2 to 6 facilities</w:t>
            </w:r>
          </w:p>
        </w:tc>
        <w:tc>
          <w:tcPr>
            <w:tcW w:w="851" w:type="dxa"/>
            <w:tcBorders>
              <w:top w:val="nil"/>
              <w:left w:val="nil"/>
              <w:bottom w:val="single" w:sz="12" w:space="0" w:color="1E1545"/>
              <w:right w:val="nil"/>
            </w:tcBorders>
            <w:shd w:val="clear" w:color="000000" w:fill="D8DADA"/>
            <w:textDirection w:val="btLr"/>
            <w:vAlign w:val="bottom"/>
            <w:hideMark/>
          </w:tcPr>
          <w:p w14:paraId="5CFE3448"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7 to 19 facilities</w:t>
            </w:r>
          </w:p>
        </w:tc>
        <w:tc>
          <w:tcPr>
            <w:tcW w:w="850" w:type="dxa"/>
            <w:tcBorders>
              <w:top w:val="nil"/>
              <w:left w:val="nil"/>
              <w:bottom w:val="single" w:sz="12" w:space="0" w:color="1E1545"/>
              <w:right w:val="nil"/>
            </w:tcBorders>
            <w:shd w:val="clear" w:color="000000" w:fill="D8DADA"/>
            <w:textDirection w:val="btLr"/>
            <w:vAlign w:val="bottom"/>
            <w:hideMark/>
          </w:tcPr>
          <w:p w14:paraId="1F28A42C" w14:textId="77777777" w:rsidR="00492931" w:rsidRPr="00492931" w:rsidRDefault="00492931" w:rsidP="00492931">
            <w:pPr>
              <w:spacing w:before="0" w:after="0" w:line="240" w:lineRule="auto"/>
              <w:jc w:val="right"/>
              <w:rPr>
                <w:rFonts w:cs="Arial"/>
                <w:b/>
                <w:color w:val="1E1545"/>
                <w:sz w:val="16"/>
                <w:szCs w:val="16"/>
                <w:lang w:eastAsia="en-AU"/>
              </w:rPr>
            </w:pPr>
            <w:r w:rsidRPr="00492931">
              <w:rPr>
                <w:rFonts w:cs="Arial"/>
                <w:b/>
                <w:color w:val="1E1545"/>
                <w:sz w:val="16"/>
                <w:szCs w:val="16"/>
                <w:lang w:eastAsia="en-AU"/>
              </w:rPr>
              <w:t>20 or more facilities</w:t>
            </w:r>
          </w:p>
        </w:tc>
      </w:tr>
      <w:tr w:rsidR="00492931" w:rsidRPr="00492931" w14:paraId="25A1D587"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22BB1DFB"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Revenue ($m)</w:t>
            </w:r>
          </w:p>
        </w:tc>
        <w:tc>
          <w:tcPr>
            <w:tcW w:w="868" w:type="dxa"/>
            <w:tcBorders>
              <w:top w:val="nil"/>
              <w:left w:val="nil"/>
              <w:bottom w:val="single" w:sz="12" w:space="0" w:color="1E1545"/>
              <w:right w:val="single" w:sz="8" w:space="0" w:color="auto"/>
            </w:tcBorders>
            <w:shd w:val="clear" w:color="000000" w:fill="FFFFFF"/>
            <w:noWrap/>
            <w:vAlign w:val="center"/>
            <w:hideMark/>
          </w:tcPr>
          <w:p w14:paraId="7F79E7E4"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$24,240 </w:t>
            </w:r>
          </w:p>
        </w:tc>
        <w:tc>
          <w:tcPr>
            <w:tcW w:w="800" w:type="dxa"/>
            <w:tcBorders>
              <w:top w:val="nil"/>
              <w:left w:val="nil"/>
              <w:bottom w:val="single" w:sz="12" w:space="0" w:color="1E1545"/>
              <w:right w:val="nil"/>
            </w:tcBorders>
            <w:shd w:val="clear" w:color="000000" w:fill="FFFFFF"/>
            <w:noWrap/>
            <w:vAlign w:val="center"/>
            <w:hideMark/>
          </w:tcPr>
          <w:p w14:paraId="02C2218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$9,764 </w:t>
            </w:r>
          </w:p>
        </w:tc>
        <w:tc>
          <w:tcPr>
            <w:tcW w:w="799" w:type="dxa"/>
            <w:tcBorders>
              <w:top w:val="nil"/>
              <w:left w:val="nil"/>
              <w:bottom w:val="single" w:sz="12" w:space="0" w:color="1E1545"/>
              <w:right w:val="nil"/>
            </w:tcBorders>
            <w:shd w:val="clear" w:color="000000" w:fill="FFFFFF"/>
            <w:noWrap/>
            <w:vAlign w:val="center"/>
            <w:hideMark/>
          </w:tcPr>
          <w:p w14:paraId="6C8BCECA" w14:textId="06923992"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$13,421 </w:t>
            </w:r>
          </w:p>
        </w:tc>
        <w:tc>
          <w:tcPr>
            <w:tcW w:w="901" w:type="dxa"/>
            <w:tcBorders>
              <w:top w:val="nil"/>
              <w:left w:val="nil"/>
              <w:bottom w:val="single" w:sz="12" w:space="0" w:color="1E1545"/>
              <w:right w:val="single" w:sz="8" w:space="0" w:color="auto"/>
            </w:tcBorders>
            <w:shd w:val="clear" w:color="000000" w:fill="FFFFFF"/>
            <w:noWrap/>
            <w:vAlign w:val="center"/>
            <w:hideMark/>
          </w:tcPr>
          <w:p w14:paraId="4A890A6E"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$1,055 </w:t>
            </w:r>
          </w:p>
        </w:tc>
        <w:tc>
          <w:tcPr>
            <w:tcW w:w="885" w:type="dxa"/>
            <w:tcBorders>
              <w:top w:val="nil"/>
              <w:left w:val="nil"/>
              <w:bottom w:val="single" w:sz="12" w:space="0" w:color="1E1545"/>
              <w:right w:val="nil"/>
            </w:tcBorders>
            <w:shd w:val="clear" w:color="000000" w:fill="FFFFFF"/>
            <w:noWrap/>
            <w:vAlign w:val="center"/>
            <w:hideMark/>
          </w:tcPr>
          <w:p w14:paraId="0661EFD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$16,517 </w:t>
            </w:r>
          </w:p>
        </w:tc>
        <w:tc>
          <w:tcPr>
            <w:tcW w:w="799" w:type="dxa"/>
            <w:tcBorders>
              <w:top w:val="nil"/>
              <w:left w:val="nil"/>
              <w:bottom w:val="single" w:sz="12" w:space="0" w:color="1E1545"/>
              <w:right w:val="nil"/>
            </w:tcBorders>
            <w:shd w:val="clear" w:color="000000" w:fill="FFFFFF"/>
            <w:noWrap/>
            <w:vAlign w:val="center"/>
            <w:hideMark/>
          </w:tcPr>
          <w:p w14:paraId="763B92D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$3,428 </w:t>
            </w:r>
          </w:p>
        </w:tc>
        <w:tc>
          <w:tcPr>
            <w:tcW w:w="777" w:type="dxa"/>
            <w:tcBorders>
              <w:top w:val="nil"/>
              <w:left w:val="nil"/>
              <w:bottom w:val="single" w:sz="12" w:space="0" w:color="1E1545"/>
              <w:right w:val="single" w:sz="8" w:space="0" w:color="auto"/>
            </w:tcBorders>
            <w:shd w:val="clear" w:color="000000" w:fill="FFFFFF"/>
            <w:noWrap/>
            <w:vAlign w:val="center"/>
            <w:hideMark/>
          </w:tcPr>
          <w:p w14:paraId="667D9D6B"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$4,295 </w:t>
            </w:r>
          </w:p>
        </w:tc>
        <w:tc>
          <w:tcPr>
            <w:tcW w:w="907" w:type="dxa"/>
            <w:tcBorders>
              <w:top w:val="nil"/>
              <w:left w:val="nil"/>
              <w:bottom w:val="single" w:sz="12" w:space="0" w:color="1E1545"/>
              <w:right w:val="nil"/>
            </w:tcBorders>
            <w:shd w:val="clear" w:color="000000" w:fill="FFFFFF"/>
            <w:noWrap/>
            <w:vAlign w:val="center"/>
            <w:hideMark/>
          </w:tcPr>
          <w:p w14:paraId="7C0D052F"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$4,358 </w:t>
            </w:r>
          </w:p>
        </w:tc>
        <w:tc>
          <w:tcPr>
            <w:tcW w:w="850" w:type="dxa"/>
            <w:tcBorders>
              <w:top w:val="nil"/>
              <w:left w:val="nil"/>
              <w:bottom w:val="single" w:sz="12" w:space="0" w:color="1E1545"/>
              <w:right w:val="nil"/>
            </w:tcBorders>
            <w:shd w:val="clear" w:color="000000" w:fill="FFFFFF"/>
            <w:noWrap/>
            <w:vAlign w:val="center"/>
            <w:hideMark/>
          </w:tcPr>
          <w:p w14:paraId="1A8CCAD2"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$5,247 </w:t>
            </w:r>
          </w:p>
        </w:tc>
        <w:tc>
          <w:tcPr>
            <w:tcW w:w="851" w:type="dxa"/>
            <w:tcBorders>
              <w:top w:val="nil"/>
              <w:left w:val="nil"/>
              <w:bottom w:val="single" w:sz="12" w:space="0" w:color="1E1545"/>
              <w:right w:val="nil"/>
            </w:tcBorders>
            <w:shd w:val="clear" w:color="000000" w:fill="FFFFFF"/>
            <w:noWrap/>
            <w:vAlign w:val="center"/>
            <w:hideMark/>
          </w:tcPr>
          <w:p w14:paraId="264D9FC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$5,781 </w:t>
            </w:r>
          </w:p>
        </w:tc>
        <w:tc>
          <w:tcPr>
            <w:tcW w:w="850" w:type="dxa"/>
            <w:tcBorders>
              <w:top w:val="nil"/>
              <w:left w:val="nil"/>
              <w:bottom w:val="single" w:sz="12" w:space="0" w:color="1E1545"/>
              <w:right w:val="nil"/>
            </w:tcBorders>
            <w:shd w:val="clear" w:color="000000" w:fill="FFFFFF"/>
            <w:noWrap/>
            <w:vAlign w:val="center"/>
            <w:hideMark/>
          </w:tcPr>
          <w:p w14:paraId="0AF64AD7"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$8,853 </w:t>
            </w:r>
          </w:p>
        </w:tc>
      </w:tr>
      <w:tr w:rsidR="00492931" w:rsidRPr="00492931" w14:paraId="2AF0034C"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4C895117"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Expenses ($m)</w:t>
            </w:r>
          </w:p>
        </w:tc>
        <w:tc>
          <w:tcPr>
            <w:tcW w:w="868" w:type="dxa"/>
            <w:tcBorders>
              <w:top w:val="nil"/>
              <w:left w:val="nil"/>
              <w:bottom w:val="single" w:sz="12" w:space="0" w:color="1E1545"/>
              <w:right w:val="single" w:sz="8" w:space="0" w:color="auto"/>
            </w:tcBorders>
            <w:shd w:val="clear" w:color="000000" w:fill="FFFFFF"/>
            <w:noWrap/>
            <w:vAlign w:val="center"/>
            <w:hideMark/>
          </w:tcPr>
          <w:p w14:paraId="4AF8D046"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$25,977 </w:t>
            </w:r>
          </w:p>
        </w:tc>
        <w:tc>
          <w:tcPr>
            <w:tcW w:w="800" w:type="dxa"/>
            <w:tcBorders>
              <w:top w:val="nil"/>
              <w:left w:val="nil"/>
              <w:bottom w:val="single" w:sz="12" w:space="0" w:color="1E1545"/>
              <w:right w:val="nil"/>
            </w:tcBorders>
            <w:shd w:val="clear" w:color="000000" w:fill="FFFFFF"/>
            <w:noWrap/>
            <w:vAlign w:val="center"/>
            <w:hideMark/>
          </w:tcPr>
          <w:p w14:paraId="465ADD01" w14:textId="32B73D4D"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$10,706 </w:t>
            </w:r>
          </w:p>
        </w:tc>
        <w:tc>
          <w:tcPr>
            <w:tcW w:w="799" w:type="dxa"/>
            <w:tcBorders>
              <w:top w:val="nil"/>
              <w:left w:val="nil"/>
              <w:bottom w:val="single" w:sz="12" w:space="0" w:color="1E1545"/>
              <w:right w:val="nil"/>
            </w:tcBorders>
            <w:shd w:val="clear" w:color="000000" w:fill="FFFFFF"/>
            <w:noWrap/>
            <w:vAlign w:val="center"/>
            <w:hideMark/>
          </w:tcPr>
          <w:p w14:paraId="26DD4575" w14:textId="3AB793B5"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$14,030 </w:t>
            </w:r>
          </w:p>
        </w:tc>
        <w:tc>
          <w:tcPr>
            <w:tcW w:w="901" w:type="dxa"/>
            <w:tcBorders>
              <w:top w:val="nil"/>
              <w:left w:val="nil"/>
              <w:bottom w:val="single" w:sz="12" w:space="0" w:color="1E1545"/>
              <w:right w:val="single" w:sz="8" w:space="0" w:color="auto"/>
            </w:tcBorders>
            <w:shd w:val="clear" w:color="000000" w:fill="FFFFFF"/>
            <w:noWrap/>
            <w:vAlign w:val="center"/>
            <w:hideMark/>
          </w:tcPr>
          <w:p w14:paraId="11BE6808"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$1,241 </w:t>
            </w:r>
          </w:p>
        </w:tc>
        <w:tc>
          <w:tcPr>
            <w:tcW w:w="885" w:type="dxa"/>
            <w:tcBorders>
              <w:top w:val="nil"/>
              <w:left w:val="nil"/>
              <w:bottom w:val="single" w:sz="12" w:space="0" w:color="1E1545"/>
              <w:right w:val="nil"/>
            </w:tcBorders>
            <w:shd w:val="clear" w:color="000000" w:fill="FFFFFF"/>
            <w:noWrap/>
            <w:vAlign w:val="center"/>
            <w:hideMark/>
          </w:tcPr>
          <w:p w14:paraId="50A9BC2B"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$17,496 </w:t>
            </w:r>
          </w:p>
        </w:tc>
        <w:tc>
          <w:tcPr>
            <w:tcW w:w="799" w:type="dxa"/>
            <w:tcBorders>
              <w:top w:val="nil"/>
              <w:left w:val="nil"/>
              <w:bottom w:val="single" w:sz="12" w:space="0" w:color="1E1545"/>
              <w:right w:val="nil"/>
            </w:tcBorders>
            <w:shd w:val="clear" w:color="000000" w:fill="FFFFFF"/>
            <w:noWrap/>
            <w:vAlign w:val="center"/>
            <w:hideMark/>
          </w:tcPr>
          <w:p w14:paraId="1AA49F7B"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$3,650 </w:t>
            </w:r>
          </w:p>
        </w:tc>
        <w:tc>
          <w:tcPr>
            <w:tcW w:w="777" w:type="dxa"/>
            <w:tcBorders>
              <w:top w:val="nil"/>
              <w:left w:val="nil"/>
              <w:bottom w:val="single" w:sz="12" w:space="0" w:color="1E1545"/>
              <w:right w:val="single" w:sz="8" w:space="0" w:color="auto"/>
            </w:tcBorders>
            <w:shd w:val="clear" w:color="000000" w:fill="FFFFFF"/>
            <w:noWrap/>
            <w:vAlign w:val="center"/>
            <w:hideMark/>
          </w:tcPr>
          <w:p w14:paraId="3886EDB4"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$4,830 </w:t>
            </w:r>
          </w:p>
        </w:tc>
        <w:tc>
          <w:tcPr>
            <w:tcW w:w="907" w:type="dxa"/>
            <w:tcBorders>
              <w:top w:val="nil"/>
              <w:left w:val="nil"/>
              <w:bottom w:val="single" w:sz="12" w:space="0" w:color="1E1545"/>
              <w:right w:val="nil"/>
            </w:tcBorders>
            <w:shd w:val="clear" w:color="000000" w:fill="FFFFFF"/>
            <w:noWrap/>
            <w:vAlign w:val="center"/>
            <w:hideMark/>
          </w:tcPr>
          <w:p w14:paraId="2B59D8D3"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$4,432 </w:t>
            </w:r>
          </w:p>
        </w:tc>
        <w:tc>
          <w:tcPr>
            <w:tcW w:w="850" w:type="dxa"/>
            <w:tcBorders>
              <w:top w:val="nil"/>
              <w:left w:val="nil"/>
              <w:bottom w:val="single" w:sz="12" w:space="0" w:color="1E1545"/>
              <w:right w:val="nil"/>
            </w:tcBorders>
            <w:shd w:val="clear" w:color="000000" w:fill="FFFFFF"/>
            <w:noWrap/>
            <w:vAlign w:val="center"/>
            <w:hideMark/>
          </w:tcPr>
          <w:p w14:paraId="30DFE69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$5,559 </w:t>
            </w:r>
          </w:p>
        </w:tc>
        <w:tc>
          <w:tcPr>
            <w:tcW w:w="851" w:type="dxa"/>
            <w:tcBorders>
              <w:top w:val="nil"/>
              <w:left w:val="nil"/>
              <w:bottom w:val="single" w:sz="12" w:space="0" w:color="1E1545"/>
              <w:right w:val="nil"/>
            </w:tcBorders>
            <w:shd w:val="clear" w:color="000000" w:fill="FFFFFF"/>
            <w:noWrap/>
            <w:vAlign w:val="center"/>
            <w:hideMark/>
          </w:tcPr>
          <w:p w14:paraId="189E7485"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$6,336 </w:t>
            </w:r>
          </w:p>
        </w:tc>
        <w:tc>
          <w:tcPr>
            <w:tcW w:w="850" w:type="dxa"/>
            <w:tcBorders>
              <w:top w:val="nil"/>
              <w:left w:val="nil"/>
              <w:bottom w:val="single" w:sz="12" w:space="0" w:color="1E1545"/>
              <w:right w:val="nil"/>
            </w:tcBorders>
            <w:shd w:val="clear" w:color="000000" w:fill="FFFFFF"/>
            <w:noWrap/>
            <w:vAlign w:val="center"/>
            <w:hideMark/>
          </w:tcPr>
          <w:p w14:paraId="11E8CC3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$9,650 </w:t>
            </w:r>
          </w:p>
        </w:tc>
      </w:tr>
      <w:tr w:rsidR="00492931" w:rsidRPr="00492931" w14:paraId="3EB1EF86"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54BB4ADB"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Profit ($m)</w:t>
            </w:r>
          </w:p>
        </w:tc>
        <w:tc>
          <w:tcPr>
            <w:tcW w:w="868" w:type="dxa"/>
            <w:tcBorders>
              <w:top w:val="nil"/>
              <w:left w:val="nil"/>
              <w:bottom w:val="single" w:sz="12" w:space="0" w:color="1E1545"/>
              <w:right w:val="single" w:sz="8" w:space="0" w:color="auto"/>
            </w:tcBorders>
            <w:shd w:val="clear" w:color="000000" w:fill="FFFFFF"/>
            <w:noWrap/>
            <w:vAlign w:val="center"/>
            <w:hideMark/>
          </w:tcPr>
          <w:p w14:paraId="3033A20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($1,737) </w:t>
            </w:r>
          </w:p>
        </w:tc>
        <w:tc>
          <w:tcPr>
            <w:tcW w:w="800" w:type="dxa"/>
            <w:tcBorders>
              <w:top w:val="nil"/>
              <w:left w:val="nil"/>
              <w:bottom w:val="single" w:sz="12" w:space="0" w:color="1E1545"/>
              <w:right w:val="nil"/>
            </w:tcBorders>
            <w:shd w:val="clear" w:color="000000" w:fill="FFFFFF"/>
            <w:noWrap/>
            <w:vAlign w:val="center"/>
            <w:hideMark/>
          </w:tcPr>
          <w:p w14:paraId="47DAD029"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($942) </w:t>
            </w:r>
          </w:p>
        </w:tc>
        <w:tc>
          <w:tcPr>
            <w:tcW w:w="799" w:type="dxa"/>
            <w:tcBorders>
              <w:top w:val="nil"/>
              <w:left w:val="nil"/>
              <w:bottom w:val="single" w:sz="12" w:space="0" w:color="1E1545"/>
              <w:right w:val="nil"/>
            </w:tcBorders>
            <w:shd w:val="clear" w:color="000000" w:fill="FFFFFF"/>
            <w:noWrap/>
            <w:vAlign w:val="center"/>
            <w:hideMark/>
          </w:tcPr>
          <w:p w14:paraId="30709FE5"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($609) </w:t>
            </w:r>
          </w:p>
        </w:tc>
        <w:tc>
          <w:tcPr>
            <w:tcW w:w="901" w:type="dxa"/>
            <w:tcBorders>
              <w:top w:val="nil"/>
              <w:left w:val="nil"/>
              <w:bottom w:val="single" w:sz="12" w:space="0" w:color="1E1545"/>
              <w:right w:val="single" w:sz="8" w:space="0" w:color="auto"/>
            </w:tcBorders>
            <w:shd w:val="clear" w:color="000000" w:fill="FFFFFF"/>
            <w:noWrap/>
            <w:vAlign w:val="center"/>
            <w:hideMark/>
          </w:tcPr>
          <w:p w14:paraId="6BB2D65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($186) </w:t>
            </w:r>
          </w:p>
        </w:tc>
        <w:tc>
          <w:tcPr>
            <w:tcW w:w="885" w:type="dxa"/>
            <w:tcBorders>
              <w:top w:val="nil"/>
              <w:left w:val="nil"/>
              <w:bottom w:val="single" w:sz="12" w:space="0" w:color="1E1545"/>
              <w:right w:val="nil"/>
            </w:tcBorders>
            <w:shd w:val="clear" w:color="000000" w:fill="FFFFFF"/>
            <w:noWrap/>
            <w:vAlign w:val="center"/>
            <w:hideMark/>
          </w:tcPr>
          <w:p w14:paraId="46D62372"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($979) </w:t>
            </w:r>
          </w:p>
        </w:tc>
        <w:tc>
          <w:tcPr>
            <w:tcW w:w="799" w:type="dxa"/>
            <w:tcBorders>
              <w:top w:val="nil"/>
              <w:left w:val="nil"/>
              <w:bottom w:val="single" w:sz="12" w:space="0" w:color="1E1545"/>
              <w:right w:val="nil"/>
            </w:tcBorders>
            <w:shd w:val="clear" w:color="000000" w:fill="FFFFFF"/>
            <w:noWrap/>
            <w:vAlign w:val="center"/>
            <w:hideMark/>
          </w:tcPr>
          <w:p w14:paraId="201AA3DC"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($222) </w:t>
            </w:r>
          </w:p>
        </w:tc>
        <w:tc>
          <w:tcPr>
            <w:tcW w:w="777" w:type="dxa"/>
            <w:tcBorders>
              <w:top w:val="nil"/>
              <w:left w:val="nil"/>
              <w:bottom w:val="single" w:sz="12" w:space="0" w:color="1E1545"/>
              <w:right w:val="single" w:sz="8" w:space="0" w:color="auto"/>
            </w:tcBorders>
            <w:shd w:val="clear" w:color="000000" w:fill="FFFFFF"/>
            <w:noWrap/>
            <w:vAlign w:val="center"/>
            <w:hideMark/>
          </w:tcPr>
          <w:p w14:paraId="390CE16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($536) </w:t>
            </w:r>
          </w:p>
        </w:tc>
        <w:tc>
          <w:tcPr>
            <w:tcW w:w="907" w:type="dxa"/>
            <w:tcBorders>
              <w:top w:val="nil"/>
              <w:left w:val="nil"/>
              <w:bottom w:val="single" w:sz="12" w:space="0" w:color="1E1545"/>
              <w:right w:val="nil"/>
            </w:tcBorders>
            <w:shd w:val="clear" w:color="000000" w:fill="FFFFFF"/>
            <w:noWrap/>
            <w:vAlign w:val="center"/>
            <w:hideMark/>
          </w:tcPr>
          <w:p w14:paraId="3E30D668"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($74) </w:t>
            </w:r>
          </w:p>
        </w:tc>
        <w:tc>
          <w:tcPr>
            <w:tcW w:w="850" w:type="dxa"/>
            <w:tcBorders>
              <w:top w:val="nil"/>
              <w:left w:val="nil"/>
              <w:bottom w:val="single" w:sz="12" w:space="0" w:color="1E1545"/>
              <w:right w:val="nil"/>
            </w:tcBorders>
            <w:shd w:val="clear" w:color="000000" w:fill="FFFFFF"/>
            <w:noWrap/>
            <w:vAlign w:val="center"/>
            <w:hideMark/>
          </w:tcPr>
          <w:p w14:paraId="729E3C6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($311) </w:t>
            </w:r>
          </w:p>
        </w:tc>
        <w:tc>
          <w:tcPr>
            <w:tcW w:w="851" w:type="dxa"/>
            <w:tcBorders>
              <w:top w:val="nil"/>
              <w:left w:val="nil"/>
              <w:bottom w:val="single" w:sz="12" w:space="0" w:color="1E1545"/>
              <w:right w:val="nil"/>
            </w:tcBorders>
            <w:shd w:val="clear" w:color="000000" w:fill="FFFFFF"/>
            <w:noWrap/>
            <w:vAlign w:val="center"/>
            <w:hideMark/>
          </w:tcPr>
          <w:p w14:paraId="3B7F44F5"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($555) </w:t>
            </w:r>
          </w:p>
        </w:tc>
        <w:tc>
          <w:tcPr>
            <w:tcW w:w="850" w:type="dxa"/>
            <w:tcBorders>
              <w:top w:val="nil"/>
              <w:left w:val="nil"/>
              <w:bottom w:val="single" w:sz="12" w:space="0" w:color="1E1545"/>
              <w:right w:val="nil"/>
            </w:tcBorders>
            <w:shd w:val="clear" w:color="000000" w:fill="FFFFFF"/>
            <w:noWrap/>
            <w:vAlign w:val="center"/>
            <w:hideMark/>
          </w:tcPr>
          <w:p w14:paraId="1C853E4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($797) </w:t>
            </w:r>
          </w:p>
        </w:tc>
      </w:tr>
      <w:tr w:rsidR="00492931" w:rsidRPr="00492931" w14:paraId="1C2A3B65"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4B3EAC17"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EBITDA ($m)</w:t>
            </w:r>
          </w:p>
        </w:tc>
        <w:tc>
          <w:tcPr>
            <w:tcW w:w="868" w:type="dxa"/>
            <w:tcBorders>
              <w:top w:val="nil"/>
              <w:left w:val="nil"/>
              <w:bottom w:val="single" w:sz="12" w:space="0" w:color="1E1545"/>
              <w:right w:val="single" w:sz="8" w:space="0" w:color="auto"/>
            </w:tcBorders>
            <w:shd w:val="clear" w:color="000000" w:fill="FFFFFF"/>
            <w:noWrap/>
            <w:vAlign w:val="center"/>
            <w:hideMark/>
          </w:tcPr>
          <w:p w14:paraId="3E5CC1F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$520 </w:t>
            </w:r>
          </w:p>
        </w:tc>
        <w:tc>
          <w:tcPr>
            <w:tcW w:w="800" w:type="dxa"/>
            <w:tcBorders>
              <w:top w:val="nil"/>
              <w:left w:val="nil"/>
              <w:bottom w:val="single" w:sz="12" w:space="0" w:color="1E1545"/>
              <w:right w:val="nil"/>
            </w:tcBorders>
            <w:shd w:val="clear" w:color="000000" w:fill="FFFFFF"/>
            <w:noWrap/>
            <w:vAlign w:val="center"/>
            <w:hideMark/>
          </w:tcPr>
          <w:p w14:paraId="078A6293"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$243 </w:t>
            </w:r>
          </w:p>
        </w:tc>
        <w:tc>
          <w:tcPr>
            <w:tcW w:w="799" w:type="dxa"/>
            <w:tcBorders>
              <w:top w:val="nil"/>
              <w:left w:val="nil"/>
              <w:bottom w:val="single" w:sz="12" w:space="0" w:color="1E1545"/>
              <w:right w:val="nil"/>
            </w:tcBorders>
            <w:shd w:val="clear" w:color="000000" w:fill="FFFFFF"/>
            <w:noWrap/>
            <w:vAlign w:val="center"/>
            <w:hideMark/>
          </w:tcPr>
          <w:p w14:paraId="62F45134"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$387 </w:t>
            </w:r>
          </w:p>
        </w:tc>
        <w:tc>
          <w:tcPr>
            <w:tcW w:w="901" w:type="dxa"/>
            <w:tcBorders>
              <w:top w:val="nil"/>
              <w:left w:val="nil"/>
              <w:bottom w:val="single" w:sz="12" w:space="0" w:color="1E1545"/>
              <w:right w:val="single" w:sz="8" w:space="0" w:color="auto"/>
            </w:tcBorders>
            <w:shd w:val="clear" w:color="000000" w:fill="FFFFFF"/>
            <w:noWrap/>
            <w:vAlign w:val="center"/>
            <w:hideMark/>
          </w:tcPr>
          <w:p w14:paraId="51DC33BF"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($111) </w:t>
            </w:r>
          </w:p>
        </w:tc>
        <w:tc>
          <w:tcPr>
            <w:tcW w:w="885" w:type="dxa"/>
            <w:tcBorders>
              <w:top w:val="nil"/>
              <w:left w:val="nil"/>
              <w:bottom w:val="single" w:sz="12" w:space="0" w:color="1E1545"/>
              <w:right w:val="nil"/>
            </w:tcBorders>
            <w:shd w:val="clear" w:color="000000" w:fill="FFFFFF"/>
            <w:noWrap/>
            <w:vAlign w:val="center"/>
            <w:hideMark/>
          </w:tcPr>
          <w:p w14:paraId="07BA09E5"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$536 </w:t>
            </w:r>
          </w:p>
        </w:tc>
        <w:tc>
          <w:tcPr>
            <w:tcW w:w="799" w:type="dxa"/>
            <w:tcBorders>
              <w:top w:val="nil"/>
              <w:left w:val="nil"/>
              <w:bottom w:val="single" w:sz="12" w:space="0" w:color="1E1545"/>
              <w:right w:val="nil"/>
            </w:tcBorders>
            <w:shd w:val="clear" w:color="000000" w:fill="FFFFFF"/>
            <w:noWrap/>
            <w:vAlign w:val="center"/>
            <w:hideMark/>
          </w:tcPr>
          <w:p w14:paraId="071A521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($19) </w:t>
            </w:r>
          </w:p>
        </w:tc>
        <w:tc>
          <w:tcPr>
            <w:tcW w:w="777" w:type="dxa"/>
            <w:tcBorders>
              <w:top w:val="nil"/>
              <w:left w:val="nil"/>
              <w:bottom w:val="single" w:sz="12" w:space="0" w:color="1E1545"/>
              <w:right w:val="single" w:sz="8" w:space="0" w:color="auto"/>
            </w:tcBorders>
            <w:shd w:val="clear" w:color="000000" w:fill="FFFFFF"/>
            <w:noWrap/>
            <w:vAlign w:val="center"/>
            <w:hideMark/>
          </w:tcPr>
          <w:p w14:paraId="17CAE85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 </w:t>
            </w:r>
          </w:p>
        </w:tc>
        <w:tc>
          <w:tcPr>
            <w:tcW w:w="907" w:type="dxa"/>
            <w:tcBorders>
              <w:top w:val="nil"/>
              <w:left w:val="nil"/>
              <w:bottom w:val="single" w:sz="12" w:space="0" w:color="1E1545"/>
              <w:right w:val="nil"/>
            </w:tcBorders>
            <w:shd w:val="clear" w:color="000000" w:fill="FFFFFF"/>
            <w:noWrap/>
            <w:vAlign w:val="center"/>
            <w:hideMark/>
          </w:tcPr>
          <w:p w14:paraId="5E3EF6E3"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$186 </w:t>
            </w:r>
          </w:p>
        </w:tc>
        <w:tc>
          <w:tcPr>
            <w:tcW w:w="850" w:type="dxa"/>
            <w:tcBorders>
              <w:top w:val="nil"/>
              <w:left w:val="nil"/>
              <w:bottom w:val="single" w:sz="12" w:space="0" w:color="1E1545"/>
              <w:right w:val="nil"/>
            </w:tcBorders>
            <w:shd w:val="clear" w:color="000000" w:fill="FFFFFF"/>
            <w:noWrap/>
            <w:vAlign w:val="center"/>
            <w:hideMark/>
          </w:tcPr>
          <w:p w14:paraId="30925AA7"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$31 </w:t>
            </w:r>
          </w:p>
        </w:tc>
        <w:tc>
          <w:tcPr>
            <w:tcW w:w="851" w:type="dxa"/>
            <w:tcBorders>
              <w:top w:val="nil"/>
              <w:left w:val="nil"/>
              <w:bottom w:val="single" w:sz="12" w:space="0" w:color="1E1545"/>
              <w:right w:val="nil"/>
            </w:tcBorders>
            <w:shd w:val="clear" w:color="000000" w:fill="FFFFFF"/>
            <w:noWrap/>
            <w:vAlign w:val="center"/>
            <w:hideMark/>
          </w:tcPr>
          <w:p w14:paraId="79AC79A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$17 </w:t>
            </w:r>
          </w:p>
        </w:tc>
        <w:tc>
          <w:tcPr>
            <w:tcW w:w="850" w:type="dxa"/>
            <w:tcBorders>
              <w:top w:val="nil"/>
              <w:left w:val="nil"/>
              <w:bottom w:val="single" w:sz="12" w:space="0" w:color="1E1545"/>
              <w:right w:val="nil"/>
            </w:tcBorders>
            <w:shd w:val="clear" w:color="000000" w:fill="FFFFFF"/>
            <w:noWrap/>
            <w:vAlign w:val="center"/>
            <w:hideMark/>
          </w:tcPr>
          <w:p w14:paraId="68C301D5"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$287 </w:t>
            </w:r>
          </w:p>
        </w:tc>
      </w:tr>
      <w:tr w:rsidR="00492931" w:rsidRPr="00492931" w14:paraId="09597687"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1B356491"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 xml:space="preserve">EBITDA </w:t>
            </w:r>
            <w:proofErr w:type="spellStart"/>
            <w:r w:rsidRPr="00492931">
              <w:rPr>
                <w:rFonts w:cs="Arial"/>
                <w:bCs w:val="0"/>
                <w:color w:val="1E1545"/>
                <w:sz w:val="16"/>
                <w:szCs w:val="16"/>
                <w:lang w:eastAsia="en-AU"/>
              </w:rPr>
              <w:t>p.r.p.a</w:t>
            </w:r>
            <w:proofErr w:type="spellEnd"/>
          </w:p>
        </w:tc>
        <w:tc>
          <w:tcPr>
            <w:tcW w:w="868" w:type="dxa"/>
            <w:tcBorders>
              <w:top w:val="nil"/>
              <w:left w:val="nil"/>
              <w:bottom w:val="single" w:sz="12" w:space="0" w:color="1E1545"/>
              <w:right w:val="single" w:sz="8" w:space="0" w:color="auto"/>
            </w:tcBorders>
            <w:shd w:val="clear" w:color="000000" w:fill="FFFFFF"/>
            <w:noWrap/>
            <w:vAlign w:val="center"/>
            <w:hideMark/>
          </w:tcPr>
          <w:p w14:paraId="6A5FBE1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$2,764 </w:t>
            </w:r>
          </w:p>
        </w:tc>
        <w:tc>
          <w:tcPr>
            <w:tcW w:w="800" w:type="dxa"/>
            <w:tcBorders>
              <w:top w:val="nil"/>
              <w:left w:val="nil"/>
              <w:bottom w:val="single" w:sz="12" w:space="0" w:color="1E1545"/>
              <w:right w:val="nil"/>
            </w:tcBorders>
            <w:shd w:val="clear" w:color="000000" w:fill="FFFFFF"/>
            <w:noWrap/>
            <w:vAlign w:val="center"/>
            <w:hideMark/>
          </w:tcPr>
          <w:p w14:paraId="760CEAD2"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$3,268 </w:t>
            </w:r>
          </w:p>
        </w:tc>
        <w:tc>
          <w:tcPr>
            <w:tcW w:w="799" w:type="dxa"/>
            <w:tcBorders>
              <w:top w:val="nil"/>
              <w:left w:val="nil"/>
              <w:bottom w:val="single" w:sz="12" w:space="0" w:color="1E1545"/>
              <w:right w:val="nil"/>
            </w:tcBorders>
            <w:shd w:val="clear" w:color="000000" w:fill="FFFFFF"/>
            <w:noWrap/>
            <w:vAlign w:val="center"/>
            <w:hideMark/>
          </w:tcPr>
          <w:p w14:paraId="68997266"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$3,620 </w:t>
            </w:r>
          </w:p>
        </w:tc>
        <w:tc>
          <w:tcPr>
            <w:tcW w:w="901" w:type="dxa"/>
            <w:tcBorders>
              <w:top w:val="nil"/>
              <w:left w:val="nil"/>
              <w:bottom w:val="single" w:sz="12" w:space="0" w:color="1E1545"/>
              <w:right w:val="single" w:sz="8" w:space="0" w:color="auto"/>
            </w:tcBorders>
            <w:shd w:val="clear" w:color="000000" w:fill="FFFFFF"/>
            <w:noWrap/>
            <w:vAlign w:val="center"/>
            <w:hideMark/>
          </w:tcPr>
          <w:p w14:paraId="61C6937C"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($16,724) </w:t>
            </w:r>
          </w:p>
        </w:tc>
        <w:tc>
          <w:tcPr>
            <w:tcW w:w="885" w:type="dxa"/>
            <w:tcBorders>
              <w:top w:val="nil"/>
              <w:left w:val="nil"/>
              <w:bottom w:val="single" w:sz="12" w:space="0" w:color="1E1545"/>
              <w:right w:val="nil"/>
            </w:tcBorders>
            <w:shd w:val="clear" w:color="000000" w:fill="FFFFFF"/>
            <w:noWrap/>
            <w:vAlign w:val="center"/>
            <w:hideMark/>
          </w:tcPr>
          <w:p w14:paraId="1A14F37C"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$4,210 </w:t>
            </w:r>
          </w:p>
        </w:tc>
        <w:tc>
          <w:tcPr>
            <w:tcW w:w="799" w:type="dxa"/>
            <w:tcBorders>
              <w:top w:val="nil"/>
              <w:left w:val="nil"/>
              <w:bottom w:val="single" w:sz="12" w:space="0" w:color="1E1545"/>
              <w:right w:val="nil"/>
            </w:tcBorders>
            <w:shd w:val="clear" w:color="000000" w:fill="FFFFFF"/>
            <w:noWrap/>
            <w:vAlign w:val="center"/>
            <w:hideMark/>
          </w:tcPr>
          <w:p w14:paraId="30CDA40E"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($727) </w:t>
            </w:r>
          </w:p>
        </w:tc>
        <w:tc>
          <w:tcPr>
            <w:tcW w:w="777" w:type="dxa"/>
            <w:tcBorders>
              <w:top w:val="nil"/>
              <w:left w:val="nil"/>
              <w:bottom w:val="single" w:sz="12" w:space="0" w:color="1E1545"/>
              <w:right w:val="single" w:sz="8" w:space="0" w:color="auto"/>
            </w:tcBorders>
            <w:shd w:val="clear" w:color="000000" w:fill="FFFFFF"/>
            <w:noWrap/>
            <w:vAlign w:val="center"/>
            <w:hideMark/>
          </w:tcPr>
          <w:p w14:paraId="5C1B75E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$77 </w:t>
            </w:r>
          </w:p>
        </w:tc>
        <w:tc>
          <w:tcPr>
            <w:tcW w:w="907" w:type="dxa"/>
            <w:tcBorders>
              <w:top w:val="nil"/>
              <w:left w:val="nil"/>
              <w:bottom w:val="single" w:sz="12" w:space="0" w:color="1E1545"/>
              <w:right w:val="nil"/>
            </w:tcBorders>
            <w:shd w:val="clear" w:color="000000" w:fill="FFFFFF"/>
            <w:noWrap/>
            <w:vAlign w:val="center"/>
            <w:hideMark/>
          </w:tcPr>
          <w:p w14:paraId="2487812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$5,526 </w:t>
            </w:r>
          </w:p>
        </w:tc>
        <w:tc>
          <w:tcPr>
            <w:tcW w:w="850" w:type="dxa"/>
            <w:tcBorders>
              <w:top w:val="nil"/>
              <w:left w:val="nil"/>
              <w:bottom w:val="single" w:sz="12" w:space="0" w:color="1E1545"/>
              <w:right w:val="nil"/>
            </w:tcBorders>
            <w:shd w:val="clear" w:color="000000" w:fill="FFFFFF"/>
            <w:noWrap/>
            <w:vAlign w:val="center"/>
            <w:hideMark/>
          </w:tcPr>
          <w:p w14:paraId="7D7190C6"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$771 </w:t>
            </w:r>
          </w:p>
        </w:tc>
        <w:tc>
          <w:tcPr>
            <w:tcW w:w="851" w:type="dxa"/>
            <w:tcBorders>
              <w:top w:val="nil"/>
              <w:left w:val="nil"/>
              <w:bottom w:val="single" w:sz="12" w:space="0" w:color="1E1545"/>
              <w:right w:val="nil"/>
            </w:tcBorders>
            <w:shd w:val="clear" w:color="000000" w:fill="FFFFFF"/>
            <w:noWrap/>
            <w:vAlign w:val="center"/>
            <w:hideMark/>
          </w:tcPr>
          <w:p w14:paraId="08CBE834"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$378 </w:t>
            </w:r>
          </w:p>
        </w:tc>
        <w:tc>
          <w:tcPr>
            <w:tcW w:w="850" w:type="dxa"/>
            <w:tcBorders>
              <w:top w:val="nil"/>
              <w:left w:val="nil"/>
              <w:bottom w:val="single" w:sz="12" w:space="0" w:color="1E1545"/>
              <w:right w:val="nil"/>
            </w:tcBorders>
            <w:shd w:val="clear" w:color="000000" w:fill="FFFFFF"/>
            <w:noWrap/>
            <w:vAlign w:val="center"/>
            <w:hideMark/>
          </w:tcPr>
          <w:p w14:paraId="1197D88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 xml:space="preserve"> $4,068 </w:t>
            </w:r>
          </w:p>
        </w:tc>
      </w:tr>
      <w:tr w:rsidR="00492931" w:rsidRPr="00492931" w14:paraId="5690FE69"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4824CC38"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EBITDA margin</w:t>
            </w:r>
          </w:p>
        </w:tc>
        <w:tc>
          <w:tcPr>
            <w:tcW w:w="868" w:type="dxa"/>
            <w:tcBorders>
              <w:top w:val="nil"/>
              <w:left w:val="nil"/>
              <w:bottom w:val="single" w:sz="12" w:space="0" w:color="1E1545"/>
              <w:right w:val="single" w:sz="8" w:space="0" w:color="auto"/>
            </w:tcBorders>
            <w:shd w:val="clear" w:color="000000" w:fill="FFFFFF"/>
            <w:noWrap/>
            <w:vAlign w:val="center"/>
            <w:hideMark/>
          </w:tcPr>
          <w:p w14:paraId="46BB5C8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2.1%</w:t>
            </w:r>
          </w:p>
        </w:tc>
        <w:tc>
          <w:tcPr>
            <w:tcW w:w="800" w:type="dxa"/>
            <w:tcBorders>
              <w:top w:val="nil"/>
              <w:left w:val="nil"/>
              <w:bottom w:val="single" w:sz="12" w:space="0" w:color="1E1545"/>
              <w:right w:val="nil"/>
            </w:tcBorders>
            <w:shd w:val="clear" w:color="000000" w:fill="FFFFFF"/>
            <w:noWrap/>
            <w:vAlign w:val="center"/>
            <w:hideMark/>
          </w:tcPr>
          <w:p w14:paraId="1CD8AAB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2.5%</w:t>
            </w:r>
          </w:p>
        </w:tc>
        <w:tc>
          <w:tcPr>
            <w:tcW w:w="799" w:type="dxa"/>
            <w:tcBorders>
              <w:top w:val="nil"/>
              <w:left w:val="nil"/>
              <w:bottom w:val="single" w:sz="12" w:space="0" w:color="1E1545"/>
              <w:right w:val="nil"/>
            </w:tcBorders>
            <w:shd w:val="clear" w:color="000000" w:fill="FFFFFF"/>
            <w:noWrap/>
            <w:vAlign w:val="center"/>
            <w:hideMark/>
          </w:tcPr>
          <w:p w14:paraId="3F1AE163"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2.9%</w:t>
            </w:r>
          </w:p>
        </w:tc>
        <w:tc>
          <w:tcPr>
            <w:tcW w:w="901" w:type="dxa"/>
            <w:tcBorders>
              <w:top w:val="nil"/>
              <w:left w:val="nil"/>
              <w:bottom w:val="single" w:sz="12" w:space="0" w:color="1E1545"/>
              <w:right w:val="single" w:sz="8" w:space="0" w:color="auto"/>
            </w:tcBorders>
            <w:shd w:val="clear" w:color="000000" w:fill="FFFFFF"/>
            <w:noWrap/>
            <w:vAlign w:val="center"/>
            <w:hideMark/>
          </w:tcPr>
          <w:p w14:paraId="05456CCF"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(10.5%)</w:t>
            </w:r>
          </w:p>
        </w:tc>
        <w:tc>
          <w:tcPr>
            <w:tcW w:w="885" w:type="dxa"/>
            <w:tcBorders>
              <w:top w:val="nil"/>
              <w:left w:val="nil"/>
              <w:bottom w:val="single" w:sz="12" w:space="0" w:color="1E1545"/>
              <w:right w:val="nil"/>
            </w:tcBorders>
            <w:shd w:val="clear" w:color="000000" w:fill="FFFFFF"/>
            <w:noWrap/>
            <w:vAlign w:val="center"/>
            <w:hideMark/>
          </w:tcPr>
          <w:p w14:paraId="536BEC82"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3.2%</w:t>
            </w:r>
          </w:p>
        </w:tc>
        <w:tc>
          <w:tcPr>
            <w:tcW w:w="799" w:type="dxa"/>
            <w:tcBorders>
              <w:top w:val="nil"/>
              <w:left w:val="nil"/>
              <w:bottom w:val="single" w:sz="12" w:space="0" w:color="1E1545"/>
              <w:right w:val="nil"/>
            </w:tcBorders>
            <w:shd w:val="clear" w:color="000000" w:fill="FFFFFF"/>
            <w:noWrap/>
            <w:vAlign w:val="center"/>
            <w:hideMark/>
          </w:tcPr>
          <w:p w14:paraId="6E5D109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(0.5%)</w:t>
            </w:r>
          </w:p>
        </w:tc>
        <w:tc>
          <w:tcPr>
            <w:tcW w:w="777" w:type="dxa"/>
            <w:tcBorders>
              <w:top w:val="nil"/>
              <w:left w:val="nil"/>
              <w:bottom w:val="single" w:sz="12" w:space="0" w:color="1E1545"/>
              <w:right w:val="single" w:sz="8" w:space="0" w:color="auto"/>
            </w:tcBorders>
            <w:shd w:val="clear" w:color="000000" w:fill="FFFFFF"/>
            <w:noWrap/>
            <w:vAlign w:val="center"/>
            <w:hideMark/>
          </w:tcPr>
          <w:p w14:paraId="03534BA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0.1%</w:t>
            </w:r>
          </w:p>
        </w:tc>
        <w:tc>
          <w:tcPr>
            <w:tcW w:w="907" w:type="dxa"/>
            <w:tcBorders>
              <w:top w:val="nil"/>
              <w:left w:val="nil"/>
              <w:bottom w:val="single" w:sz="12" w:space="0" w:color="1E1545"/>
              <w:right w:val="nil"/>
            </w:tcBorders>
            <w:shd w:val="clear" w:color="000000" w:fill="FFFFFF"/>
            <w:noWrap/>
            <w:vAlign w:val="center"/>
            <w:hideMark/>
          </w:tcPr>
          <w:p w14:paraId="2D8904E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4.3%</w:t>
            </w:r>
          </w:p>
        </w:tc>
        <w:tc>
          <w:tcPr>
            <w:tcW w:w="850" w:type="dxa"/>
            <w:tcBorders>
              <w:top w:val="nil"/>
              <w:left w:val="nil"/>
              <w:bottom w:val="single" w:sz="12" w:space="0" w:color="1E1545"/>
              <w:right w:val="nil"/>
            </w:tcBorders>
            <w:shd w:val="clear" w:color="000000" w:fill="FFFFFF"/>
            <w:noWrap/>
            <w:vAlign w:val="center"/>
            <w:hideMark/>
          </w:tcPr>
          <w:p w14:paraId="7C8CF7B7"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0.6%</w:t>
            </w:r>
          </w:p>
        </w:tc>
        <w:tc>
          <w:tcPr>
            <w:tcW w:w="851" w:type="dxa"/>
            <w:tcBorders>
              <w:top w:val="nil"/>
              <w:left w:val="nil"/>
              <w:bottom w:val="single" w:sz="12" w:space="0" w:color="1E1545"/>
              <w:right w:val="nil"/>
            </w:tcBorders>
            <w:shd w:val="clear" w:color="000000" w:fill="FFFFFF"/>
            <w:noWrap/>
            <w:vAlign w:val="center"/>
            <w:hideMark/>
          </w:tcPr>
          <w:p w14:paraId="47081F5E"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0.3%</w:t>
            </w:r>
          </w:p>
        </w:tc>
        <w:tc>
          <w:tcPr>
            <w:tcW w:w="850" w:type="dxa"/>
            <w:tcBorders>
              <w:top w:val="nil"/>
              <w:left w:val="nil"/>
              <w:bottom w:val="single" w:sz="12" w:space="0" w:color="1E1545"/>
              <w:right w:val="nil"/>
            </w:tcBorders>
            <w:shd w:val="clear" w:color="000000" w:fill="FFFFFF"/>
            <w:noWrap/>
            <w:vAlign w:val="center"/>
            <w:hideMark/>
          </w:tcPr>
          <w:p w14:paraId="1DA8249B"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3.2%</w:t>
            </w:r>
          </w:p>
        </w:tc>
      </w:tr>
      <w:tr w:rsidR="00492931" w:rsidRPr="00492931" w14:paraId="1B9BA632" w14:textId="77777777" w:rsidTr="00492931">
        <w:trPr>
          <w:trHeight w:val="343"/>
        </w:trPr>
        <w:tc>
          <w:tcPr>
            <w:tcW w:w="919" w:type="dxa"/>
            <w:tcBorders>
              <w:top w:val="nil"/>
              <w:left w:val="nil"/>
              <w:bottom w:val="single" w:sz="12" w:space="0" w:color="1E1545"/>
              <w:right w:val="nil"/>
            </w:tcBorders>
            <w:shd w:val="clear" w:color="000000" w:fill="FFFFFF"/>
            <w:noWrap/>
            <w:vAlign w:val="center"/>
            <w:hideMark/>
          </w:tcPr>
          <w:p w14:paraId="137CF384" w14:textId="77777777" w:rsidR="00492931" w:rsidRPr="00492931" w:rsidRDefault="00492931" w:rsidP="00492931">
            <w:pPr>
              <w:spacing w:before="0" w:after="0" w:line="240" w:lineRule="auto"/>
              <w:rPr>
                <w:rFonts w:cs="Arial"/>
                <w:bCs w:val="0"/>
                <w:color w:val="1E1545"/>
                <w:sz w:val="16"/>
                <w:szCs w:val="16"/>
                <w:lang w:eastAsia="en-AU"/>
              </w:rPr>
            </w:pPr>
            <w:r w:rsidRPr="00492931">
              <w:rPr>
                <w:rFonts w:cs="Arial"/>
                <w:bCs w:val="0"/>
                <w:color w:val="1E1545"/>
                <w:sz w:val="16"/>
                <w:szCs w:val="16"/>
                <w:lang w:eastAsia="en-AU"/>
              </w:rPr>
              <w:t>NPBT margin</w:t>
            </w:r>
          </w:p>
        </w:tc>
        <w:tc>
          <w:tcPr>
            <w:tcW w:w="868" w:type="dxa"/>
            <w:tcBorders>
              <w:top w:val="nil"/>
              <w:left w:val="nil"/>
              <w:bottom w:val="single" w:sz="12" w:space="0" w:color="1E1545"/>
              <w:right w:val="single" w:sz="8" w:space="0" w:color="auto"/>
            </w:tcBorders>
            <w:shd w:val="clear" w:color="000000" w:fill="FFFFFF"/>
            <w:noWrap/>
            <w:vAlign w:val="center"/>
            <w:hideMark/>
          </w:tcPr>
          <w:p w14:paraId="3B96BB9C"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(7.2%)</w:t>
            </w:r>
          </w:p>
        </w:tc>
        <w:tc>
          <w:tcPr>
            <w:tcW w:w="800" w:type="dxa"/>
            <w:tcBorders>
              <w:top w:val="nil"/>
              <w:left w:val="nil"/>
              <w:bottom w:val="single" w:sz="12" w:space="0" w:color="1E1545"/>
              <w:right w:val="nil"/>
            </w:tcBorders>
            <w:shd w:val="clear" w:color="000000" w:fill="FFFFFF"/>
            <w:noWrap/>
            <w:vAlign w:val="center"/>
            <w:hideMark/>
          </w:tcPr>
          <w:p w14:paraId="20A83367"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(9.6%)</w:t>
            </w:r>
          </w:p>
        </w:tc>
        <w:tc>
          <w:tcPr>
            <w:tcW w:w="799" w:type="dxa"/>
            <w:tcBorders>
              <w:top w:val="nil"/>
              <w:left w:val="nil"/>
              <w:bottom w:val="single" w:sz="12" w:space="0" w:color="1E1545"/>
              <w:right w:val="nil"/>
            </w:tcBorders>
            <w:shd w:val="clear" w:color="000000" w:fill="FFFFFF"/>
            <w:noWrap/>
            <w:vAlign w:val="center"/>
            <w:hideMark/>
          </w:tcPr>
          <w:p w14:paraId="6FC8C730"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(4.5%)</w:t>
            </w:r>
          </w:p>
        </w:tc>
        <w:tc>
          <w:tcPr>
            <w:tcW w:w="901" w:type="dxa"/>
            <w:tcBorders>
              <w:top w:val="nil"/>
              <w:left w:val="nil"/>
              <w:bottom w:val="single" w:sz="12" w:space="0" w:color="1E1545"/>
              <w:right w:val="single" w:sz="8" w:space="0" w:color="auto"/>
            </w:tcBorders>
            <w:shd w:val="clear" w:color="000000" w:fill="FFFFFF"/>
            <w:noWrap/>
            <w:vAlign w:val="center"/>
            <w:hideMark/>
          </w:tcPr>
          <w:p w14:paraId="048E754D"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(17.6%)</w:t>
            </w:r>
          </w:p>
        </w:tc>
        <w:tc>
          <w:tcPr>
            <w:tcW w:w="885" w:type="dxa"/>
            <w:tcBorders>
              <w:top w:val="nil"/>
              <w:left w:val="nil"/>
              <w:bottom w:val="single" w:sz="12" w:space="0" w:color="1E1545"/>
              <w:right w:val="nil"/>
            </w:tcBorders>
            <w:shd w:val="clear" w:color="000000" w:fill="FFFFFF"/>
            <w:noWrap/>
            <w:vAlign w:val="center"/>
            <w:hideMark/>
          </w:tcPr>
          <w:p w14:paraId="6836BDFF"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(5.9%)</w:t>
            </w:r>
          </w:p>
        </w:tc>
        <w:tc>
          <w:tcPr>
            <w:tcW w:w="799" w:type="dxa"/>
            <w:tcBorders>
              <w:top w:val="nil"/>
              <w:left w:val="nil"/>
              <w:bottom w:val="single" w:sz="12" w:space="0" w:color="1E1545"/>
              <w:right w:val="nil"/>
            </w:tcBorders>
            <w:shd w:val="clear" w:color="000000" w:fill="FFFFFF"/>
            <w:noWrap/>
            <w:vAlign w:val="center"/>
            <w:hideMark/>
          </w:tcPr>
          <w:p w14:paraId="1723D43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(6.5%)</w:t>
            </w:r>
          </w:p>
        </w:tc>
        <w:tc>
          <w:tcPr>
            <w:tcW w:w="777" w:type="dxa"/>
            <w:tcBorders>
              <w:top w:val="nil"/>
              <w:left w:val="nil"/>
              <w:bottom w:val="single" w:sz="12" w:space="0" w:color="1E1545"/>
              <w:right w:val="single" w:sz="8" w:space="0" w:color="auto"/>
            </w:tcBorders>
            <w:shd w:val="clear" w:color="000000" w:fill="FFFFFF"/>
            <w:noWrap/>
            <w:vAlign w:val="center"/>
            <w:hideMark/>
          </w:tcPr>
          <w:p w14:paraId="549180D2"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(12.5%)</w:t>
            </w:r>
          </w:p>
        </w:tc>
        <w:tc>
          <w:tcPr>
            <w:tcW w:w="907" w:type="dxa"/>
            <w:tcBorders>
              <w:top w:val="nil"/>
              <w:left w:val="nil"/>
              <w:bottom w:val="single" w:sz="12" w:space="0" w:color="1E1545"/>
              <w:right w:val="nil"/>
            </w:tcBorders>
            <w:shd w:val="clear" w:color="000000" w:fill="FFFFFF"/>
            <w:noWrap/>
            <w:vAlign w:val="center"/>
            <w:hideMark/>
          </w:tcPr>
          <w:p w14:paraId="6D07EAA1"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(1.7%)</w:t>
            </w:r>
          </w:p>
        </w:tc>
        <w:tc>
          <w:tcPr>
            <w:tcW w:w="850" w:type="dxa"/>
            <w:tcBorders>
              <w:top w:val="nil"/>
              <w:left w:val="nil"/>
              <w:bottom w:val="single" w:sz="12" w:space="0" w:color="1E1545"/>
              <w:right w:val="nil"/>
            </w:tcBorders>
            <w:shd w:val="clear" w:color="000000" w:fill="FFFFFF"/>
            <w:noWrap/>
            <w:vAlign w:val="center"/>
            <w:hideMark/>
          </w:tcPr>
          <w:p w14:paraId="63C1035E"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(5.9%)</w:t>
            </w:r>
          </w:p>
        </w:tc>
        <w:tc>
          <w:tcPr>
            <w:tcW w:w="851" w:type="dxa"/>
            <w:tcBorders>
              <w:top w:val="nil"/>
              <w:left w:val="nil"/>
              <w:bottom w:val="single" w:sz="12" w:space="0" w:color="1E1545"/>
              <w:right w:val="nil"/>
            </w:tcBorders>
            <w:shd w:val="clear" w:color="000000" w:fill="FFFFFF"/>
            <w:noWrap/>
            <w:vAlign w:val="center"/>
            <w:hideMark/>
          </w:tcPr>
          <w:p w14:paraId="7EAB281A"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(9.6%)</w:t>
            </w:r>
          </w:p>
        </w:tc>
        <w:tc>
          <w:tcPr>
            <w:tcW w:w="850" w:type="dxa"/>
            <w:tcBorders>
              <w:top w:val="nil"/>
              <w:left w:val="nil"/>
              <w:bottom w:val="single" w:sz="12" w:space="0" w:color="1E1545"/>
              <w:right w:val="nil"/>
            </w:tcBorders>
            <w:shd w:val="clear" w:color="000000" w:fill="FFFFFF"/>
            <w:noWrap/>
            <w:vAlign w:val="center"/>
            <w:hideMark/>
          </w:tcPr>
          <w:p w14:paraId="072E706C" w14:textId="77777777" w:rsidR="00492931" w:rsidRPr="00492931" w:rsidRDefault="00492931" w:rsidP="00492931">
            <w:pPr>
              <w:spacing w:before="0" w:after="0" w:line="240" w:lineRule="auto"/>
              <w:jc w:val="right"/>
              <w:rPr>
                <w:rFonts w:cs="Arial"/>
                <w:bCs w:val="0"/>
                <w:color w:val="1E1545"/>
                <w:sz w:val="16"/>
                <w:szCs w:val="16"/>
                <w:lang w:eastAsia="en-AU"/>
              </w:rPr>
            </w:pPr>
            <w:r w:rsidRPr="00492931">
              <w:rPr>
                <w:rFonts w:cs="Arial"/>
                <w:bCs w:val="0"/>
                <w:color w:val="1E1545"/>
                <w:sz w:val="16"/>
                <w:szCs w:val="16"/>
                <w:lang w:eastAsia="en-AU"/>
              </w:rPr>
              <w:t>(9.0%)</w:t>
            </w:r>
          </w:p>
        </w:tc>
      </w:tr>
    </w:tbl>
    <w:p w14:paraId="64A37436" w14:textId="77777777" w:rsidR="00905ABA" w:rsidRPr="00905ABA" w:rsidRDefault="00905ABA" w:rsidP="00905ABA"/>
    <w:p w14:paraId="4CA8E998" w14:textId="49C76D0B" w:rsidR="00DB1379" w:rsidRPr="004E0783" w:rsidRDefault="00DB1379" w:rsidP="00DB1379">
      <w:r w:rsidRPr="004E0783">
        <w:fldChar w:fldCharType="begin"/>
      </w:r>
      <w:r w:rsidRPr="004E0783">
        <w:instrText xml:space="preserve"> REF _Ref162511815 \h </w:instrText>
      </w:r>
      <w:r w:rsidR="004E0783">
        <w:instrText xml:space="preserve"> \* MERGEFORMAT </w:instrText>
      </w:r>
      <w:r w:rsidRPr="004E0783">
        <w:fldChar w:fldCharType="separate"/>
      </w:r>
      <w:r w:rsidR="001377BE">
        <w:t xml:space="preserve">Figure </w:t>
      </w:r>
      <w:r w:rsidR="001377BE">
        <w:rPr>
          <w:noProof/>
        </w:rPr>
        <w:t>3.2</w:t>
      </w:r>
      <w:r w:rsidRPr="004E0783">
        <w:fldChar w:fldCharType="end"/>
      </w:r>
      <w:r w:rsidRPr="004E0783">
        <w:t xml:space="preserve"> shows</w:t>
      </w:r>
      <w:r w:rsidRPr="004E0783">
        <w:rPr>
          <w:spacing w:val="-8"/>
        </w:rPr>
        <w:t xml:space="preserve"> </w:t>
      </w:r>
      <w:r w:rsidRPr="004E0783">
        <w:t>a</w:t>
      </w:r>
      <w:r w:rsidRPr="004E0783">
        <w:rPr>
          <w:spacing w:val="-8"/>
        </w:rPr>
        <w:t xml:space="preserve"> </w:t>
      </w:r>
      <w:r w:rsidRPr="004E0783">
        <w:t>visual</w:t>
      </w:r>
      <w:r w:rsidRPr="004E0783">
        <w:rPr>
          <w:spacing w:val="-8"/>
        </w:rPr>
        <w:t xml:space="preserve"> </w:t>
      </w:r>
      <w:r w:rsidRPr="004E0783">
        <w:t>summary</w:t>
      </w:r>
      <w:r w:rsidRPr="004E0783">
        <w:rPr>
          <w:spacing w:val="-8"/>
        </w:rPr>
        <w:t xml:space="preserve"> </w:t>
      </w:r>
      <w:r w:rsidRPr="004E0783">
        <w:t>of</w:t>
      </w:r>
      <w:r w:rsidRPr="004E0783">
        <w:rPr>
          <w:spacing w:val="-8"/>
        </w:rPr>
        <w:t xml:space="preserve"> </w:t>
      </w:r>
      <w:r w:rsidRPr="004E0783">
        <w:t>income and expenses categories within residential care.</w:t>
      </w:r>
    </w:p>
    <w:p w14:paraId="37576571" w14:textId="501AD84E" w:rsidR="00161294" w:rsidRDefault="00DB1379" w:rsidP="00DB1379">
      <w:r w:rsidRPr="00A210A2">
        <w:t>In 202</w:t>
      </w:r>
      <w:r w:rsidR="004E0783" w:rsidRPr="00A210A2">
        <w:t>2-23</w:t>
      </w:r>
      <w:r w:rsidRPr="00A210A2">
        <w:t>, residential aged care providers reported an average loss of $</w:t>
      </w:r>
      <w:r w:rsidR="00A9083E" w:rsidRPr="00A210A2">
        <w:t>25.31</w:t>
      </w:r>
      <w:r w:rsidRPr="00A210A2">
        <w:t xml:space="preserve"> per resident per day. </w:t>
      </w:r>
      <w:r w:rsidR="004047A5">
        <w:t xml:space="preserve">This is an </w:t>
      </w:r>
      <w:r w:rsidR="00C06CE8">
        <w:t xml:space="preserve">improvement </w:t>
      </w:r>
      <w:r w:rsidR="004047A5">
        <w:t xml:space="preserve">of </w:t>
      </w:r>
      <w:r w:rsidR="00B919F6">
        <w:t xml:space="preserve">$7.66 per </w:t>
      </w:r>
      <w:r w:rsidR="00A91C17">
        <w:t>resident per day</w:t>
      </w:r>
      <w:r w:rsidR="00161294">
        <w:t xml:space="preserve"> on the 2021-22 result</w:t>
      </w:r>
      <w:r w:rsidR="0012635B">
        <w:t xml:space="preserve"> of </w:t>
      </w:r>
      <w:r w:rsidR="00E05697">
        <w:t xml:space="preserve">negative </w:t>
      </w:r>
      <w:r w:rsidR="004D76FA" w:rsidRPr="00EF17A3">
        <w:t>$32.97</w:t>
      </w:r>
      <w:r w:rsidR="00E05697">
        <w:t xml:space="preserve"> per resident per day</w:t>
      </w:r>
      <w:r w:rsidR="00161294">
        <w:t xml:space="preserve">. </w:t>
      </w:r>
    </w:p>
    <w:p w14:paraId="3D17CB2B" w14:textId="055D864D" w:rsidR="00891737" w:rsidRDefault="00DB1379" w:rsidP="00DB1379">
      <w:r w:rsidRPr="00A210A2">
        <w:t>When comparing care income with total care expenses, there is a positive average care result of $</w:t>
      </w:r>
      <w:r w:rsidR="00BD719E" w:rsidRPr="00A210A2">
        <w:t>28.</w:t>
      </w:r>
      <w:r w:rsidR="00A576BD">
        <w:t>10</w:t>
      </w:r>
      <w:r w:rsidRPr="00A210A2">
        <w:t xml:space="preserve"> per resident per day at the sector level. This is </w:t>
      </w:r>
      <w:r w:rsidR="009F6F81">
        <w:t>an in</w:t>
      </w:r>
      <w:r w:rsidRPr="00A210A2">
        <w:t>crease of $</w:t>
      </w:r>
      <w:r w:rsidR="0059370A" w:rsidRPr="00A210A2">
        <w:t>8.</w:t>
      </w:r>
      <w:r w:rsidR="00A576BD">
        <w:t>74</w:t>
      </w:r>
      <w:r w:rsidRPr="00A210A2">
        <w:t xml:space="preserve"> per resident per day from 20</w:t>
      </w:r>
      <w:r w:rsidR="00222DB5" w:rsidRPr="00A210A2">
        <w:t>21-22</w:t>
      </w:r>
      <w:r w:rsidRPr="00A210A2">
        <w:t xml:space="preserve"> when the care result average was $</w:t>
      </w:r>
      <w:r w:rsidR="00383CDB" w:rsidRPr="00A210A2">
        <w:t>19</w:t>
      </w:r>
      <w:r w:rsidR="008531F3" w:rsidRPr="00A210A2">
        <w:t>.36</w:t>
      </w:r>
      <w:r w:rsidRPr="00A210A2">
        <w:t xml:space="preserve"> per resident per day. This </w:t>
      </w:r>
      <w:r w:rsidR="008531F3" w:rsidRPr="00A210A2">
        <w:t>in</w:t>
      </w:r>
      <w:r w:rsidRPr="00A210A2">
        <w:t xml:space="preserve">crease </w:t>
      </w:r>
      <w:r w:rsidR="00727CC5" w:rsidRPr="00A210A2">
        <w:t>is</w:t>
      </w:r>
      <w:r w:rsidRPr="00A210A2">
        <w:t xml:space="preserve"> attributed to </w:t>
      </w:r>
      <w:r w:rsidRPr="00B043E5">
        <w:t>the</w:t>
      </w:r>
      <w:r w:rsidR="00B043E5">
        <w:t xml:space="preserve"> </w:t>
      </w:r>
      <w:r w:rsidR="008B6E9F" w:rsidRPr="00B043E5">
        <w:t xml:space="preserve">increase </w:t>
      </w:r>
      <w:r w:rsidR="008B6E9F" w:rsidRPr="00A210A2">
        <w:t>in funding</w:t>
      </w:r>
      <w:r w:rsidR="00A13750">
        <w:t xml:space="preserve"> with the introduction of AN-ACC</w:t>
      </w:r>
      <w:r w:rsidR="008B6E9F" w:rsidRPr="00A210A2">
        <w:t xml:space="preserve"> </w:t>
      </w:r>
      <w:r w:rsidR="005919B6">
        <w:t>provided by</w:t>
      </w:r>
      <w:r w:rsidR="008B6E9F" w:rsidRPr="00A210A2">
        <w:t xml:space="preserve"> the Australian Government</w:t>
      </w:r>
      <w:r w:rsidR="00B043E5" w:rsidRPr="00A210A2">
        <w:t xml:space="preserve">. </w:t>
      </w:r>
      <w:r w:rsidR="00B25D66">
        <w:t>AN-ACC provides more equitable care funding to providers that better matches resident funding with the costs of delivering care enabling a more efficient, transparent and sustainable system.</w:t>
      </w:r>
      <w:r w:rsidRPr="00A210A2">
        <w:t xml:space="preserve"> </w:t>
      </w:r>
    </w:p>
    <w:p w14:paraId="1CBE928E" w14:textId="7486B0E8" w:rsidR="00DB00FB" w:rsidRDefault="000125BD" w:rsidP="00460184">
      <w:pPr>
        <w:pStyle w:val="NormalWeb"/>
        <w:spacing w:before="0" w:beforeAutospacing="0" w:after="0" w:afterAutospacing="0"/>
        <w:rPr>
          <w:rFonts w:ascii="Arial" w:hAnsi="Arial"/>
          <w:lang w:eastAsia="en-US"/>
        </w:rPr>
      </w:pPr>
      <w:r w:rsidRPr="00E96777">
        <w:rPr>
          <w:rFonts w:ascii="Arial" w:hAnsi="Arial"/>
          <w:lang w:eastAsia="en-US"/>
        </w:rPr>
        <w:t>It is expected that care expenses will increase in 2023-24 with the introduction of mandatory care minutes from 1 October 2023 and the</w:t>
      </w:r>
      <w:r w:rsidR="00781AC5" w:rsidRPr="00E96777">
        <w:rPr>
          <w:rFonts w:ascii="Arial" w:hAnsi="Arial"/>
          <w:lang w:eastAsia="en-US"/>
        </w:rPr>
        <w:t xml:space="preserve"> </w:t>
      </w:r>
      <w:r w:rsidR="00E95D2B">
        <w:rPr>
          <w:rFonts w:ascii="Arial" w:hAnsi="Arial"/>
          <w:lang w:eastAsia="en-US"/>
        </w:rPr>
        <w:t>Fair Work Commission’s (</w:t>
      </w:r>
      <w:r w:rsidR="00781AC5" w:rsidRPr="00E96777">
        <w:rPr>
          <w:rFonts w:ascii="Arial" w:hAnsi="Arial"/>
          <w:lang w:eastAsia="en-US"/>
        </w:rPr>
        <w:t>FWC</w:t>
      </w:r>
      <w:r w:rsidR="00E95D2B">
        <w:rPr>
          <w:rFonts w:ascii="Arial" w:hAnsi="Arial"/>
          <w:lang w:eastAsia="en-US"/>
        </w:rPr>
        <w:t>)</w:t>
      </w:r>
      <w:r w:rsidR="00781AC5" w:rsidRPr="00E96777">
        <w:rPr>
          <w:rFonts w:ascii="Arial" w:hAnsi="Arial"/>
          <w:lang w:eastAsia="en-US"/>
        </w:rPr>
        <w:t xml:space="preserve"> decision in the Aged Care Work Value case for an interim increase to minimum award </w:t>
      </w:r>
      <w:r w:rsidR="000F4C1D" w:rsidRPr="00E96777">
        <w:rPr>
          <w:rFonts w:ascii="Arial" w:hAnsi="Arial"/>
          <w:lang w:eastAsia="en-US"/>
        </w:rPr>
        <w:t>rates</w:t>
      </w:r>
      <w:r w:rsidR="00781AC5" w:rsidRPr="00E96777">
        <w:rPr>
          <w:rFonts w:ascii="Arial" w:hAnsi="Arial"/>
          <w:lang w:eastAsia="en-US"/>
        </w:rPr>
        <w:t xml:space="preserve"> </w:t>
      </w:r>
      <w:r w:rsidR="000F4C1D" w:rsidRPr="00E96777">
        <w:rPr>
          <w:rFonts w:ascii="Arial" w:hAnsi="Arial"/>
          <w:lang w:eastAsia="en-US"/>
        </w:rPr>
        <w:t>of</w:t>
      </w:r>
      <w:r w:rsidR="00781AC5" w:rsidRPr="00E96777">
        <w:rPr>
          <w:rFonts w:ascii="Arial" w:hAnsi="Arial"/>
          <w:lang w:eastAsia="en-US"/>
        </w:rPr>
        <w:t xml:space="preserve"> 15%</w:t>
      </w:r>
      <w:r w:rsidR="00630271" w:rsidRPr="00E96777">
        <w:rPr>
          <w:rFonts w:ascii="Arial" w:hAnsi="Arial"/>
          <w:lang w:eastAsia="en-US"/>
        </w:rPr>
        <w:t>,</w:t>
      </w:r>
      <w:r w:rsidR="00781AC5" w:rsidRPr="00E96777">
        <w:rPr>
          <w:rFonts w:ascii="Arial" w:hAnsi="Arial"/>
          <w:lang w:eastAsia="en-US"/>
        </w:rPr>
        <w:t xml:space="preserve"> </w:t>
      </w:r>
      <w:r w:rsidR="00630271" w:rsidRPr="00E96777">
        <w:rPr>
          <w:rFonts w:ascii="Arial" w:hAnsi="Arial"/>
          <w:lang w:eastAsia="en-US"/>
        </w:rPr>
        <w:t>which</w:t>
      </w:r>
      <w:r w:rsidR="00781AC5" w:rsidRPr="00E96777">
        <w:rPr>
          <w:rFonts w:ascii="Arial" w:hAnsi="Arial"/>
          <w:lang w:eastAsia="en-US"/>
        </w:rPr>
        <w:t xml:space="preserve"> commenced on 30 June 2023</w:t>
      </w:r>
      <w:r w:rsidR="004A29F2" w:rsidRPr="00E96777">
        <w:rPr>
          <w:rFonts w:ascii="Arial" w:hAnsi="Arial"/>
          <w:lang w:eastAsia="en-US"/>
        </w:rPr>
        <w:t>.</w:t>
      </w:r>
      <w:r w:rsidR="00175D1A">
        <w:rPr>
          <w:rFonts w:ascii="Arial" w:hAnsi="Arial"/>
          <w:lang w:eastAsia="en-US"/>
        </w:rPr>
        <w:t xml:space="preserve"> </w:t>
      </w:r>
      <w:r w:rsidR="00175D1A" w:rsidRPr="006940B5">
        <w:rPr>
          <w:rFonts w:ascii="Arial" w:hAnsi="Arial"/>
          <w:lang w:eastAsia="en-US"/>
        </w:rPr>
        <w:t>This investment will help build and sustain a valued aged care workforce.</w:t>
      </w:r>
      <w:r w:rsidR="004A29F2" w:rsidRPr="00E96777">
        <w:rPr>
          <w:rFonts w:ascii="Arial" w:hAnsi="Arial"/>
          <w:lang w:eastAsia="en-US"/>
        </w:rPr>
        <w:t xml:space="preserve"> </w:t>
      </w:r>
      <w:r w:rsidR="003543ED" w:rsidRPr="003543ED">
        <w:rPr>
          <w:rFonts w:ascii="Arial" w:hAnsi="Arial"/>
          <w:lang w:eastAsia="en-US"/>
        </w:rPr>
        <w:t xml:space="preserve">On 1 July 2023, the average AN-ACC funding per resident per day increased by approximately 17% from $223 to $260 </w:t>
      </w:r>
      <w:r w:rsidR="00C36018">
        <w:rPr>
          <w:rFonts w:ascii="Arial" w:hAnsi="Arial"/>
          <w:lang w:eastAsia="en-US"/>
        </w:rPr>
        <w:t>to ensure these policy changes were fully funded for providers.</w:t>
      </w:r>
      <w:r w:rsidR="00EA474E">
        <w:rPr>
          <w:rFonts w:ascii="Arial" w:hAnsi="Arial"/>
          <w:lang w:eastAsia="en-US"/>
        </w:rPr>
        <w:t xml:space="preserve"> </w:t>
      </w:r>
      <w:r w:rsidR="04D7B1FC" w:rsidRPr="1628DB84">
        <w:rPr>
          <w:rFonts w:ascii="Arial" w:hAnsi="Arial"/>
          <w:lang w:eastAsia="en-US"/>
        </w:rPr>
        <w:t>Government decisions on</w:t>
      </w:r>
      <w:r w:rsidR="04D7B1FC" w:rsidRPr="41A3CA58">
        <w:rPr>
          <w:rFonts w:ascii="Arial" w:hAnsi="Arial"/>
          <w:lang w:eastAsia="en-US"/>
        </w:rPr>
        <w:t xml:space="preserve"> aged care funding,</w:t>
      </w:r>
      <w:r w:rsidR="04D7B1FC" w:rsidRPr="1628DB84">
        <w:rPr>
          <w:rFonts w:ascii="Arial" w:hAnsi="Arial"/>
          <w:lang w:eastAsia="en-US"/>
        </w:rPr>
        <w:t xml:space="preserve"> informed by </w:t>
      </w:r>
      <w:r w:rsidR="00782390" w:rsidRPr="1628DB84">
        <w:rPr>
          <w:rFonts w:ascii="Arial" w:hAnsi="Arial"/>
          <w:lang w:eastAsia="en-US"/>
        </w:rPr>
        <w:t>Independent</w:t>
      </w:r>
      <w:r w:rsidR="00782390">
        <w:rPr>
          <w:rFonts w:ascii="Arial" w:hAnsi="Arial"/>
          <w:lang w:eastAsia="en-US"/>
        </w:rPr>
        <w:t xml:space="preserve"> Health </w:t>
      </w:r>
      <w:r w:rsidR="00A7121D">
        <w:rPr>
          <w:rFonts w:ascii="Arial" w:hAnsi="Arial"/>
          <w:lang w:eastAsia="en-US"/>
        </w:rPr>
        <w:t>and Aged Care Pricing Authority (</w:t>
      </w:r>
      <w:r w:rsidR="000C3F33" w:rsidRPr="00E96777">
        <w:rPr>
          <w:rFonts w:ascii="Arial" w:hAnsi="Arial"/>
          <w:lang w:eastAsia="en-US"/>
        </w:rPr>
        <w:t>IHACPA</w:t>
      </w:r>
      <w:r w:rsidR="00A7121D">
        <w:rPr>
          <w:rFonts w:ascii="Arial" w:hAnsi="Arial"/>
          <w:lang w:eastAsia="en-US"/>
        </w:rPr>
        <w:t>)</w:t>
      </w:r>
      <w:r w:rsidR="000C3F33" w:rsidRPr="00E96777">
        <w:rPr>
          <w:rFonts w:ascii="Arial" w:hAnsi="Arial"/>
          <w:lang w:eastAsia="en-US"/>
        </w:rPr>
        <w:t xml:space="preserve"> advice</w:t>
      </w:r>
      <w:r w:rsidR="2BA73132" w:rsidRPr="41A3CA58">
        <w:rPr>
          <w:rFonts w:ascii="Arial" w:hAnsi="Arial"/>
          <w:lang w:eastAsia="en-US"/>
        </w:rPr>
        <w:t>,</w:t>
      </w:r>
      <w:r w:rsidR="000C3F33" w:rsidRPr="00E96777">
        <w:rPr>
          <w:rFonts w:ascii="Arial" w:hAnsi="Arial"/>
          <w:lang w:eastAsia="en-US"/>
        </w:rPr>
        <w:t xml:space="preserve"> </w:t>
      </w:r>
      <w:r w:rsidR="4EEAF47D" w:rsidRPr="7C1FC2D5">
        <w:rPr>
          <w:rFonts w:ascii="Arial" w:hAnsi="Arial"/>
          <w:lang w:eastAsia="en-US"/>
        </w:rPr>
        <w:t>will</w:t>
      </w:r>
      <w:r w:rsidR="000C3F33" w:rsidRPr="00E96777">
        <w:rPr>
          <w:rFonts w:ascii="Arial" w:hAnsi="Arial"/>
          <w:lang w:eastAsia="en-US"/>
        </w:rPr>
        <w:t xml:space="preserve"> bring AN-ACC funding in line with the actual cost of delivering care</w:t>
      </w:r>
      <w:r w:rsidR="00916BCF">
        <w:rPr>
          <w:rFonts w:ascii="Arial" w:hAnsi="Arial"/>
          <w:lang w:eastAsia="en-US"/>
        </w:rPr>
        <w:t xml:space="preserve">. </w:t>
      </w:r>
      <w:r w:rsidR="000C3F33" w:rsidRPr="00E96777">
        <w:rPr>
          <w:rFonts w:ascii="Arial" w:hAnsi="Arial"/>
          <w:lang w:eastAsia="en-US"/>
        </w:rPr>
        <w:t>This means providers who deliver care more efficiently</w:t>
      </w:r>
      <w:r w:rsidR="00E35239">
        <w:rPr>
          <w:rFonts w:ascii="Arial" w:hAnsi="Arial"/>
          <w:lang w:eastAsia="en-US"/>
        </w:rPr>
        <w:t>,</w:t>
      </w:r>
      <w:r w:rsidR="000C3F33" w:rsidRPr="00E96777">
        <w:rPr>
          <w:rFonts w:ascii="Arial" w:hAnsi="Arial"/>
          <w:lang w:eastAsia="en-US"/>
        </w:rPr>
        <w:t xml:space="preserve"> are more likely</w:t>
      </w:r>
      <w:r w:rsidR="00864268">
        <w:rPr>
          <w:rFonts w:ascii="Arial" w:hAnsi="Arial"/>
          <w:lang w:eastAsia="en-US"/>
        </w:rPr>
        <w:t xml:space="preserve"> to achieve financial sustainability. </w:t>
      </w:r>
      <w:r w:rsidR="000C3F33" w:rsidRPr="00E96777">
        <w:rPr>
          <w:rFonts w:ascii="Arial" w:hAnsi="Arial"/>
          <w:lang w:eastAsia="en-US"/>
        </w:rPr>
        <w:t>IHACPA will continue to collect data</w:t>
      </w:r>
      <w:r w:rsidR="000C3F33" w:rsidRPr="3B275E97">
        <w:rPr>
          <w:rFonts w:ascii="Arial" w:hAnsi="Arial"/>
          <w:lang w:eastAsia="en-US"/>
        </w:rPr>
        <w:t xml:space="preserve"> </w:t>
      </w:r>
      <w:r w:rsidR="3438ECFD" w:rsidRPr="3B275E97">
        <w:rPr>
          <w:rFonts w:ascii="Arial" w:hAnsi="Arial"/>
          <w:lang w:eastAsia="en-US"/>
        </w:rPr>
        <w:t>to inform</w:t>
      </w:r>
      <w:r w:rsidR="000C3F33" w:rsidRPr="00E96777">
        <w:rPr>
          <w:rFonts w:ascii="Arial" w:hAnsi="Arial"/>
          <w:lang w:eastAsia="en-US"/>
        </w:rPr>
        <w:t xml:space="preserve"> </w:t>
      </w:r>
      <w:r w:rsidR="6D7CFC61" w:rsidRPr="5AB0C6B0">
        <w:rPr>
          <w:rFonts w:ascii="Arial" w:hAnsi="Arial"/>
          <w:lang w:eastAsia="en-US"/>
        </w:rPr>
        <w:t xml:space="preserve">its </w:t>
      </w:r>
      <w:r w:rsidR="000C3F33" w:rsidRPr="00E96777">
        <w:rPr>
          <w:rFonts w:ascii="Arial" w:hAnsi="Arial"/>
          <w:lang w:eastAsia="en-US"/>
        </w:rPr>
        <w:t xml:space="preserve">pricing </w:t>
      </w:r>
      <w:r w:rsidR="34AE5A0A" w:rsidRPr="3B275E97">
        <w:rPr>
          <w:rFonts w:ascii="Arial" w:hAnsi="Arial"/>
          <w:lang w:eastAsia="en-US"/>
        </w:rPr>
        <w:t>advice</w:t>
      </w:r>
      <w:r w:rsidR="000C3F33" w:rsidRPr="00E96777">
        <w:rPr>
          <w:rFonts w:ascii="Arial" w:hAnsi="Arial"/>
          <w:lang w:eastAsia="en-US"/>
        </w:rPr>
        <w:t xml:space="preserve">. </w:t>
      </w:r>
    </w:p>
    <w:p w14:paraId="6D31EE05" w14:textId="0174B04F" w:rsidR="002019DB" w:rsidRDefault="00DB1379" w:rsidP="002019DB">
      <w:r w:rsidRPr="00E12DB7">
        <w:t>From 20</w:t>
      </w:r>
      <w:r w:rsidR="00917580" w:rsidRPr="00E12DB7">
        <w:t>21-22</w:t>
      </w:r>
      <w:r w:rsidRPr="00E12DB7">
        <w:t xml:space="preserve"> to 2022</w:t>
      </w:r>
      <w:r w:rsidR="00917580" w:rsidRPr="00E12DB7">
        <w:t>-23</w:t>
      </w:r>
      <w:r w:rsidR="00D02CA8" w:rsidRPr="00E12DB7">
        <w:t>,</w:t>
      </w:r>
      <w:r w:rsidRPr="00E12DB7">
        <w:t xml:space="preserve"> the average care minutes being delivered increased by </w:t>
      </w:r>
      <w:r w:rsidR="006D3A70">
        <w:t>7.2</w:t>
      </w:r>
      <w:r w:rsidRPr="00E12DB7">
        <w:t xml:space="preserve"> minutes</w:t>
      </w:r>
      <w:r w:rsidR="00113B82">
        <w:t xml:space="preserve"> per resident per day</w:t>
      </w:r>
      <w:r w:rsidRPr="00E12DB7">
        <w:t xml:space="preserve">, with registered nurse minutes increasing by an average of </w:t>
      </w:r>
      <w:r w:rsidR="00E42737" w:rsidRPr="00E12DB7">
        <w:t>2.</w:t>
      </w:r>
      <w:r w:rsidR="006D3A70">
        <w:t>9</w:t>
      </w:r>
      <w:r w:rsidRPr="00E12DB7">
        <w:t xml:space="preserve"> minutes to an average of 3</w:t>
      </w:r>
      <w:r w:rsidR="006D3A70">
        <w:t>4.5</w:t>
      </w:r>
      <w:r w:rsidRPr="00E12DB7">
        <w:t xml:space="preserve"> minutes. </w:t>
      </w:r>
      <w:r w:rsidR="007771D7">
        <w:t xml:space="preserve">Reporting in the QFS for </w:t>
      </w:r>
      <w:hyperlink r:id="rId69" w:history="1">
        <w:r w:rsidR="007771D7" w:rsidRPr="001D12BB">
          <w:rPr>
            <w:rStyle w:val="Hyperlink"/>
          </w:rPr>
          <w:t>quarter 2 2023-4</w:t>
        </w:r>
      </w:hyperlink>
      <w:r w:rsidR="007771D7">
        <w:t xml:space="preserve">, indicates that while the sector average is now above 200 care minutes, significant improvements are required to ensure individual services are compliant with their mandatory care minute responsibilities, and to reach a sector average of 40 registered nurse care minutes. </w:t>
      </w:r>
      <w:r w:rsidR="002019DB">
        <w:t xml:space="preserve"> </w:t>
      </w:r>
    </w:p>
    <w:p w14:paraId="33FED0AA" w14:textId="69677DAD" w:rsidR="002019DB" w:rsidRDefault="002019DB" w:rsidP="002019DB">
      <w:r>
        <w:t>A</w:t>
      </w:r>
      <w:r w:rsidRPr="000D7F65">
        <w:t>nalysis undertaken by the department demonstrates the cost of delivering care is fully funded</w:t>
      </w:r>
      <w:r>
        <w:t>. For the sector to be profitable, while increasing care minutes, it will be vital for providers to ensure they are appropriately charging for accommodation. This would also improve</w:t>
      </w:r>
      <w:r w:rsidRPr="000D7F65">
        <w:t xml:space="preserve"> the financial viability and sustainability of the sector</w:t>
      </w:r>
      <w:r>
        <w:t xml:space="preserve"> which was a focus of the Aged Care Taskforce. T</w:t>
      </w:r>
      <w:r w:rsidRPr="000D7F65">
        <w:t xml:space="preserve">he department will continue to monitor </w:t>
      </w:r>
      <w:r>
        <w:t>expenditure</w:t>
      </w:r>
      <w:r w:rsidRPr="000D7F65">
        <w:t xml:space="preserve"> closely to ensure care funding is used to meet care requirements consistent with the expectation that care funding is spent on care.</w:t>
      </w:r>
      <w:r>
        <w:t xml:space="preserve"> </w:t>
      </w:r>
    </w:p>
    <w:p w14:paraId="4EC75E2E" w14:textId="409AAA2D" w:rsidR="00DB1379" w:rsidRPr="00601F86" w:rsidRDefault="00DB1379" w:rsidP="00DB1379">
      <w:r w:rsidRPr="00601F86">
        <w:t xml:space="preserve">The hotel income and expense comparison shows a </w:t>
      </w:r>
      <w:r w:rsidR="00F3560D">
        <w:t>sector</w:t>
      </w:r>
      <w:r w:rsidRPr="00601F86">
        <w:t xml:space="preserve"> average result of $</w:t>
      </w:r>
      <w:r w:rsidR="00934D82" w:rsidRPr="00601F86">
        <w:t>2.23</w:t>
      </w:r>
      <w:r w:rsidRPr="00601F86">
        <w:t xml:space="preserve"> per resident per day. This was a </w:t>
      </w:r>
      <w:r w:rsidR="00934D82" w:rsidRPr="00601F86">
        <w:t>de</w:t>
      </w:r>
      <w:r w:rsidRPr="00601F86">
        <w:t>crease of $</w:t>
      </w:r>
      <w:r w:rsidR="003E0764" w:rsidRPr="00601F86">
        <w:t>7.94</w:t>
      </w:r>
      <w:r w:rsidRPr="00601F86">
        <w:t xml:space="preserve"> from 2021</w:t>
      </w:r>
      <w:r w:rsidR="003E0764" w:rsidRPr="00601F86">
        <w:t>-22</w:t>
      </w:r>
      <w:r w:rsidRPr="00601F86">
        <w:t xml:space="preserve"> when the hotel result was $</w:t>
      </w:r>
      <w:r w:rsidR="003E0764" w:rsidRPr="00601F86">
        <w:t>10.17</w:t>
      </w:r>
      <w:r w:rsidR="005D35A3">
        <w:t xml:space="preserve"> per resident per day</w:t>
      </w:r>
      <w:r w:rsidRPr="00601F86">
        <w:t xml:space="preserve">. This </w:t>
      </w:r>
      <w:r w:rsidR="00EE1416" w:rsidRPr="00601F86">
        <w:t>de</w:t>
      </w:r>
      <w:r w:rsidRPr="00601F86">
        <w:t xml:space="preserve">crease </w:t>
      </w:r>
      <w:r w:rsidR="00EE1416" w:rsidRPr="00601F86">
        <w:t>is</w:t>
      </w:r>
      <w:r w:rsidRPr="00601F86">
        <w:t xml:space="preserve"> attributed to</w:t>
      </w:r>
      <w:r w:rsidR="00483C42" w:rsidRPr="00601F86">
        <w:t xml:space="preserve"> a decrease in revenue</w:t>
      </w:r>
      <w:r w:rsidR="00EA7636">
        <w:t xml:space="preserve"> for this category</w:t>
      </w:r>
      <w:r w:rsidR="00483C42" w:rsidRPr="00601F86">
        <w:t>, primarily due to the</w:t>
      </w:r>
      <w:r w:rsidR="00EE1416" w:rsidRPr="00601F86">
        <w:t xml:space="preserve"> phasing out of the</w:t>
      </w:r>
      <w:r w:rsidRPr="00601F86">
        <w:t xml:space="preserve"> $10 Basic Daily Fee supplement</w:t>
      </w:r>
      <w:r w:rsidR="00777814" w:rsidRPr="00601F86">
        <w:t xml:space="preserve"> </w:t>
      </w:r>
      <w:r w:rsidR="00525728">
        <w:t xml:space="preserve">which was combined </w:t>
      </w:r>
      <w:r w:rsidR="00D22F6E">
        <w:t xml:space="preserve">with the AN-ACC funding model </w:t>
      </w:r>
      <w:r w:rsidR="00956BA7">
        <w:t>which was introduced</w:t>
      </w:r>
      <w:r w:rsidR="00D22F6E">
        <w:t xml:space="preserve"> </w:t>
      </w:r>
      <w:r w:rsidR="00777814" w:rsidRPr="00601F86">
        <w:t xml:space="preserve">in October 2022. </w:t>
      </w:r>
    </w:p>
    <w:p w14:paraId="5A6DF9D8" w14:textId="51BADAEB" w:rsidR="007F1D28" w:rsidRDefault="00DB1379" w:rsidP="00DB1379">
      <w:r w:rsidRPr="00803CBD">
        <w:t>In 2022</w:t>
      </w:r>
      <w:r w:rsidR="003F591D" w:rsidRPr="00803CBD">
        <w:t>-23</w:t>
      </w:r>
      <w:r w:rsidRPr="00803CBD">
        <w:t xml:space="preserve">, the most significant loss-making categories for providers were </w:t>
      </w:r>
      <w:r w:rsidRPr="00E3555E">
        <w:t>administration (negative $</w:t>
      </w:r>
      <w:r w:rsidR="00457EE7" w:rsidRPr="00E3555E">
        <w:t>45.59</w:t>
      </w:r>
      <w:r w:rsidRPr="00E3555E">
        <w:t xml:space="preserve"> per resident per day), accommodation (negative $</w:t>
      </w:r>
      <w:r w:rsidR="00457EE7" w:rsidRPr="00E3555E">
        <w:t>1.</w:t>
      </w:r>
      <w:r w:rsidR="00B92D85">
        <w:t>20</w:t>
      </w:r>
      <w:r w:rsidRPr="00E3555E">
        <w:t xml:space="preserve"> per resident per day), and </w:t>
      </w:r>
      <w:r w:rsidR="002F0906" w:rsidRPr="00E3555E">
        <w:t xml:space="preserve">non-recurrent income and expenses (negative </w:t>
      </w:r>
      <w:r w:rsidR="001B73B0" w:rsidRPr="00E3555E">
        <w:t xml:space="preserve">$9.66 per resident per day). </w:t>
      </w:r>
    </w:p>
    <w:p w14:paraId="5413BD2C" w14:textId="18C5E96F" w:rsidR="00F06C9A" w:rsidRDefault="005F1487" w:rsidP="00DB1379">
      <w:r>
        <w:t>Bed license amortisation expense</w:t>
      </w:r>
      <w:r w:rsidR="004F3689">
        <w:t>s</w:t>
      </w:r>
      <w:r>
        <w:t xml:space="preserve"> ha</w:t>
      </w:r>
      <w:r w:rsidR="004F3689">
        <w:t>ve</w:t>
      </w:r>
      <w:r>
        <w:t xml:space="preserve"> been removed from the accommodation category in 2022-23 and </w:t>
      </w:r>
      <w:r w:rsidR="00507F57">
        <w:t>are</w:t>
      </w:r>
      <w:r w:rsidR="009C0A4C">
        <w:t xml:space="preserve"> now reported as a non-recurrent expense</w:t>
      </w:r>
      <w:r w:rsidR="00DA1773">
        <w:t xml:space="preserve">. </w:t>
      </w:r>
      <w:r w:rsidR="007F1D28">
        <w:t xml:space="preserve">This aligns with how the information is being reported by providers through the ACFR. </w:t>
      </w:r>
    </w:p>
    <w:p w14:paraId="5D32D99E" w14:textId="6320D7BB" w:rsidR="00FC4BFF" w:rsidRDefault="00113D60" w:rsidP="00DB1379">
      <w:r>
        <w:t>In 2022-23, the</w:t>
      </w:r>
      <w:r w:rsidR="0040320B" w:rsidRPr="00E3555E">
        <w:t xml:space="preserve"> </w:t>
      </w:r>
      <w:r w:rsidR="0040320B">
        <w:t xml:space="preserve">accommodation result </w:t>
      </w:r>
      <w:r w:rsidR="0040320B" w:rsidRPr="00E3555E">
        <w:t>i</w:t>
      </w:r>
      <w:r w:rsidR="0040320B">
        <w:t xml:space="preserve">mproved </w:t>
      </w:r>
      <w:r w:rsidR="0040320B" w:rsidRPr="00E3555E">
        <w:t>to negative $1.</w:t>
      </w:r>
      <w:r w:rsidR="00B92D85">
        <w:t>20</w:t>
      </w:r>
      <w:r w:rsidR="0040320B" w:rsidRPr="00E3555E">
        <w:t xml:space="preserve"> per resident per day</w:t>
      </w:r>
      <w:r w:rsidR="0040320B">
        <w:t xml:space="preserve">, up from negative $14.86 per resident per day in </w:t>
      </w:r>
      <w:r w:rsidR="0040320B" w:rsidRPr="00E3555E">
        <w:t xml:space="preserve">2021-22. The </w:t>
      </w:r>
      <w:r w:rsidR="00966C51">
        <w:t>improved</w:t>
      </w:r>
      <w:r w:rsidR="0040320B" w:rsidRPr="00E3555E">
        <w:t xml:space="preserve"> result is</w:t>
      </w:r>
      <w:r w:rsidR="0040320B">
        <w:t xml:space="preserve"> </w:t>
      </w:r>
      <w:r w:rsidR="00870999">
        <w:t xml:space="preserve">primarily </w:t>
      </w:r>
      <w:r w:rsidR="0040320B" w:rsidRPr="00E3555E">
        <w:t xml:space="preserve">attributed </w:t>
      </w:r>
      <w:r w:rsidR="00982033">
        <w:t xml:space="preserve">to the removal of </w:t>
      </w:r>
      <w:r w:rsidR="0040320B">
        <w:t xml:space="preserve">bed license amortisation </w:t>
      </w:r>
      <w:r w:rsidR="00982033">
        <w:t>expense</w:t>
      </w:r>
      <w:r w:rsidR="00966C51">
        <w:t>s</w:t>
      </w:r>
      <w:r w:rsidR="007F1D28">
        <w:t xml:space="preserve"> from the accommodation </w:t>
      </w:r>
      <w:r w:rsidR="0040320B">
        <w:t>category</w:t>
      </w:r>
      <w:r w:rsidR="00DA7551">
        <w:t>.</w:t>
      </w:r>
      <w:r w:rsidR="0040320B">
        <w:t xml:space="preserve"> </w:t>
      </w:r>
      <w:r w:rsidR="003576FE">
        <w:t xml:space="preserve">If we followed the same methodology </w:t>
      </w:r>
      <w:r w:rsidR="004275CD">
        <w:t xml:space="preserve">as reported in 2021-22, </w:t>
      </w:r>
      <w:r w:rsidR="00EC5074">
        <w:t>t</w:t>
      </w:r>
      <w:r w:rsidR="0040320B">
        <w:t xml:space="preserve">he </w:t>
      </w:r>
      <w:r w:rsidR="004275CD">
        <w:t>accommodation re</w:t>
      </w:r>
      <w:r w:rsidR="004275CD" w:rsidRPr="00BC6EF4">
        <w:t>sult would be</w:t>
      </w:r>
      <w:r w:rsidR="00E33A78">
        <w:t xml:space="preserve"> </w:t>
      </w:r>
      <w:r w:rsidR="00511F46">
        <w:t xml:space="preserve">negative </w:t>
      </w:r>
      <w:r w:rsidR="00E33A78">
        <w:t>$</w:t>
      </w:r>
      <w:r w:rsidR="00B859A8">
        <w:t>12.</w:t>
      </w:r>
      <w:r w:rsidR="00B04DFD">
        <w:t>36</w:t>
      </w:r>
      <w:r w:rsidR="00C152E4">
        <w:t xml:space="preserve">, an improvement of only </w:t>
      </w:r>
      <w:r w:rsidR="00E54A46" w:rsidRPr="009D442C">
        <w:t>$2.</w:t>
      </w:r>
      <w:r w:rsidR="00AA6391" w:rsidRPr="009D442C">
        <w:t>50</w:t>
      </w:r>
      <w:r w:rsidR="00E54A46">
        <w:t>.</w:t>
      </w:r>
      <w:r w:rsidR="00EC5074">
        <w:t xml:space="preserve"> </w:t>
      </w:r>
      <w:r w:rsidR="00DB1379" w:rsidRPr="00E3555E">
        <w:t>The</w:t>
      </w:r>
      <w:r w:rsidR="00A0585C" w:rsidRPr="00E3555E">
        <w:t xml:space="preserve"> non-recurrent income and expenses</w:t>
      </w:r>
      <w:r w:rsidR="00DB1379" w:rsidRPr="00E3555E">
        <w:t xml:space="preserve"> category</w:t>
      </w:r>
      <w:r w:rsidR="00223667">
        <w:t xml:space="preserve"> result</w:t>
      </w:r>
      <w:r w:rsidR="00DB1379" w:rsidRPr="00E3555E">
        <w:t xml:space="preserve"> represented the largest decrease of all the categories, falling </w:t>
      </w:r>
      <w:r w:rsidR="00817E06" w:rsidRPr="00E3555E">
        <w:t>from</w:t>
      </w:r>
      <w:r w:rsidR="00DB1379" w:rsidRPr="00E3555E">
        <w:t xml:space="preserve"> $</w:t>
      </w:r>
      <w:r w:rsidR="00373E0F" w:rsidRPr="00E3555E">
        <w:t>1.75</w:t>
      </w:r>
      <w:r w:rsidR="00DB1379" w:rsidRPr="00E3555E">
        <w:t xml:space="preserve"> per resident per day </w:t>
      </w:r>
      <w:r w:rsidR="00817E06" w:rsidRPr="00E3555E">
        <w:t>in</w:t>
      </w:r>
      <w:r w:rsidR="00DB1379" w:rsidRPr="00E3555E">
        <w:t xml:space="preserve"> 202</w:t>
      </w:r>
      <w:r w:rsidR="00373E0F" w:rsidRPr="00E3555E">
        <w:t>1-22</w:t>
      </w:r>
      <w:r w:rsidR="00DB1379" w:rsidRPr="00E3555E">
        <w:t xml:space="preserve"> </w:t>
      </w:r>
      <w:r w:rsidR="00C450A6" w:rsidRPr="00E3555E">
        <w:t xml:space="preserve">to </w:t>
      </w:r>
      <w:r w:rsidR="00DB1379" w:rsidRPr="00E3555E">
        <w:t>negative $</w:t>
      </w:r>
      <w:r w:rsidR="00980C80" w:rsidRPr="00E3555E">
        <w:t>9.66</w:t>
      </w:r>
      <w:r w:rsidR="00DB1379" w:rsidRPr="00E3555E">
        <w:t xml:space="preserve"> per resident per day</w:t>
      </w:r>
      <w:r w:rsidR="00C450A6" w:rsidRPr="00E3555E">
        <w:t xml:space="preserve"> in 2022-23</w:t>
      </w:r>
      <w:r w:rsidR="00DB1379" w:rsidRPr="00E3555E">
        <w:t xml:space="preserve">. </w:t>
      </w:r>
      <w:r w:rsidR="009667CD" w:rsidRPr="00E3555E">
        <w:t>Most of the non-recurrent income and expenses re</w:t>
      </w:r>
      <w:r w:rsidR="0040081E" w:rsidRPr="00E3555E">
        <w:t>sult</w:t>
      </w:r>
      <w:r w:rsidR="009667CD" w:rsidRPr="00E3555E">
        <w:t xml:space="preserve"> can be attributed to a </w:t>
      </w:r>
      <w:r w:rsidR="00356314">
        <w:t xml:space="preserve">total sector </w:t>
      </w:r>
      <w:r w:rsidR="00AF2F70">
        <w:t>expense</w:t>
      </w:r>
      <w:r w:rsidR="00AF2F70" w:rsidRPr="00E3555E">
        <w:t xml:space="preserve"> </w:t>
      </w:r>
      <w:r w:rsidR="009667CD" w:rsidRPr="00E3555E">
        <w:t xml:space="preserve">of $766 million </w:t>
      </w:r>
      <w:r w:rsidR="006F5D63">
        <w:t xml:space="preserve">($11.16 per resident per day) </w:t>
      </w:r>
      <w:r w:rsidR="009667CD" w:rsidRPr="00E3555E">
        <w:t>in bed license amortisation</w:t>
      </w:r>
      <w:r w:rsidR="006456B7">
        <w:t>.</w:t>
      </w:r>
      <w:r w:rsidR="00F24631">
        <w:t xml:space="preserve"> </w:t>
      </w:r>
      <w:r w:rsidR="00E11828">
        <w:t>As noted above, p</w:t>
      </w:r>
      <w:r w:rsidR="00F474F9">
        <w:t>reviously, bed license amortisation was reported as</w:t>
      </w:r>
      <w:r w:rsidR="00C536EF">
        <w:t xml:space="preserve"> </w:t>
      </w:r>
      <w:r w:rsidR="00B06674">
        <w:t xml:space="preserve">an </w:t>
      </w:r>
      <w:r w:rsidR="00C536EF">
        <w:t>expense in</w:t>
      </w:r>
      <w:r w:rsidR="00F474F9">
        <w:t xml:space="preserve"> </w:t>
      </w:r>
      <w:r w:rsidR="00B06674">
        <w:t xml:space="preserve">the </w:t>
      </w:r>
      <w:r w:rsidR="00F474F9">
        <w:t xml:space="preserve">accommodation </w:t>
      </w:r>
      <w:r w:rsidR="00C536EF">
        <w:t>category</w:t>
      </w:r>
      <w:r w:rsidR="00D82D8F">
        <w:t xml:space="preserve">. </w:t>
      </w:r>
    </w:p>
    <w:p w14:paraId="1E6409D7" w14:textId="1C15707F" w:rsidR="003438A9" w:rsidRDefault="008E653A" w:rsidP="00DB1379">
      <w:r>
        <w:t>F</w:t>
      </w:r>
      <w:r w:rsidR="00D82D8F">
        <w:t xml:space="preserve">rom 2022-23, </w:t>
      </w:r>
      <w:r w:rsidR="001B1E23">
        <w:t>bed license amortisation expense</w:t>
      </w:r>
      <w:r w:rsidR="00426C9D">
        <w:t>s</w:t>
      </w:r>
      <w:r w:rsidR="001B1E23">
        <w:t xml:space="preserve"> will be </w:t>
      </w:r>
      <w:r w:rsidR="00007167">
        <w:t>reporte</w:t>
      </w:r>
      <w:r w:rsidR="001B1E23">
        <w:t>d as non-recurrent expense</w:t>
      </w:r>
      <w:r w:rsidR="00426C9D">
        <w:t>s</w:t>
      </w:r>
      <w:r w:rsidR="00C16C11">
        <w:t xml:space="preserve"> </w:t>
      </w:r>
      <w:r w:rsidR="00C536EF">
        <w:t xml:space="preserve">in </w:t>
      </w:r>
      <w:r w:rsidR="003B32D4">
        <w:t xml:space="preserve">the </w:t>
      </w:r>
      <w:r w:rsidR="00A709FF" w:rsidRPr="009F4CA9">
        <w:t xml:space="preserve">Aged Care Financial Report </w:t>
      </w:r>
      <w:r w:rsidR="00A709FF">
        <w:t>(</w:t>
      </w:r>
      <w:r w:rsidR="003B32D4">
        <w:t>ACFR</w:t>
      </w:r>
      <w:r w:rsidR="00A709FF">
        <w:t>)</w:t>
      </w:r>
      <w:r w:rsidR="001B1E23">
        <w:t xml:space="preserve"> until </w:t>
      </w:r>
      <w:r w:rsidR="00C536EF">
        <w:t>the sector has fully amortised all bed licens</w:t>
      </w:r>
      <w:r w:rsidR="00C065B9">
        <w:t>es</w:t>
      </w:r>
      <w:r w:rsidR="00CA1E25">
        <w:t>.</w:t>
      </w:r>
    </w:p>
    <w:p w14:paraId="0C14CB09" w14:textId="34272994" w:rsidR="00DB1379" w:rsidRPr="00F96660" w:rsidRDefault="00DB1379" w:rsidP="00DB1379">
      <w:r w:rsidRPr="00F96660">
        <w:t>The $</w:t>
      </w:r>
      <w:r w:rsidR="00F96660" w:rsidRPr="00F96660">
        <w:t>766</w:t>
      </w:r>
      <w:r w:rsidRPr="00F96660">
        <w:t xml:space="preserve"> million bed license amortisation </w:t>
      </w:r>
      <w:r w:rsidR="00AF2F70">
        <w:t>expense</w:t>
      </w:r>
      <w:r w:rsidRPr="00F96660">
        <w:t xml:space="preserve"> is a result of the removal of the Aged Care Approvals Round (ACAR) and the need for providers to readjust the treatment of bed licences as intangible assets.</w:t>
      </w:r>
      <w:r w:rsidR="006C60ED">
        <w:t xml:space="preserve"> A </w:t>
      </w:r>
      <w:r w:rsidR="00E82F95">
        <w:t xml:space="preserve">total of $997 million in bed licences </w:t>
      </w:r>
      <w:r w:rsidR="0021026E">
        <w:t>as intangible assets</w:t>
      </w:r>
      <w:r w:rsidR="00AD4796">
        <w:t xml:space="preserve"> is remaining</w:t>
      </w:r>
      <w:r w:rsidR="00B04604">
        <w:t xml:space="preserve"> to be </w:t>
      </w:r>
      <w:r w:rsidR="00AD4796">
        <w:t xml:space="preserve">amortised </w:t>
      </w:r>
      <w:r w:rsidR="008D297B">
        <w:t>as expens</w:t>
      </w:r>
      <w:r w:rsidR="00F1646A">
        <w:t>e</w:t>
      </w:r>
      <w:r w:rsidR="00841DEF">
        <w:t>s</w:t>
      </w:r>
      <w:r w:rsidR="00F1646A">
        <w:t xml:space="preserve"> </w:t>
      </w:r>
      <w:r w:rsidR="00AD4796">
        <w:t>in the next financial yea</w:t>
      </w:r>
      <w:r w:rsidR="0033349F">
        <w:t>r</w:t>
      </w:r>
      <w:r w:rsidR="009A63AD">
        <w:t xml:space="preserve">. </w:t>
      </w:r>
      <w:r w:rsidR="00A16EA9" w:rsidRPr="007940DB">
        <w:t>However, this $997 million write off of bed licences will not impact the sector’s cash balance as there is no cash outflow.</w:t>
      </w:r>
      <w:r w:rsidR="00A16EA9">
        <w:t xml:space="preserve"> </w:t>
      </w:r>
      <w:r w:rsidRPr="00F96660">
        <w:t xml:space="preserve">For more information on ACAR, please visit the department’s website: </w:t>
      </w:r>
      <w:hyperlink r:id="rId70" w:history="1">
        <w:r w:rsidRPr="00F96660">
          <w:rPr>
            <w:rStyle w:val="Hyperlink"/>
          </w:rPr>
          <w:t>Places to people – Embedding choice in residential aged care | Australian Government Department of Health and Aged Care</w:t>
        </w:r>
      </w:hyperlink>
    </w:p>
    <w:p w14:paraId="492394B5" w14:textId="2A37C268" w:rsidR="00223667" w:rsidRPr="00803CBD" w:rsidRDefault="001C1219" w:rsidP="00223667">
      <w:r w:rsidRPr="00803CBD">
        <w:t>The COVID-</w:t>
      </w:r>
      <w:r w:rsidR="004909DA" w:rsidRPr="00803CBD">
        <w:t xml:space="preserve">19 result </w:t>
      </w:r>
      <w:r w:rsidR="00350C87" w:rsidRPr="00803CBD">
        <w:t xml:space="preserve">in 2022-23 </w:t>
      </w:r>
      <w:r w:rsidR="00682FDC" w:rsidRPr="00803CBD">
        <w:t>increase</w:t>
      </w:r>
      <w:r w:rsidR="00A210A2" w:rsidRPr="00803CBD">
        <w:t>d</w:t>
      </w:r>
      <w:r w:rsidR="00682FDC" w:rsidRPr="00803CBD">
        <w:t xml:space="preserve"> to $0.81</w:t>
      </w:r>
      <w:r w:rsidR="00E22EC7" w:rsidRPr="00803CBD">
        <w:t xml:space="preserve"> per resident per</w:t>
      </w:r>
      <w:r w:rsidR="005277CA" w:rsidRPr="00803CBD">
        <w:t xml:space="preserve"> day, up from </w:t>
      </w:r>
      <w:r w:rsidR="00223667" w:rsidRPr="00803CBD">
        <w:t>negative $6.37 per resident per day</w:t>
      </w:r>
      <w:r w:rsidR="00D95FE4" w:rsidRPr="00803CBD">
        <w:t xml:space="preserve"> in 2021-22</w:t>
      </w:r>
      <w:r w:rsidR="00223667" w:rsidRPr="00803CBD">
        <w:t>.</w:t>
      </w:r>
      <w:r w:rsidR="00D95FE4" w:rsidRPr="00803CBD">
        <w:t xml:space="preserve"> Th</w:t>
      </w:r>
      <w:r w:rsidR="0020657D">
        <w:t>is is due</w:t>
      </w:r>
      <w:r w:rsidR="00D95FE4" w:rsidRPr="00803CBD">
        <w:t xml:space="preserve"> to </w:t>
      </w:r>
      <w:r w:rsidR="00C336A0">
        <w:t xml:space="preserve">a reduction in </w:t>
      </w:r>
      <w:r w:rsidR="005569FF">
        <w:br/>
      </w:r>
      <w:r w:rsidR="00D91A53" w:rsidRPr="00803CBD">
        <w:t xml:space="preserve">COVID-19 </w:t>
      </w:r>
      <w:r w:rsidR="00206F49" w:rsidRPr="00803CBD">
        <w:t xml:space="preserve">expenditure </w:t>
      </w:r>
      <w:r w:rsidR="00605A90">
        <w:t xml:space="preserve">from </w:t>
      </w:r>
      <w:r w:rsidR="007533E9" w:rsidRPr="00803CBD">
        <w:t>$10.83</w:t>
      </w:r>
      <w:r w:rsidR="00605A90">
        <w:t xml:space="preserve"> per resident per day in 2021-22</w:t>
      </w:r>
      <w:r w:rsidR="007533E9" w:rsidRPr="00803CBD">
        <w:t xml:space="preserve">, </w:t>
      </w:r>
      <w:r w:rsidR="00402AF1">
        <w:t>to $6.69 in</w:t>
      </w:r>
      <w:r w:rsidR="00346E7D" w:rsidRPr="00803CBD">
        <w:t xml:space="preserve"> 2022-23</w:t>
      </w:r>
      <w:r w:rsidR="00562A02" w:rsidRPr="00803CBD">
        <w:t xml:space="preserve">. </w:t>
      </w:r>
      <w:r w:rsidR="003A58AB">
        <w:t>In addition, s</w:t>
      </w:r>
      <w:r w:rsidR="00E42F89" w:rsidRPr="00803CBD">
        <w:t xml:space="preserve">ome </w:t>
      </w:r>
      <w:r w:rsidR="0023096E">
        <w:t>Australian Government</w:t>
      </w:r>
      <w:r w:rsidR="00A700D4" w:rsidRPr="00803CBD">
        <w:t xml:space="preserve"> </w:t>
      </w:r>
      <w:r w:rsidR="00562A02" w:rsidRPr="00803CBD">
        <w:t xml:space="preserve">funding for </w:t>
      </w:r>
      <w:r w:rsidR="00E42F89" w:rsidRPr="00803CBD">
        <w:t>COVID-19 expenses</w:t>
      </w:r>
      <w:r w:rsidR="00562A02" w:rsidRPr="00803CBD">
        <w:t xml:space="preserve"> </w:t>
      </w:r>
      <w:r w:rsidR="00F603EA">
        <w:t xml:space="preserve">incurred </w:t>
      </w:r>
      <w:r w:rsidR="00562A02" w:rsidRPr="00803CBD">
        <w:t>in 2021-22</w:t>
      </w:r>
      <w:r w:rsidR="00E42F89" w:rsidRPr="00803CBD">
        <w:t>, may not have been realised until the 2022-23 financial year</w:t>
      </w:r>
      <w:r w:rsidR="00800E6F">
        <w:t xml:space="preserve">. </w:t>
      </w:r>
    </w:p>
    <w:p w14:paraId="52B0D3DD" w14:textId="3E73E3F2" w:rsidR="00DB1379" w:rsidRPr="00C37746" w:rsidDel="00FA0A98" w:rsidRDefault="005B5870" w:rsidP="00DB1379">
      <w:r w:rsidRPr="00514B7F">
        <w:t>The 2022-23</w:t>
      </w:r>
      <w:r w:rsidR="00DB1379" w:rsidRPr="00514B7F" w:rsidDel="00FA0A98">
        <w:t xml:space="preserve"> ACFR required providers to report their administration expenses across care, hotel, accommodation and COVID-19 categories. </w:t>
      </w:r>
      <w:r w:rsidR="00E27F4C" w:rsidRPr="00514B7F">
        <w:t xml:space="preserve">To provide consistency with previous </w:t>
      </w:r>
      <w:r w:rsidR="009A4A3E">
        <w:t>Financial Report on the Australian Aged Care Sector</w:t>
      </w:r>
      <w:r w:rsidR="00E27F4C" w:rsidRPr="00514B7F">
        <w:t xml:space="preserve"> </w:t>
      </w:r>
      <w:r w:rsidR="009A4A3E">
        <w:t>(</w:t>
      </w:r>
      <w:r w:rsidR="00E27F4C" w:rsidRPr="00514B7F">
        <w:t>FRAACS</w:t>
      </w:r>
      <w:r w:rsidR="009A4A3E">
        <w:t>)</w:t>
      </w:r>
      <w:r w:rsidR="00E27F4C" w:rsidRPr="00514B7F">
        <w:t xml:space="preserve"> reports</w:t>
      </w:r>
      <w:r w:rsidR="00DA177A" w:rsidRPr="00514B7F">
        <w:t xml:space="preserve"> and</w:t>
      </w:r>
      <w:r w:rsidR="005A4E56" w:rsidRPr="00514B7F">
        <w:t xml:space="preserve"> to</w:t>
      </w:r>
      <w:r w:rsidR="00326886" w:rsidRPr="00514B7F">
        <w:t xml:space="preserve"> </w:t>
      </w:r>
      <w:r w:rsidR="005A4E56" w:rsidRPr="00514B7F">
        <w:t>relevant</w:t>
      </w:r>
      <w:r w:rsidR="00D26591" w:rsidRPr="00514B7F">
        <w:t xml:space="preserve"> </w:t>
      </w:r>
      <w:r w:rsidR="005A4E56" w:rsidRPr="00514B7F">
        <w:t>comparison figures</w:t>
      </w:r>
      <w:r w:rsidR="0030727D" w:rsidRPr="00514B7F">
        <w:t xml:space="preserve">, administration expenses </w:t>
      </w:r>
      <w:r w:rsidR="005A4E56" w:rsidRPr="00514B7F">
        <w:t>have</w:t>
      </w:r>
      <w:r w:rsidR="0030727D" w:rsidRPr="00514B7F">
        <w:t xml:space="preserve"> been </w:t>
      </w:r>
      <w:r w:rsidR="005A4E56" w:rsidRPr="00514B7F">
        <w:t>consolidated</w:t>
      </w:r>
      <w:r w:rsidR="00480E1B" w:rsidRPr="00514B7F">
        <w:t xml:space="preserve"> and </w:t>
      </w:r>
      <w:r w:rsidR="0030727D" w:rsidRPr="00514B7F">
        <w:t>included as a separate categorisation.</w:t>
      </w:r>
      <w:r w:rsidR="00DB068A" w:rsidRPr="00514B7F" w:rsidDel="00FA0A98">
        <w:t xml:space="preserve"> </w:t>
      </w:r>
      <w:r w:rsidR="00DB1379" w:rsidRPr="00514B7F" w:rsidDel="00FA0A98">
        <w:t>The department will continue to work with the sector to improve the accuracy of this data, with a view to includ</w:t>
      </w:r>
      <w:r w:rsidR="00E37F7A" w:rsidRPr="00514B7F">
        <w:t>e</w:t>
      </w:r>
      <w:r w:rsidR="00DB1379" w:rsidRPr="00514B7F" w:rsidDel="00FA0A98">
        <w:t xml:space="preserve"> a break-down of administration expenses and trends in administration expenses over-time, in future FRAACS reports.</w:t>
      </w:r>
    </w:p>
    <w:p w14:paraId="1CFEB08A" w14:textId="060FDFA2" w:rsidR="00BC6B4A" w:rsidRDefault="00C23961" w:rsidP="00F91BBB">
      <w:pPr>
        <w:pStyle w:val="Caption"/>
      </w:pPr>
      <w:bookmarkStart w:id="99" w:name="_Ref162511815"/>
      <w:bookmarkStart w:id="100" w:name="_Toc173428962"/>
      <w:r>
        <w:t xml:space="preserve">Figure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t>.</w:t>
      </w:r>
      <w:r w:rsidR="00AE19AA">
        <w:fldChar w:fldCharType="begin"/>
      </w:r>
      <w:r w:rsidR="00AE19AA">
        <w:instrText xml:space="preserve"> SEQ Figure \* ARABIC \s 1 </w:instrText>
      </w:r>
      <w:r w:rsidR="00AE19AA">
        <w:fldChar w:fldCharType="separate"/>
      </w:r>
      <w:r w:rsidR="001377BE">
        <w:rPr>
          <w:noProof/>
        </w:rPr>
        <w:t>2</w:t>
      </w:r>
      <w:r w:rsidR="00AE19AA">
        <w:rPr>
          <w:noProof/>
        </w:rPr>
        <w:fldChar w:fldCharType="end"/>
      </w:r>
      <w:bookmarkEnd w:id="99"/>
      <w:r>
        <w:t xml:space="preserve">: </w:t>
      </w:r>
      <w:r w:rsidRPr="00300371">
        <w:t>Summary of financial performance, income and expense category comparison, per resident per day, all providers, 202</w:t>
      </w:r>
      <w:r w:rsidR="00D20FBE">
        <w:t>2-23</w:t>
      </w:r>
      <w:r w:rsidR="00BA0E88">
        <w:rPr>
          <w:rStyle w:val="FootnoteReference"/>
        </w:rPr>
        <w:footnoteReference w:id="8"/>
      </w:r>
      <w:r w:rsidR="00613D53">
        <w:t xml:space="preserve"> </w:t>
      </w:r>
      <w:r w:rsidR="0056586C">
        <w:rPr>
          <w:rStyle w:val="FootnoteReference"/>
        </w:rPr>
        <w:footnoteReference w:id="9"/>
      </w:r>
      <w:bookmarkEnd w:id="100"/>
    </w:p>
    <w:p w14:paraId="76EC8103" w14:textId="0F4DDF92" w:rsidR="00F952C4" w:rsidRPr="00F952C4" w:rsidRDefault="00F952C4" w:rsidP="00F952C4">
      <w:r>
        <w:rPr>
          <w:noProof/>
        </w:rPr>
        <w:drawing>
          <wp:inline distT="0" distB="0" distL="0" distR="0" wp14:anchorId="69AD6D85" wp14:editId="0A02B532">
            <wp:extent cx="5886450" cy="5673598"/>
            <wp:effectExtent l="0" t="0" r="0" b="3810"/>
            <wp:docPr id="1322519796" name="Picture 1322519796" descr="Figure 3.2 is titled Summary of financial performance, income and expense category comparison, per resident per day, all providers, 2022-23. The figure depicts the financial performance of providers on a per day basis. This includes operating results for care, hotel, accommodation, COVID-19, administration and non-recurrent income and expenses. The care and hotel result was $28.10 and the hotel result was $2.23. Combined these two figures add up to $30.33. Accommodation result (including finance income) was negative $1.20, the COVID-19 result was $0.81, and the administration expenses were negative $45.59. The operating profit/loss was negative $15.65. Adding on the non-recurrent income and expenses of negative $9.66, results in a net profit/loss result of negativ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96" name="Picture 1322519796" descr="Figure 3.2 is titled Summary of financial performance, income and expense category comparison, per resident per day, all providers, 2022-23. The figure depicts the financial performance of providers on a per day basis. This includes operating results for care, hotel, accommodation, COVID-19, administration and non-recurrent income and expenses. The care and hotel result was $28.10 and the hotel result was $2.23. Combined these two figures add up to $30.33. Accommodation result (including finance income) was negative $1.20, the COVID-19 result was $0.81, and the administration expenses were negative $45.59. The operating profit/loss was negative $15.65. Adding on the non-recurrent income and expenses of negative $9.66, results in a net profit/loss result of negative $25.31."/>
                    <pic:cNvPicPr/>
                  </pic:nvPicPr>
                  <pic:blipFill rotWithShape="1">
                    <a:blip r:embed="rId71" cstate="print">
                      <a:extLst>
                        <a:ext uri="{28A0092B-C50C-407E-A947-70E740481C1C}">
                          <a14:useLocalDpi xmlns:a14="http://schemas.microsoft.com/office/drawing/2010/main" val="0"/>
                        </a:ext>
                      </a:extLst>
                    </a:blip>
                    <a:srcRect l="5733" t="17062" r="5843" b="17317"/>
                    <a:stretch/>
                  </pic:blipFill>
                  <pic:spPr bwMode="auto">
                    <a:xfrm>
                      <a:off x="0" y="0"/>
                      <a:ext cx="5899572" cy="5686245"/>
                    </a:xfrm>
                    <a:prstGeom prst="rect">
                      <a:avLst/>
                    </a:prstGeom>
                    <a:ln>
                      <a:noFill/>
                    </a:ln>
                    <a:extLst>
                      <a:ext uri="{53640926-AAD7-44D8-BBD7-CCE9431645EC}">
                        <a14:shadowObscured xmlns:a14="http://schemas.microsoft.com/office/drawing/2010/main"/>
                      </a:ext>
                    </a:extLst>
                  </pic:spPr>
                </pic:pic>
              </a:graphicData>
            </a:graphic>
          </wp:inline>
        </w:drawing>
      </w:r>
    </w:p>
    <w:p w14:paraId="11EAC8AE" w14:textId="77777777" w:rsidR="006F4F12" w:rsidRDefault="006F4F12" w:rsidP="006F4F12">
      <w:pPr>
        <w:spacing w:before="0" w:after="0" w:line="240" w:lineRule="auto"/>
      </w:pPr>
      <w:r>
        <w:br w:type="page"/>
      </w:r>
    </w:p>
    <w:p w14:paraId="385DFBAB" w14:textId="456DDDC9" w:rsidR="00F75B7C" w:rsidRPr="00F9408F" w:rsidRDefault="004A5143" w:rsidP="004A5143">
      <w:r w:rsidRPr="00F9408F">
        <w:fldChar w:fldCharType="begin"/>
      </w:r>
      <w:r w:rsidRPr="00F9408F">
        <w:instrText xml:space="preserve"> REF _Ref162512205 \h </w:instrText>
      </w:r>
      <w:r w:rsidR="00F9408F">
        <w:instrText xml:space="preserve"> \* MERGEFORMAT </w:instrText>
      </w:r>
      <w:r w:rsidRPr="00F9408F">
        <w:fldChar w:fldCharType="separate"/>
      </w:r>
      <w:r w:rsidR="001377BE">
        <w:t xml:space="preserve">Table </w:t>
      </w:r>
      <w:r w:rsidR="001377BE">
        <w:rPr>
          <w:noProof/>
        </w:rPr>
        <w:t>3.3</w:t>
      </w:r>
      <w:r w:rsidRPr="00F9408F">
        <w:fldChar w:fldCharType="end"/>
      </w:r>
      <w:r w:rsidRPr="00F9408F">
        <w:t xml:space="preserve"> shows a summary of income and expenses based on functional centres within residential</w:t>
      </w:r>
      <w:r w:rsidRPr="00F9408F">
        <w:rPr>
          <w:spacing w:val="-11"/>
        </w:rPr>
        <w:t xml:space="preserve"> </w:t>
      </w:r>
      <w:r w:rsidRPr="00F9408F">
        <w:t>care.</w:t>
      </w:r>
      <w:r w:rsidRPr="00F9408F">
        <w:rPr>
          <w:spacing w:val="-11"/>
        </w:rPr>
        <w:t xml:space="preserve"> </w:t>
      </w:r>
      <w:r w:rsidRPr="00F9408F">
        <w:t>The</w:t>
      </w:r>
      <w:r w:rsidRPr="00F9408F">
        <w:rPr>
          <w:spacing w:val="-11"/>
        </w:rPr>
        <w:t xml:space="preserve"> </w:t>
      </w:r>
      <w:r w:rsidRPr="00F9408F">
        <w:t>table</w:t>
      </w:r>
      <w:r w:rsidRPr="00F9408F">
        <w:rPr>
          <w:spacing w:val="-11"/>
        </w:rPr>
        <w:t xml:space="preserve"> </w:t>
      </w:r>
      <w:r w:rsidRPr="00F9408F">
        <w:t>enables</w:t>
      </w:r>
      <w:r w:rsidRPr="00F9408F">
        <w:rPr>
          <w:spacing w:val="-11"/>
        </w:rPr>
        <w:t xml:space="preserve"> </w:t>
      </w:r>
      <w:r w:rsidRPr="00F9408F">
        <w:t>better</w:t>
      </w:r>
      <w:r w:rsidRPr="00F9408F">
        <w:rPr>
          <w:spacing w:val="-11"/>
        </w:rPr>
        <w:t xml:space="preserve"> </w:t>
      </w:r>
      <w:r w:rsidRPr="00F9408F">
        <w:t>understanding of sector level financial information and its impact on</w:t>
      </w:r>
      <w:r w:rsidRPr="00F9408F">
        <w:rPr>
          <w:spacing w:val="-11"/>
        </w:rPr>
        <w:t xml:space="preserve"> </w:t>
      </w:r>
      <w:r w:rsidRPr="00F9408F">
        <w:t>individual</w:t>
      </w:r>
      <w:r w:rsidRPr="00F9408F">
        <w:rPr>
          <w:spacing w:val="-11"/>
        </w:rPr>
        <w:t xml:space="preserve"> </w:t>
      </w:r>
      <w:r w:rsidRPr="00F9408F">
        <w:t>residents</w:t>
      </w:r>
      <w:r w:rsidRPr="00F9408F">
        <w:rPr>
          <w:spacing w:val="-11"/>
        </w:rPr>
        <w:t xml:space="preserve"> </w:t>
      </w:r>
      <w:r w:rsidRPr="00F9408F">
        <w:t>by</w:t>
      </w:r>
      <w:r w:rsidRPr="00F9408F">
        <w:rPr>
          <w:spacing w:val="-11"/>
        </w:rPr>
        <w:t xml:space="preserve"> </w:t>
      </w:r>
      <w:r w:rsidRPr="00F9408F">
        <w:t>summarising</w:t>
      </w:r>
      <w:r w:rsidRPr="00F9408F">
        <w:rPr>
          <w:spacing w:val="-11"/>
        </w:rPr>
        <w:t xml:space="preserve"> </w:t>
      </w:r>
      <w:r w:rsidRPr="00F9408F">
        <w:t>the</w:t>
      </w:r>
      <w:r w:rsidRPr="00F9408F">
        <w:rPr>
          <w:spacing w:val="-11"/>
        </w:rPr>
        <w:t xml:space="preserve"> </w:t>
      </w:r>
      <w:r w:rsidRPr="00F9408F">
        <w:t>detailed income</w:t>
      </w:r>
      <w:r w:rsidRPr="00F9408F">
        <w:rPr>
          <w:spacing w:val="-2"/>
        </w:rPr>
        <w:t xml:space="preserve"> </w:t>
      </w:r>
      <w:r w:rsidRPr="00F9408F">
        <w:t>statement</w:t>
      </w:r>
      <w:r w:rsidRPr="00F9408F">
        <w:rPr>
          <w:spacing w:val="-2"/>
        </w:rPr>
        <w:t xml:space="preserve"> </w:t>
      </w:r>
      <w:r w:rsidRPr="00F9408F">
        <w:t>submitted</w:t>
      </w:r>
      <w:r w:rsidRPr="00F9408F">
        <w:rPr>
          <w:spacing w:val="-2"/>
        </w:rPr>
        <w:t xml:space="preserve"> </w:t>
      </w:r>
      <w:r w:rsidRPr="00F9408F">
        <w:t>by</w:t>
      </w:r>
      <w:r w:rsidRPr="00F9408F">
        <w:rPr>
          <w:spacing w:val="-2"/>
        </w:rPr>
        <w:t xml:space="preserve"> </w:t>
      </w:r>
      <w:r w:rsidRPr="00F9408F">
        <w:t>providers.</w:t>
      </w:r>
      <w:r w:rsidRPr="00F9408F">
        <w:rPr>
          <w:spacing w:val="-2"/>
        </w:rPr>
        <w:t xml:space="preserve"> </w:t>
      </w:r>
      <w:r w:rsidRPr="00F9408F">
        <w:t>A</w:t>
      </w:r>
      <w:r w:rsidRPr="00F9408F">
        <w:rPr>
          <w:spacing w:val="-2"/>
        </w:rPr>
        <w:t xml:space="preserve"> </w:t>
      </w:r>
      <w:r w:rsidRPr="00F9408F">
        <w:t xml:space="preserve">more detailed income statement has been provided in Appendix </w:t>
      </w:r>
      <w:r w:rsidR="00352F91">
        <w:t>C</w:t>
      </w:r>
      <w:r w:rsidRPr="00F9408F">
        <w:t xml:space="preserve"> to allow providers to benchmark their financial</w:t>
      </w:r>
      <w:r w:rsidRPr="00F9408F">
        <w:rPr>
          <w:spacing w:val="-3"/>
        </w:rPr>
        <w:t xml:space="preserve"> </w:t>
      </w:r>
      <w:r w:rsidRPr="00F9408F">
        <w:t>information</w:t>
      </w:r>
      <w:r w:rsidRPr="00F9408F">
        <w:rPr>
          <w:spacing w:val="-3"/>
        </w:rPr>
        <w:t xml:space="preserve"> </w:t>
      </w:r>
      <w:r w:rsidRPr="00F9408F">
        <w:t>against</w:t>
      </w:r>
      <w:r w:rsidRPr="00F9408F">
        <w:rPr>
          <w:spacing w:val="-3"/>
        </w:rPr>
        <w:t xml:space="preserve"> </w:t>
      </w:r>
      <w:r w:rsidRPr="00F9408F">
        <w:t>the</w:t>
      </w:r>
      <w:r w:rsidRPr="00F9408F">
        <w:rPr>
          <w:spacing w:val="-3"/>
        </w:rPr>
        <w:t xml:space="preserve"> </w:t>
      </w:r>
      <w:r w:rsidRPr="00F9408F">
        <w:t>rest</w:t>
      </w:r>
      <w:r w:rsidRPr="00F9408F">
        <w:rPr>
          <w:spacing w:val="-3"/>
        </w:rPr>
        <w:t xml:space="preserve"> </w:t>
      </w:r>
      <w:r w:rsidRPr="00F9408F">
        <w:t>of</w:t>
      </w:r>
      <w:r w:rsidRPr="00F9408F">
        <w:rPr>
          <w:spacing w:val="-3"/>
        </w:rPr>
        <w:t xml:space="preserve"> </w:t>
      </w:r>
      <w:r w:rsidRPr="00F9408F">
        <w:t>the</w:t>
      </w:r>
      <w:r w:rsidRPr="00F9408F">
        <w:rPr>
          <w:spacing w:val="-3"/>
        </w:rPr>
        <w:t xml:space="preserve"> </w:t>
      </w:r>
      <w:r w:rsidRPr="00F9408F">
        <w:t>sector.</w:t>
      </w:r>
    </w:p>
    <w:p w14:paraId="271DF049" w14:textId="1E00E7EF" w:rsidR="00D2327B" w:rsidRDefault="00D2327B" w:rsidP="00D2327B">
      <w:r>
        <w:t xml:space="preserve">Not-for-profit providers improved their </w:t>
      </w:r>
      <w:r w:rsidDel="00F06CB0">
        <w:t xml:space="preserve">result by more than double in comparison to </w:t>
      </w:r>
      <w:r w:rsidRPr="005B25EF">
        <w:t xml:space="preserve">the </w:t>
      </w:r>
      <w:r w:rsidRPr="005B25EF" w:rsidDel="00F06CB0">
        <w:t>2021-22 result</w:t>
      </w:r>
      <w:r>
        <w:t>. The 2022-23 result for not-for-profit providers was negative $15.60</w:t>
      </w:r>
      <w:r w:rsidR="00261EA2">
        <w:t xml:space="preserve"> per resident per day</w:t>
      </w:r>
      <w:r>
        <w:t>, up from negative $32.68 in 2021-22</w:t>
      </w:r>
      <w:r w:rsidDel="000D70EF">
        <w:t>.</w:t>
      </w:r>
      <w:r>
        <w:t xml:space="preserve"> The improved results for not-for-profit providers was largely due to the improved non-recurrent expense and income category. Not-for-profit providers reported </w:t>
      </w:r>
      <w:r w:rsidR="00AE1C8E">
        <w:t xml:space="preserve">a </w:t>
      </w:r>
      <w:r>
        <w:t>non-recurrent category result of $1.44</w:t>
      </w:r>
      <w:r w:rsidR="00AE1C8E">
        <w:t xml:space="preserve"> per resident per day</w:t>
      </w:r>
      <w:r>
        <w:t xml:space="preserve">. The loss increased for for-profit providers, growing to negative $34.69 </w:t>
      </w:r>
      <w:r w:rsidR="00962F7A">
        <w:t xml:space="preserve">per resident per day </w:t>
      </w:r>
      <w:r>
        <w:t xml:space="preserve">in 2022-23, up from negative $30.26 in 2021-22. For-profit providers reported </w:t>
      </w:r>
      <w:r w:rsidR="006230CA">
        <w:t>a</w:t>
      </w:r>
      <w:r>
        <w:t xml:space="preserve"> non-recurrent result of negative $27.74. The difference in non-recurrent expenses is due to not-for-profit providers reporting less bed license amortisation expenses compared to for-profit providers. Not-for-profit providers reported a total of $201 million bed license amortisation compared with $565 million for for-profit providers. </w:t>
      </w:r>
    </w:p>
    <w:p w14:paraId="355CEE4D" w14:textId="6A30E21C" w:rsidR="004A5143" w:rsidRPr="00F9408F" w:rsidRDefault="00F9408F" w:rsidP="004A5143">
      <w:r>
        <w:fldChar w:fldCharType="begin"/>
      </w:r>
      <w:r>
        <w:instrText xml:space="preserve"> REF _Ref162512205 \h </w:instrText>
      </w:r>
      <w:r>
        <w:fldChar w:fldCharType="separate"/>
      </w:r>
      <w:r w:rsidR="001377BE">
        <w:t xml:space="preserve">Table </w:t>
      </w:r>
      <w:r w:rsidR="001377BE">
        <w:rPr>
          <w:noProof/>
        </w:rPr>
        <w:t>3</w:t>
      </w:r>
      <w:r w:rsidR="001377BE">
        <w:t>.</w:t>
      </w:r>
      <w:r w:rsidR="001377BE">
        <w:rPr>
          <w:noProof/>
        </w:rPr>
        <w:t>3</w:t>
      </w:r>
      <w:r>
        <w:fldChar w:fldCharType="end"/>
      </w:r>
      <w:r>
        <w:t xml:space="preserve"> </w:t>
      </w:r>
      <w:r w:rsidR="004A5143" w:rsidRPr="00F9408F">
        <w:t>also allows for residents to better understand providers’</w:t>
      </w:r>
      <w:r w:rsidR="004A5143" w:rsidRPr="00F9408F">
        <w:rPr>
          <w:spacing w:val="-10"/>
        </w:rPr>
        <w:t xml:space="preserve"> </w:t>
      </w:r>
      <w:r w:rsidR="004A5143" w:rsidRPr="00F9408F">
        <w:t>expenditure</w:t>
      </w:r>
      <w:r w:rsidR="004A5143" w:rsidRPr="00F9408F">
        <w:rPr>
          <w:spacing w:val="-10"/>
        </w:rPr>
        <w:t xml:space="preserve"> </w:t>
      </w:r>
      <w:r w:rsidR="004A5143" w:rsidRPr="00F9408F">
        <w:t>by</w:t>
      </w:r>
      <w:r w:rsidR="004A5143" w:rsidRPr="00F9408F">
        <w:rPr>
          <w:spacing w:val="-10"/>
        </w:rPr>
        <w:t xml:space="preserve"> </w:t>
      </w:r>
      <w:r w:rsidR="004A5143" w:rsidRPr="00F9408F">
        <w:t>showing</w:t>
      </w:r>
      <w:r w:rsidR="004A5143" w:rsidRPr="00F9408F">
        <w:rPr>
          <w:spacing w:val="-10"/>
        </w:rPr>
        <w:t xml:space="preserve"> </w:t>
      </w:r>
      <w:r w:rsidR="004A5143" w:rsidRPr="00F9408F">
        <w:t>how</w:t>
      </w:r>
      <w:r w:rsidR="004A5143" w:rsidRPr="00F9408F">
        <w:rPr>
          <w:spacing w:val="-10"/>
        </w:rPr>
        <w:t xml:space="preserve"> </w:t>
      </w:r>
      <w:r w:rsidR="004A5143" w:rsidRPr="00F9408F">
        <w:t>much</w:t>
      </w:r>
      <w:r w:rsidR="004A5143" w:rsidRPr="00F9408F">
        <w:rPr>
          <w:spacing w:val="-10"/>
        </w:rPr>
        <w:t xml:space="preserve"> </w:t>
      </w:r>
      <w:r w:rsidR="004A5143" w:rsidRPr="00F9408F">
        <w:t>is</w:t>
      </w:r>
      <w:r w:rsidR="004A5143" w:rsidRPr="00F9408F">
        <w:rPr>
          <w:spacing w:val="-10"/>
        </w:rPr>
        <w:t xml:space="preserve"> </w:t>
      </w:r>
      <w:r w:rsidR="004A5143" w:rsidRPr="00F9408F">
        <w:t xml:space="preserve">spent (at the sector level) on categories like care, nursing, food, maintenance, cleaning and administration. </w:t>
      </w:r>
    </w:p>
    <w:p w14:paraId="492EC3C8" w14:textId="4EAEFC30" w:rsidR="004A5143" w:rsidRPr="00EA0C8A" w:rsidRDefault="004A5143" w:rsidP="004A5143">
      <w:r w:rsidRPr="00F9408F">
        <w:t xml:space="preserve">From </w:t>
      </w:r>
      <w:r w:rsidR="00FA19BE">
        <w:t>February</w:t>
      </w:r>
      <w:r w:rsidRPr="00F9408F">
        <w:t xml:space="preserve"> 2024, the department </w:t>
      </w:r>
      <w:r w:rsidR="00343F41">
        <w:t>publishes</w:t>
      </w:r>
      <w:r w:rsidR="00FA19BE">
        <w:t xml:space="preserve"> </w:t>
      </w:r>
      <w:r w:rsidRPr="00F9408F">
        <w:t xml:space="preserve">information at the service level on provider income and expenditure on </w:t>
      </w:r>
      <w:hyperlink r:id="rId72" w:history="1">
        <w:r w:rsidRPr="00FF4839">
          <w:rPr>
            <w:rStyle w:val="Hyperlink"/>
          </w:rPr>
          <w:t>My Aged Care</w:t>
        </w:r>
      </w:hyperlink>
      <w:r w:rsidR="00343F41">
        <w:t xml:space="preserve"> to</w:t>
      </w:r>
      <w:r w:rsidRPr="00F9408F">
        <w:t xml:space="preserve"> contribute to transparency and accountability and support informed decision-making for older </w:t>
      </w:r>
      <w:r w:rsidR="006E3619">
        <w:t>people in Australia</w:t>
      </w:r>
      <w:r w:rsidRPr="00F9408F">
        <w:t xml:space="preserve"> and their families.</w:t>
      </w:r>
      <w:r w:rsidRPr="00EA0C8A">
        <w:t xml:space="preserve"> </w:t>
      </w:r>
    </w:p>
    <w:p w14:paraId="3222FBD4" w14:textId="72966D52" w:rsidR="00BF6643" w:rsidRDefault="00493755" w:rsidP="00BF6643">
      <w:pPr>
        <w:pStyle w:val="Caption"/>
      </w:pPr>
      <w:bookmarkStart w:id="101" w:name="_Ref162512205"/>
      <w:bookmarkStart w:id="102" w:name="_Toc173428885"/>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3</w:t>
      </w:r>
      <w:r w:rsidR="00AE19AA">
        <w:rPr>
          <w:noProof/>
        </w:rPr>
        <w:fldChar w:fldCharType="end"/>
      </w:r>
      <w:bookmarkEnd w:id="101"/>
      <w:r>
        <w:t xml:space="preserve">: </w:t>
      </w:r>
      <w:r w:rsidRPr="000D0453">
        <w:t>Summary of income and expense statement per resident per day, by ownership, 2022</w:t>
      </w:r>
      <w:r w:rsidR="00D20FBE">
        <w:t>-23</w:t>
      </w:r>
      <w:bookmarkStart w:id="103" w:name="_Toc149245322"/>
      <w:bookmarkEnd w:id="102"/>
    </w:p>
    <w:tbl>
      <w:tblPr>
        <w:tblW w:w="8951" w:type="dxa"/>
        <w:tblLayout w:type="fixed"/>
        <w:tblLook w:val="04A0" w:firstRow="1" w:lastRow="0" w:firstColumn="1" w:lastColumn="0" w:noHBand="0" w:noVBand="1"/>
      </w:tblPr>
      <w:tblGrid>
        <w:gridCol w:w="3398"/>
        <w:gridCol w:w="1388"/>
        <w:gridCol w:w="1388"/>
        <w:gridCol w:w="1388"/>
        <w:gridCol w:w="1389"/>
      </w:tblGrid>
      <w:tr w:rsidR="00BF6643" w:rsidRPr="00BF6643" w14:paraId="3178254B" w14:textId="77777777" w:rsidTr="00492931">
        <w:trPr>
          <w:trHeight w:val="560"/>
        </w:trPr>
        <w:tc>
          <w:tcPr>
            <w:tcW w:w="3398" w:type="dxa"/>
            <w:tcBorders>
              <w:top w:val="single" w:sz="12" w:space="0" w:color="1E1545"/>
              <w:left w:val="nil"/>
              <w:bottom w:val="single" w:sz="12" w:space="0" w:color="1E1545"/>
              <w:right w:val="nil"/>
            </w:tcBorders>
            <w:shd w:val="clear" w:color="000000" w:fill="1E1545"/>
            <w:vAlign w:val="center"/>
            <w:hideMark/>
          </w:tcPr>
          <w:p w14:paraId="45702FC3" w14:textId="77777777" w:rsidR="00BF6643" w:rsidRPr="00BF6643" w:rsidRDefault="00BF6643" w:rsidP="00BF6643">
            <w:pPr>
              <w:spacing w:before="0" w:after="0" w:line="240" w:lineRule="auto"/>
              <w:rPr>
                <w:rFonts w:cs="Arial"/>
                <w:b/>
                <w:color w:val="F1F2F2"/>
                <w:sz w:val="21"/>
                <w:szCs w:val="21"/>
                <w:lang w:eastAsia="en-AU"/>
              </w:rPr>
            </w:pPr>
            <w:r w:rsidRPr="00BF6643">
              <w:rPr>
                <w:rFonts w:cs="Arial"/>
                <w:b/>
                <w:color w:val="F1F2F2"/>
                <w:sz w:val="21"/>
                <w:szCs w:val="21"/>
                <w:lang w:eastAsia="en-AU"/>
              </w:rPr>
              <w:t> </w:t>
            </w:r>
          </w:p>
        </w:tc>
        <w:tc>
          <w:tcPr>
            <w:tcW w:w="1388" w:type="dxa"/>
            <w:tcBorders>
              <w:top w:val="single" w:sz="12" w:space="0" w:color="1E1545"/>
              <w:left w:val="nil"/>
              <w:bottom w:val="single" w:sz="12" w:space="0" w:color="1E1545"/>
              <w:right w:val="nil"/>
            </w:tcBorders>
            <w:shd w:val="clear" w:color="000000" w:fill="1E1545"/>
            <w:vAlign w:val="center"/>
            <w:hideMark/>
          </w:tcPr>
          <w:p w14:paraId="7BE536D6" w14:textId="77777777" w:rsidR="00BF6643" w:rsidRPr="00BF6643" w:rsidRDefault="00BF6643" w:rsidP="00BF6643">
            <w:pPr>
              <w:spacing w:before="0" w:after="0" w:line="240" w:lineRule="auto"/>
              <w:jc w:val="right"/>
              <w:rPr>
                <w:rFonts w:cs="Arial"/>
                <w:b/>
                <w:color w:val="F1F2F2"/>
                <w:sz w:val="21"/>
                <w:szCs w:val="21"/>
                <w:lang w:eastAsia="en-AU"/>
              </w:rPr>
            </w:pPr>
            <w:r w:rsidRPr="00BF6643">
              <w:rPr>
                <w:rFonts w:cs="Arial"/>
                <w:b/>
                <w:color w:val="F1F2F2"/>
                <w:sz w:val="21"/>
                <w:szCs w:val="21"/>
                <w:lang w:eastAsia="en-AU"/>
              </w:rPr>
              <w:t>Not-for-profit</w:t>
            </w:r>
          </w:p>
        </w:tc>
        <w:tc>
          <w:tcPr>
            <w:tcW w:w="1388" w:type="dxa"/>
            <w:tcBorders>
              <w:top w:val="single" w:sz="12" w:space="0" w:color="1E1545"/>
              <w:left w:val="nil"/>
              <w:bottom w:val="single" w:sz="12" w:space="0" w:color="1E1545"/>
              <w:right w:val="nil"/>
            </w:tcBorders>
            <w:shd w:val="clear" w:color="000000" w:fill="1E1545"/>
            <w:vAlign w:val="center"/>
            <w:hideMark/>
          </w:tcPr>
          <w:p w14:paraId="23759845" w14:textId="77777777" w:rsidR="00BF6643" w:rsidRPr="00BF6643" w:rsidRDefault="00BF6643" w:rsidP="00BF6643">
            <w:pPr>
              <w:spacing w:before="0" w:after="0" w:line="240" w:lineRule="auto"/>
              <w:jc w:val="right"/>
              <w:rPr>
                <w:rFonts w:cs="Arial"/>
                <w:b/>
                <w:color w:val="F1F2F2"/>
                <w:sz w:val="21"/>
                <w:szCs w:val="21"/>
                <w:lang w:eastAsia="en-AU"/>
              </w:rPr>
            </w:pPr>
            <w:r w:rsidRPr="00BF6643">
              <w:rPr>
                <w:rFonts w:cs="Arial"/>
                <w:b/>
                <w:color w:val="F1F2F2"/>
                <w:sz w:val="21"/>
                <w:szCs w:val="21"/>
                <w:lang w:eastAsia="en-AU"/>
              </w:rPr>
              <w:t>For-profit</w:t>
            </w:r>
          </w:p>
        </w:tc>
        <w:tc>
          <w:tcPr>
            <w:tcW w:w="1388" w:type="dxa"/>
            <w:tcBorders>
              <w:top w:val="single" w:sz="12" w:space="0" w:color="1E1545"/>
              <w:left w:val="nil"/>
              <w:bottom w:val="single" w:sz="12" w:space="0" w:color="1E1545"/>
              <w:right w:val="nil"/>
            </w:tcBorders>
            <w:shd w:val="clear" w:color="000000" w:fill="1E1545"/>
            <w:vAlign w:val="center"/>
            <w:hideMark/>
          </w:tcPr>
          <w:p w14:paraId="715F5186" w14:textId="77777777" w:rsidR="00BF6643" w:rsidRPr="00BF6643" w:rsidRDefault="00BF6643" w:rsidP="00BF6643">
            <w:pPr>
              <w:spacing w:before="0" w:after="0" w:line="240" w:lineRule="auto"/>
              <w:jc w:val="right"/>
              <w:rPr>
                <w:rFonts w:cs="Arial"/>
                <w:b/>
                <w:color w:val="F1F2F2"/>
                <w:sz w:val="21"/>
                <w:szCs w:val="21"/>
                <w:lang w:eastAsia="en-AU"/>
              </w:rPr>
            </w:pPr>
            <w:r w:rsidRPr="00BF6643">
              <w:rPr>
                <w:rFonts w:cs="Arial"/>
                <w:b/>
                <w:color w:val="F1F2F2"/>
                <w:sz w:val="21"/>
                <w:szCs w:val="21"/>
                <w:lang w:eastAsia="en-AU"/>
              </w:rPr>
              <w:t>LST Government</w:t>
            </w:r>
          </w:p>
        </w:tc>
        <w:tc>
          <w:tcPr>
            <w:tcW w:w="1389" w:type="dxa"/>
            <w:tcBorders>
              <w:top w:val="single" w:sz="12" w:space="0" w:color="1E1545"/>
              <w:left w:val="nil"/>
              <w:bottom w:val="single" w:sz="12" w:space="0" w:color="1E1545"/>
              <w:right w:val="nil"/>
            </w:tcBorders>
            <w:shd w:val="clear" w:color="000000" w:fill="1E1545"/>
            <w:vAlign w:val="center"/>
            <w:hideMark/>
          </w:tcPr>
          <w:p w14:paraId="70C7864D" w14:textId="77777777" w:rsidR="00BF6643" w:rsidRPr="00BF6643" w:rsidRDefault="00BF6643" w:rsidP="00BF6643">
            <w:pPr>
              <w:spacing w:before="0" w:after="0" w:line="240" w:lineRule="auto"/>
              <w:jc w:val="right"/>
              <w:rPr>
                <w:rFonts w:cs="Arial"/>
                <w:b/>
                <w:color w:val="F1F2F2"/>
                <w:sz w:val="21"/>
                <w:szCs w:val="21"/>
                <w:lang w:eastAsia="en-AU"/>
              </w:rPr>
            </w:pPr>
            <w:r w:rsidRPr="00BF6643">
              <w:rPr>
                <w:rFonts w:cs="Arial"/>
                <w:b/>
                <w:color w:val="F1F2F2"/>
                <w:sz w:val="21"/>
                <w:szCs w:val="21"/>
                <w:lang w:eastAsia="en-AU"/>
              </w:rPr>
              <w:t>All providers</w:t>
            </w:r>
          </w:p>
        </w:tc>
      </w:tr>
      <w:tr w:rsidR="00BF6643" w:rsidRPr="00BF6643" w14:paraId="598F309F"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693B88AF"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Income</w:t>
            </w:r>
          </w:p>
        </w:tc>
        <w:tc>
          <w:tcPr>
            <w:tcW w:w="1388" w:type="dxa"/>
            <w:tcBorders>
              <w:top w:val="nil"/>
              <w:left w:val="nil"/>
              <w:bottom w:val="single" w:sz="12" w:space="0" w:color="1E1545"/>
              <w:right w:val="nil"/>
            </w:tcBorders>
            <w:shd w:val="clear" w:color="000000" w:fill="D8DADA"/>
            <w:vAlign w:val="center"/>
            <w:hideMark/>
          </w:tcPr>
          <w:p w14:paraId="2BF784A2"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D8DADA"/>
            <w:vAlign w:val="center"/>
            <w:hideMark/>
          </w:tcPr>
          <w:p w14:paraId="51A7F346"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D8DADA"/>
            <w:vAlign w:val="center"/>
            <w:hideMark/>
          </w:tcPr>
          <w:p w14:paraId="332C95A7"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9" w:type="dxa"/>
            <w:tcBorders>
              <w:top w:val="nil"/>
              <w:left w:val="nil"/>
              <w:bottom w:val="single" w:sz="12" w:space="0" w:color="1E1545"/>
              <w:right w:val="nil"/>
            </w:tcBorders>
            <w:shd w:val="clear" w:color="000000" w:fill="D8DADA"/>
            <w:vAlign w:val="center"/>
            <w:hideMark/>
          </w:tcPr>
          <w:p w14:paraId="5075FD9C"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r>
      <w:tr w:rsidR="00BF6643" w:rsidRPr="00BF6643" w14:paraId="31E64B12"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654933A1"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Recurrent income</w:t>
            </w:r>
          </w:p>
        </w:tc>
        <w:tc>
          <w:tcPr>
            <w:tcW w:w="1388" w:type="dxa"/>
            <w:tcBorders>
              <w:top w:val="nil"/>
              <w:left w:val="nil"/>
              <w:bottom w:val="single" w:sz="12" w:space="0" w:color="1E1545"/>
              <w:right w:val="nil"/>
            </w:tcBorders>
            <w:shd w:val="clear" w:color="000000" w:fill="FFFFFF"/>
            <w:noWrap/>
            <w:vAlign w:val="center"/>
            <w:hideMark/>
          </w:tcPr>
          <w:p w14:paraId="444E8898"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13DB18A5"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574D3B38"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9" w:type="dxa"/>
            <w:tcBorders>
              <w:top w:val="nil"/>
              <w:left w:val="nil"/>
              <w:bottom w:val="single" w:sz="12" w:space="0" w:color="1E1545"/>
              <w:right w:val="nil"/>
            </w:tcBorders>
            <w:shd w:val="clear" w:color="000000" w:fill="FFFFFF"/>
            <w:noWrap/>
            <w:vAlign w:val="center"/>
            <w:hideMark/>
          </w:tcPr>
          <w:p w14:paraId="48E5C5E9"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r>
      <w:tr w:rsidR="00BF6643" w:rsidRPr="00BF6643" w14:paraId="1C866C5E"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6ADAB9B1"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Care income</w:t>
            </w:r>
          </w:p>
        </w:tc>
        <w:tc>
          <w:tcPr>
            <w:tcW w:w="1388" w:type="dxa"/>
            <w:tcBorders>
              <w:top w:val="nil"/>
              <w:left w:val="nil"/>
              <w:bottom w:val="single" w:sz="12" w:space="0" w:color="1E1545"/>
              <w:right w:val="nil"/>
            </w:tcBorders>
            <w:shd w:val="clear" w:color="000000" w:fill="FFFFFF"/>
            <w:noWrap/>
            <w:vAlign w:val="center"/>
            <w:hideMark/>
          </w:tcPr>
          <w:p w14:paraId="6412B86E"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$217.01</w:t>
            </w:r>
          </w:p>
        </w:tc>
        <w:tc>
          <w:tcPr>
            <w:tcW w:w="1388" w:type="dxa"/>
            <w:tcBorders>
              <w:top w:val="nil"/>
              <w:left w:val="nil"/>
              <w:bottom w:val="single" w:sz="12" w:space="0" w:color="1E1545"/>
              <w:right w:val="nil"/>
            </w:tcBorders>
            <w:shd w:val="clear" w:color="000000" w:fill="FFFFFF"/>
            <w:noWrap/>
            <w:vAlign w:val="center"/>
            <w:hideMark/>
          </w:tcPr>
          <w:p w14:paraId="3D3A3AF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$214.09</w:t>
            </w:r>
          </w:p>
        </w:tc>
        <w:tc>
          <w:tcPr>
            <w:tcW w:w="1388" w:type="dxa"/>
            <w:tcBorders>
              <w:top w:val="nil"/>
              <w:left w:val="nil"/>
              <w:bottom w:val="single" w:sz="12" w:space="0" w:color="1E1545"/>
              <w:right w:val="nil"/>
            </w:tcBorders>
            <w:shd w:val="clear" w:color="000000" w:fill="FFFFFF"/>
            <w:noWrap/>
            <w:vAlign w:val="center"/>
            <w:hideMark/>
          </w:tcPr>
          <w:p w14:paraId="7DF5CC61"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$314.58</w:t>
            </w:r>
          </w:p>
        </w:tc>
        <w:tc>
          <w:tcPr>
            <w:tcW w:w="1389" w:type="dxa"/>
            <w:tcBorders>
              <w:top w:val="nil"/>
              <w:left w:val="nil"/>
              <w:bottom w:val="single" w:sz="12" w:space="0" w:color="1E1545"/>
              <w:right w:val="nil"/>
            </w:tcBorders>
            <w:shd w:val="clear" w:color="000000" w:fill="FFFFFF"/>
            <w:noWrap/>
            <w:vAlign w:val="center"/>
            <w:hideMark/>
          </w:tcPr>
          <w:p w14:paraId="59AEA89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$219.29</w:t>
            </w:r>
          </w:p>
        </w:tc>
      </w:tr>
      <w:tr w:rsidR="00BF6643" w:rsidRPr="00BF6643" w14:paraId="3AC50DCE"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6BF81EDF"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Hotel services income</w:t>
            </w:r>
          </w:p>
        </w:tc>
        <w:tc>
          <w:tcPr>
            <w:tcW w:w="1388" w:type="dxa"/>
            <w:tcBorders>
              <w:top w:val="nil"/>
              <w:left w:val="nil"/>
              <w:bottom w:val="single" w:sz="12" w:space="0" w:color="1E1545"/>
              <w:right w:val="nil"/>
            </w:tcBorders>
            <w:shd w:val="clear" w:color="000000" w:fill="FFFFFF"/>
            <w:noWrap/>
            <w:vAlign w:val="center"/>
            <w:hideMark/>
          </w:tcPr>
          <w:p w14:paraId="28C55137"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$61.55</w:t>
            </w:r>
          </w:p>
        </w:tc>
        <w:tc>
          <w:tcPr>
            <w:tcW w:w="1388" w:type="dxa"/>
            <w:tcBorders>
              <w:top w:val="nil"/>
              <w:left w:val="nil"/>
              <w:bottom w:val="single" w:sz="12" w:space="0" w:color="1E1545"/>
              <w:right w:val="nil"/>
            </w:tcBorders>
            <w:shd w:val="clear" w:color="000000" w:fill="FFFFFF"/>
            <w:noWrap/>
            <w:vAlign w:val="center"/>
            <w:hideMark/>
          </w:tcPr>
          <w:p w14:paraId="34C97CB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$68.09</w:t>
            </w:r>
          </w:p>
        </w:tc>
        <w:tc>
          <w:tcPr>
            <w:tcW w:w="1388" w:type="dxa"/>
            <w:tcBorders>
              <w:top w:val="nil"/>
              <w:left w:val="nil"/>
              <w:bottom w:val="single" w:sz="12" w:space="0" w:color="1E1545"/>
              <w:right w:val="nil"/>
            </w:tcBorders>
            <w:shd w:val="clear" w:color="000000" w:fill="FFFFFF"/>
            <w:noWrap/>
            <w:vAlign w:val="center"/>
            <w:hideMark/>
          </w:tcPr>
          <w:p w14:paraId="30C2CBEE"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$59.77</w:t>
            </w:r>
          </w:p>
        </w:tc>
        <w:tc>
          <w:tcPr>
            <w:tcW w:w="1389" w:type="dxa"/>
            <w:tcBorders>
              <w:top w:val="nil"/>
              <w:left w:val="nil"/>
              <w:bottom w:val="single" w:sz="12" w:space="0" w:color="1E1545"/>
              <w:right w:val="nil"/>
            </w:tcBorders>
            <w:shd w:val="clear" w:color="000000" w:fill="FFFFFF"/>
            <w:noWrap/>
            <w:vAlign w:val="center"/>
            <w:hideMark/>
          </w:tcPr>
          <w:p w14:paraId="3C163391"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$64.08</w:t>
            </w:r>
          </w:p>
        </w:tc>
      </w:tr>
      <w:tr w:rsidR="00BF6643" w:rsidRPr="00BF6643" w14:paraId="0F2C9BE0" w14:textId="77777777" w:rsidTr="00492931">
        <w:trPr>
          <w:trHeight w:val="560"/>
        </w:trPr>
        <w:tc>
          <w:tcPr>
            <w:tcW w:w="3398" w:type="dxa"/>
            <w:tcBorders>
              <w:top w:val="nil"/>
              <w:left w:val="nil"/>
              <w:bottom w:val="single" w:sz="12" w:space="0" w:color="1E1545"/>
              <w:right w:val="nil"/>
            </w:tcBorders>
            <w:shd w:val="clear" w:color="auto" w:fill="auto"/>
            <w:vAlign w:val="center"/>
            <w:hideMark/>
          </w:tcPr>
          <w:p w14:paraId="34AF604B"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Accommodation &amp; finance income</w:t>
            </w:r>
          </w:p>
        </w:tc>
        <w:tc>
          <w:tcPr>
            <w:tcW w:w="1388" w:type="dxa"/>
            <w:tcBorders>
              <w:top w:val="nil"/>
              <w:left w:val="nil"/>
              <w:bottom w:val="single" w:sz="12" w:space="0" w:color="1E1545"/>
              <w:right w:val="nil"/>
            </w:tcBorders>
            <w:shd w:val="clear" w:color="000000" w:fill="FFFFFF"/>
            <w:noWrap/>
            <w:vAlign w:val="center"/>
            <w:hideMark/>
          </w:tcPr>
          <w:p w14:paraId="470DE98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$42.09</w:t>
            </w:r>
          </w:p>
        </w:tc>
        <w:tc>
          <w:tcPr>
            <w:tcW w:w="1388" w:type="dxa"/>
            <w:tcBorders>
              <w:top w:val="nil"/>
              <w:left w:val="nil"/>
              <w:bottom w:val="single" w:sz="12" w:space="0" w:color="1E1545"/>
              <w:right w:val="nil"/>
            </w:tcBorders>
            <w:shd w:val="clear" w:color="000000" w:fill="FFFFFF"/>
            <w:noWrap/>
            <w:vAlign w:val="center"/>
            <w:hideMark/>
          </w:tcPr>
          <w:p w14:paraId="7BC49012"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$43.78</w:t>
            </w:r>
          </w:p>
        </w:tc>
        <w:tc>
          <w:tcPr>
            <w:tcW w:w="1388" w:type="dxa"/>
            <w:tcBorders>
              <w:top w:val="nil"/>
              <w:left w:val="nil"/>
              <w:bottom w:val="single" w:sz="12" w:space="0" w:color="1E1545"/>
              <w:right w:val="nil"/>
            </w:tcBorders>
            <w:shd w:val="clear" w:color="000000" w:fill="FFFFFF"/>
            <w:noWrap/>
            <w:vAlign w:val="center"/>
            <w:hideMark/>
          </w:tcPr>
          <w:p w14:paraId="3ED7ECF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$42.78</w:t>
            </w:r>
          </w:p>
        </w:tc>
        <w:tc>
          <w:tcPr>
            <w:tcW w:w="1389" w:type="dxa"/>
            <w:tcBorders>
              <w:top w:val="nil"/>
              <w:left w:val="nil"/>
              <w:bottom w:val="single" w:sz="12" w:space="0" w:color="1E1545"/>
              <w:right w:val="nil"/>
            </w:tcBorders>
            <w:shd w:val="clear" w:color="000000" w:fill="FFFFFF"/>
            <w:noWrap/>
            <w:vAlign w:val="center"/>
            <w:hideMark/>
          </w:tcPr>
          <w:p w14:paraId="7CA98A53"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$42.79</w:t>
            </w:r>
          </w:p>
        </w:tc>
      </w:tr>
      <w:tr w:rsidR="00BF6643" w:rsidRPr="00BF6643" w14:paraId="0B761C91"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3D648E75"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COVID-19 income</w:t>
            </w:r>
          </w:p>
        </w:tc>
        <w:tc>
          <w:tcPr>
            <w:tcW w:w="1388" w:type="dxa"/>
            <w:tcBorders>
              <w:top w:val="nil"/>
              <w:left w:val="nil"/>
              <w:bottom w:val="single" w:sz="12" w:space="0" w:color="1E1545"/>
              <w:right w:val="nil"/>
            </w:tcBorders>
            <w:shd w:val="clear" w:color="000000" w:fill="FFFFFF"/>
            <w:noWrap/>
            <w:vAlign w:val="center"/>
            <w:hideMark/>
          </w:tcPr>
          <w:p w14:paraId="55B9ED2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$6.22</w:t>
            </w:r>
          </w:p>
        </w:tc>
        <w:tc>
          <w:tcPr>
            <w:tcW w:w="1388" w:type="dxa"/>
            <w:tcBorders>
              <w:top w:val="nil"/>
              <w:left w:val="nil"/>
              <w:bottom w:val="single" w:sz="12" w:space="0" w:color="1E1545"/>
              <w:right w:val="nil"/>
            </w:tcBorders>
            <w:shd w:val="clear" w:color="000000" w:fill="FFFFFF"/>
            <w:noWrap/>
            <w:vAlign w:val="center"/>
            <w:hideMark/>
          </w:tcPr>
          <w:p w14:paraId="58CCCCE9"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$9.66</w:t>
            </w:r>
          </w:p>
        </w:tc>
        <w:tc>
          <w:tcPr>
            <w:tcW w:w="1388" w:type="dxa"/>
            <w:tcBorders>
              <w:top w:val="nil"/>
              <w:left w:val="nil"/>
              <w:bottom w:val="single" w:sz="12" w:space="0" w:color="1E1545"/>
              <w:right w:val="nil"/>
            </w:tcBorders>
            <w:shd w:val="clear" w:color="000000" w:fill="FFFFFF"/>
            <w:noWrap/>
            <w:vAlign w:val="center"/>
            <w:hideMark/>
          </w:tcPr>
          <w:p w14:paraId="43DDE042"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$3.92</w:t>
            </w:r>
          </w:p>
        </w:tc>
        <w:tc>
          <w:tcPr>
            <w:tcW w:w="1389" w:type="dxa"/>
            <w:tcBorders>
              <w:top w:val="nil"/>
              <w:left w:val="nil"/>
              <w:bottom w:val="single" w:sz="12" w:space="0" w:color="1E1545"/>
              <w:right w:val="nil"/>
            </w:tcBorders>
            <w:shd w:val="clear" w:color="000000" w:fill="FFFFFF"/>
            <w:noWrap/>
            <w:vAlign w:val="center"/>
            <w:hideMark/>
          </w:tcPr>
          <w:p w14:paraId="31F1271C"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$7.50</w:t>
            </w:r>
          </w:p>
        </w:tc>
      </w:tr>
      <w:tr w:rsidR="00BF6643" w:rsidRPr="00BF6643" w14:paraId="1802E105"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4D328D6A" w14:textId="77777777" w:rsidR="00BF6643" w:rsidRPr="00BF6643" w:rsidRDefault="00BF6643" w:rsidP="00BF6643">
            <w:pPr>
              <w:spacing w:before="0" w:after="0" w:line="240" w:lineRule="auto"/>
              <w:ind w:firstLineChars="100" w:firstLine="211"/>
              <w:rPr>
                <w:rFonts w:cs="Arial"/>
                <w:b/>
                <w:color w:val="1E1545"/>
                <w:sz w:val="21"/>
                <w:szCs w:val="21"/>
                <w:lang w:eastAsia="en-AU"/>
              </w:rPr>
            </w:pPr>
            <w:r w:rsidRPr="00BF6643">
              <w:rPr>
                <w:rFonts w:cs="Arial"/>
                <w:b/>
                <w:color w:val="1E1545"/>
                <w:sz w:val="21"/>
                <w:szCs w:val="21"/>
                <w:lang w:eastAsia="en-AU"/>
              </w:rPr>
              <w:t>Total recurrent income</w:t>
            </w:r>
          </w:p>
        </w:tc>
        <w:tc>
          <w:tcPr>
            <w:tcW w:w="1388" w:type="dxa"/>
            <w:tcBorders>
              <w:top w:val="nil"/>
              <w:left w:val="nil"/>
              <w:bottom w:val="single" w:sz="12" w:space="0" w:color="1E1545"/>
              <w:right w:val="nil"/>
            </w:tcBorders>
            <w:shd w:val="clear" w:color="000000" w:fill="D8DADA"/>
            <w:noWrap/>
            <w:vAlign w:val="center"/>
            <w:hideMark/>
          </w:tcPr>
          <w:p w14:paraId="2767F1D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$326.88</w:t>
            </w:r>
          </w:p>
        </w:tc>
        <w:tc>
          <w:tcPr>
            <w:tcW w:w="1388" w:type="dxa"/>
            <w:tcBorders>
              <w:top w:val="nil"/>
              <w:left w:val="nil"/>
              <w:bottom w:val="single" w:sz="12" w:space="0" w:color="1E1545"/>
              <w:right w:val="nil"/>
            </w:tcBorders>
            <w:shd w:val="clear" w:color="000000" w:fill="D8DADA"/>
            <w:noWrap/>
            <w:vAlign w:val="center"/>
            <w:hideMark/>
          </w:tcPr>
          <w:p w14:paraId="59B50F15"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$335.62</w:t>
            </w:r>
          </w:p>
        </w:tc>
        <w:tc>
          <w:tcPr>
            <w:tcW w:w="1388" w:type="dxa"/>
            <w:tcBorders>
              <w:top w:val="nil"/>
              <w:left w:val="nil"/>
              <w:bottom w:val="single" w:sz="12" w:space="0" w:color="1E1545"/>
              <w:right w:val="nil"/>
            </w:tcBorders>
            <w:shd w:val="clear" w:color="000000" w:fill="D8DADA"/>
            <w:noWrap/>
            <w:vAlign w:val="center"/>
            <w:hideMark/>
          </w:tcPr>
          <w:p w14:paraId="121073E5"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$421.06</w:t>
            </w:r>
          </w:p>
        </w:tc>
        <w:tc>
          <w:tcPr>
            <w:tcW w:w="1389" w:type="dxa"/>
            <w:tcBorders>
              <w:top w:val="nil"/>
              <w:left w:val="nil"/>
              <w:bottom w:val="single" w:sz="12" w:space="0" w:color="1E1545"/>
              <w:right w:val="nil"/>
            </w:tcBorders>
            <w:shd w:val="clear" w:color="000000" w:fill="D8DADA"/>
            <w:noWrap/>
            <w:vAlign w:val="center"/>
            <w:hideMark/>
          </w:tcPr>
          <w:p w14:paraId="1C3AD4D0"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$333.66</w:t>
            </w:r>
          </w:p>
        </w:tc>
      </w:tr>
      <w:tr w:rsidR="00BF6643" w:rsidRPr="00BF6643" w14:paraId="4D95100D"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417F2BCC"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Recurrent expense</w:t>
            </w:r>
          </w:p>
        </w:tc>
        <w:tc>
          <w:tcPr>
            <w:tcW w:w="1388" w:type="dxa"/>
            <w:tcBorders>
              <w:top w:val="nil"/>
              <w:left w:val="nil"/>
              <w:bottom w:val="single" w:sz="12" w:space="0" w:color="1E1545"/>
              <w:right w:val="nil"/>
            </w:tcBorders>
            <w:shd w:val="clear" w:color="000000" w:fill="FFFFFF"/>
            <w:noWrap/>
            <w:vAlign w:val="center"/>
            <w:hideMark/>
          </w:tcPr>
          <w:p w14:paraId="46C006AD"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4FCD0552"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0751F8E7"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c>
          <w:tcPr>
            <w:tcW w:w="1389" w:type="dxa"/>
            <w:tcBorders>
              <w:top w:val="nil"/>
              <w:left w:val="nil"/>
              <w:bottom w:val="single" w:sz="12" w:space="0" w:color="1E1545"/>
              <w:right w:val="nil"/>
            </w:tcBorders>
            <w:shd w:val="clear" w:color="000000" w:fill="FFFFFF"/>
            <w:noWrap/>
            <w:vAlign w:val="center"/>
            <w:hideMark/>
          </w:tcPr>
          <w:p w14:paraId="6EC66EC9"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 </w:t>
            </w:r>
          </w:p>
        </w:tc>
      </w:tr>
      <w:tr w:rsidR="00BF6643" w:rsidRPr="00BF6643" w14:paraId="377225F8"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6A95A673"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Care expenses:</w:t>
            </w:r>
          </w:p>
        </w:tc>
        <w:tc>
          <w:tcPr>
            <w:tcW w:w="1388" w:type="dxa"/>
            <w:tcBorders>
              <w:top w:val="nil"/>
              <w:left w:val="nil"/>
              <w:bottom w:val="single" w:sz="12" w:space="0" w:color="1E1545"/>
              <w:right w:val="nil"/>
            </w:tcBorders>
            <w:shd w:val="clear" w:color="000000" w:fill="FFFFFF"/>
            <w:noWrap/>
            <w:vAlign w:val="center"/>
            <w:hideMark/>
          </w:tcPr>
          <w:p w14:paraId="0A1F80EB"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75A1638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4B73252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9" w:type="dxa"/>
            <w:tcBorders>
              <w:top w:val="nil"/>
              <w:left w:val="nil"/>
              <w:bottom w:val="single" w:sz="12" w:space="0" w:color="1E1545"/>
              <w:right w:val="nil"/>
            </w:tcBorders>
            <w:shd w:val="clear" w:color="000000" w:fill="FFFFFF"/>
            <w:noWrap/>
            <w:vAlign w:val="center"/>
            <w:hideMark/>
          </w:tcPr>
          <w:p w14:paraId="1B661CF8"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r>
      <w:tr w:rsidR="00BF6643" w:rsidRPr="00BF6643" w14:paraId="464F120B"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312766B3"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Labour costs</w:t>
            </w:r>
          </w:p>
        </w:tc>
        <w:tc>
          <w:tcPr>
            <w:tcW w:w="1388" w:type="dxa"/>
            <w:tcBorders>
              <w:top w:val="nil"/>
              <w:left w:val="nil"/>
              <w:bottom w:val="single" w:sz="12" w:space="0" w:color="1E1545"/>
              <w:right w:val="nil"/>
            </w:tcBorders>
            <w:shd w:val="clear" w:color="000000" w:fill="FFFFFF"/>
            <w:noWrap/>
            <w:vAlign w:val="center"/>
            <w:hideMark/>
          </w:tcPr>
          <w:p w14:paraId="4F9B9F11"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$178.52</w:t>
            </w:r>
          </w:p>
        </w:tc>
        <w:tc>
          <w:tcPr>
            <w:tcW w:w="1388" w:type="dxa"/>
            <w:tcBorders>
              <w:top w:val="nil"/>
              <w:left w:val="nil"/>
              <w:bottom w:val="single" w:sz="12" w:space="0" w:color="1E1545"/>
              <w:right w:val="nil"/>
            </w:tcBorders>
            <w:shd w:val="clear" w:color="000000" w:fill="FFFFFF"/>
            <w:noWrap/>
            <w:vAlign w:val="center"/>
            <w:hideMark/>
          </w:tcPr>
          <w:p w14:paraId="2032384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$161.92</w:t>
            </w:r>
          </w:p>
        </w:tc>
        <w:tc>
          <w:tcPr>
            <w:tcW w:w="1388" w:type="dxa"/>
            <w:tcBorders>
              <w:top w:val="nil"/>
              <w:left w:val="nil"/>
              <w:bottom w:val="single" w:sz="12" w:space="0" w:color="1E1545"/>
              <w:right w:val="nil"/>
            </w:tcBorders>
            <w:shd w:val="clear" w:color="000000" w:fill="FFFFFF"/>
            <w:noWrap/>
            <w:vAlign w:val="center"/>
            <w:hideMark/>
          </w:tcPr>
          <w:p w14:paraId="41A6B5BE"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$285.06</w:t>
            </w:r>
          </w:p>
        </w:tc>
        <w:tc>
          <w:tcPr>
            <w:tcW w:w="1389" w:type="dxa"/>
            <w:tcBorders>
              <w:top w:val="nil"/>
              <w:left w:val="nil"/>
              <w:bottom w:val="single" w:sz="12" w:space="0" w:color="1E1545"/>
              <w:right w:val="nil"/>
            </w:tcBorders>
            <w:shd w:val="clear" w:color="000000" w:fill="FFFFFF"/>
            <w:noWrap/>
            <w:vAlign w:val="center"/>
            <w:hideMark/>
          </w:tcPr>
          <w:p w14:paraId="339716B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$175.70</w:t>
            </w:r>
          </w:p>
        </w:tc>
      </w:tr>
      <w:tr w:rsidR="00BF6643" w:rsidRPr="00BF6643" w14:paraId="2C49ACB0"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6274063D"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Resident expenses</w:t>
            </w:r>
          </w:p>
        </w:tc>
        <w:tc>
          <w:tcPr>
            <w:tcW w:w="1388" w:type="dxa"/>
            <w:tcBorders>
              <w:top w:val="nil"/>
              <w:left w:val="nil"/>
              <w:bottom w:val="single" w:sz="12" w:space="0" w:color="1E1545"/>
              <w:right w:val="nil"/>
            </w:tcBorders>
            <w:shd w:val="clear" w:color="000000" w:fill="FFFFFF"/>
            <w:noWrap/>
            <w:vAlign w:val="center"/>
            <w:hideMark/>
          </w:tcPr>
          <w:p w14:paraId="18202EA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$7.24</w:t>
            </w:r>
          </w:p>
        </w:tc>
        <w:tc>
          <w:tcPr>
            <w:tcW w:w="1388" w:type="dxa"/>
            <w:tcBorders>
              <w:top w:val="nil"/>
              <w:left w:val="nil"/>
              <w:bottom w:val="single" w:sz="12" w:space="0" w:color="1E1545"/>
              <w:right w:val="nil"/>
            </w:tcBorders>
            <w:shd w:val="clear" w:color="000000" w:fill="FFFFFF"/>
            <w:noWrap/>
            <w:vAlign w:val="center"/>
            <w:hideMark/>
          </w:tcPr>
          <w:p w14:paraId="25A9692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$6.87</w:t>
            </w:r>
          </w:p>
        </w:tc>
        <w:tc>
          <w:tcPr>
            <w:tcW w:w="1388" w:type="dxa"/>
            <w:tcBorders>
              <w:top w:val="nil"/>
              <w:left w:val="nil"/>
              <w:bottom w:val="single" w:sz="12" w:space="0" w:color="1E1545"/>
              <w:right w:val="nil"/>
            </w:tcBorders>
            <w:shd w:val="clear" w:color="000000" w:fill="FFFFFF"/>
            <w:noWrap/>
            <w:vAlign w:val="center"/>
            <w:hideMark/>
          </w:tcPr>
          <w:p w14:paraId="6F33930B"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$9.36</w:t>
            </w:r>
          </w:p>
        </w:tc>
        <w:tc>
          <w:tcPr>
            <w:tcW w:w="1389" w:type="dxa"/>
            <w:tcBorders>
              <w:top w:val="nil"/>
              <w:left w:val="nil"/>
              <w:bottom w:val="single" w:sz="12" w:space="0" w:color="1E1545"/>
              <w:right w:val="nil"/>
            </w:tcBorders>
            <w:shd w:val="clear" w:color="000000" w:fill="FFFFFF"/>
            <w:noWrap/>
            <w:vAlign w:val="center"/>
            <w:hideMark/>
          </w:tcPr>
          <w:p w14:paraId="289D0EB3"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$7.16</w:t>
            </w:r>
          </w:p>
        </w:tc>
      </w:tr>
      <w:tr w:rsidR="00BF6643" w:rsidRPr="00BF6643" w14:paraId="42B34235" w14:textId="77777777" w:rsidTr="00492931">
        <w:trPr>
          <w:trHeight w:val="330"/>
        </w:trPr>
        <w:tc>
          <w:tcPr>
            <w:tcW w:w="3398" w:type="dxa"/>
            <w:tcBorders>
              <w:top w:val="nil"/>
              <w:left w:val="nil"/>
              <w:bottom w:val="single" w:sz="12" w:space="0" w:color="1E1545"/>
              <w:right w:val="nil"/>
            </w:tcBorders>
            <w:shd w:val="clear" w:color="auto" w:fill="auto"/>
            <w:vAlign w:val="center"/>
            <w:hideMark/>
          </w:tcPr>
          <w:p w14:paraId="2172B69A"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Other care expenses</w:t>
            </w:r>
          </w:p>
        </w:tc>
        <w:tc>
          <w:tcPr>
            <w:tcW w:w="1388" w:type="dxa"/>
            <w:tcBorders>
              <w:top w:val="nil"/>
              <w:left w:val="nil"/>
              <w:bottom w:val="single" w:sz="12" w:space="0" w:color="1E1545"/>
              <w:right w:val="nil"/>
            </w:tcBorders>
            <w:shd w:val="clear" w:color="000000" w:fill="FFFFFF"/>
            <w:noWrap/>
            <w:vAlign w:val="center"/>
            <w:hideMark/>
          </w:tcPr>
          <w:p w14:paraId="48D4038B"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$6.12</w:t>
            </w:r>
          </w:p>
        </w:tc>
        <w:tc>
          <w:tcPr>
            <w:tcW w:w="1388" w:type="dxa"/>
            <w:tcBorders>
              <w:top w:val="nil"/>
              <w:left w:val="nil"/>
              <w:bottom w:val="single" w:sz="12" w:space="0" w:color="1E1545"/>
              <w:right w:val="nil"/>
            </w:tcBorders>
            <w:shd w:val="clear" w:color="000000" w:fill="FFFFFF"/>
            <w:noWrap/>
            <w:vAlign w:val="center"/>
            <w:hideMark/>
          </w:tcPr>
          <w:p w14:paraId="0898BDEC"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$11.59</w:t>
            </w:r>
          </w:p>
        </w:tc>
        <w:tc>
          <w:tcPr>
            <w:tcW w:w="1388" w:type="dxa"/>
            <w:tcBorders>
              <w:top w:val="nil"/>
              <w:left w:val="nil"/>
              <w:bottom w:val="single" w:sz="12" w:space="0" w:color="1E1545"/>
              <w:right w:val="nil"/>
            </w:tcBorders>
            <w:shd w:val="clear" w:color="000000" w:fill="FFFFFF"/>
            <w:noWrap/>
            <w:vAlign w:val="center"/>
            <w:hideMark/>
          </w:tcPr>
          <w:p w14:paraId="66BAB2B7"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$7.23</w:t>
            </w:r>
          </w:p>
        </w:tc>
        <w:tc>
          <w:tcPr>
            <w:tcW w:w="1389" w:type="dxa"/>
            <w:tcBorders>
              <w:top w:val="nil"/>
              <w:left w:val="nil"/>
              <w:bottom w:val="single" w:sz="12" w:space="0" w:color="1E1545"/>
              <w:right w:val="nil"/>
            </w:tcBorders>
            <w:shd w:val="clear" w:color="000000" w:fill="FFFFFF"/>
            <w:noWrap/>
            <w:vAlign w:val="center"/>
            <w:hideMark/>
          </w:tcPr>
          <w:p w14:paraId="23670839"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$8.32</w:t>
            </w:r>
          </w:p>
        </w:tc>
      </w:tr>
      <w:tr w:rsidR="00BF6643" w:rsidRPr="00BF6643" w14:paraId="4AA666B2"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71FFBA60"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Total care expenses</w:t>
            </w:r>
          </w:p>
        </w:tc>
        <w:tc>
          <w:tcPr>
            <w:tcW w:w="1388" w:type="dxa"/>
            <w:tcBorders>
              <w:top w:val="nil"/>
              <w:left w:val="nil"/>
              <w:bottom w:val="single" w:sz="12" w:space="0" w:color="1E1545"/>
              <w:right w:val="nil"/>
            </w:tcBorders>
            <w:shd w:val="clear" w:color="000000" w:fill="D8DADA"/>
            <w:noWrap/>
            <w:vAlign w:val="center"/>
            <w:hideMark/>
          </w:tcPr>
          <w:p w14:paraId="7A9DEDE2"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$191.88</w:t>
            </w:r>
          </w:p>
        </w:tc>
        <w:tc>
          <w:tcPr>
            <w:tcW w:w="1388" w:type="dxa"/>
            <w:tcBorders>
              <w:top w:val="nil"/>
              <w:left w:val="nil"/>
              <w:bottom w:val="single" w:sz="12" w:space="0" w:color="1E1545"/>
              <w:right w:val="nil"/>
            </w:tcBorders>
            <w:shd w:val="clear" w:color="000000" w:fill="D8DADA"/>
            <w:noWrap/>
            <w:vAlign w:val="center"/>
            <w:hideMark/>
          </w:tcPr>
          <w:p w14:paraId="17BBDE6E"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$180.37</w:t>
            </w:r>
          </w:p>
        </w:tc>
        <w:tc>
          <w:tcPr>
            <w:tcW w:w="1388" w:type="dxa"/>
            <w:tcBorders>
              <w:top w:val="nil"/>
              <w:left w:val="nil"/>
              <w:bottom w:val="single" w:sz="12" w:space="0" w:color="1E1545"/>
              <w:right w:val="nil"/>
            </w:tcBorders>
            <w:shd w:val="clear" w:color="000000" w:fill="D8DADA"/>
            <w:noWrap/>
            <w:vAlign w:val="center"/>
            <w:hideMark/>
          </w:tcPr>
          <w:p w14:paraId="1D50E805"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$301.66</w:t>
            </w:r>
          </w:p>
        </w:tc>
        <w:tc>
          <w:tcPr>
            <w:tcW w:w="1389" w:type="dxa"/>
            <w:tcBorders>
              <w:top w:val="nil"/>
              <w:left w:val="nil"/>
              <w:bottom w:val="single" w:sz="12" w:space="0" w:color="1E1545"/>
              <w:right w:val="nil"/>
            </w:tcBorders>
            <w:shd w:val="clear" w:color="000000" w:fill="D8DADA"/>
            <w:noWrap/>
            <w:vAlign w:val="center"/>
            <w:hideMark/>
          </w:tcPr>
          <w:p w14:paraId="43E1DB49"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$191.19</w:t>
            </w:r>
          </w:p>
        </w:tc>
      </w:tr>
      <w:tr w:rsidR="00BF6643" w:rsidRPr="00BF6643" w14:paraId="733284ED"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6CBE9912"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Hotel services expenses:</w:t>
            </w:r>
          </w:p>
        </w:tc>
        <w:tc>
          <w:tcPr>
            <w:tcW w:w="1388" w:type="dxa"/>
            <w:tcBorders>
              <w:top w:val="nil"/>
              <w:left w:val="nil"/>
              <w:bottom w:val="single" w:sz="12" w:space="0" w:color="1E1545"/>
              <w:right w:val="nil"/>
            </w:tcBorders>
            <w:shd w:val="clear" w:color="000000" w:fill="FFFFFF"/>
            <w:noWrap/>
            <w:vAlign w:val="center"/>
            <w:hideMark/>
          </w:tcPr>
          <w:p w14:paraId="670342A5"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03209E92"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8" w:type="dxa"/>
            <w:tcBorders>
              <w:top w:val="nil"/>
              <w:left w:val="nil"/>
              <w:bottom w:val="single" w:sz="12" w:space="0" w:color="1E1545"/>
              <w:right w:val="nil"/>
            </w:tcBorders>
            <w:shd w:val="clear" w:color="000000" w:fill="FFFFFF"/>
            <w:noWrap/>
            <w:vAlign w:val="center"/>
            <w:hideMark/>
          </w:tcPr>
          <w:p w14:paraId="156FE65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c>
          <w:tcPr>
            <w:tcW w:w="1389" w:type="dxa"/>
            <w:tcBorders>
              <w:top w:val="nil"/>
              <w:left w:val="nil"/>
              <w:bottom w:val="single" w:sz="12" w:space="0" w:color="1E1545"/>
              <w:right w:val="nil"/>
            </w:tcBorders>
            <w:shd w:val="clear" w:color="000000" w:fill="FFFFFF"/>
            <w:noWrap/>
            <w:vAlign w:val="center"/>
            <w:hideMark/>
          </w:tcPr>
          <w:p w14:paraId="00E52E6C"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 </w:t>
            </w:r>
          </w:p>
        </w:tc>
      </w:tr>
      <w:tr w:rsidR="00BF6643" w:rsidRPr="00BF6643" w14:paraId="790D8844"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742271EE"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Catering</w:t>
            </w:r>
          </w:p>
        </w:tc>
        <w:tc>
          <w:tcPr>
            <w:tcW w:w="1388" w:type="dxa"/>
            <w:tcBorders>
              <w:top w:val="nil"/>
              <w:left w:val="nil"/>
              <w:bottom w:val="single" w:sz="12" w:space="0" w:color="1E1545"/>
              <w:right w:val="nil"/>
            </w:tcBorders>
            <w:shd w:val="clear" w:color="000000" w:fill="FFFFFF"/>
            <w:noWrap/>
            <w:vAlign w:val="center"/>
            <w:hideMark/>
          </w:tcPr>
          <w:p w14:paraId="6879AA2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$37.69</w:t>
            </w:r>
          </w:p>
        </w:tc>
        <w:tc>
          <w:tcPr>
            <w:tcW w:w="1388" w:type="dxa"/>
            <w:tcBorders>
              <w:top w:val="nil"/>
              <w:left w:val="nil"/>
              <w:bottom w:val="single" w:sz="12" w:space="0" w:color="1E1545"/>
              <w:right w:val="nil"/>
            </w:tcBorders>
            <w:shd w:val="clear" w:color="000000" w:fill="FFFFFF"/>
            <w:noWrap/>
            <w:vAlign w:val="center"/>
            <w:hideMark/>
          </w:tcPr>
          <w:p w14:paraId="1E825DC9"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$35.05</w:t>
            </w:r>
          </w:p>
        </w:tc>
        <w:tc>
          <w:tcPr>
            <w:tcW w:w="1388" w:type="dxa"/>
            <w:tcBorders>
              <w:top w:val="nil"/>
              <w:left w:val="nil"/>
              <w:bottom w:val="single" w:sz="12" w:space="0" w:color="1E1545"/>
              <w:right w:val="nil"/>
            </w:tcBorders>
            <w:shd w:val="clear" w:color="000000" w:fill="FFFFFF"/>
            <w:noWrap/>
            <w:vAlign w:val="center"/>
            <w:hideMark/>
          </w:tcPr>
          <w:p w14:paraId="0A54AEE8"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$51.61</w:t>
            </w:r>
          </w:p>
        </w:tc>
        <w:tc>
          <w:tcPr>
            <w:tcW w:w="1389" w:type="dxa"/>
            <w:tcBorders>
              <w:top w:val="nil"/>
              <w:left w:val="nil"/>
              <w:bottom w:val="single" w:sz="12" w:space="0" w:color="1E1545"/>
              <w:right w:val="nil"/>
            </w:tcBorders>
            <w:shd w:val="clear" w:color="000000" w:fill="FFFFFF"/>
            <w:noWrap/>
            <w:vAlign w:val="center"/>
            <w:hideMark/>
          </w:tcPr>
          <w:p w14:paraId="6DC6A75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$37.14</w:t>
            </w:r>
          </w:p>
        </w:tc>
      </w:tr>
      <w:tr w:rsidR="00BF6643" w:rsidRPr="00BF6643" w14:paraId="6D380C4D"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1731A19A"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Cleaning</w:t>
            </w:r>
          </w:p>
        </w:tc>
        <w:tc>
          <w:tcPr>
            <w:tcW w:w="1388" w:type="dxa"/>
            <w:tcBorders>
              <w:top w:val="nil"/>
              <w:left w:val="nil"/>
              <w:bottom w:val="single" w:sz="12" w:space="0" w:color="1E1545"/>
              <w:right w:val="nil"/>
            </w:tcBorders>
            <w:shd w:val="clear" w:color="000000" w:fill="FFFFFF"/>
            <w:noWrap/>
            <w:vAlign w:val="center"/>
            <w:hideMark/>
          </w:tcPr>
          <w:p w14:paraId="66113F0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$10.96</w:t>
            </w:r>
          </w:p>
        </w:tc>
        <w:tc>
          <w:tcPr>
            <w:tcW w:w="1388" w:type="dxa"/>
            <w:tcBorders>
              <w:top w:val="nil"/>
              <w:left w:val="nil"/>
              <w:bottom w:val="single" w:sz="12" w:space="0" w:color="1E1545"/>
              <w:right w:val="nil"/>
            </w:tcBorders>
            <w:shd w:val="clear" w:color="000000" w:fill="FFFFFF"/>
            <w:noWrap/>
            <w:vAlign w:val="center"/>
            <w:hideMark/>
          </w:tcPr>
          <w:p w14:paraId="3EABBE38"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$9.30</w:t>
            </w:r>
          </w:p>
        </w:tc>
        <w:tc>
          <w:tcPr>
            <w:tcW w:w="1388" w:type="dxa"/>
            <w:tcBorders>
              <w:top w:val="nil"/>
              <w:left w:val="nil"/>
              <w:bottom w:val="single" w:sz="12" w:space="0" w:color="1E1545"/>
              <w:right w:val="nil"/>
            </w:tcBorders>
            <w:shd w:val="clear" w:color="000000" w:fill="FFFFFF"/>
            <w:noWrap/>
            <w:vAlign w:val="center"/>
            <w:hideMark/>
          </w:tcPr>
          <w:p w14:paraId="5DAD398B"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$22.81</w:t>
            </w:r>
          </w:p>
        </w:tc>
        <w:tc>
          <w:tcPr>
            <w:tcW w:w="1389" w:type="dxa"/>
            <w:tcBorders>
              <w:top w:val="nil"/>
              <w:left w:val="nil"/>
              <w:bottom w:val="single" w:sz="12" w:space="0" w:color="1E1545"/>
              <w:right w:val="nil"/>
            </w:tcBorders>
            <w:shd w:val="clear" w:color="000000" w:fill="FFFFFF"/>
            <w:noWrap/>
            <w:vAlign w:val="center"/>
            <w:hideMark/>
          </w:tcPr>
          <w:p w14:paraId="5985631C"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$10.72</w:t>
            </w:r>
          </w:p>
        </w:tc>
      </w:tr>
      <w:tr w:rsidR="00BF6643" w:rsidRPr="00BF6643" w14:paraId="789E654C"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1A3CCBBA"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Laundry</w:t>
            </w:r>
          </w:p>
        </w:tc>
        <w:tc>
          <w:tcPr>
            <w:tcW w:w="1388" w:type="dxa"/>
            <w:tcBorders>
              <w:top w:val="nil"/>
              <w:left w:val="nil"/>
              <w:bottom w:val="single" w:sz="12" w:space="0" w:color="1E1545"/>
              <w:right w:val="nil"/>
            </w:tcBorders>
            <w:shd w:val="clear" w:color="000000" w:fill="FFFFFF"/>
            <w:noWrap/>
            <w:vAlign w:val="center"/>
            <w:hideMark/>
          </w:tcPr>
          <w:p w14:paraId="29606BD3"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$4.63</w:t>
            </w:r>
          </w:p>
        </w:tc>
        <w:tc>
          <w:tcPr>
            <w:tcW w:w="1388" w:type="dxa"/>
            <w:tcBorders>
              <w:top w:val="nil"/>
              <w:left w:val="nil"/>
              <w:bottom w:val="single" w:sz="12" w:space="0" w:color="1E1545"/>
              <w:right w:val="nil"/>
            </w:tcBorders>
            <w:shd w:val="clear" w:color="000000" w:fill="FFFFFF"/>
            <w:noWrap/>
            <w:vAlign w:val="center"/>
            <w:hideMark/>
          </w:tcPr>
          <w:p w14:paraId="73153B8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$4.37</w:t>
            </w:r>
          </w:p>
        </w:tc>
        <w:tc>
          <w:tcPr>
            <w:tcW w:w="1388" w:type="dxa"/>
            <w:tcBorders>
              <w:top w:val="nil"/>
              <w:left w:val="nil"/>
              <w:bottom w:val="single" w:sz="12" w:space="0" w:color="1E1545"/>
              <w:right w:val="nil"/>
            </w:tcBorders>
            <w:shd w:val="clear" w:color="000000" w:fill="FFFFFF"/>
            <w:noWrap/>
            <w:vAlign w:val="center"/>
            <w:hideMark/>
          </w:tcPr>
          <w:p w14:paraId="109A1EB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$8.00</w:t>
            </w:r>
          </w:p>
        </w:tc>
        <w:tc>
          <w:tcPr>
            <w:tcW w:w="1389" w:type="dxa"/>
            <w:tcBorders>
              <w:top w:val="nil"/>
              <w:left w:val="nil"/>
              <w:bottom w:val="single" w:sz="12" w:space="0" w:color="1E1545"/>
              <w:right w:val="nil"/>
            </w:tcBorders>
            <w:shd w:val="clear" w:color="000000" w:fill="FFFFFF"/>
            <w:noWrap/>
            <w:vAlign w:val="center"/>
            <w:hideMark/>
          </w:tcPr>
          <w:p w14:paraId="0397FBA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$4.64</w:t>
            </w:r>
          </w:p>
        </w:tc>
      </w:tr>
      <w:tr w:rsidR="00BF6643" w:rsidRPr="00BF6643" w14:paraId="1022C45F"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6FA10BD1"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  ◦ Other hotel expenses</w:t>
            </w:r>
          </w:p>
        </w:tc>
        <w:tc>
          <w:tcPr>
            <w:tcW w:w="1388" w:type="dxa"/>
            <w:tcBorders>
              <w:top w:val="nil"/>
              <w:left w:val="nil"/>
              <w:bottom w:val="single" w:sz="12" w:space="0" w:color="1E1545"/>
              <w:right w:val="nil"/>
            </w:tcBorders>
            <w:shd w:val="clear" w:color="000000" w:fill="FFFFFF"/>
            <w:noWrap/>
            <w:vAlign w:val="center"/>
            <w:hideMark/>
          </w:tcPr>
          <w:p w14:paraId="104F50D5"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$8.87</w:t>
            </w:r>
          </w:p>
        </w:tc>
        <w:tc>
          <w:tcPr>
            <w:tcW w:w="1388" w:type="dxa"/>
            <w:tcBorders>
              <w:top w:val="nil"/>
              <w:left w:val="nil"/>
              <w:bottom w:val="single" w:sz="12" w:space="0" w:color="1E1545"/>
              <w:right w:val="nil"/>
            </w:tcBorders>
            <w:shd w:val="clear" w:color="000000" w:fill="FFFFFF"/>
            <w:noWrap/>
            <w:vAlign w:val="center"/>
            <w:hideMark/>
          </w:tcPr>
          <w:p w14:paraId="4DDCB140"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$10.06</w:t>
            </w:r>
          </w:p>
        </w:tc>
        <w:tc>
          <w:tcPr>
            <w:tcW w:w="1388" w:type="dxa"/>
            <w:tcBorders>
              <w:top w:val="nil"/>
              <w:left w:val="nil"/>
              <w:bottom w:val="single" w:sz="12" w:space="0" w:color="1E1545"/>
              <w:right w:val="nil"/>
            </w:tcBorders>
            <w:shd w:val="clear" w:color="000000" w:fill="FFFFFF"/>
            <w:noWrap/>
            <w:vAlign w:val="center"/>
            <w:hideMark/>
          </w:tcPr>
          <w:p w14:paraId="2688D518"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$9.04</w:t>
            </w:r>
          </w:p>
        </w:tc>
        <w:tc>
          <w:tcPr>
            <w:tcW w:w="1389" w:type="dxa"/>
            <w:tcBorders>
              <w:top w:val="nil"/>
              <w:left w:val="nil"/>
              <w:bottom w:val="single" w:sz="12" w:space="0" w:color="1E1545"/>
              <w:right w:val="nil"/>
            </w:tcBorders>
            <w:shd w:val="clear" w:color="000000" w:fill="FFFFFF"/>
            <w:noWrap/>
            <w:vAlign w:val="center"/>
            <w:hideMark/>
          </w:tcPr>
          <w:p w14:paraId="6A63C252"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$9.35</w:t>
            </w:r>
          </w:p>
        </w:tc>
      </w:tr>
      <w:tr w:rsidR="00BF6643" w:rsidRPr="00BF6643" w14:paraId="20D44CD3"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20D4184D"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Total hotel expenses</w:t>
            </w:r>
          </w:p>
        </w:tc>
        <w:tc>
          <w:tcPr>
            <w:tcW w:w="1388" w:type="dxa"/>
            <w:tcBorders>
              <w:top w:val="nil"/>
              <w:left w:val="nil"/>
              <w:bottom w:val="single" w:sz="12" w:space="0" w:color="1E1545"/>
              <w:right w:val="nil"/>
            </w:tcBorders>
            <w:shd w:val="clear" w:color="000000" w:fill="D8DADA"/>
            <w:noWrap/>
            <w:vAlign w:val="center"/>
            <w:hideMark/>
          </w:tcPr>
          <w:p w14:paraId="03B506C3"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$62.15</w:t>
            </w:r>
          </w:p>
        </w:tc>
        <w:tc>
          <w:tcPr>
            <w:tcW w:w="1388" w:type="dxa"/>
            <w:tcBorders>
              <w:top w:val="nil"/>
              <w:left w:val="nil"/>
              <w:bottom w:val="single" w:sz="12" w:space="0" w:color="1E1545"/>
              <w:right w:val="nil"/>
            </w:tcBorders>
            <w:shd w:val="clear" w:color="000000" w:fill="D8DADA"/>
            <w:noWrap/>
            <w:vAlign w:val="center"/>
            <w:hideMark/>
          </w:tcPr>
          <w:p w14:paraId="52D11093"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$58.78</w:t>
            </w:r>
          </w:p>
        </w:tc>
        <w:tc>
          <w:tcPr>
            <w:tcW w:w="1388" w:type="dxa"/>
            <w:tcBorders>
              <w:top w:val="nil"/>
              <w:left w:val="nil"/>
              <w:bottom w:val="single" w:sz="12" w:space="0" w:color="1E1545"/>
              <w:right w:val="nil"/>
            </w:tcBorders>
            <w:shd w:val="clear" w:color="000000" w:fill="D8DADA"/>
            <w:noWrap/>
            <w:vAlign w:val="center"/>
            <w:hideMark/>
          </w:tcPr>
          <w:p w14:paraId="3975B7E9"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$91.46</w:t>
            </w:r>
          </w:p>
        </w:tc>
        <w:tc>
          <w:tcPr>
            <w:tcW w:w="1389" w:type="dxa"/>
            <w:tcBorders>
              <w:top w:val="nil"/>
              <w:left w:val="nil"/>
              <w:bottom w:val="single" w:sz="12" w:space="0" w:color="1E1545"/>
              <w:right w:val="nil"/>
            </w:tcBorders>
            <w:shd w:val="clear" w:color="000000" w:fill="D8DADA"/>
            <w:noWrap/>
            <w:vAlign w:val="center"/>
            <w:hideMark/>
          </w:tcPr>
          <w:p w14:paraId="741D3DAF"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$61.85</w:t>
            </w:r>
          </w:p>
        </w:tc>
      </w:tr>
      <w:tr w:rsidR="00BF6643" w:rsidRPr="00BF6643" w14:paraId="0841F63D" w14:textId="77777777" w:rsidTr="00492931">
        <w:trPr>
          <w:trHeight w:val="560"/>
        </w:trPr>
        <w:tc>
          <w:tcPr>
            <w:tcW w:w="3398" w:type="dxa"/>
            <w:tcBorders>
              <w:top w:val="nil"/>
              <w:left w:val="nil"/>
              <w:bottom w:val="single" w:sz="12" w:space="0" w:color="1E1545"/>
              <w:right w:val="nil"/>
            </w:tcBorders>
            <w:shd w:val="clear" w:color="000000" w:fill="D8DADA"/>
            <w:vAlign w:val="center"/>
            <w:hideMark/>
          </w:tcPr>
          <w:p w14:paraId="0B940403"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Accommodation &amp; finance expenses</w:t>
            </w:r>
          </w:p>
        </w:tc>
        <w:tc>
          <w:tcPr>
            <w:tcW w:w="1388" w:type="dxa"/>
            <w:tcBorders>
              <w:top w:val="nil"/>
              <w:left w:val="nil"/>
              <w:bottom w:val="single" w:sz="12" w:space="0" w:color="1E1545"/>
              <w:right w:val="nil"/>
            </w:tcBorders>
            <w:shd w:val="clear" w:color="000000" w:fill="D8DADA"/>
            <w:noWrap/>
            <w:vAlign w:val="center"/>
            <w:hideMark/>
          </w:tcPr>
          <w:p w14:paraId="486A93E6"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D8DADA"/>
            <w:noWrap/>
            <w:vAlign w:val="center"/>
            <w:hideMark/>
          </w:tcPr>
          <w:p w14:paraId="3BB8A9DC"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 </w:t>
            </w:r>
          </w:p>
        </w:tc>
        <w:tc>
          <w:tcPr>
            <w:tcW w:w="1388" w:type="dxa"/>
            <w:tcBorders>
              <w:top w:val="nil"/>
              <w:left w:val="nil"/>
              <w:bottom w:val="single" w:sz="12" w:space="0" w:color="1E1545"/>
              <w:right w:val="nil"/>
            </w:tcBorders>
            <w:shd w:val="clear" w:color="000000" w:fill="D8DADA"/>
            <w:noWrap/>
            <w:vAlign w:val="center"/>
            <w:hideMark/>
          </w:tcPr>
          <w:p w14:paraId="3659257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 </w:t>
            </w:r>
          </w:p>
        </w:tc>
        <w:tc>
          <w:tcPr>
            <w:tcW w:w="1389" w:type="dxa"/>
            <w:tcBorders>
              <w:top w:val="nil"/>
              <w:left w:val="nil"/>
              <w:bottom w:val="single" w:sz="12" w:space="0" w:color="1E1545"/>
              <w:right w:val="nil"/>
            </w:tcBorders>
            <w:shd w:val="clear" w:color="000000" w:fill="D8DADA"/>
            <w:noWrap/>
            <w:vAlign w:val="center"/>
            <w:hideMark/>
          </w:tcPr>
          <w:p w14:paraId="14FEA66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 </w:t>
            </w:r>
          </w:p>
        </w:tc>
      </w:tr>
      <w:tr w:rsidR="00BF6643" w:rsidRPr="00BF6643" w14:paraId="7B98CBA6"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65904691"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Routine maintenance</w:t>
            </w:r>
          </w:p>
        </w:tc>
        <w:tc>
          <w:tcPr>
            <w:tcW w:w="1388" w:type="dxa"/>
            <w:tcBorders>
              <w:top w:val="nil"/>
              <w:left w:val="nil"/>
              <w:bottom w:val="single" w:sz="12" w:space="0" w:color="1E1545"/>
              <w:right w:val="nil"/>
            </w:tcBorders>
            <w:shd w:val="clear" w:color="000000" w:fill="FFFFFF"/>
            <w:noWrap/>
            <w:vAlign w:val="center"/>
            <w:hideMark/>
          </w:tcPr>
          <w:p w14:paraId="6AF022A8"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$12.27</w:t>
            </w:r>
          </w:p>
        </w:tc>
        <w:tc>
          <w:tcPr>
            <w:tcW w:w="1388" w:type="dxa"/>
            <w:tcBorders>
              <w:top w:val="nil"/>
              <w:left w:val="nil"/>
              <w:bottom w:val="single" w:sz="12" w:space="0" w:color="1E1545"/>
              <w:right w:val="nil"/>
            </w:tcBorders>
            <w:shd w:val="clear" w:color="000000" w:fill="FFFFFF"/>
            <w:noWrap/>
            <w:vAlign w:val="center"/>
            <w:hideMark/>
          </w:tcPr>
          <w:p w14:paraId="196E7C26"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$9.50</w:t>
            </w:r>
          </w:p>
        </w:tc>
        <w:tc>
          <w:tcPr>
            <w:tcW w:w="1388" w:type="dxa"/>
            <w:tcBorders>
              <w:top w:val="nil"/>
              <w:left w:val="nil"/>
              <w:bottom w:val="single" w:sz="12" w:space="0" w:color="1E1545"/>
              <w:right w:val="nil"/>
            </w:tcBorders>
            <w:shd w:val="clear" w:color="000000" w:fill="FFFFFF"/>
            <w:noWrap/>
            <w:vAlign w:val="center"/>
            <w:hideMark/>
          </w:tcPr>
          <w:p w14:paraId="3E9D6DAF"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$14.10</w:t>
            </w:r>
          </w:p>
        </w:tc>
        <w:tc>
          <w:tcPr>
            <w:tcW w:w="1389" w:type="dxa"/>
            <w:tcBorders>
              <w:top w:val="nil"/>
              <w:left w:val="nil"/>
              <w:bottom w:val="single" w:sz="12" w:space="0" w:color="1E1545"/>
              <w:right w:val="nil"/>
            </w:tcBorders>
            <w:shd w:val="clear" w:color="000000" w:fill="FFFFFF"/>
            <w:noWrap/>
            <w:vAlign w:val="center"/>
            <w:hideMark/>
          </w:tcPr>
          <w:p w14:paraId="3885AF09"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$11.24</w:t>
            </w:r>
          </w:p>
        </w:tc>
      </w:tr>
      <w:tr w:rsidR="00BF6643" w:rsidRPr="00BF6643" w14:paraId="2F40AC69"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2FC9A846"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Financing interest</w:t>
            </w:r>
          </w:p>
        </w:tc>
        <w:tc>
          <w:tcPr>
            <w:tcW w:w="1388" w:type="dxa"/>
            <w:tcBorders>
              <w:top w:val="nil"/>
              <w:left w:val="nil"/>
              <w:bottom w:val="single" w:sz="12" w:space="0" w:color="1E1545"/>
              <w:right w:val="nil"/>
            </w:tcBorders>
            <w:shd w:val="clear" w:color="000000" w:fill="FFFFFF"/>
            <w:noWrap/>
            <w:vAlign w:val="center"/>
            <w:hideMark/>
          </w:tcPr>
          <w:p w14:paraId="664960C4"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$0.84</w:t>
            </w:r>
          </w:p>
        </w:tc>
        <w:tc>
          <w:tcPr>
            <w:tcW w:w="1388" w:type="dxa"/>
            <w:tcBorders>
              <w:top w:val="nil"/>
              <w:left w:val="nil"/>
              <w:bottom w:val="single" w:sz="12" w:space="0" w:color="1E1545"/>
              <w:right w:val="nil"/>
            </w:tcBorders>
            <w:shd w:val="clear" w:color="000000" w:fill="FFFFFF"/>
            <w:noWrap/>
            <w:vAlign w:val="center"/>
            <w:hideMark/>
          </w:tcPr>
          <w:p w14:paraId="28122927"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$2.71</w:t>
            </w:r>
          </w:p>
        </w:tc>
        <w:tc>
          <w:tcPr>
            <w:tcW w:w="1388" w:type="dxa"/>
            <w:tcBorders>
              <w:top w:val="nil"/>
              <w:left w:val="nil"/>
              <w:bottom w:val="single" w:sz="12" w:space="0" w:color="1E1545"/>
              <w:right w:val="nil"/>
            </w:tcBorders>
            <w:shd w:val="clear" w:color="000000" w:fill="FFFFFF"/>
            <w:noWrap/>
            <w:vAlign w:val="center"/>
            <w:hideMark/>
          </w:tcPr>
          <w:p w14:paraId="5BC190D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$0.75</w:t>
            </w:r>
          </w:p>
        </w:tc>
        <w:tc>
          <w:tcPr>
            <w:tcW w:w="1389" w:type="dxa"/>
            <w:tcBorders>
              <w:top w:val="nil"/>
              <w:left w:val="nil"/>
              <w:bottom w:val="single" w:sz="12" w:space="0" w:color="1E1545"/>
              <w:right w:val="nil"/>
            </w:tcBorders>
            <w:shd w:val="clear" w:color="000000" w:fill="FFFFFF"/>
            <w:noWrap/>
            <w:vAlign w:val="center"/>
            <w:hideMark/>
          </w:tcPr>
          <w:p w14:paraId="2BDF4401"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$1.58</w:t>
            </w:r>
          </w:p>
        </w:tc>
      </w:tr>
      <w:tr w:rsidR="00BF6643" w:rsidRPr="00BF6643" w14:paraId="6A27B121"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5F230E03"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Depreciation, rent &amp; others</w:t>
            </w:r>
          </w:p>
        </w:tc>
        <w:tc>
          <w:tcPr>
            <w:tcW w:w="1388" w:type="dxa"/>
            <w:tcBorders>
              <w:top w:val="nil"/>
              <w:left w:val="nil"/>
              <w:bottom w:val="single" w:sz="12" w:space="0" w:color="1E1545"/>
              <w:right w:val="nil"/>
            </w:tcBorders>
            <w:shd w:val="clear" w:color="000000" w:fill="FFFFFF"/>
            <w:noWrap/>
            <w:vAlign w:val="center"/>
            <w:hideMark/>
          </w:tcPr>
          <w:p w14:paraId="5EDD6912"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$25.25</w:t>
            </w:r>
          </w:p>
        </w:tc>
        <w:tc>
          <w:tcPr>
            <w:tcW w:w="1388" w:type="dxa"/>
            <w:tcBorders>
              <w:top w:val="nil"/>
              <w:left w:val="nil"/>
              <w:bottom w:val="single" w:sz="12" w:space="0" w:color="1E1545"/>
              <w:right w:val="nil"/>
            </w:tcBorders>
            <w:shd w:val="clear" w:color="000000" w:fill="FFFFFF"/>
            <w:noWrap/>
            <w:vAlign w:val="center"/>
            <w:hideMark/>
          </w:tcPr>
          <w:p w14:paraId="6F14CB87"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$39.10</w:t>
            </w:r>
          </w:p>
        </w:tc>
        <w:tc>
          <w:tcPr>
            <w:tcW w:w="1388" w:type="dxa"/>
            <w:tcBorders>
              <w:top w:val="nil"/>
              <w:left w:val="nil"/>
              <w:bottom w:val="single" w:sz="12" w:space="0" w:color="1E1545"/>
              <w:right w:val="nil"/>
            </w:tcBorders>
            <w:shd w:val="clear" w:color="000000" w:fill="FFFFFF"/>
            <w:noWrap/>
            <w:vAlign w:val="center"/>
            <w:hideMark/>
          </w:tcPr>
          <w:p w14:paraId="0BD0DAC7"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$37.71</w:t>
            </w:r>
          </w:p>
        </w:tc>
        <w:tc>
          <w:tcPr>
            <w:tcW w:w="1389" w:type="dxa"/>
            <w:tcBorders>
              <w:top w:val="nil"/>
              <w:left w:val="nil"/>
              <w:bottom w:val="single" w:sz="12" w:space="0" w:color="1E1545"/>
              <w:right w:val="nil"/>
            </w:tcBorders>
            <w:shd w:val="clear" w:color="000000" w:fill="FFFFFF"/>
            <w:noWrap/>
            <w:vAlign w:val="center"/>
            <w:hideMark/>
          </w:tcPr>
          <w:p w14:paraId="6665CAF3"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$31.17</w:t>
            </w:r>
          </w:p>
        </w:tc>
      </w:tr>
      <w:tr w:rsidR="00BF6643" w:rsidRPr="00BF6643" w14:paraId="232AF7E2" w14:textId="77777777" w:rsidTr="00492931">
        <w:trPr>
          <w:trHeight w:val="560"/>
        </w:trPr>
        <w:tc>
          <w:tcPr>
            <w:tcW w:w="3398" w:type="dxa"/>
            <w:tcBorders>
              <w:top w:val="nil"/>
              <w:left w:val="nil"/>
              <w:bottom w:val="single" w:sz="12" w:space="0" w:color="1E1545"/>
              <w:right w:val="nil"/>
            </w:tcBorders>
            <w:shd w:val="clear" w:color="000000" w:fill="D8DADA"/>
            <w:vAlign w:val="center"/>
            <w:hideMark/>
          </w:tcPr>
          <w:p w14:paraId="0FC32B90"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Total accommodation &amp; finance expenses</w:t>
            </w:r>
          </w:p>
        </w:tc>
        <w:tc>
          <w:tcPr>
            <w:tcW w:w="1388" w:type="dxa"/>
            <w:tcBorders>
              <w:top w:val="nil"/>
              <w:left w:val="nil"/>
              <w:bottom w:val="single" w:sz="12" w:space="0" w:color="1E1545"/>
              <w:right w:val="nil"/>
            </w:tcBorders>
            <w:shd w:val="clear" w:color="000000" w:fill="D8DADA"/>
            <w:noWrap/>
            <w:vAlign w:val="center"/>
            <w:hideMark/>
          </w:tcPr>
          <w:p w14:paraId="4D6AEE5B"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$38.37</w:t>
            </w:r>
          </w:p>
        </w:tc>
        <w:tc>
          <w:tcPr>
            <w:tcW w:w="1388" w:type="dxa"/>
            <w:tcBorders>
              <w:top w:val="nil"/>
              <w:left w:val="nil"/>
              <w:bottom w:val="single" w:sz="12" w:space="0" w:color="1E1545"/>
              <w:right w:val="nil"/>
            </w:tcBorders>
            <w:shd w:val="clear" w:color="000000" w:fill="D8DADA"/>
            <w:noWrap/>
            <w:vAlign w:val="center"/>
            <w:hideMark/>
          </w:tcPr>
          <w:p w14:paraId="1A46F7FF"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$51.31</w:t>
            </w:r>
          </w:p>
        </w:tc>
        <w:tc>
          <w:tcPr>
            <w:tcW w:w="1388" w:type="dxa"/>
            <w:tcBorders>
              <w:top w:val="nil"/>
              <w:left w:val="nil"/>
              <w:bottom w:val="single" w:sz="12" w:space="0" w:color="1E1545"/>
              <w:right w:val="nil"/>
            </w:tcBorders>
            <w:shd w:val="clear" w:color="000000" w:fill="D8DADA"/>
            <w:noWrap/>
            <w:vAlign w:val="center"/>
            <w:hideMark/>
          </w:tcPr>
          <w:p w14:paraId="2FA4AA6F"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$52.56</w:t>
            </w:r>
          </w:p>
        </w:tc>
        <w:tc>
          <w:tcPr>
            <w:tcW w:w="1389" w:type="dxa"/>
            <w:tcBorders>
              <w:top w:val="nil"/>
              <w:left w:val="nil"/>
              <w:bottom w:val="single" w:sz="12" w:space="0" w:color="1E1545"/>
              <w:right w:val="nil"/>
            </w:tcBorders>
            <w:shd w:val="clear" w:color="000000" w:fill="D8DADA"/>
            <w:noWrap/>
            <w:vAlign w:val="center"/>
            <w:hideMark/>
          </w:tcPr>
          <w:p w14:paraId="5B2B3206"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$43.99</w:t>
            </w:r>
          </w:p>
        </w:tc>
      </w:tr>
      <w:tr w:rsidR="00BF6643" w:rsidRPr="00BF6643" w14:paraId="7BBFCF4E"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42745B90"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Administration expenses</w:t>
            </w:r>
          </w:p>
        </w:tc>
        <w:tc>
          <w:tcPr>
            <w:tcW w:w="1388" w:type="dxa"/>
            <w:tcBorders>
              <w:top w:val="nil"/>
              <w:left w:val="nil"/>
              <w:bottom w:val="single" w:sz="12" w:space="0" w:color="1E1545"/>
              <w:right w:val="nil"/>
            </w:tcBorders>
            <w:shd w:val="clear" w:color="000000" w:fill="D8DADA"/>
            <w:noWrap/>
            <w:vAlign w:val="center"/>
            <w:hideMark/>
          </w:tcPr>
          <w:p w14:paraId="04E9819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$46.01</w:t>
            </w:r>
          </w:p>
        </w:tc>
        <w:tc>
          <w:tcPr>
            <w:tcW w:w="1388" w:type="dxa"/>
            <w:tcBorders>
              <w:top w:val="nil"/>
              <w:left w:val="nil"/>
              <w:bottom w:val="single" w:sz="12" w:space="0" w:color="1E1545"/>
              <w:right w:val="nil"/>
            </w:tcBorders>
            <w:shd w:val="clear" w:color="000000" w:fill="D8DADA"/>
            <w:noWrap/>
            <w:vAlign w:val="center"/>
            <w:hideMark/>
          </w:tcPr>
          <w:p w14:paraId="0D1CAB37"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$43.62</w:t>
            </w:r>
          </w:p>
        </w:tc>
        <w:tc>
          <w:tcPr>
            <w:tcW w:w="1388" w:type="dxa"/>
            <w:tcBorders>
              <w:top w:val="nil"/>
              <w:left w:val="nil"/>
              <w:bottom w:val="single" w:sz="12" w:space="0" w:color="1E1545"/>
              <w:right w:val="nil"/>
            </w:tcBorders>
            <w:shd w:val="clear" w:color="000000" w:fill="D8DADA"/>
            <w:noWrap/>
            <w:vAlign w:val="center"/>
            <w:hideMark/>
          </w:tcPr>
          <w:p w14:paraId="1FE1030C"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$60.97</w:t>
            </w:r>
          </w:p>
        </w:tc>
        <w:tc>
          <w:tcPr>
            <w:tcW w:w="1389" w:type="dxa"/>
            <w:tcBorders>
              <w:top w:val="nil"/>
              <w:left w:val="nil"/>
              <w:bottom w:val="single" w:sz="12" w:space="0" w:color="1E1545"/>
              <w:right w:val="nil"/>
            </w:tcBorders>
            <w:shd w:val="clear" w:color="000000" w:fill="D8DADA"/>
            <w:noWrap/>
            <w:vAlign w:val="center"/>
            <w:hideMark/>
          </w:tcPr>
          <w:p w14:paraId="163EA15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$45.59</w:t>
            </w:r>
          </w:p>
        </w:tc>
      </w:tr>
      <w:tr w:rsidR="00BF6643" w:rsidRPr="00BF6643" w14:paraId="41D4DF6F"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0880E198"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COVID-19 expenses</w:t>
            </w:r>
          </w:p>
        </w:tc>
        <w:tc>
          <w:tcPr>
            <w:tcW w:w="1388" w:type="dxa"/>
            <w:tcBorders>
              <w:top w:val="nil"/>
              <w:left w:val="nil"/>
              <w:bottom w:val="single" w:sz="12" w:space="0" w:color="1E1545"/>
              <w:right w:val="nil"/>
            </w:tcBorders>
            <w:shd w:val="clear" w:color="000000" w:fill="D8DADA"/>
            <w:noWrap/>
            <w:vAlign w:val="center"/>
            <w:hideMark/>
          </w:tcPr>
          <w:p w14:paraId="535B3A3E"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$5.52</w:t>
            </w:r>
          </w:p>
        </w:tc>
        <w:tc>
          <w:tcPr>
            <w:tcW w:w="1388" w:type="dxa"/>
            <w:tcBorders>
              <w:top w:val="nil"/>
              <w:left w:val="nil"/>
              <w:bottom w:val="single" w:sz="12" w:space="0" w:color="1E1545"/>
              <w:right w:val="nil"/>
            </w:tcBorders>
            <w:shd w:val="clear" w:color="000000" w:fill="D8DADA"/>
            <w:noWrap/>
            <w:vAlign w:val="center"/>
            <w:hideMark/>
          </w:tcPr>
          <w:p w14:paraId="6DD634F0"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$8.50</w:t>
            </w:r>
          </w:p>
        </w:tc>
        <w:tc>
          <w:tcPr>
            <w:tcW w:w="1388" w:type="dxa"/>
            <w:tcBorders>
              <w:top w:val="nil"/>
              <w:left w:val="nil"/>
              <w:bottom w:val="single" w:sz="12" w:space="0" w:color="1E1545"/>
              <w:right w:val="nil"/>
            </w:tcBorders>
            <w:shd w:val="clear" w:color="000000" w:fill="D8DADA"/>
            <w:noWrap/>
            <w:vAlign w:val="center"/>
            <w:hideMark/>
          </w:tcPr>
          <w:p w14:paraId="4DB9C1EA"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$5.23</w:t>
            </w:r>
          </w:p>
        </w:tc>
        <w:tc>
          <w:tcPr>
            <w:tcW w:w="1389" w:type="dxa"/>
            <w:tcBorders>
              <w:top w:val="nil"/>
              <w:left w:val="nil"/>
              <w:bottom w:val="single" w:sz="12" w:space="0" w:color="1E1545"/>
              <w:right w:val="nil"/>
            </w:tcBorders>
            <w:shd w:val="clear" w:color="000000" w:fill="D8DADA"/>
            <w:noWrap/>
            <w:vAlign w:val="center"/>
            <w:hideMark/>
          </w:tcPr>
          <w:p w14:paraId="6A51090B"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$6.69</w:t>
            </w:r>
          </w:p>
        </w:tc>
      </w:tr>
      <w:tr w:rsidR="00BF6643" w:rsidRPr="00BF6643" w14:paraId="727C97F9"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1E8C8981"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Total recurrent expense</w:t>
            </w:r>
          </w:p>
        </w:tc>
        <w:tc>
          <w:tcPr>
            <w:tcW w:w="1388" w:type="dxa"/>
            <w:tcBorders>
              <w:top w:val="nil"/>
              <w:left w:val="nil"/>
              <w:bottom w:val="single" w:sz="12" w:space="0" w:color="1E1545"/>
              <w:right w:val="nil"/>
            </w:tcBorders>
            <w:shd w:val="clear" w:color="000000" w:fill="D8DADA"/>
            <w:noWrap/>
            <w:vAlign w:val="center"/>
            <w:hideMark/>
          </w:tcPr>
          <w:p w14:paraId="1083EE16"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$343.92</w:t>
            </w:r>
          </w:p>
        </w:tc>
        <w:tc>
          <w:tcPr>
            <w:tcW w:w="1388" w:type="dxa"/>
            <w:tcBorders>
              <w:top w:val="nil"/>
              <w:left w:val="nil"/>
              <w:bottom w:val="single" w:sz="12" w:space="0" w:color="1E1545"/>
              <w:right w:val="nil"/>
            </w:tcBorders>
            <w:shd w:val="clear" w:color="000000" w:fill="D8DADA"/>
            <w:noWrap/>
            <w:vAlign w:val="center"/>
            <w:hideMark/>
          </w:tcPr>
          <w:p w14:paraId="30517BC3"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$342.58</w:t>
            </w:r>
          </w:p>
        </w:tc>
        <w:tc>
          <w:tcPr>
            <w:tcW w:w="1388" w:type="dxa"/>
            <w:tcBorders>
              <w:top w:val="nil"/>
              <w:left w:val="nil"/>
              <w:bottom w:val="single" w:sz="12" w:space="0" w:color="1E1545"/>
              <w:right w:val="nil"/>
            </w:tcBorders>
            <w:shd w:val="clear" w:color="000000" w:fill="D8DADA"/>
            <w:noWrap/>
            <w:vAlign w:val="center"/>
            <w:hideMark/>
          </w:tcPr>
          <w:p w14:paraId="4105C367"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$511.88</w:t>
            </w:r>
          </w:p>
        </w:tc>
        <w:tc>
          <w:tcPr>
            <w:tcW w:w="1389" w:type="dxa"/>
            <w:tcBorders>
              <w:top w:val="nil"/>
              <w:left w:val="nil"/>
              <w:bottom w:val="single" w:sz="12" w:space="0" w:color="1E1545"/>
              <w:right w:val="nil"/>
            </w:tcBorders>
            <w:shd w:val="clear" w:color="000000" w:fill="D8DADA"/>
            <w:noWrap/>
            <w:vAlign w:val="center"/>
            <w:hideMark/>
          </w:tcPr>
          <w:p w14:paraId="15261EE9"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$349.30</w:t>
            </w:r>
          </w:p>
        </w:tc>
      </w:tr>
      <w:tr w:rsidR="00BF6643" w:rsidRPr="00BF6643" w14:paraId="2918B382"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30DF28AA"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Recurrent operating profit/(loss)</w:t>
            </w:r>
          </w:p>
        </w:tc>
        <w:tc>
          <w:tcPr>
            <w:tcW w:w="1388" w:type="dxa"/>
            <w:tcBorders>
              <w:top w:val="nil"/>
              <w:left w:val="nil"/>
              <w:bottom w:val="single" w:sz="12" w:space="0" w:color="1E1545"/>
              <w:right w:val="nil"/>
            </w:tcBorders>
            <w:shd w:val="clear" w:color="000000" w:fill="D8DADA"/>
            <w:noWrap/>
            <w:vAlign w:val="center"/>
            <w:hideMark/>
          </w:tcPr>
          <w:p w14:paraId="7C27C950"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($17.04)</w:t>
            </w:r>
          </w:p>
        </w:tc>
        <w:tc>
          <w:tcPr>
            <w:tcW w:w="1388" w:type="dxa"/>
            <w:tcBorders>
              <w:top w:val="nil"/>
              <w:left w:val="nil"/>
              <w:bottom w:val="single" w:sz="12" w:space="0" w:color="1E1545"/>
              <w:right w:val="nil"/>
            </w:tcBorders>
            <w:shd w:val="clear" w:color="000000" w:fill="D8DADA"/>
            <w:noWrap/>
            <w:vAlign w:val="center"/>
            <w:hideMark/>
          </w:tcPr>
          <w:p w14:paraId="1D62EDD0"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($6.95)</w:t>
            </w:r>
          </w:p>
        </w:tc>
        <w:tc>
          <w:tcPr>
            <w:tcW w:w="1388" w:type="dxa"/>
            <w:tcBorders>
              <w:top w:val="nil"/>
              <w:left w:val="nil"/>
              <w:bottom w:val="single" w:sz="12" w:space="0" w:color="1E1545"/>
              <w:right w:val="nil"/>
            </w:tcBorders>
            <w:shd w:val="clear" w:color="000000" w:fill="D8DADA"/>
            <w:noWrap/>
            <w:vAlign w:val="center"/>
            <w:hideMark/>
          </w:tcPr>
          <w:p w14:paraId="7749FFD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($90.82)</w:t>
            </w:r>
          </w:p>
        </w:tc>
        <w:tc>
          <w:tcPr>
            <w:tcW w:w="1389" w:type="dxa"/>
            <w:tcBorders>
              <w:top w:val="nil"/>
              <w:left w:val="nil"/>
              <w:bottom w:val="single" w:sz="12" w:space="0" w:color="1E1545"/>
              <w:right w:val="nil"/>
            </w:tcBorders>
            <w:shd w:val="clear" w:color="000000" w:fill="D8DADA"/>
            <w:noWrap/>
            <w:vAlign w:val="center"/>
            <w:hideMark/>
          </w:tcPr>
          <w:p w14:paraId="6CE85BDA"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($15.65)</w:t>
            </w:r>
          </w:p>
        </w:tc>
      </w:tr>
      <w:tr w:rsidR="00BF6643" w:rsidRPr="00BF6643" w14:paraId="729F50E6"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33AB38B3"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Non - recurrent income</w:t>
            </w:r>
          </w:p>
        </w:tc>
        <w:tc>
          <w:tcPr>
            <w:tcW w:w="1388" w:type="dxa"/>
            <w:tcBorders>
              <w:top w:val="nil"/>
              <w:left w:val="nil"/>
              <w:bottom w:val="single" w:sz="12" w:space="0" w:color="1E1545"/>
              <w:right w:val="nil"/>
            </w:tcBorders>
            <w:shd w:val="clear" w:color="000000" w:fill="FFFFFF"/>
            <w:noWrap/>
            <w:vAlign w:val="center"/>
            <w:hideMark/>
          </w:tcPr>
          <w:p w14:paraId="4AAB06E4"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$16.68</w:t>
            </w:r>
          </w:p>
        </w:tc>
        <w:tc>
          <w:tcPr>
            <w:tcW w:w="1388" w:type="dxa"/>
            <w:tcBorders>
              <w:top w:val="nil"/>
              <w:left w:val="nil"/>
              <w:bottom w:val="single" w:sz="12" w:space="0" w:color="1E1545"/>
              <w:right w:val="nil"/>
            </w:tcBorders>
            <w:shd w:val="clear" w:color="000000" w:fill="FFFFFF"/>
            <w:noWrap/>
            <w:vAlign w:val="center"/>
            <w:hideMark/>
          </w:tcPr>
          <w:p w14:paraId="1E3426D5"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$23.94</w:t>
            </w:r>
          </w:p>
        </w:tc>
        <w:tc>
          <w:tcPr>
            <w:tcW w:w="1388" w:type="dxa"/>
            <w:tcBorders>
              <w:top w:val="nil"/>
              <w:left w:val="nil"/>
              <w:bottom w:val="single" w:sz="12" w:space="0" w:color="1E1545"/>
              <w:right w:val="nil"/>
            </w:tcBorders>
            <w:shd w:val="clear" w:color="000000" w:fill="FFFFFF"/>
            <w:noWrap/>
            <w:vAlign w:val="center"/>
            <w:hideMark/>
          </w:tcPr>
          <w:p w14:paraId="51C2703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$15.48</w:t>
            </w:r>
          </w:p>
        </w:tc>
        <w:tc>
          <w:tcPr>
            <w:tcW w:w="1389" w:type="dxa"/>
            <w:tcBorders>
              <w:top w:val="nil"/>
              <w:left w:val="nil"/>
              <w:bottom w:val="single" w:sz="12" w:space="0" w:color="1E1545"/>
              <w:right w:val="nil"/>
            </w:tcBorders>
            <w:shd w:val="clear" w:color="000000" w:fill="FFFFFF"/>
            <w:noWrap/>
            <w:vAlign w:val="center"/>
            <w:hideMark/>
          </w:tcPr>
          <w:p w14:paraId="2B58396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$19.51</w:t>
            </w:r>
          </w:p>
        </w:tc>
      </w:tr>
      <w:tr w:rsidR="00BF6643" w:rsidRPr="00BF6643" w14:paraId="11423E6E" w14:textId="77777777" w:rsidTr="00492931">
        <w:trPr>
          <w:trHeight w:val="330"/>
        </w:trPr>
        <w:tc>
          <w:tcPr>
            <w:tcW w:w="3398" w:type="dxa"/>
            <w:tcBorders>
              <w:top w:val="nil"/>
              <w:left w:val="nil"/>
              <w:bottom w:val="single" w:sz="12" w:space="0" w:color="1E1545"/>
              <w:right w:val="nil"/>
            </w:tcBorders>
            <w:shd w:val="clear" w:color="000000" w:fill="FFFFFF"/>
            <w:vAlign w:val="center"/>
            <w:hideMark/>
          </w:tcPr>
          <w:p w14:paraId="64EF8D00" w14:textId="77777777" w:rsidR="00BF6643" w:rsidRPr="00BF6643" w:rsidRDefault="00BF6643" w:rsidP="00BF6643">
            <w:pPr>
              <w:spacing w:before="0" w:after="0" w:line="240" w:lineRule="auto"/>
              <w:ind w:firstLineChars="100" w:firstLine="210"/>
              <w:rPr>
                <w:rFonts w:cs="Arial"/>
                <w:bCs w:val="0"/>
                <w:color w:val="1E1545"/>
                <w:sz w:val="21"/>
                <w:szCs w:val="21"/>
                <w:lang w:eastAsia="en-AU"/>
              </w:rPr>
            </w:pPr>
            <w:r w:rsidRPr="00BF6643">
              <w:rPr>
                <w:rFonts w:cs="Arial"/>
                <w:bCs w:val="0"/>
                <w:color w:val="1E1545"/>
                <w:sz w:val="21"/>
                <w:szCs w:val="21"/>
                <w:lang w:eastAsia="en-AU"/>
              </w:rPr>
              <w:t>Non - recurrent expense</w:t>
            </w:r>
          </w:p>
        </w:tc>
        <w:tc>
          <w:tcPr>
            <w:tcW w:w="1388" w:type="dxa"/>
            <w:tcBorders>
              <w:top w:val="nil"/>
              <w:left w:val="nil"/>
              <w:bottom w:val="single" w:sz="12" w:space="0" w:color="1E1545"/>
              <w:right w:val="nil"/>
            </w:tcBorders>
            <w:shd w:val="clear" w:color="000000" w:fill="FFFFFF"/>
            <w:noWrap/>
            <w:vAlign w:val="center"/>
            <w:hideMark/>
          </w:tcPr>
          <w:p w14:paraId="5501262B"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$15.24</w:t>
            </w:r>
          </w:p>
        </w:tc>
        <w:tc>
          <w:tcPr>
            <w:tcW w:w="1388" w:type="dxa"/>
            <w:tcBorders>
              <w:top w:val="nil"/>
              <w:left w:val="nil"/>
              <w:bottom w:val="single" w:sz="12" w:space="0" w:color="1E1545"/>
              <w:right w:val="nil"/>
            </w:tcBorders>
            <w:shd w:val="clear" w:color="000000" w:fill="FFFFFF"/>
            <w:noWrap/>
            <w:vAlign w:val="center"/>
            <w:hideMark/>
          </w:tcPr>
          <w:p w14:paraId="2822326A"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$51.67</w:t>
            </w:r>
          </w:p>
        </w:tc>
        <w:tc>
          <w:tcPr>
            <w:tcW w:w="1388" w:type="dxa"/>
            <w:tcBorders>
              <w:top w:val="nil"/>
              <w:left w:val="nil"/>
              <w:bottom w:val="single" w:sz="12" w:space="0" w:color="1E1545"/>
              <w:right w:val="nil"/>
            </w:tcBorders>
            <w:shd w:val="clear" w:color="000000" w:fill="FFFFFF"/>
            <w:noWrap/>
            <w:vAlign w:val="center"/>
            <w:hideMark/>
          </w:tcPr>
          <w:p w14:paraId="42F4CA79"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$1.50</w:t>
            </w:r>
          </w:p>
        </w:tc>
        <w:tc>
          <w:tcPr>
            <w:tcW w:w="1389" w:type="dxa"/>
            <w:tcBorders>
              <w:top w:val="nil"/>
              <w:left w:val="nil"/>
              <w:bottom w:val="single" w:sz="12" w:space="0" w:color="1E1545"/>
              <w:right w:val="nil"/>
            </w:tcBorders>
            <w:shd w:val="clear" w:color="000000" w:fill="FFFFFF"/>
            <w:noWrap/>
            <w:vAlign w:val="center"/>
            <w:hideMark/>
          </w:tcPr>
          <w:p w14:paraId="4408661D" w14:textId="77777777" w:rsidR="00BF6643" w:rsidRPr="00BF6643" w:rsidRDefault="00BF6643" w:rsidP="00BF6643">
            <w:pPr>
              <w:spacing w:before="0" w:after="0" w:line="240" w:lineRule="auto"/>
              <w:jc w:val="right"/>
              <w:rPr>
                <w:rFonts w:cs="Arial"/>
                <w:bCs w:val="0"/>
                <w:color w:val="1E1545"/>
                <w:sz w:val="21"/>
                <w:szCs w:val="21"/>
                <w:lang w:eastAsia="en-AU"/>
              </w:rPr>
            </w:pPr>
            <w:r w:rsidRPr="00BF6643">
              <w:rPr>
                <w:rFonts w:cs="Arial"/>
                <w:bCs w:val="0"/>
                <w:color w:val="1E1545"/>
                <w:sz w:val="21"/>
                <w:szCs w:val="21"/>
                <w:lang w:eastAsia="en-AU"/>
              </w:rPr>
              <w:t>$29.17</w:t>
            </w:r>
          </w:p>
        </w:tc>
      </w:tr>
      <w:tr w:rsidR="00BF6643" w:rsidRPr="00BF6643" w14:paraId="231709CB" w14:textId="77777777" w:rsidTr="00492931">
        <w:trPr>
          <w:trHeight w:val="330"/>
        </w:trPr>
        <w:tc>
          <w:tcPr>
            <w:tcW w:w="3398" w:type="dxa"/>
            <w:tcBorders>
              <w:top w:val="nil"/>
              <w:left w:val="nil"/>
              <w:bottom w:val="single" w:sz="12" w:space="0" w:color="1E1545"/>
              <w:right w:val="nil"/>
            </w:tcBorders>
            <w:shd w:val="clear" w:color="000000" w:fill="D8DADA"/>
            <w:vAlign w:val="center"/>
            <w:hideMark/>
          </w:tcPr>
          <w:p w14:paraId="3561B7E9"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Non-recurrent profit/(loss)</w:t>
            </w:r>
          </w:p>
        </w:tc>
        <w:tc>
          <w:tcPr>
            <w:tcW w:w="1388" w:type="dxa"/>
            <w:tcBorders>
              <w:top w:val="nil"/>
              <w:left w:val="nil"/>
              <w:bottom w:val="single" w:sz="12" w:space="0" w:color="1E1545"/>
              <w:right w:val="nil"/>
            </w:tcBorders>
            <w:shd w:val="clear" w:color="000000" w:fill="D8DADA"/>
            <w:noWrap/>
            <w:vAlign w:val="center"/>
            <w:hideMark/>
          </w:tcPr>
          <w:p w14:paraId="00D93719"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$1.44</w:t>
            </w:r>
          </w:p>
        </w:tc>
        <w:tc>
          <w:tcPr>
            <w:tcW w:w="1388" w:type="dxa"/>
            <w:tcBorders>
              <w:top w:val="nil"/>
              <w:left w:val="nil"/>
              <w:bottom w:val="single" w:sz="12" w:space="0" w:color="1E1545"/>
              <w:right w:val="nil"/>
            </w:tcBorders>
            <w:shd w:val="clear" w:color="000000" w:fill="D8DADA"/>
            <w:noWrap/>
            <w:vAlign w:val="center"/>
            <w:hideMark/>
          </w:tcPr>
          <w:p w14:paraId="28235834"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($27.74)</w:t>
            </w:r>
          </w:p>
        </w:tc>
        <w:tc>
          <w:tcPr>
            <w:tcW w:w="1388" w:type="dxa"/>
            <w:tcBorders>
              <w:top w:val="nil"/>
              <w:left w:val="nil"/>
              <w:bottom w:val="single" w:sz="12" w:space="0" w:color="1E1545"/>
              <w:right w:val="nil"/>
            </w:tcBorders>
            <w:shd w:val="clear" w:color="000000" w:fill="D8DADA"/>
            <w:noWrap/>
            <w:vAlign w:val="center"/>
            <w:hideMark/>
          </w:tcPr>
          <w:p w14:paraId="6EFB9D7A"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$13.98</w:t>
            </w:r>
          </w:p>
        </w:tc>
        <w:tc>
          <w:tcPr>
            <w:tcW w:w="1389" w:type="dxa"/>
            <w:tcBorders>
              <w:top w:val="nil"/>
              <w:left w:val="nil"/>
              <w:bottom w:val="single" w:sz="12" w:space="0" w:color="1E1545"/>
              <w:right w:val="nil"/>
            </w:tcBorders>
            <w:shd w:val="clear" w:color="000000" w:fill="D8DADA"/>
            <w:noWrap/>
            <w:vAlign w:val="center"/>
            <w:hideMark/>
          </w:tcPr>
          <w:p w14:paraId="45D54DD0"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($9.66)</w:t>
            </w:r>
          </w:p>
        </w:tc>
      </w:tr>
      <w:tr w:rsidR="00BF6643" w:rsidRPr="00BF6643" w14:paraId="1B9D87A8" w14:textId="77777777" w:rsidTr="00492931">
        <w:trPr>
          <w:trHeight w:val="560"/>
        </w:trPr>
        <w:tc>
          <w:tcPr>
            <w:tcW w:w="3398" w:type="dxa"/>
            <w:tcBorders>
              <w:top w:val="nil"/>
              <w:left w:val="nil"/>
              <w:bottom w:val="single" w:sz="12" w:space="0" w:color="1E1545"/>
              <w:right w:val="nil"/>
            </w:tcBorders>
            <w:shd w:val="clear" w:color="000000" w:fill="D8DADA"/>
            <w:vAlign w:val="center"/>
            <w:hideMark/>
          </w:tcPr>
          <w:p w14:paraId="45DF736F" w14:textId="77777777" w:rsidR="00BF6643" w:rsidRPr="00BF6643" w:rsidRDefault="00BF6643" w:rsidP="00BF6643">
            <w:pPr>
              <w:spacing w:before="0" w:after="0" w:line="240" w:lineRule="auto"/>
              <w:rPr>
                <w:rFonts w:cs="Arial"/>
                <w:b/>
                <w:color w:val="1E1545"/>
                <w:sz w:val="21"/>
                <w:szCs w:val="21"/>
                <w:lang w:eastAsia="en-AU"/>
              </w:rPr>
            </w:pPr>
            <w:r w:rsidRPr="00BF6643">
              <w:rPr>
                <w:rFonts w:cs="Arial"/>
                <w:b/>
                <w:color w:val="1E1545"/>
                <w:sz w:val="21"/>
                <w:szCs w:val="21"/>
                <w:lang w:eastAsia="en-AU"/>
              </w:rPr>
              <w:t>Residential aged care segment profit/(loss)</w:t>
            </w:r>
          </w:p>
        </w:tc>
        <w:tc>
          <w:tcPr>
            <w:tcW w:w="1388" w:type="dxa"/>
            <w:tcBorders>
              <w:top w:val="nil"/>
              <w:left w:val="nil"/>
              <w:bottom w:val="single" w:sz="12" w:space="0" w:color="1E1545"/>
              <w:right w:val="nil"/>
            </w:tcBorders>
            <w:shd w:val="clear" w:color="000000" w:fill="D8DADA"/>
            <w:noWrap/>
            <w:vAlign w:val="center"/>
            <w:hideMark/>
          </w:tcPr>
          <w:p w14:paraId="285C3621"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($15.60)</w:t>
            </w:r>
          </w:p>
        </w:tc>
        <w:tc>
          <w:tcPr>
            <w:tcW w:w="1388" w:type="dxa"/>
            <w:tcBorders>
              <w:top w:val="nil"/>
              <w:left w:val="nil"/>
              <w:bottom w:val="single" w:sz="12" w:space="0" w:color="1E1545"/>
              <w:right w:val="nil"/>
            </w:tcBorders>
            <w:shd w:val="clear" w:color="000000" w:fill="D8DADA"/>
            <w:noWrap/>
            <w:vAlign w:val="center"/>
            <w:hideMark/>
          </w:tcPr>
          <w:p w14:paraId="74954A6E"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($34.69)</w:t>
            </w:r>
          </w:p>
        </w:tc>
        <w:tc>
          <w:tcPr>
            <w:tcW w:w="1388" w:type="dxa"/>
            <w:tcBorders>
              <w:top w:val="nil"/>
              <w:left w:val="nil"/>
              <w:bottom w:val="single" w:sz="12" w:space="0" w:color="1E1545"/>
              <w:right w:val="nil"/>
            </w:tcBorders>
            <w:shd w:val="clear" w:color="000000" w:fill="D8DADA"/>
            <w:noWrap/>
            <w:vAlign w:val="center"/>
            <w:hideMark/>
          </w:tcPr>
          <w:p w14:paraId="1E5551E1"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($76.84)</w:t>
            </w:r>
          </w:p>
        </w:tc>
        <w:tc>
          <w:tcPr>
            <w:tcW w:w="1389" w:type="dxa"/>
            <w:tcBorders>
              <w:top w:val="nil"/>
              <w:left w:val="nil"/>
              <w:bottom w:val="single" w:sz="12" w:space="0" w:color="1E1545"/>
              <w:right w:val="nil"/>
            </w:tcBorders>
            <w:shd w:val="clear" w:color="000000" w:fill="D8DADA"/>
            <w:noWrap/>
            <w:vAlign w:val="center"/>
            <w:hideMark/>
          </w:tcPr>
          <w:p w14:paraId="4A32D837" w14:textId="77777777" w:rsidR="00BF6643" w:rsidRPr="00BF6643" w:rsidRDefault="00BF6643" w:rsidP="00BF6643">
            <w:pPr>
              <w:spacing w:before="0" w:after="0" w:line="240" w:lineRule="auto"/>
              <w:jc w:val="right"/>
              <w:rPr>
                <w:rFonts w:cs="Arial"/>
                <w:b/>
                <w:color w:val="1E1545"/>
                <w:sz w:val="21"/>
                <w:szCs w:val="21"/>
                <w:lang w:eastAsia="en-AU"/>
              </w:rPr>
            </w:pPr>
            <w:r w:rsidRPr="00BF6643">
              <w:rPr>
                <w:rFonts w:cs="Arial"/>
                <w:b/>
                <w:color w:val="1E1545"/>
                <w:sz w:val="21"/>
                <w:szCs w:val="21"/>
                <w:lang w:eastAsia="en-AU"/>
              </w:rPr>
              <w:t>($25.31)</w:t>
            </w:r>
          </w:p>
        </w:tc>
      </w:tr>
    </w:tbl>
    <w:p w14:paraId="5EE2CE67" w14:textId="77777777" w:rsidR="006F4F12" w:rsidRDefault="006F4F12" w:rsidP="006F4F12">
      <w:pPr>
        <w:spacing w:before="0" w:after="0" w:line="240" w:lineRule="auto"/>
      </w:pPr>
      <w:bookmarkStart w:id="104" w:name="_Toc173428606"/>
      <w:r>
        <w:br w:type="page"/>
      </w:r>
    </w:p>
    <w:p w14:paraId="39CB3420" w14:textId="4B55B58F" w:rsidR="00070E1C" w:rsidRDefault="00070E1C" w:rsidP="00BF6643">
      <w:pPr>
        <w:pStyle w:val="Heading2"/>
      </w:pPr>
      <w:r w:rsidRPr="00E73670">
        <w:t>Financial performance – revenue</w:t>
      </w:r>
      <w:bookmarkEnd w:id="103"/>
      <w:bookmarkEnd w:id="104"/>
    </w:p>
    <w:p w14:paraId="4FEA76B4" w14:textId="6D6A40F4" w:rsidR="00515C53" w:rsidRDefault="00515C53" w:rsidP="00515C53">
      <w:r>
        <w:fldChar w:fldCharType="begin"/>
      </w:r>
      <w:r>
        <w:instrText xml:space="preserve"> REF _Ref162512238 \h </w:instrText>
      </w:r>
      <w:r>
        <w:fldChar w:fldCharType="separate"/>
      </w:r>
      <w:r w:rsidR="001377BE">
        <w:t xml:space="preserve">Chart </w:t>
      </w:r>
      <w:r w:rsidR="001377BE">
        <w:rPr>
          <w:noProof/>
        </w:rPr>
        <w:t>3</w:t>
      </w:r>
      <w:r w:rsidR="001377BE">
        <w:t>.</w:t>
      </w:r>
      <w:r w:rsidR="001377BE">
        <w:rPr>
          <w:noProof/>
        </w:rPr>
        <w:t>3</w:t>
      </w:r>
      <w:r>
        <w:fldChar w:fldCharType="end"/>
      </w:r>
      <w:r>
        <w:t xml:space="preserve"> shows the proportion of all revenue sources for</w:t>
      </w:r>
      <w:r>
        <w:rPr>
          <w:spacing w:val="-5"/>
        </w:rPr>
        <w:t xml:space="preserve"> </w:t>
      </w:r>
      <w:r>
        <w:t>residential</w:t>
      </w:r>
      <w:r>
        <w:rPr>
          <w:spacing w:val="-5"/>
        </w:rPr>
        <w:t xml:space="preserve"> </w:t>
      </w:r>
      <w:r>
        <w:t>care</w:t>
      </w:r>
      <w:r>
        <w:rPr>
          <w:spacing w:val="-5"/>
        </w:rPr>
        <w:t xml:space="preserve"> </w:t>
      </w:r>
      <w:r>
        <w:t>providers</w:t>
      </w:r>
      <w:r>
        <w:rPr>
          <w:spacing w:val="-5"/>
        </w:rPr>
        <w:t xml:space="preserve"> </w:t>
      </w:r>
      <w:r>
        <w:t>in</w:t>
      </w:r>
      <w:r>
        <w:rPr>
          <w:spacing w:val="-10"/>
        </w:rPr>
        <w:t xml:space="preserve"> </w:t>
      </w:r>
      <w:r>
        <w:t>2022</w:t>
      </w:r>
      <w:r w:rsidR="00632C03">
        <w:t>-23</w:t>
      </w:r>
      <w:r>
        <w:t>.</w:t>
      </w:r>
      <w:r>
        <w:rPr>
          <w:spacing w:val="-5"/>
        </w:rPr>
        <w:t xml:space="preserve"> </w:t>
      </w:r>
      <w:r>
        <w:t>Revenue</w:t>
      </w:r>
      <w:r>
        <w:rPr>
          <w:spacing w:val="-5"/>
        </w:rPr>
        <w:t xml:space="preserve"> </w:t>
      </w:r>
      <w:r>
        <w:t>from Australian</w:t>
      </w:r>
      <w:r>
        <w:rPr>
          <w:spacing w:val="-11"/>
        </w:rPr>
        <w:t xml:space="preserve"> </w:t>
      </w:r>
      <w:r>
        <w:t>Government</w:t>
      </w:r>
      <w:r>
        <w:rPr>
          <w:spacing w:val="-11"/>
        </w:rPr>
        <w:t xml:space="preserve"> </w:t>
      </w:r>
      <w:r>
        <w:t>care</w:t>
      </w:r>
      <w:r>
        <w:rPr>
          <w:spacing w:val="-11"/>
        </w:rPr>
        <w:t xml:space="preserve"> </w:t>
      </w:r>
      <w:r>
        <w:t>subsidies</w:t>
      </w:r>
      <w:r>
        <w:rPr>
          <w:spacing w:val="-11"/>
        </w:rPr>
        <w:t xml:space="preserve"> </w:t>
      </w:r>
      <w:r>
        <w:t>and</w:t>
      </w:r>
      <w:r>
        <w:rPr>
          <w:spacing w:val="-11"/>
        </w:rPr>
        <w:t xml:space="preserve"> </w:t>
      </w:r>
      <w:r>
        <w:t xml:space="preserve">supplements accounted for </w:t>
      </w:r>
      <w:r w:rsidR="009D09C4">
        <w:t>60.0%</w:t>
      </w:r>
      <w:r w:rsidR="008966E7">
        <w:t>.</w:t>
      </w:r>
      <w:r>
        <w:t xml:space="preserve"> </w:t>
      </w:r>
      <w:r w:rsidR="00915978">
        <w:t xml:space="preserve">The second largest </w:t>
      </w:r>
      <w:r w:rsidR="002E1D18">
        <w:t xml:space="preserve">revenue stream was living expenses (basic daily </w:t>
      </w:r>
      <w:r w:rsidR="008B0881">
        <w:t xml:space="preserve">fee) </w:t>
      </w:r>
      <w:r w:rsidR="00877E0C">
        <w:t>at 15.9</w:t>
      </w:r>
      <w:r w:rsidR="007A05C3">
        <w:t>%</w:t>
      </w:r>
      <w:r w:rsidR="004C1E53">
        <w:t xml:space="preserve">, while revenue from other income accounted for 8.5%. </w:t>
      </w:r>
    </w:p>
    <w:p w14:paraId="70D8A96F" w14:textId="6E6C75A6" w:rsidR="00515C53" w:rsidRDefault="00515C53" w:rsidP="00515C53">
      <w:r>
        <w:rPr>
          <w:spacing w:val="-2"/>
        </w:rPr>
        <w:t xml:space="preserve">Australian Government accommodation supplements </w:t>
      </w:r>
      <w:r>
        <w:t>and</w:t>
      </w:r>
      <w:r>
        <w:rPr>
          <w:spacing w:val="-9"/>
        </w:rPr>
        <w:t xml:space="preserve"> </w:t>
      </w:r>
      <w:r>
        <w:t>capital</w:t>
      </w:r>
      <w:r>
        <w:rPr>
          <w:spacing w:val="-8"/>
        </w:rPr>
        <w:t xml:space="preserve"> </w:t>
      </w:r>
      <w:r>
        <w:t>grants</w:t>
      </w:r>
      <w:r>
        <w:rPr>
          <w:spacing w:val="-8"/>
        </w:rPr>
        <w:t xml:space="preserve"> </w:t>
      </w:r>
      <w:r>
        <w:t>revenue</w:t>
      </w:r>
      <w:r>
        <w:rPr>
          <w:spacing w:val="-8"/>
        </w:rPr>
        <w:t xml:space="preserve"> </w:t>
      </w:r>
      <w:r>
        <w:t>accounted</w:t>
      </w:r>
      <w:r>
        <w:rPr>
          <w:spacing w:val="-8"/>
        </w:rPr>
        <w:t xml:space="preserve"> </w:t>
      </w:r>
      <w:r>
        <w:t>for</w:t>
      </w:r>
      <w:r>
        <w:rPr>
          <w:spacing w:val="-8"/>
        </w:rPr>
        <w:t xml:space="preserve"> </w:t>
      </w:r>
      <w:r w:rsidR="00ED4A5F">
        <w:t>6.2</w:t>
      </w:r>
      <w:r w:rsidR="00D60FA3">
        <w:t>%</w:t>
      </w:r>
      <w:r>
        <w:rPr>
          <w:spacing w:val="-7"/>
        </w:rPr>
        <w:t xml:space="preserve"> </w:t>
      </w:r>
      <w:r>
        <w:t>of total provider revenue.</w:t>
      </w:r>
    </w:p>
    <w:p w14:paraId="6C9B9372" w14:textId="23E179A6" w:rsidR="00DF68B4" w:rsidRDefault="00F91C3C" w:rsidP="00706D0A">
      <w:pPr>
        <w:pStyle w:val="Caption"/>
      </w:pPr>
      <w:bookmarkStart w:id="105" w:name="_Ref162512238"/>
      <w:bookmarkStart w:id="106" w:name="_Toc173428920"/>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3</w:t>
      </w:r>
      <w:r w:rsidR="00AE19AA">
        <w:rPr>
          <w:noProof/>
        </w:rPr>
        <w:fldChar w:fldCharType="end"/>
      </w:r>
      <w:bookmarkEnd w:id="105"/>
      <w:r>
        <w:t xml:space="preserve">: </w:t>
      </w:r>
      <w:r w:rsidRPr="00DA4811">
        <w:t>Proportions of total residential care provider revenue, 2022</w:t>
      </w:r>
      <w:r w:rsidR="00D20FBE">
        <w:t>-23</w:t>
      </w:r>
      <w:r w:rsidRPr="00DA4811">
        <w:t xml:space="preserve"> ($m)</w:t>
      </w:r>
      <w:bookmarkEnd w:id="106"/>
    </w:p>
    <w:p w14:paraId="6C13D482" w14:textId="78A36CD7" w:rsidR="00DA68E0" w:rsidRPr="00DA68E0" w:rsidRDefault="00FD29F5" w:rsidP="00DA68E0">
      <w:r>
        <w:rPr>
          <w:noProof/>
        </w:rPr>
        <w:drawing>
          <wp:inline distT="0" distB="0" distL="0" distR="0" wp14:anchorId="3BB1588A" wp14:editId="5249CA69">
            <wp:extent cx="5738400" cy="2147383"/>
            <wp:effectExtent l="0" t="0" r="0" b="5715"/>
            <wp:docPr id="1465481026" name="Picture 1465481026" descr="Chart 3.3 is a doughnut chart titled Proportions of total residential care provider revenue, 2022-23 ($m). Revenue from Australian Government care subsidies and supplements accounted for 60.0%. The second largest revenue stream was living expenses (basic daily fee) at 15.9%, while revenue from other income accounted for approximately 8.5% of total provider revenu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6" name="Picture 1465481026" descr="Chart 3.3 is a doughnut chart titled Proportions of total residential care provider revenue, 2022-23 ($m). Revenue from Australian Government care subsidies and supplements accounted for 60.0%. The second largest revenue stream was living expenses (basic daily fee) at 15.9%, while revenue from other income accounted for approximately 8.5% of total provider revenu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74112" cy="2160747"/>
                    </a:xfrm>
                    <a:prstGeom prst="rect">
                      <a:avLst/>
                    </a:prstGeom>
                    <a:noFill/>
                  </pic:spPr>
                </pic:pic>
              </a:graphicData>
            </a:graphic>
          </wp:inline>
        </w:drawing>
      </w:r>
    </w:p>
    <w:p w14:paraId="071B0423" w14:textId="26AFB12A" w:rsidR="008520E6" w:rsidRPr="006252DA" w:rsidRDefault="008520E6" w:rsidP="008520E6">
      <w:r w:rsidRPr="006252DA">
        <w:fldChar w:fldCharType="begin"/>
      </w:r>
      <w:r w:rsidRPr="006252DA">
        <w:instrText xml:space="preserve"> REF _Ref162512272 \h </w:instrText>
      </w:r>
      <w:r w:rsidR="006252DA">
        <w:instrText xml:space="preserve"> \* MERGEFORMAT </w:instrText>
      </w:r>
      <w:r w:rsidRPr="006252DA">
        <w:fldChar w:fldCharType="separate"/>
      </w:r>
      <w:r w:rsidR="001377BE">
        <w:t xml:space="preserve">Table </w:t>
      </w:r>
      <w:r w:rsidR="001377BE">
        <w:rPr>
          <w:noProof/>
        </w:rPr>
        <w:t>3.4</w:t>
      </w:r>
      <w:r w:rsidRPr="006252DA">
        <w:fldChar w:fldCharType="end"/>
      </w:r>
      <w:r w:rsidRPr="006252DA">
        <w:t xml:space="preserve"> provides a breakdown of the revenue reported by residential care providers in 2022</w:t>
      </w:r>
      <w:r w:rsidR="006252DA" w:rsidRPr="006252DA">
        <w:t>-23</w:t>
      </w:r>
      <w:r w:rsidRPr="006252DA">
        <w:t xml:space="preserve"> compared with the previous two years.</w:t>
      </w:r>
    </w:p>
    <w:p w14:paraId="327A7614" w14:textId="4E956F0D" w:rsidR="008520E6" w:rsidRPr="003261EE" w:rsidRDefault="008520E6" w:rsidP="008520E6">
      <w:r w:rsidRPr="003261EE">
        <w:t>In 2</w:t>
      </w:r>
      <w:r w:rsidR="006252DA" w:rsidRPr="003261EE">
        <w:t>0</w:t>
      </w:r>
      <w:r w:rsidRPr="003261EE">
        <w:t>22</w:t>
      </w:r>
      <w:r w:rsidR="006252DA" w:rsidRPr="003261EE">
        <w:t>-23</w:t>
      </w:r>
      <w:r w:rsidRPr="003261EE">
        <w:t>, care related revenue ($</w:t>
      </w:r>
      <w:r w:rsidR="004112AB" w:rsidRPr="003261EE">
        <w:t>15.</w:t>
      </w:r>
      <w:r w:rsidR="008F517C" w:rsidRPr="003261EE">
        <w:t>3</w:t>
      </w:r>
      <w:r w:rsidRPr="003261EE">
        <w:t xml:space="preserve"> billion) formed the majority (6</w:t>
      </w:r>
      <w:r w:rsidR="005928EF" w:rsidRPr="003261EE">
        <w:t>3%</w:t>
      </w:r>
      <w:r w:rsidRPr="003261EE">
        <w:t>) of total revenue earned by residential care providers.</w:t>
      </w:r>
      <w:r w:rsidR="00916545" w:rsidRPr="003261EE">
        <w:t xml:space="preserve"> This was an increase of $1</w:t>
      </w:r>
      <w:r w:rsidR="005A5E48" w:rsidRPr="003261EE">
        <w:t>.7 billion</w:t>
      </w:r>
      <w:r w:rsidR="009B603C" w:rsidRPr="003261EE">
        <w:t xml:space="preserve"> </w:t>
      </w:r>
      <w:r w:rsidR="004F31CA">
        <w:t xml:space="preserve">or 12% </w:t>
      </w:r>
      <w:r w:rsidR="00960E24">
        <w:t xml:space="preserve">increase </w:t>
      </w:r>
      <w:r w:rsidR="009B603C" w:rsidRPr="003261EE">
        <w:t>from 2021-22. Th</w:t>
      </w:r>
      <w:r w:rsidR="003261EE">
        <w:t xml:space="preserve">e </w:t>
      </w:r>
      <w:r w:rsidR="00BA26E7">
        <w:t>significant increase in care related revenue is primarily driven by the introduction of AN-ACC from October 2022.</w:t>
      </w:r>
      <w:r w:rsidRPr="003261EE">
        <w:t xml:space="preserve"> The Australian Government is the primary funder of care related revenue.</w:t>
      </w:r>
    </w:p>
    <w:p w14:paraId="1F109C0F" w14:textId="697DC670" w:rsidR="008520E6" w:rsidRPr="00A11B02" w:rsidRDefault="008520E6" w:rsidP="008520E6">
      <w:r w:rsidRPr="003261EE">
        <w:t>Hotel related revenue received from residents, which includes the basic daily fee, extra services fees and additional service fees, accounted for</w:t>
      </w:r>
      <w:r w:rsidR="008A3E01">
        <w:t xml:space="preserve"> 18% of total</w:t>
      </w:r>
      <w:r w:rsidRPr="003261EE">
        <w:t xml:space="preserve"> revenue ($4.</w:t>
      </w:r>
      <w:r w:rsidR="008A3E01">
        <w:t>3</w:t>
      </w:r>
      <w:r w:rsidRPr="003261EE">
        <w:t xml:space="preserve"> billion), a </w:t>
      </w:r>
      <w:r w:rsidR="00C007E9">
        <w:t>de</w:t>
      </w:r>
      <w:r w:rsidRPr="003261EE">
        <w:t>crease of $</w:t>
      </w:r>
      <w:r w:rsidR="00C007E9">
        <w:t xml:space="preserve">268.9 </w:t>
      </w:r>
      <w:r w:rsidRPr="003261EE">
        <w:t>m</w:t>
      </w:r>
      <w:r w:rsidR="00C007E9">
        <w:t>illion</w:t>
      </w:r>
      <w:r w:rsidRPr="003261EE">
        <w:t xml:space="preserve"> (or </w:t>
      </w:r>
      <w:r w:rsidR="00811A3A">
        <w:t>6</w:t>
      </w:r>
      <w:r w:rsidR="00437EEF">
        <w:t>%</w:t>
      </w:r>
      <w:r w:rsidR="373043D7">
        <w:t xml:space="preserve"> </w:t>
      </w:r>
      <w:r w:rsidR="00811A3A">
        <w:t>down</w:t>
      </w:r>
      <w:r w:rsidRPr="003261EE">
        <w:t>) on 2021</w:t>
      </w:r>
      <w:r w:rsidR="00811A3A">
        <w:t>-22</w:t>
      </w:r>
      <w:r w:rsidRPr="003261EE">
        <w:t>.</w:t>
      </w:r>
    </w:p>
    <w:p w14:paraId="558F5CD7" w14:textId="32A764F9" w:rsidR="00B649AC" w:rsidRDefault="00516378" w:rsidP="00B649AC">
      <w:pPr>
        <w:pStyle w:val="Caption"/>
      </w:pPr>
      <w:bookmarkStart w:id="107" w:name="_Ref162512272"/>
      <w:bookmarkStart w:id="108" w:name="_Toc173428886"/>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4</w:t>
      </w:r>
      <w:r w:rsidR="00AE19AA">
        <w:rPr>
          <w:noProof/>
        </w:rPr>
        <w:fldChar w:fldCharType="end"/>
      </w:r>
      <w:bookmarkEnd w:id="107"/>
      <w:r>
        <w:t xml:space="preserve">: </w:t>
      </w:r>
      <w:r w:rsidRPr="00B52F16">
        <w:t>Revenue sources for residential care providers, by care, accommodation, living and ‘other’, 20</w:t>
      </w:r>
      <w:r w:rsidR="00D20FBE">
        <w:t>2</w:t>
      </w:r>
      <w:r w:rsidRPr="00B52F16">
        <w:t>0</w:t>
      </w:r>
      <w:r w:rsidR="00D20FBE">
        <w:t>-21</w:t>
      </w:r>
      <w:r w:rsidRPr="00B52F16">
        <w:t xml:space="preserve"> to 2022</w:t>
      </w:r>
      <w:r w:rsidR="00D20FBE">
        <w:t>-23</w:t>
      </w:r>
      <w:r w:rsidRPr="00B52F16">
        <w:t xml:space="preserve"> ($m)</w:t>
      </w:r>
      <w:bookmarkEnd w:id="108"/>
    </w:p>
    <w:tbl>
      <w:tblPr>
        <w:tblW w:w="9072" w:type="dxa"/>
        <w:tblLayout w:type="fixed"/>
        <w:tblLook w:val="04A0" w:firstRow="1" w:lastRow="0" w:firstColumn="1" w:lastColumn="0" w:noHBand="0" w:noVBand="1"/>
      </w:tblPr>
      <w:tblGrid>
        <w:gridCol w:w="1843"/>
        <w:gridCol w:w="1204"/>
        <w:gridCol w:w="1205"/>
        <w:gridCol w:w="1205"/>
        <w:gridCol w:w="1205"/>
        <w:gridCol w:w="1205"/>
        <w:gridCol w:w="1205"/>
      </w:tblGrid>
      <w:tr w:rsidR="00B649AC" w:rsidRPr="00B649AC" w14:paraId="7DB58798" w14:textId="77777777" w:rsidTr="00AC5916">
        <w:trPr>
          <w:trHeight w:val="1320"/>
        </w:trPr>
        <w:tc>
          <w:tcPr>
            <w:tcW w:w="1843" w:type="dxa"/>
            <w:tcBorders>
              <w:top w:val="single" w:sz="12" w:space="0" w:color="1E1545"/>
              <w:left w:val="nil"/>
              <w:bottom w:val="single" w:sz="12" w:space="0" w:color="1E1545"/>
              <w:right w:val="nil"/>
            </w:tcBorders>
            <w:shd w:val="clear" w:color="000000" w:fill="1E1545"/>
            <w:vAlign w:val="center"/>
            <w:hideMark/>
          </w:tcPr>
          <w:p w14:paraId="50B6903B" w14:textId="77777777" w:rsidR="00B649AC" w:rsidRPr="00492931" w:rsidRDefault="00B649AC" w:rsidP="00B649AC">
            <w:pPr>
              <w:spacing w:before="0" w:after="0" w:line="240" w:lineRule="auto"/>
              <w:rPr>
                <w:rFonts w:cs="Arial"/>
                <w:b/>
                <w:color w:val="F1F2F2"/>
                <w:sz w:val="18"/>
                <w:lang w:eastAsia="en-AU"/>
              </w:rPr>
            </w:pPr>
            <w:r w:rsidRPr="00492931">
              <w:rPr>
                <w:rFonts w:cs="Arial"/>
                <w:b/>
                <w:color w:val="F1F2F2"/>
                <w:sz w:val="18"/>
                <w:lang w:eastAsia="en-AU"/>
              </w:rPr>
              <w:t>Revenue sources</w:t>
            </w:r>
          </w:p>
        </w:tc>
        <w:tc>
          <w:tcPr>
            <w:tcW w:w="1204" w:type="dxa"/>
            <w:tcBorders>
              <w:top w:val="single" w:sz="12" w:space="0" w:color="1E1545"/>
              <w:left w:val="nil"/>
              <w:bottom w:val="single" w:sz="12" w:space="0" w:color="1E1545"/>
              <w:right w:val="nil"/>
            </w:tcBorders>
            <w:shd w:val="clear" w:color="000000" w:fill="1E1545"/>
            <w:vAlign w:val="center"/>
            <w:hideMark/>
          </w:tcPr>
          <w:p w14:paraId="06C80F83" w14:textId="77777777" w:rsidR="00B649AC" w:rsidRPr="00492931" w:rsidRDefault="00B649AC" w:rsidP="00B649AC">
            <w:pPr>
              <w:spacing w:before="0" w:after="0" w:line="240" w:lineRule="auto"/>
              <w:jc w:val="right"/>
              <w:rPr>
                <w:rFonts w:cs="Arial"/>
                <w:b/>
                <w:color w:val="F1F2F2"/>
                <w:sz w:val="18"/>
                <w:lang w:eastAsia="en-AU"/>
              </w:rPr>
            </w:pPr>
            <w:r w:rsidRPr="00492931">
              <w:rPr>
                <w:rFonts w:cs="Arial"/>
                <w:b/>
                <w:color w:val="F1F2F2"/>
                <w:sz w:val="18"/>
                <w:lang w:eastAsia="en-AU"/>
              </w:rPr>
              <w:t>2020-21</w:t>
            </w:r>
            <w:r w:rsidRPr="00492931">
              <w:rPr>
                <w:rFonts w:cs="Arial"/>
                <w:b/>
                <w:color w:val="F1F2F2"/>
                <w:sz w:val="18"/>
                <w:lang w:eastAsia="en-AU"/>
              </w:rPr>
              <w:br/>
              <w:t>($m)</w:t>
            </w:r>
          </w:p>
        </w:tc>
        <w:tc>
          <w:tcPr>
            <w:tcW w:w="1205" w:type="dxa"/>
            <w:tcBorders>
              <w:top w:val="single" w:sz="12" w:space="0" w:color="1E1545"/>
              <w:left w:val="nil"/>
              <w:bottom w:val="single" w:sz="12" w:space="0" w:color="1E1545"/>
              <w:right w:val="nil"/>
            </w:tcBorders>
            <w:shd w:val="clear" w:color="000000" w:fill="1E1545"/>
            <w:vAlign w:val="center"/>
            <w:hideMark/>
          </w:tcPr>
          <w:p w14:paraId="4407D388" w14:textId="77777777" w:rsidR="00B649AC" w:rsidRPr="00492931" w:rsidRDefault="00B649AC" w:rsidP="00B649AC">
            <w:pPr>
              <w:spacing w:before="0" w:after="0" w:line="240" w:lineRule="auto"/>
              <w:jc w:val="right"/>
              <w:rPr>
                <w:rFonts w:cs="Arial"/>
                <w:b/>
                <w:color w:val="F1F2F2"/>
                <w:sz w:val="18"/>
                <w:lang w:eastAsia="en-AU"/>
              </w:rPr>
            </w:pPr>
            <w:r w:rsidRPr="00492931">
              <w:rPr>
                <w:rFonts w:cs="Arial"/>
                <w:b/>
                <w:color w:val="F1F2F2"/>
                <w:sz w:val="18"/>
                <w:lang w:eastAsia="en-AU"/>
              </w:rPr>
              <w:t>2021-22</w:t>
            </w:r>
            <w:r w:rsidRPr="00492931">
              <w:rPr>
                <w:rFonts w:cs="Arial"/>
                <w:b/>
                <w:color w:val="F1F2F2"/>
                <w:sz w:val="18"/>
                <w:lang w:eastAsia="en-AU"/>
              </w:rPr>
              <w:br/>
              <w:t>($m)</w:t>
            </w:r>
          </w:p>
        </w:tc>
        <w:tc>
          <w:tcPr>
            <w:tcW w:w="1205" w:type="dxa"/>
            <w:tcBorders>
              <w:top w:val="single" w:sz="12" w:space="0" w:color="1E1545"/>
              <w:left w:val="nil"/>
              <w:bottom w:val="single" w:sz="12" w:space="0" w:color="1E1545"/>
              <w:right w:val="nil"/>
            </w:tcBorders>
            <w:shd w:val="clear" w:color="000000" w:fill="1E1545"/>
            <w:vAlign w:val="center"/>
            <w:hideMark/>
          </w:tcPr>
          <w:p w14:paraId="7B4AD20F" w14:textId="77777777" w:rsidR="00B649AC" w:rsidRPr="00492931" w:rsidRDefault="00B649AC" w:rsidP="00B649AC">
            <w:pPr>
              <w:spacing w:before="0" w:after="0" w:line="240" w:lineRule="auto"/>
              <w:jc w:val="right"/>
              <w:rPr>
                <w:rFonts w:cs="Arial"/>
                <w:b/>
                <w:color w:val="F1F2F2"/>
                <w:sz w:val="18"/>
                <w:lang w:eastAsia="en-AU"/>
              </w:rPr>
            </w:pPr>
            <w:r w:rsidRPr="00492931">
              <w:rPr>
                <w:rFonts w:cs="Arial"/>
                <w:b/>
                <w:color w:val="F1F2F2"/>
                <w:sz w:val="18"/>
                <w:lang w:eastAsia="en-AU"/>
              </w:rPr>
              <w:t>Change from</w:t>
            </w:r>
            <w:r w:rsidRPr="00492931">
              <w:rPr>
                <w:rFonts w:cs="Arial"/>
                <w:b/>
                <w:color w:val="F1F2F2"/>
                <w:sz w:val="18"/>
                <w:lang w:eastAsia="en-AU"/>
              </w:rPr>
              <w:br/>
              <w:t>2020-21 to 2021-22 ($m)</w:t>
            </w:r>
          </w:p>
        </w:tc>
        <w:tc>
          <w:tcPr>
            <w:tcW w:w="1205" w:type="dxa"/>
            <w:tcBorders>
              <w:top w:val="single" w:sz="12" w:space="0" w:color="1E1545"/>
              <w:left w:val="nil"/>
              <w:bottom w:val="single" w:sz="12" w:space="0" w:color="1E1545"/>
              <w:right w:val="nil"/>
            </w:tcBorders>
            <w:shd w:val="clear" w:color="000000" w:fill="1E1545"/>
            <w:vAlign w:val="center"/>
            <w:hideMark/>
          </w:tcPr>
          <w:p w14:paraId="0069787F" w14:textId="77777777" w:rsidR="00B649AC" w:rsidRPr="00492931" w:rsidRDefault="00B649AC" w:rsidP="00B649AC">
            <w:pPr>
              <w:spacing w:before="0" w:after="0" w:line="240" w:lineRule="auto"/>
              <w:jc w:val="right"/>
              <w:rPr>
                <w:rFonts w:cs="Arial"/>
                <w:b/>
                <w:color w:val="F1F2F2"/>
                <w:sz w:val="18"/>
                <w:lang w:eastAsia="en-AU"/>
              </w:rPr>
            </w:pPr>
            <w:r w:rsidRPr="00492931">
              <w:rPr>
                <w:rFonts w:cs="Arial"/>
                <w:b/>
                <w:color w:val="F1F2F2"/>
                <w:sz w:val="18"/>
                <w:lang w:eastAsia="en-AU"/>
              </w:rPr>
              <w:t>2022-23</w:t>
            </w:r>
            <w:r w:rsidRPr="00492931">
              <w:rPr>
                <w:rFonts w:cs="Arial"/>
                <w:b/>
                <w:color w:val="F1F2F2"/>
                <w:sz w:val="18"/>
                <w:lang w:eastAsia="en-AU"/>
              </w:rPr>
              <w:br/>
              <w:t>($m)</w:t>
            </w:r>
          </w:p>
        </w:tc>
        <w:tc>
          <w:tcPr>
            <w:tcW w:w="1205" w:type="dxa"/>
            <w:tcBorders>
              <w:top w:val="single" w:sz="12" w:space="0" w:color="1E1545"/>
              <w:left w:val="nil"/>
              <w:bottom w:val="single" w:sz="12" w:space="0" w:color="1E1545"/>
              <w:right w:val="nil"/>
            </w:tcBorders>
            <w:shd w:val="clear" w:color="000000" w:fill="1E1545"/>
            <w:vAlign w:val="center"/>
            <w:hideMark/>
          </w:tcPr>
          <w:p w14:paraId="69405B1A" w14:textId="77777777" w:rsidR="00B649AC" w:rsidRPr="00492931" w:rsidRDefault="00B649AC" w:rsidP="00B649AC">
            <w:pPr>
              <w:spacing w:before="0" w:after="0" w:line="240" w:lineRule="auto"/>
              <w:jc w:val="right"/>
              <w:rPr>
                <w:rFonts w:cs="Arial"/>
                <w:b/>
                <w:color w:val="F1F2F2"/>
                <w:sz w:val="18"/>
                <w:lang w:eastAsia="en-AU"/>
              </w:rPr>
            </w:pPr>
            <w:r w:rsidRPr="00492931">
              <w:rPr>
                <w:rFonts w:cs="Arial"/>
                <w:b/>
                <w:color w:val="F1F2F2"/>
                <w:sz w:val="18"/>
                <w:lang w:eastAsia="en-AU"/>
              </w:rPr>
              <w:t>Change from 2021-22 to 2022-23 ($m)</w:t>
            </w:r>
          </w:p>
        </w:tc>
        <w:tc>
          <w:tcPr>
            <w:tcW w:w="1205" w:type="dxa"/>
            <w:tcBorders>
              <w:top w:val="single" w:sz="12" w:space="0" w:color="1E1545"/>
              <w:left w:val="nil"/>
              <w:bottom w:val="single" w:sz="12" w:space="0" w:color="1E1545"/>
              <w:right w:val="nil"/>
            </w:tcBorders>
            <w:shd w:val="clear" w:color="000000" w:fill="1E1545"/>
            <w:vAlign w:val="center"/>
            <w:hideMark/>
          </w:tcPr>
          <w:p w14:paraId="64F3F2C6" w14:textId="4E73BF88" w:rsidR="00B649AC" w:rsidRPr="00492931" w:rsidRDefault="00B649AC" w:rsidP="00B649AC">
            <w:pPr>
              <w:spacing w:before="0" w:after="0" w:line="240" w:lineRule="auto"/>
              <w:jc w:val="center"/>
              <w:rPr>
                <w:rFonts w:cs="Arial"/>
                <w:b/>
                <w:color w:val="F1F2F2"/>
                <w:sz w:val="18"/>
                <w:lang w:eastAsia="en-AU"/>
              </w:rPr>
            </w:pPr>
            <w:r w:rsidRPr="00492931">
              <w:rPr>
                <w:rFonts w:cs="Arial"/>
                <w:b/>
                <w:color w:val="F1F2F2"/>
                <w:sz w:val="18"/>
                <w:lang w:eastAsia="en-AU"/>
              </w:rPr>
              <w:t xml:space="preserve">% of total </w:t>
            </w:r>
            <w:r w:rsidR="00250A7D" w:rsidRPr="00492931">
              <w:rPr>
                <w:rFonts w:cs="Arial"/>
                <w:b/>
                <w:color w:val="F1F2F2"/>
                <w:sz w:val="18"/>
                <w:lang w:eastAsia="en-AU"/>
              </w:rPr>
              <w:t xml:space="preserve">provider </w:t>
            </w:r>
            <w:r w:rsidR="009F3DF6" w:rsidRPr="00492931">
              <w:rPr>
                <w:rFonts w:cs="Arial"/>
                <w:b/>
                <w:color w:val="F1F2F2"/>
                <w:sz w:val="18"/>
                <w:lang w:eastAsia="en-AU"/>
              </w:rPr>
              <w:t>revenue</w:t>
            </w:r>
            <w:r w:rsidR="00250A7D" w:rsidRPr="00492931">
              <w:rPr>
                <w:rFonts w:cs="Arial"/>
                <w:b/>
                <w:color w:val="F1F2F2"/>
                <w:sz w:val="18"/>
                <w:lang w:eastAsia="en-AU"/>
              </w:rPr>
              <w:t xml:space="preserve"> in 2022-23</w:t>
            </w:r>
          </w:p>
        </w:tc>
      </w:tr>
      <w:tr w:rsidR="00B649AC" w:rsidRPr="00B649AC" w14:paraId="10A30B3C" w14:textId="77777777" w:rsidTr="00AC5916">
        <w:trPr>
          <w:trHeight w:val="330"/>
        </w:trPr>
        <w:tc>
          <w:tcPr>
            <w:tcW w:w="1843" w:type="dxa"/>
            <w:tcBorders>
              <w:top w:val="nil"/>
              <w:left w:val="nil"/>
              <w:bottom w:val="single" w:sz="12" w:space="0" w:color="1E1545"/>
              <w:right w:val="nil"/>
            </w:tcBorders>
            <w:shd w:val="clear" w:color="000000" w:fill="D8DADA"/>
            <w:vAlign w:val="center"/>
            <w:hideMark/>
          </w:tcPr>
          <w:p w14:paraId="381FC11D"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Care related</w:t>
            </w:r>
          </w:p>
        </w:tc>
        <w:tc>
          <w:tcPr>
            <w:tcW w:w="1204" w:type="dxa"/>
            <w:tcBorders>
              <w:top w:val="nil"/>
              <w:left w:val="nil"/>
              <w:bottom w:val="single" w:sz="12" w:space="0" w:color="1E1545"/>
              <w:right w:val="nil"/>
            </w:tcBorders>
            <w:shd w:val="clear" w:color="000000" w:fill="D8DADA"/>
            <w:vAlign w:val="center"/>
            <w:hideMark/>
          </w:tcPr>
          <w:p w14:paraId="354048C8"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7E34F2ED"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505858DF"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685636B4"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4E7D9379"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bottom"/>
            <w:hideMark/>
          </w:tcPr>
          <w:p w14:paraId="428F5B01"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w:t>
            </w:r>
          </w:p>
        </w:tc>
      </w:tr>
      <w:tr w:rsidR="00B649AC" w:rsidRPr="00B649AC" w14:paraId="0343A0D9"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618F603C"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xml:space="preserve">Basic care subsidy </w:t>
            </w:r>
          </w:p>
          <w:p w14:paraId="59F2B66A" w14:textId="0A971864"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(AN-ACC and ACFI)</w:t>
            </w:r>
          </w:p>
        </w:tc>
        <w:tc>
          <w:tcPr>
            <w:tcW w:w="1204" w:type="dxa"/>
            <w:tcBorders>
              <w:top w:val="nil"/>
              <w:left w:val="nil"/>
              <w:bottom w:val="single" w:sz="12" w:space="0" w:color="1E1545"/>
              <w:right w:val="nil"/>
            </w:tcBorders>
            <w:shd w:val="clear" w:color="000000" w:fill="FFFFFF"/>
            <w:noWrap/>
            <w:vAlign w:val="center"/>
            <w:hideMark/>
          </w:tcPr>
          <w:p w14:paraId="4F4CF47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$11,777.87 </w:t>
            </w:r>
          </w:p>
        </w:tc>
        <w:tc>
          <w:tcPr>
            <w:tcW w:w="1205" w:type="dxa"/>
            <w:tcBorders>
              <w:top w:val="nil"/>
              <w:left w:val="nil"/>
              <w:bottom w:val="single" w:sz="12" w:space="0" w:color="1E1545"/>
              <w:right w:val="nil"/>
            </w:tcBorders>
            <w:shd w:val="clear" w:color="000000" w:fill="FFFFFF"/>
            <w:noWrap/>
            <w:vAlign w:val="center"/>
            <w:hideMark/>
          </w:tcPr>
          <w:p w14:paraId="564C8CD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$11,883.39 </w:t>
            </w:r>
          </w:p>
        </w:tc>
        <w:tc>
          <w:tcPr>
            <w:tcW w:w="1205" w:type="dxa"/>
            <w:tcBorders>
              <w:top w:val="nil"/>
              <w:left w:val="nil"/>
              <w:bottom w:val="single" w:sz="12" w:space="0" w:color="1E1545"/>
              <w:right w:val="nil"/>
            </w:tcBorders>
            <w:shd w:val="clear" w:color="000000" w:fill="FFFFFF"/>
            <w:noWrap/>
            <w:vAlign w:val="center"/>
            <w:hideMark/>
          </w:tcPr>
          <w:p w14:paraId="51C50D9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$105.52 </w:t>
            </w:r>
          </w:p>
        </w:tc>
        <w:tc>
          <w:tcPr>
            <w:tcW w:w="1205" w:type="dxa"/>
            <w:tcBorders>
              <w:top w:val="nil"/>
              <w:left w:val="nil"/>
              <w:bottom w:val="single" w:sz="12" w:space="0" w:color="1E1545"/>
              <w:right w:val="nil"/>
            </w:tcBorders>
            <w:shd w:val="clear" w:color="000000" w:fill="FFFFFF"/>
            <w:noWrap/>
            <w:vAlign w:val="center"/>
            <w:hideMark/>
          </w:tcPr>
          <w:p w14:paraId="0FA75E1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$13,038.84 </w:t>
            </w:r>
          </w:p>
        </w:tc>
        <w:tc>
          <w:tcPr>
            <w:tcW w:w="1205" w:type="dxa"/>
            <w:tcBorders>
              <w:top w:val="nil"/>
              <w:left w:val="nil"/>
              <w:bottom w:val="single" w:sz="12" w:space="0" w:color="1E1545"/>
              <w:right w:val="nil"/>
            </w:tcBorders>
            <w:shd w:val="clear" w:color="000000" w:fill="FFFFFF"/>
            <w:noWrap/>
            <w:vAlign w:val="center"/>
            <w:hideMark/>
          </w:tcPr>
          <w:p w14:paraId="22D1FC2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$1,155.45 </w:t>
            </w:r>
          </w:p>
        </w:tc>
        <w:tc>
          <w:tcPr>
            <w:tcW w:w="1205" w:type="dxa"/>
            <w:tcBorders>
              <w:top w:val="nil"/>
              <w:left w:val="nil"/>
              <w:bottom w:val="single" w:sz="12" w:space="0" w:color="1E1545"/>
              <w:right w:val="nil"/>
            </w:tcBorders>
            <w:shd w:val="clear" w:color="auto" w:fill="auto"/>
            <w:noWrap/>
            <w:vAlign w:val="center"/>
            <w:hideMark/>
          </w:tcPr>
          <w:p w14:paraId="6CC2ABB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53.8%</w:t>
            </w:r>
          </w:p>
        </w:tc>
      </w:tr>
      <w:tr w:rsidR="00B649AC" w:rsidRPr="00B649AC" w14:paraId="50A541C6"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547E4C05"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Respite subsidy &amp; supplements</w:t>
            </w:r>
          </w:p>
        </w:tc>
        <w:tc>
          <w:tcPr>
            <w:tcW w:w="1204" w:type="dxa"/>
            <w:tcBorders>
              <w:top w:val="nil"/>
              <w:left w:val="nil"/>
              <w:bottom w:val="single" w:sz="12" w:space="0" w:color="1E1545"/>
              <w:right w:val="nil"/>
            </w:tcBorders>
            <w:shd w:val="clear" w:color="000000" w:fill="FFFFFF"/>
            <w:noWrap/>
            <w:vAlign w:val="center"/>
            <w:hideMark/>
          </w:tcPr>
          <w:p w14:paraId="0C37359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$455.77 </w:t>
            </w:r>
          </w:p>
        </w:tc>
        <w:tc>
          <w:tcPr>
            <w:tcW w:w="1205" w:type="dxa"/>
            <w:tcBorders>
              <w:top w:val="nil"/>
              <w:left w:val="nil"/>
              <w:bottom w:val="single" w:sz="12" w:space="0" w:color="1E1545"/>
              <w:right w:val="nil"/>
            </w:tcBorders>
            <w:shd w:val="clear" w:color="000000" w:fill="FFFFFF"/>
            <w:noWrap/>
            <w:vAlign w:val="center"/>
            <w:hideMark/>
          </w:tcPr>
          <w:p w14:paraId="3D0F76D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$501.02 </w:t>
            </w:r>
          </w:p>
        </w:tc>
        <w:tc>
          <w:tcPr>
            <w:tcW w:w="1205" w:type="dxa"/>
            <w:tcBorders>
              <w:top w:val="nil"/>
              <w:left w:val="nil"/>
              <w:bottom w:val="single" w:sz="12" w:space="0" w:color="1E1545"/>
              <w:right w:val="nil"/>
            </w:tcBorders>
            <w:shd w:val="clear" w:color="000000" w:fill="FFFFFF"/>
            <w:noWrap/>
            <w:vAlign w:val="center"/>
            <w:hideMark/>
          </w:tcPr>
          <w:p w14:paraId="154EC43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$45.26 </w:t>
            </w:r>
          </w:p>
        </w:tc>
        <w:tc>
          <w:tcPr>
            <w:tcW w:w="1205" w:type="dxa"/>
            <w:tcBorders>
              <w:top w:val="nil"/>
              <w:left w:val="nil"/>
              <w:bottom w:val="single" w:sz="12" w:space="0" w:color="1E1545"/>
              <w:right w:val="nil"/>
            </w:tcBorders>
            <w:shd w:val="clear" w:color="000000" w:fill="FFFFFF"/>
            <w:noWrap/>
            <w:vAlign w:val="center"/>
            <w:hideMark/>
          </w:tcPr>
          <w:p w14:paraId="09C9341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$681.45 </w:t>
            </w:r>
          </w:p>
        </w:tc>
        <w:tc>
          <w:tcPr>
            <w:tcW w:w="1205" w:type="dxa"/>
            <w:tcBorders>
              <w:top w:val="nil"/>
              <w:left w:val="nil"/>
              <w:bottom w:val="single" w:sz="12" w:space="0" w:color="1E1545"/>
              <w:right w:val="nil"/>
            </w:tcBorders>
            <w:shd w:val="clear" w:color="000000" w:fill="FFFFFF"/>
            <w:noWrap/>
            <w:vAlign w:val="center"/>
            <w:hideMark/>
          </w:tcPr>
          <w:p w14:paraId="06E10BBD"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$180.43 </w:t>
            </w:r>
          </w:p>
        </w:tc>
        <w:tc>
          <w:tcPr>
            <w:tcW w:w="1205" w:type="dxa"/>
            <w:tcBorders>
              <w:top w:val="nil"/>
              <w:left w:val="nil"/>
              <w:bottom w:val="single" w:sz="12" w:space="0" w:color="1E1545"/>
              <w:right w:val="nil"/>
            </w:tcBorders>
            <w:shd w:val="clear" w:color="auto" w:fill="auto"/>
            <w:noWrap/>
            <w:vAlign w:val="center"/>
            <w:hideMark/>
          </w:tcPr>
          <w:p w14:paraId="028C04EA"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2.8%</w:t>
            </w:r>
          </w:p>
        </w:tc>
      </w:tr>
      <w:tr w:rsidR="00B649AC" w:rsidRPr="00B649AC" w14:paraId="2232492B"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6ED92EAF"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COVID-19 funding</w:t>
            </w:r>
          </w:p>
        </w:tc>
        <w:tc>
          <w:tcPr>
            <w:tcW w:w="1204" w:type="dxa"/>
            <w:tcBorders>
              <w:top w:val="nil"/>
              <w:left w:val="nil"/>
              <w:bottom w:val="single" w:sz="12" w:space="0" w:color="1E1545"/>
              <w:right w:val="nil"/>
            </w:tcBorders>
            <w:shd w:val="clear" w:color="000000" w:fill="FFFFFF"/>
            <w:noWrap/>
            <w:vAlign w:val="center"/>
            <w:hideMark/>
          </w:tcPr>
          <w:p w14:paraId="1CE0D3A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$753.61 </w:t>
            </w:r>
          </w:p>
        </w:tc>
        <w:tc>
          <w:tcPr>
            <w:tcW w:w="1205" w:type="dxa"/>
            <w:tcBorders>
              <w:top w:val="nil"/>
              <w:left w:val="nil"/>
              <w:bottom w:val="single" w:sz="12" w:space="0" w:color="1E1545"/>
              <w:right w:val="nil"/>
            </w:tcBorders>
            <w:shd w:val="clear" w:color="000000" w:fill="FFFFFF"/>
            <w:noWrap/>
            <w:vAlign w:val="center"/>
            <w:hideMark/>
          </w:tcPr>
          <w:p w14:paraId="7825877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$306.06 </w:t>
            </w:r>
          </w:p>
        </w:tc>
        <w:tc>
          <w:tcPr>
            <w:tcW w:w="1205" w:type="dxa"/>
            <w:tcBorders>
              <w:top w:val="nil"/>
              <w:left w:val="nil"/>
              <w:bottom w:val="single" w:sz="12" w:space="0" w:color="1E1545"/>
              <w:right w:val="nil"/>
            </w:tcBorders>
            <w:shd w:val="clear" w:color="000000" w:fill="FFFFFF"/>
            <w:noWrap/>
            <w:vAlign w:val="center"/>
            <w:hideMark/>
          </w:tcPr>
          <w:p w14:paraId="52CA9E1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($447.55)</w:t>
            </w:r>
          </w:p>
        </w:tc>
        <w:tc>
          <w:tcPr>
            <w:tcW w:w="1205" w:type="dxa"/>
            <w:tcBorders>
              <w:top w:val="nil"/>
              <w:left w:val="nil"/>
              <w:bottom w:val="single" w:sz="12" w:space="0" w:color="1E1545"/>
              <w:right w:val="nil"/>
            </w:tcBorders>
            <w:shd w:val="clear" w:color="000000" w:fill="FFFFFF"/>
            <w:noWrap/>
            <w:vAlign w:val="center"/>
            <w:hideMark/>
          </w:tcPr>
          <w:p w14:paraId="4220E69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$514.69 </w:t>
            </w:r>
          </w:p>
        </w:tc>
        <w:tc>
          <w:tcPr>
            <w:tcW w:w="1205" w:type="dxa"/>
            <w:tcBorders>
              <w:top w:val="nil"/>
              <w:left w:val="nil"/>
              <w:bottom w:val="single" w:sz="12" w:space="0" w:color="1E1545"/>
              <w:right w:val="nil"/>
            </w:tcBorders>
            <w:shd w:val="clear" w:color="000000" w:fill="FFFFFF"/>
            <w:noWrap/>
            <w:vAlign w:val="center"/>
            <w:hideMark/>
          </w:tcPr>
          <w:p w14:paraId="033B658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$208.63 </w:t>
            </w:r>
          </w:p>
        </w:tc>
        <w:tc>
          <w:tcPr>
            <w:tcW w:w="1205" w:type="dxa"/>
            <w:tcBorders>
              <w:top w:val="nil"/>
              <w:left w:val="nil"/>
              <w:bottom w:val="single" w:sz="12" w:space="0" w:color="1E1545"/>
              <w:right w:val="nil"/>
            </w:tcBorders>
            <w:shd w:val="clear" w:color="auto" w:fill="auto"/>
            <w:noWrap/>
            <w:vAlign w:val="center"/>
            <w:hideMark/>
          </w:tcPr>
          <w:p w14:paraId="18B2E61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2.1%</w:t>
            </w:r>
          </w:p>
        </w:tc>
      </w:tr>
      <w:tr w:rsidR="00B649AC" w:rsidRPr="00B649AC" w14:paraId="14C7A4A6"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7E2DB94E"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Other supplements</w:t>
            </w:r>
          </w:p>
        </w:tc>
        <w:tc>
          <w:tcPr>
            <w:tcW w:w="1204" w:type="dxa"/>
            <w:tcBorders>
              <w:top w:val="nil"/>
              <w:left w:val="nil"/>
              <w:bottom w:val="single" w:sz="12" w:space="0" w:color="1E1545"/>
              <w:right w:val="nil"/>
            </w:tcBorders>
            <w:shd w:val="clear" w:color="000000" w:fill="FFFFFF"/>
            <w:noWrap/>
            <w:vAlign w:val="center"/>
            <w:hideMark/>
          </w:tcPr>
          <w:p w14:paraId="3B2AD88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$156.61 </w:t>
            </w:r>
          </w:p>
        </w:tc>
        <w:tc>
          <w:tcPr>
            <w:tcW w:w="1205" w:type="dxa"/>
            <w:tcBorders>
              <w:top w:val="nil"/>
              <w:left w:val="nil"/>
              <w:bottom w:val="single" w:sz="12" w:space="0" w:color="1E1545"/>
              <w:right w:val="nil"/>
            </w:tcBorders>
            <w:shd w:val="clear" w:color="000000" w:fill="FFFFFF"/>
            <w:noWrap/>
            <w:vAlign w:val="center"/>
            <w:hideMark/>
          </w:tcPr>
          <w:p w14:paraId="75C0876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$155.15 </w:t>
            </w:r>
          </w:p>
        </w:tc>
        <w:tc>
          <w:tcPr>
            <w:tcW w:w="1205" w:type="dxa"/>
            <w:tcBorders>
              <w:top w:val="nil"/>
              <w:left w:val="nil"/>
              <w:bottom w:val="single" w:sz="12" w:space="0" w:color="1E1545"/>
              <w:right w:val="nil"/>
            </w:tcBorders>
            <w:shd w:val="clear" w:color="000000" w:fill="FFFFFF"/>
            <w:noWrap/>
            <w:vAlign w:val="center"/>
            <w:hideMark/>
          </w:tcPr>
          <w:p w14:paraId="76168F1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($1.46)</w:t>
            </w:r>
          </w:p>
        </w:tc>
        <w:tc>
          <w:tcPr>
            <w:tcW w:w="1205" w:type="dxa"/>
            <w:tcBorders>
              <w:top w:val="nil"/>
              <w:left w:val="nil"/>
              <w:bottom w:val="single" w:sz="12" w:space="0" w:color="1E1545"/>
              <w:right w:val="nil"/>
            </w:tcBorders>
            <w:shd w:val="clear" w:color="000000" w:fill="FFFFFF"/>
            <w:noWrap/>
            <w:vAlign w:val="center"/>
            <w:hideMark/>
          </w:tcPr>
          <w:p w14:paraId="5A7D6DE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$138.51 </w:t>
            </w:r>
          </w:p>
        </w:tc>
        <w:tc>
          <w:tcPr>
            <w:tcW w:w="1205" w:type="dxa"/>
            <w:tcBorders>
              <w:top w:val="nil"/>
              <w:left w:val="nil"/>
              <w:bottom w:val="single" w:sz="12" w:space="0" w:color="1E1545"/>
              <w:right w:val="nil"/>
            </w:tcBorders>
            <w:shd w:val="clear" w:color="000000" w:fill="FFFFFF"/>
            <w:noWrap/>
            <w:vAlign w:val="center"/>
            <w:hideMark/>
          </w:tcPr>
          <w:p w14:paraId="18EE287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($16.64)</w:t>
            </w:r>
          </w:p>
        </w:tc>
        <w:tc>
          <w:tcPr>
            <w:tcW w:w="1205" w:type="dxa"/>
            <w:tcBorders>
              <w:top w:val="nil"/>
              <w:left w:val="nil"/>
              <w:bottom w:val="single" w:sz="12" w:space="0" w:color="1E1545"/>
              <w:right w:val="nil"/>
            </w:tcBorders>
            <w:shd w:val="clear" w:color="auto" w:fill="auto"/>
            <w:noWrap/>
            <w:vAlign w:val="center"/>
            <w:hideMark/>
          </w:tcPr>
          <w:p w14:paraId="03920B4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0.6%</w:t>
            </w:r>
          </w:p>
        </w:tc>
      </w:tr>
      <w:tr w:rsidR="00B649AC" w:rsidRPr="00B649AC" w14:paraId="14C50E39"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4A041F77"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Resident means tested fee</w:t>
            </w:r>
          </w:p>
        </w:tc>
        <w:tc>
          <w:tcPr>
            <w:tcW w:w="1204" w:type="dxa"/>
            <w:tcBorders>
              <w:top w:val="nil"/>
              <w:left w:val="nil"/>
              <w:bottom w:val="single" w:sz="12" w:space="0" w:color="1E1545"/>
              <w:right w:val="nil"/>
            </w:tcBorders>
            <w:shd w:val="clear" w:color="000000" w:fill="FFFFFF"/>
            <w:noWrap/>
            <w:vAlign w:val="center"/>
            <w:hideMark/>
          </w:tcPr>
          <w:p w14:paraId="1B37E3B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$657.01 </w:t>
            </w:r>
          </w:p>
        </w:tc>
        <w:tc>
          <w:tcPr>
            <w:tcW w:w="1205" w:type="dxa"/>
            <w:tcBorders>
              <w:top w:val="nil"/>
              <w:left w:val="nil"/>
              <w:bottom w:val="single" w:sz="12" w:space="0" w:color="1E1545"/>
              <w:right w:val="nil"/>
            </w:tcBorders>
            <w:shd w:val="clear" w:color="000000" w:fill="FFFFFF"/>
            <w:noWrap/>
            <w:vAlign w:val="center"/>
            <w:hideMark/>
          </w:tcPr>
          <w:p w14:paraId="4A26870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$678.64 </w:t>
            </w:r>
          </w:p>
        </w:tc>
        <w:tc>
          <w:tcPr>
            <w:tcW w:w="1205" w:type="dxa"/>
            <w:tcBorders>
              <w:top w:val="nil"/>
              <w:left w:val="nil"/>
              <w:bottom w:val="single" w:sz="12" w:space="0" w:color="1E1545"/>
              <w:right w:val="nil"/>
            </w:tcBorders>
            <w:shd w:val="clear" w:color="000000" w:fill="FFFFFF"/>
            <w:noWrap/>
            <w:vAlign w:val="center"/>
            <w:hideMark/>
          </w:tcPr>
          <w:p w14:paraId="43177C0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$21.63 </w:t>
            </w:r>
          </w:p>
        </w:tc>
        <w:tc>
          <w:tcPr>
            <w:tcW w:w="1205" w:type="dxa"/>
            <w:tcBorders>
              <w:top w:val="nil"/>
              <w:left w:val="nil"/>
              <w:bottom w:val="single" w:sz="12" w:space="0" w:color="1E1545"/>
              <w:right w:val="nil"/>
            </w:tcBorders>
            <w:shd w:val="clear" w:color="000000" w:fill="FFFFFF"/>
            <w:noWrap/>
            <w:vAlign w:val="center"/>
            <w:hideMark/>
          </w:tcPr>
          <w:p w14:paraId="76FCDF0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$793.14 </w:t>
            </w:r>
          </w:p>
        </w:tc>
        <w:tc>
          <w:tcPr>
            <w:tcW w:w="1205" w:type="dxa"/>
            <w:tcBorders>
              <w:top w:val="nil"/>
              <w:left w:val="nil"/>
              <w:bottom w:val="single" w:sz="12" w:space="0" w:color="1E1545"/>
              <w:right w:val="nil"/>
            </w:tcBorders>
            <w:shd w:val="clear" w:color="000000" w:fill="FFFFFF"/>
            <w:noWrap/>
            <w:vAlign w:val="center"/>
            <w:hideMark/>
          </w:tcPr>
          <w:p w14:paraId="5E04A68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$114.50 </w:t>
            </w:r>
          </w:p>
        </w:tc>
        <w:tc>
          <w:tcPr>
            <w:tcW w:w="1205" w:type="dxa"/>
            <w:tcBorders>
              <w:top w:val="nil"/>
              <w:left w:val="nil"/>
              <w:bottom w:val="single" w:sz="12" w:space="0" w:color="1E1545"/>
              <w:right w:val="nil"/>
            </w:tcBorders>
            <w:shd w:val="clear" w:color="auto" w:fill="auto"/>
            <w:noWrap/>
            <w:vAlign w:val="center"/>
            <w:hideMark/>
          </w:tcPr>
          <w:p w14:paraId="737619B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3.3%</w:t>
            </w:r>
          </w:p>
        </w:tc>
      </w:tr>
      <w:tr w:rsidR="00B649AC" w:rsidRPr="00B649AC" w14:paraId="5975CE9D"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66BF4FAF"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Resident other care fees</w:t>
            </w:r>
          </w:p>
        </w:tc>
        <w:tc>
          <w:tcPr>
            <w:tcW w:w="1204" w:type="dxa"/>
            <w:tcBorders>
              <w:top w:val="nil"/>
              <w:left w:val="nil"/>
              <w:bottom w:val="single" w:sz="12" w:space="0" w:color="1E1545"/>
              <w:right w:val="nil"/>
            </w:tcBorders>
            <w:shd w:val="clear" w:color="000000" w:fill="FFFFFF"/>
            <w:noWrap/>
            <w:vAlign w:val="center"/>
            <w:hideMark/>
          </w:tcPr>
          <w:p w14:paraId="5460E88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$118.37 </w:t>
            </w:r>
          </w:p>
        </w:tc>
        <w:tc>
          <w:tcPr>
            <w:tcW w:w="1205" w:type="dxa"/>
            <w:tcBorders>
              <w:top w:val="nil"/>
              <w:left w:val="nil"/>
              <w:bottom w:val="single" w:sz="12" w:space="0" w:color="1E1545"/>
              <w:right w:val="nil"/>
            </w:tcBorders>
            <w:shd w:val="clear" w:color="000000" w:fill="FFFFFF"/>
            <w:noWrap/>
            <w:vAlign w:val="center"/>
            <w:hideMark/>
          </w:tcPr>
          <w:p w14:paraId="24C4875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$113.71 </w:t>
            </w:r>
          </w:p>
        </w:tc>
        <w:tc>
          <w:tcPr>
            <w:tcW w:w="1205" w:type="dxa"/>
            <w:tcBorders>
              <w:top w:val="nil"/>
              <w:left w:val="nil"/>
              <w:bottom w:val="single" w:sz="12" w:space="0" w:color="1E1545"/>
              <w:right w:val="nil"/>
            </w:tcBorders>
            <w:shd w:val="clear" w:color="000000" w:fill="FFFFFF"/>
            <w:noWrap/>
            <w:vAlign w:val="center"/>
            <w:hideMark/>
          </w:tcPr>
          <w:p w14:paraId="2288CC5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($4.66)</w:t>
            </w:r>
          </w:p>
        </w:tc>
        <w:tc>
          <w:tcPr>
            <w:tcW w:w="1205" w:type="dxa"/>
            <w:tcBorders>
              <w:top w:val="nil"/>
              <w:left w:val="nil"/>
              <w:bottom w:val="single" w:sz="12" w:space="0" w:color="1E1545"/>
              <w:right w:val="nil"/>
            </w:tcBorders>
            <w:shd w:val="clear" w:color="000000" w:fill="FFFFFF"/>
            <w:noWrap/>
            <w:vAlign w:val="center"/>
            <w:hideMark/>
          </w:tcPr>
          <w:p w14:paraId="751477ED"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$143.05 </w:t>
            </w:r>
          </w:p>
        </w:tc>
        <w:tc>
          <w:tcPr>
            <w:tcW w:w="1205" w:type="dxa"/>
            <w:tcBorders>
              <w:top w:val="nil"/>
              <w:left w:val="nil"/>
              <w:bottom w:val="single" w:sz="12" w:space="0" w:color="1E1545"/>
              <w:right w:val="nil"/>
            </w:tcBorders>
            <w:shd w:val="clear" w:color="000000" w:fill="FFFFFF"/>
            <w:noWrap/>
            <w:vAlign w:val="center"/>
            <w:hideMark/>
          </w:tcPr>
          <w:p w14:paraId="2D49BA2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$29.35 </w:t>
            </w:r>
          </w:p>
        </w:tc>
        <w:tc>
          <w:tcPr>
            <w:tcW w:w="1205" w:type="dxa"/>
            <w:tcBorders>
              <w:top w:val="nil"/>
              <w:left w:val="nil"/>
              <w:bottom w:val="single" w:sz="12" w:space="0" w:color="1E1545"/>
              <w:right w:val="nil"/>
            </w:tcBorders>
            <w:shd w:val="clear" w:color="auto" w:fill="auto"/>
            <w:noWrap/>
            <w:vAlign w:val="center"/>
            <w:hideMark/>
          </w:tcPr>
          <w:p w14:paraId="007667B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0.6%</w:t>
            </w:r>
          </w:p>
        </w:tc>
      </w:tr>
      <w:tr w:rsidR="00B649AC" w:rsidRPr="00B649AC" w14:paraId="577862A8" w14:textId="77777777" w:rsidTr="00AC5916">
        <w:trPr>
          <w:trHeight w:val="330"/>
        </w:trPr>
        <w:tc>
          <w:tcPr>
            <w:tcW w:w="1843" w:type="dxa"/>
            <w:tcBorders>
              <w:top w:val="nil"/>
              <w:left w:val="nil"/>
              <w:bottom w:val="single" w:sz="12" w:space="0" w:color="1E1545"/>
              <w:right w:val="nil"/>
            </w:tcBorders>
            <w:shd w:val="clear" w:color="000000" w:fill="D8DADA"/>
            <w:vAlign w:val="center"/>
            <w:hideMark/>
          </w:tcPr>
          <w:p w14:paraId="178455E6"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Total care revenue</w:t>
            </w:r>
          </w:p>
        </w:tc>
        <w:tc>
          <w:tcPr>
            <w:tcW w:w="1204" w:type="dxa"/>
            <w:tcBorders>
              <w:top w:val="nil"/>
              <w:left w:val="nil"/>
              <w:bottom w:val="single" w:sz="12" w:space="0" w:color="1E1545"/>
              <w:right w:val="nil"/>
            </w:tcBorders>
            <w:shd w:val="clear" w:color="000000" w:fill="D8DADA"/>
            <w:noWrap/>
            <w:vAlign w:val="center"/>
            <w:hideMark/>
          </w:tcPr>
          <w:p w14:paraId="4AE016F8"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$13,919.24 </w:t>
            </w:r>
          </w:p>
        </w:tc>
        <w:tc>
          <w:tcPr>
            <w:tcW w:w="1205" w:type="dxa"/>
            <w:tcBorders>
              <w:top w:val="nil"/>
              <w:left w:val="nil"/>
              <w:bottom w:val="single" w:sz="12" w:space="0" w:color="1E1545"/>
              <w:right w:val="nil"/>
            </w:tcBorders>
            <w:shd w:val="clear" w:color="000000" w:fill="D8DADA"/>
            <w:noWrap/>
            <w:vAlign w:val="center"/>
            <w:hideMark/>
          </w:tcPr>
          <w:p w14:paraId="11DE0DB3"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$13,637.97 </w:t>
            </w:r>
          </w:p>
        </w:tc>
        <w:tc>
          <w:tcPr>
            <w:tcW w:w="1205" w:type="dxa"/>
            <w:tcBorders>
              <w:top w:val="nil"/>
              <w:left w:val="nil"/>
              <w:bottom w:val="single" w:sz="12" w:space="0" w:color="1E1545"/>
              <w:right w:val="nil"/>
            </w:tcBorders>
            <w:shd w:val="clear" w:color="000000" w:fill="D8DADA"/>
            <w:noWrap/>
            <w:vAlign w:val="center"/>
            <w:hideMark/>
          </w:tcPr>
          <w:p w14:paraId="0EC04B32"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($281.27)</w:t>
            </w:r>
          </w:p>
        </w:tc>
        <w:tc>
          <w:tcPr>
            <w:tcW w:w="1205" w:type="dxa"/>
            <w:tcBorders>
              <w:top w:val="nil"/>
              <w:left w:val="nil"/>
              <w:bottom w:val="single" w:sz="12" w:space="0" w:color="1E1545"/>
              <w:right w:val="nil"/>
            </w:tcBorders>
            <w:shd w:val="clear" w:color="000000" w:fill="D8DADA"/>
            <w:noWrap/>
            <w:vAlign w:val="center"/>
            <w:hideMark/>
          </w:tcPr>
          <w:p w14:paraId="0211755D"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$15,309.68 </w:t>
            </w:r>
          </w:p>
        </w:tc>
        <w:tc>
          <w:tcPr>
            <w:tcW w:w="1205" w:type="dxa"/>
            <w:tcBorders>
              <w:top w:val="nil"/>
              <w:left w:val="nil"/>
              <w:bottom w:val="single" w:sz="12" w:space="0" w:color="1E1545"/>
              <w:right w:val="nil"/>
            </w:tcBorders>
            <w:shd w:val="clear" w:color="000000" w:fill="D8DADA"/>
            <w:noWrap/>
            <w:vAlign w:val="center"/>
            <w:hideMark/>
          </w:tcPr>
          <w:p w14:paraId="72D02D1A"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$1,671.71 </w:t>
            </w:r>
          </w:p>
        </w:tc>
        <w:tc>
          <w:tcPr>
            <w:tcW w:w="1205" w:type="dxa"/>
            <w:tcBorders>
              <w:top w:val="nil"/>
              <w:left w:val="nil"/>
              <w:bottom w:val="single" w:sz="12" w:space="0" w:color="1E1545"/>
              <w:right w:val="nil"/>
            </w:tcBorders>
            <w:shd w:val="clear" w:color="000000" w:fill="D8DADA"/>
            <w:noWrap/>
            <w:vAlign w:val="center"/>
            <w:hideMark/>
          </w:tcPr>
          <w:p w14:paraId="375F20C1"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63.2%</w:t>
            </w:r>
          </w:p>
        </w:tc>
      </w:tr>
      <w:tr w:rsidR="00B649AC" w:rsidRPr="00B649AC" w14:paraId="015CAA1A" w14:textId="77777777" w:rsidTr="00AC5916">
        <w:trPr>
          <w:trHeight w:val="330"/>
        </w:trPr>
        <w:tc>
          <w:tcPr>
            <w:tcW w:w="1843" w:type="dxa"/>
            <w:tcBorders>
              <w:top w:val="nil"/>
              <w:left w:val="nil"/>
              <w:bottom w:val="single" w:sz="12" w:space="0" w:color="1E1545"/>
              <w:right w:val="nil"/>
            </w:tcBorders>
            <w:shd w:val="clear" w:color="000000" w:fill="D8DADA"/>
            <w:vAlign w:val="center"/>
            <w:hideMark/>
          </w:tcPr>
          <w:p w14:paraId="406D9901"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xml:space="preserve">Hotel </w:t>
            </w:r>
          </w:p>
        </w:tc>
        <w:tc>
          <w:tcPr>
            <w:tcW w:w="1204" w:type="dxa"/>
            <w:tcBorders>
              <w:top w:val="nil"/>
              <w:left w:val="nil"/>
              <w:bottom w:val="single" w:sz="12" w:space="0" w:color="1E1545"/>
              <w:right w:val="nil"/>
            </w:tcBorders>
            <w:shd w:val="clear" w:color="000000" w:fill="D8DADA"/>
            <w:vAlign w:val="center"/>
            <w:hideMark/>
          </w:tcPr>
          <w:p w14:paraId="47938A43"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022C1073"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6F7FB2AA"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10F60804"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499E4D5B"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590A75F9"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w:t>
            </w:r>
          </w:p>
        </w:tc>
      </w:tr>
      <w:tr w:rsidR="00B649AC" w:rsidRPr="00B649AC" w14:paraId="7A963F37"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5AF65659"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Resident basic daily fee</w:t>
            </w:r>
          </w:p>
        </w:tc>
        <w:tc>
          <w:tcPr>
            <w:tcW w:w="1204" w:type="dxa"/>
            <w:tcBorders>
              <w:top w:val="nil"/>
              <w:left w:val="nil"/>
              <w:bottom w:val="single" w:sz="12" w:space="0" w:color="1E1545"/>
              <w:right w:val="nil"/>
            </w:tcBorders>
            <w:shd w:val="clear" w:color="000000" w:fill="FFFFFF"/>
            <w:noWrap/>
            <w:vAlign w:val="center"/>
            <w:hideMark/>
          </w:tcPr>
          <w:p w14:paraId="375B894C"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$3,598.91 </w:t>
            </w:r>
          </w:p>
        </w:tc>
        <w:tc>
          <w:tcPr>
            <w:tcW w:w="1205" w:type="dxa"/>
            <w:tcBorders>
              <w:top w:val="nil"/>
              <w:left w:val="nil"/>
              <w:bottom w:val="single" w:sz="12" w:space="0" w:color="1E1545"/>
              <w:right w:val="nil"/>
            </w:tcBorders>
            <w:shd w:val="clear" w:color="000000" w:fill="FFFFFF"/>
            <w:noWrap/>
            <w:vAlign w:val="center"/>
            <w:hideMark/>
          </w:tcPr>
          <w:p w14:paraId="4DAEFC4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$3,651.14 </w:t>
            </w:r>
          </w:p>
        </w:tc>
        <w:tc>
          <w:tcPr>
            <w:tcW w:w="1205" w:type="dxa"/>
            <w:tcBorders>
              <w:top w:val="nil"/>
              <w:left w:val="nil"/>
              <w:bottom w:val="single" w:sz="12" w:space="0" w:color="1E1545"/>
              <w:right w:val="nil"/>
            </w:tcBorders>
            <w:shd w:val="clear" w:color="000000" w:fill="FFFFFF"/>
            <w:noWrap/>
            <w:vAlign w:val="center"/>
            <w:hideMark/>
          </w:tcPr>
          <w:p w14:paraId="4D12120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$52.23 </w:t>
            </w:r>
          </w:p>
        </w:tc>
        <w:tc>
          <w:tcPr>
            <w:tcW w:w="1205" w:type="dxa"/>
            <w:tcBorders>
              <w:top w:val="nil"/>
              <w:left w:val="nil"/>
              <w:bottom w:val="single" w:sz="12" w:space="0" w:color="1E1545"/>
              <w:right w:val="nil"/>
            </w:tcBorders>
            <w:shd w:val="clear" w:color="000000" w:fill="FFFFFF"/>
            <w:noWrap/>
            <w:vAlign w:val="center"/>
            <w:hideMark/>
          </w:tcPr>
          <w:p w14:paraId="494B752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$3,853.89 </w:t>
            </w:r>
          </w:p>
        </w:tc>
        <w:tc>
          <w:tcPr>
            <w:tcW w:w="1205" w:type="dxa"/>
            <w:tcBorders>
              <w:top w:val="nil"/>
              <w:left w:val="nil"/>
              <w:bottom w:val="single" w:sz="12" w:space="0" w:color="1E1545"/>
              <w:right w:val="nil"/>
            </w:tcBorders>
            <w:shd w:val="clear" w:color="000000" w:fill="FFFFFF"/>
            <w:noWrap/>
            <w:vAlign w:val="center"/>
            <w:hideMark/>
          </w:tcPr>
          <w:p w14:paraId="6ED96F3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$202.75 </w:t>
            </w:r>
          </w:p>
        </w:tc>
        <w:tc>
          <w:tcPr>
            <w:tcW w:w="1205" w:type="dxa"/>
            <w:tcBorders>
              <w:top w:val="nil"/>
              <w:left w:val="nil"/>
              <w:bottom w:val="single" w:sz="12" w:space="0" w:color="1E1545"/>
              <w:right w:val="nil"/>
            </w:tcBorders>
            <w:shd w:val="clear" w:color="auto" w:fill="auto"/>
            <w:noWrap/>
            <w:vAlign w:val="center"/>
            <w:hideMark/>
          </w:tcPr>
          <w:p w14:paraId="268C975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15.9%</w:t>
            </w:r>
          </w:p>
        </w:tc>
      </w:tr>
      <w:tr w:rsidR="00B649AC" w:rsidRPr="00B649AC" w14:paraId="71FD68B7"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710408AE"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Basic daily fee supplement</w:t>
            </w:r>
          </w:p>
        </w:tc>
        <w:tc>
          <w:tcPr>
            <w:tcW w:w="1204" w:type="dxa"/>
            <w:tcBorders>
              <w:top w:val="nil"/>
              <w:left w:val="nil"/>
              <w:bottom w:val="single" w:sz="12" w:space="0" w:color="1E1545"/>
              <w:right w:val="nil"/>
            </w:tcBorders>
            <w:shd w:val="clear" w:color="000000" w:fill="FFFFFF"/>
            <w:noWrap/>
            <w:vAlign w:val="center"/>
            <w:hideMark/>
          </w:tcPr>
          <w:p w14:paraId="42CDE40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$0.00 </w:t>
            </w:r>
          </w:p>
        </w:tc>
        <w:tc>
          <w:tcPr>
            <w:tcW w:w="1205" w:type="dxa"/>
            <w:tcBorders>
              <w:top w:val="nil"/>
              <w:left w:val="nil"/>
              <w:bottom w:val="single" w:sz="12" w:space="0" w:color="1E1545"/>
              <w:right w:val="nil"/>
            </w:tcBorders>
            <w:shd w:val="clear" w:color="000000" w:fill="FFFFFF"/>
            <w:noWrap/>
            <w:vAlign w:val="center"/>
            <w:hideMark/>
          </w:tcPr>
          <w:p w14:paraId="6FB20B9A"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$660.99 </w:t>
            </w:r>
          </w:p>
        </w:tc>
        <w:tc>
          <w:tcPr>
            <w:tcW w:w="1205" w:type="dxa"/>
            <w:tcBorders>
              <w:top w:val="nil"/>
              <w:left w:val="nil"/>
              <w:bottom w:val="single" w:sz="12" w:space="0" w:color="1E1545"/>
              <w:right w:val="nil"/>
            </w:tcBorders>
            <w:shd w:val="clear" w:color="000000" w:fill="FFFFFF"/>
            <w:noWrap/>
            <w:vAlign w:val="center"/>
            <w:hideMark/>
          </w:tcPr>
          <w:p w14:paraId="1C74071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$660.99 </w:t>
            </w:r>
          </w:p>
        </w:tc>
        <w:tc>
          <w:tcPr>
            <w:tcW w:w="1205" w:type="dxa"/>
            <w:tcBorders>
              <w:top w:val="nil"/>
              <w:left w:val="nil"/>
              <w:bottom w:val="single" w:sz="12" w:space="0" w:color="1E1545"/>
              <w:right w:val="nil"/>
            </w:tcBorders>
            <w:shd w:val="clear" w:color="000000" w:fill="FFFFFF"/>
            <w:noWrap/>
            <w:vAlign w:val="center"/>
            <w:hideMark/>
          </w:tcPr>
          <w:p w14:paraId="2A409F7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$165.28 </w:t>
            </w:r>
          </w:p>
        </w:tc>
        <w:tc>
          <w:tcPr>
            <w:tcW w:w="1205" w:type="dxa"/>
            <w:tcBorders>
              <w:top w:val="nil"/>
              <w:left w:val="nil"/>
              <w:bottom w:val="single" w:sz="12" w:space="0" w:color="1E1545"/>
              <w:right w:val="nil"/>
            </w:tcBorders>
            <w:shd w:val="clear" w:color="000000" w:fill="FFFFFF"/>
            <w:noWrap/>
            <w:vAlign w:val="center"/>
            <w:hideMark/>
          </w:tcPr>
          <w:p w14:paraId="0C31CB0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($495.71)</w:t>
            </w:r>
          </w:p>
        </w:tc>
        <w:tc>
          <w:tcPr>
            <w:tcW w:w="1205" w:type="dxa"/>
            <w:tcBorders>
              <w:top w:val="nil"/>
              <w:left w:val="nil"/>
              <w:bottom w:val="single" w:sz="12" w:space="0" w:color="1E1545"/>
              <w:right w:val="nil"/>
            </w:tcBorders>
            <w:shd w:val="clear" w:color="auto" w:fill="auto"/>
            <w:noWrap/>
            <w:vAlign w:val="center"/>
            <w:hideMark/>
          </w:tcPr>
          <w:p w14:paraId="6D47AE7A"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0.7%</w:t>
            </w:r>
          </w:p>
        </w:tc>
      </w:tr>
      <w:tr w:rsidR="00B649AC" w:rsidRPr="00B649AC" w14:paraId="04963FE4"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21A731FD"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Extra service fee</w:t>
            </w:r>
          </w:p>
        </w:tc>
        <w:tc>
          <w:tcPr>
            <w:tcW w:w="1204" w:type="dxa"/>
            <w:tcBorders>
              <w:top w:val="nil"/>
              <w:left w:val="nil"/>
              <w:bottom w:val="single" w:sz="12" w:space="0" w:color="1E1545"/>
              <w:right w:val="nil"/>
            </w:tcBorders>
            <w:shd w:val="clear" w:color="000000" w:fill="FFFFFF"/>
            <w:noWrap/>
            <w:vAlign w:val="center"/>
            <w:hideMark/>
          </w:tcPr>
          <w:p w14:paraId="263573F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$123.35 </w:t>
            </w:r>
          </w:p>
        </w:tc>
        <w:tc>
          <w:tcPr>
            <w:tcW w:w="1205" w:type="dxa"/>
            <w:tcBorders>
              <w:top w:val="nil"/>
              <w:left w:val="nil"/>
              <w:bottom w:val="single" w:sz="12" w:space="0" w:color="1E1545"/>
              <w:right w:val="nil"/>
            </w:tcBorders>
            <w:shd w:val="clear" w:color="000000" w:fill="FFFFFF"/>
            <w:noWrap/>
            <w:vAlign w:val="center"/>
            <w:hideMark/>
          </w:tcPr>
          <w:p w14:paraId="6BAF191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$125.59 </w:t>
            </w:r>
          </w:p>
        </w:tc>
        <w:tc>
          <w:tcPr>
            <w:tcW w:w="1205" w:type="dxa"/>
            <w:tcBorders>
              <w:top w:val="nil"/>
              <w:left w:val="nil"/>
              <w:bottom w:val="single" w:sz="12" w:space="0" w:color="1E1545"/>
              <w:right w:val="nil"/>
            </w:tcBorders>
            <w:shd w:val="clear" w:color="000000" w:fill="FFFFFF"/>
            <w:noWrap/>
            <w:vAlign w:val="center"/>
            <w:hideMark/>
          </w:tcPr>
          <w:p w14:paraId="37621D9C"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$2.24 </w:t>
            </w:r>
          </w:p>
        </w:tc>
        <w:tc>
          <w:tcPr>
            <w:tcW w:w="1205" w:type="dxa"/>
            <w:tcBorders>
              <w:top w:val="nil"/>
              <w:left w:val="nil"/>
              <w:bottom w:val="single" w:sz="12" w:space="0" w:color="1E1545"/>
              <w:right w:val="nil"/>
            </w:tcBorders>
            <w:shd w:val="clear" w:color="000000" w:fill="FFFFFF"/>
            <w:noWrap/>
            <w:vAlign w:val="center"/>
            <w:hideMark/>
          </w:tcPr>
          <w:p w14:paraId="4A16C19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$124.71 </w:t>
            </w:r>
          </w:p>
        </w:tc>
        <w:tc>
          <w:tcPr>
            <w:tcW w:w="1205" w:type="dxa"/>
            <w:tcBorders>
              <w:top w:val="nil"/>
              <w:left w:val="nil"/>
              <w:bottom w:val="single" w:sz="12" w:space="0" w:color="1E1545"/>
              <w:right w:val="nil"/>
            </w:tcBorders>
            <w:shd w:val="clear" w:color="000000" w:fill="FFFFFF"/>
            <w:noWrap/>
            <w:vAlign w:val="center"/>
            <w:hideMark/>
          </w:tcPr>
          <w:p w14:paraId="660C8D9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($0.88)</w:t>
            </w:r>
          </w:p>
        </w:tc>
        <w:tc>
          <w:tcPr>
            <w:tcW w:w="1205" w:type="dxa"/>
            <w:tcBorders>
              <w:top w:val="nil"/>
              <w:left w:val="nil"/>
              <w:bottom w:val="single" w:sz="12" w:space="0" w:color="1E1545"/>
              <w:right w:val="nil"/>
            </w:tcBorders>
            <w:shd w:val="clear" w:color="auto" w:fill="auto"/>
            <w:noWrap/>
            <w:vAlign w:val="center"/>
            <w:hideMark/>
          </w:tcPr>
          <w:p w14:paraId="0AA2049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0.5%</w:t>
            </w:r>
          </w:p>
        </w:tc>
      </w:tr>
      <w:tr w:rsidR="00B649AC" w:rsidRPr="00B649AC" w14:paraId="3445B368"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131DC20E"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Additional services fees</w:t>
            </w:r>
          </w:p>
        </w:tc>
        <w:tc>
          <w:tcPr>
            <w:tcW w:w="1204" w:type="dxa"/>
            <w:tcBorders>
              <w:top w:val="nil"/>
              <w:left w:val="nil"/>
              <w:bottom w:val="single" w:sz="12" w:space="0" w:color="1E1545"/>
              <w:right w:val="nil"/>
            </w:tcBorders>
            <w:shd w:val="clear" w:color="000000" w:fill="FFFFFF"/>
            <w:noWrap/>
            <w:vAlign w:val="center"/>
            <w:hideMark/>
          </w:tcPr>
          <w:p w14:paraId="77AA5DB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$161.76 </w:t>
            </w:r>
          </w:p>
        </w:tc>
        <w:tc>
          <w:tcPr>
            <w:tcW w:w="1205" w:type="dxa"/>
            <w:tcBorders>
              <w:top w:val="nil"/>
              <w:left w:val="nil"/>
              <w:bottom w:val="single" w:sz="12" w:space="0" w:color="1E1545"/>
              <w:right w:val="nil"/>
            </w:tcBorders>
            <w:shd w:val="clear" w:color="000000" w:fill="FFFFFF"/>
            <w:noWrap/>
            <w:vAlign w:val="center"/>
            <w:hideMark/>
          </w:tcPr>
          <w:p w14:paraId="5DDA0C0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$175.97 </w:t>
            </w:r>
          </w:p>
        </w:tc>
        <w:tc>
          <w:tcPr>
            <w:tcW w:w="1205" w:type="dxa"/>
            <w:tcBorders>
              <w:top w:val="nil"/>
              <w:left w:val="nil"/>
              <w:bottom w:val="single" w:sz="12" w:space="0" w:color="1E1545"/>
              <w:right w:val="nil"/>
            </w:tcBorders>
            <w:shd w:val="clear" w:color="000000" w:fill="FFFFFF"/>
            <w:noWrap/>
            <w:vAlign w:val="center"/>
            <w:hideMark/>
          </w:tcPr>
          <w:p w14:paraId="110C143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$14.21 </w:t>
            </w:r>
          </w:p>
        </w:tc>
        <w:tc>
          <w:tcPr>
            <w:tcW w:w="1205" w:type="dxa"/>
            <w:tcBorders>
              <w:top w:val="nil"/>
              <w:left w:val="nil"/>
              <w:bottom w:val="single" w:sz="12" w:space="0" w:color="1E1545"/>
              <w:right w:val="nil"/>
            </w:tcBorders>
            <w:shd w:val="clear" w:color="000000" w:fill="FFFFFF"/>
            <w:noWrap/>
            <w:vAlign w:val="center"/>
            <w:hideMark/>
          </w:tcPr>
          <w:p w14:paraId="1770CAF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$200.90 </w:t>
            </w:r>
          </w:p>
        </w:tc>
        <w:tc>
          <w:tcPr>
            <w:tcW w:w="1205" w:type="dxa"/>
            <w:tcBorders>
              <w:top w:val="nil"/>
              <w:left w:val="nil"/>
              <w:bottom w:val="single" w:sz="12" w:space="0" w:color="1E1545"/>
              <w:right w:val="nil"/>
            </w:tcBorders>
            <w:shd w:val="clear" w:color="000000" w:fill="FFFFFF"/>
            <w:noWrap/>
            <w:vAlign w:val="center"/>
            <w:hideMark/>
          </w:tcPr>
          <w:p w14:paraId="5D26392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$24.93 </w:t>
            </w:r>
          </w:p>
        </w:tc>
        <w:tc>
          <w:tcPr>
            <w:tcW w:w="1205" w:type="dxa"/>
            <w:tcBorders>
              <w:top w:val="nil"/>
              <w:left w:val="nil"/>
              <w:bottom w:val="single" w:sz="12" w:space="0" w:color="1E1545"/>
              <w:right w:val="nil"/>
            </w:tcBorders>
            <w:shd w:val="clear" w:color="auto" w:fill="auto"/>
            <w:noWrap/>
            <w:vAlign w:val="center"/>
            <w:hideMark/>
          </w:tcPr>
          <w:p w14:paraId="1E6C1A9D"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0.8%</w:t>
            </w:r>
          </w:p>
        </w:tc>
      </w:tr>
      <w:tr w:rsidR="00B649AC" w:rsidRPr="00B649AC" w14:paraId="77BEA31D" w14:textId="77777777" w:rsidTr="00AC5916">
        <w:trPr>
          <w:trHeight w:val="330"/>
        </w:trPr>
        <w:tc>
          <w:tcPr>
            <w:tcW w:w="1843" w:type="dxa"/>
            <w:tcBorders>
              <w:top w:val="nil"/>
              <w:left w:val="nil"/>
              <w:bottom w:val="single" w:sz="12" w:space="0" w:color="1E1545"/>
              <w:right w:val="nil"/>
            </w:tcBorders>
            <w:shd w:val="clear" w:color="000000" w:fill="D8DADA"/>
            <w:vAlign w:val="center"/>
            <w:hideMark/>
          </w:tcPr>
          <w:p w14:paraId="7100635C"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Total hotel revenue</w:t>
            </w:r>
          </w:p>
        </w:tc>
        <w:tc>
          <w:tcPr>
            <w:tcW w:w="1204" w:type="dxa"/>
            <w:tcBorders>
              <w:top w:val="nil"/>
              <w:left w:val="nil"/>
              <w:bottom w:val="single" w:sz="12" w:space="0" w:color="1E1545"/>
              <w:right w:val="nil"/>
            </w:tcBorders>
            <w:shd w:val="clear" w:color="000000" w:fill="D8DADA"/>
            <w:noWrap/>
            <w:vAlign w:val="center"/>
            <w:hideMark/>
          </w:tcPr>
          <w:p w14:paraId="36F0C4AC"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$3,884.02 </w:t>
            </w:r>
          </w:p>
        </w:tc>
        <w:tc>
          <w:tcPr>
            <w:tcW w:w="1205" w:type="dxa"/>
            <w:tcBorders>
              <w:top w:val="nil"/>
              <w:left w:val="nil"/>
              <w:bottom w:val="single" w:sz="12" w:space="0" w:color="1E1545"/>
              <w:right w:val="nil"/>
            </w:tcBorders>
            <w:shd w:val="clear" w:color="000000" w:fill="D8DADA"/>
            <w:noWrap/>
            <w:vAlign w:val="center"/>
            <w:hideMark/>
          </w:tcPr>
          <w:p w14:paraId="4DB5C4E3"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$4,613.69 </w:t>
            </w:r>
          </w:p>
        </w:tc>
        <w:tc>
          <w:tcPr>
            <w:tcW w:w="1205" w:type="dxa"/>
            <w:tcBorders>
              <w:top w:val="nil"/>
              <w:left w:val="nil"/>
              <w:bottom w:val="single" w:sz="12" w:space="0" w:color="1E1545"/>
              <w:right w:val="nil"/>
            </w:tcBorders>
            <w:shd w:val="clear" w:color="000000" w:fill="D8DADA"/>
            <w:noWrap/>
            <w:vAlign w:val="center"/>
            <w:hideMark/>
          </w:tcPr>
          <w:p w14:paraId="514F2077"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$729.68 </w:t>
            </w:r>
          </w:p>
        </w:tc>
        <w:tc>
          <w:tcPr>
            <w:tcW w:w="1205" w:type="dxa"/>
            <w:tcBorders>
              <w:top w:val="nil"/>
              <w:left w:val="nil"/>
              <w:bottom w:val="single" w:sz="12" w:space="0" w:color="1E1545"/>
              <w:right w:val="nil"/>
            </w:tcBorders>
            <w:shd w:val="clear" w:color="000000" w:fill="D8DADA"/>
            <w:noWrap/>
            <w:vAlign w:val="center"/>
            <w:hideMark/>
          </w:tcPr>
          <w:p w14:paraId="639D5390"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$4,344.78 </w:t>
            </w:r>
          </w:p>
        </w:tc>
        <w:tc>
          <w:tcPr>
            <w:tcW w:w="1205" w:type="dxa"/>
            <w:tcBorders>
              <w:top w:val="nil"/>
              <w:left w:val="nil"/>
              <w:bottom w:val="single" w:sz="12" w:space="0" w:color="1E1545"/>
              <w:right w:val="nil"/>
            </w:tcBorders>
            <w:shd w:val="clear" w:color="000000" w:fill="D8DADA"/>
            <w:noWrap/>
            <w:vAlign w:val="center"/>
            <w:hideMark/>
          </w:tcPr>
          <w:p w14:paraId="259BAF74"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($268.91)</w:t>
            </w:r>
          </w:p>
        </w:tc>
        <w:tc>
          <w:tcPr>
            <w:tcW w:w="1205" w:type="dxa"/>
            <w:tcBorders>
              <w:top w:val="nil"/>
              <w:left w:val="nil"/>
              <w:bottom w:val="single" w:sz="12" w:space="0" w:color="1E1545"/>
              <w:right w:val="nil"/>
            </w:tcBorders>
            <w:shd w:val="clear" w:color="000000" w:fill="D8DADA"/>
            <w:noWrap/>
            <w:vAlign w:val="center"/>
            <w:hideMark/>
          </w:tcPr>
          <w:p w14:paraId="60A6BD72"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17.9%</w:t>
            </w:r>
          </w:p>
        </w:tc>
      </w:tr>
      <w:tr w:rsidR="00B649AC" w:rsidRPr="00B649AC" w14:paraId="296A0EA5" w14:textId="77777777" w:rsidTr="00AC5916">
        <w:trPr>
          <w:trHeight w:val="540"/>
        </w:trPr>
        <w:tc>
          <w:tcPr>
            <w:tcW w:w="1843" w:type="dxa"/>
            <w:tcBorders>
              <w:top w:val="nil"/>
              <w:left w:val="nil"/>
              <w:bottom w:val="single" w:sz="12" w:space="0" w:color="1E1545"/>
              <w:right w:val="nil"/>
            </w:tcBorders>
            <w:shd w:val="clear" w:color="000000" w:fill="D8DADA"/>
            <w:vAlign w:val="center"/>
            <w:hideMark/>
          </w:tcPr>
          <w:p w14:paraId="67849488"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Accommodation and finance related</w:t>
            </w:r>
          </w:p>
        </w:tc>
        <w:tc>
          <w:tcPr>
            <w:tcW w:w="1204" w:type="dxa"/>
            <w:tcBorders>
              <w:top w:val="nil"/>
              <w:left w:val="nil"/>
              <w:bottom w:val="single" w:sz="12" w:space="0" w:color="1E1545"/>
              <w:right w:val="nil"/>
            </w:tcBorders>
            <w:shd w:val="clear" w:color="000000" w:fill="D8DADA"/>
            <w:vAlign w:val="center"/>
            <w:hideMark/>
          </w:tcPr>
          <w:p w14:paraId="64430F21"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7BA84A23"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0231292A"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3304DAE5"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vAlign w:val="center"/>
            <w:hideMark/>
          </w:tcPr>
          <w:p w14:paraId="5C4E443B"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419C6F63"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w:t>
            </w:r>
          </w:p>
        </w:tc>
      </w:tr>
      <w:tr w:rsidR="00B649AC" w:rsidRPr="00B649AC" w14:paraId="64547C50"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64C09613"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Accommodation supplement</w:t>
            </w:r>
          </w:p>
        </w:tc>
        <w:tc>
          <w:tcPr>
            <w:tcW w:w="1204" w:type="dxa"/>
            <w:tcBorders>
              <w:top w:val="nil"/>
              <w:left w:val="nil"/>
              <w:bottom w:val="single" w:sz="12" w:space="0" w:color="1E1545"/>
              <w:right w:val="nil"/>
            </w:tcBorders>
            <w:shd w:val="clear" w:color="000000" w:fill="FFFFFF"/>
            <w:noWrap/>
            <w:vAlign w:val="center"/>
            <w:hideMark/>
          </w:tcPr>
          <w:p w14:paraId="4B4A315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$1,337.39 </w:t>
            </w:r>
          </w:p>
        </w:tc>
        <w:tc>
          <w:tcPr>
            <w:tcW w:w="1205" w:type="dxa"/>
            <w:tcBorders>
              <w:top w:val="nil"/>
              <w:left w:val="nil"/>
              <w:bottom w:val="single" w:sz="12" w:space="0" w:color="1E1545"/>
              <w:right w:val="nil"/>
            </w:tcBorders>
            <w:shd w:val="clear" w:color="000000" w:fill="FFFFFF"/>
            <w:noWrap/>
            <w:vAlign w:val="center"/>
            <w:hideMark/>
          </w:tcPr>
          <w:p w14:paraId="7853B9A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$1,323.19 </w:t>
            </w:r>
          </w:p>
        </w:tc>
        <w:tc>
          <w:tcPr>
            <w:tcW w:w="1205" w:type="dxa"/>
            <w:tcBorders>
              <w:top w:val="nil"/>
              <w:left w:val="nil"/>
              <w:bottom w:val="single" w:sz="12" w:space="0" w:color="1E1545"/>
              <w:right w:val="nil"/>
            </w:tcBorders>
            <w:shd w:val="clear" w:color="000000" w:fill="FFFFFF"/>
            <w:noWrap/>
            <w:vAlign w:val="center"/>
            <w:hideMark/>
          </w:tcPr>
          <w:p w14:paraId="3F06672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($14.20)</w:t>
            </w:r>
          </w:p>
        </w:tc>
        <w:tc>
          <w:tcPr>
            <w:tcW w:w="1205" w:type="dxa"/>
            <w:tcBorders>
              <w:top w:val="nil"/>
              <w:left w:val="nil"/>
              <w:bottom w:val="single" w:sz="12" w:space="0" w:color="1E1545"/>
              <w:right w:val="nil"/>
            </w:tcBorders>
            <w:shd w:val="clear" w:color="000000" w:fill="FFFFFF"/>
            <w:noWrap/>
            <w:vAlign w:val="center"/>
            <w:hideMark/>
          </w:tcPr>
          <w:p w14:paraId="73B1210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$1,394.32 </w:t>
            </w:r>
          </w:p>
        </w:tc>
        <w:tc>
          <w:tcPr>
            <w:tcW w:w="1205" w:type="dxa"/>
            <w:tcBorders>
              <w:top w:val="nil"/>
              <w:left w:val="nil"/>
              <w:bottom w:val="single" w:sz="12" w:space="0" w:color="1E1545"/>
              <w:right w:val="nil"/>
            </w:tcBorders>
            <w:shd w:val="clear" w:color="000000" w:fill="FFFFFF"/>
            <w:noWrap/>
            <w:vAlign w:val="center"/>
            <w:hideMark/>
          </w:tcPr>
          <w:p w14:paraId="6D4C26A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$71.13 </w:t>
            </w:r>
          </w:p>
        </w:tc>
        <w:tc>
          <w:tcPr>
            <w:tcW w:w="1205" w:type="dxa"/>
            <w:tcBorders>
              <w:top w:val="nil"/>
              <w:left w:val="nil"/>
              <w:bottom w:val="single" w:sz="12" w:space="0" w:color="1E1545"/>
              <w:right w:val="nil"/>
            </w:tcBorders>
            <w:shd w:val="clear" w:color="auto" w:fill="auto"/>
            <w:noWrap/>
            <w:vAlign w:val="center"/>
            <w:hideMark/>
          </w:tcPr>
          <w:p w14:paraId="1D731E0C"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5.8%</w:t>
            </w:r>
          </w:p>
        </w:tc>
      </w:tr>
      <w:tr w:rsidR="00B649AC" w:rsidRPr="00B649AC" w14:paraId="77DB7F23" w14:textId="77777777" w:rsidTr="00AC5916">
        <w:trPr>
          <w:trHeight w:val="520"/>
        </w:trPr>
        <w:tc>
          <w:tcPr>
            <w:tcW w:w="1843" w:type="dxa"/>
            <w:tcBorders>
              <w:top w:val="nil"/>
              <w:left w:val="nil"/>
              <w:bottom w:val="single" w:sz="12" w:space="0" w:color="1E1545"/>
              <w:right w:val="nil"/>
            </w:tcBorders>
            <w:shd w:val="clear" w:color="000000" w:fill="FFFFFF"/>
            <w:vAlign w:val="center"/>
            <w:hideMark/>
          </w:tcPr>
          <w:p w14:paraId="1831ED9E"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Accommodation payments from residents</w:t>
            </w:r>
          </w:p>
        </w:tc>
        <w:tc>
          <w:tcPr>
            <w:tcW w:w="1204" w:type="dxa"/>
            <w:tcBorders>
              <w:top w:val="nil"/>
              <w:left w:val="nil"/>
              <w:bottom w:val="single" w:sz="12" w:space="0" w:color="1E1545"/>
              <w:right w:val="nil"/>
            </w:tcBorders>
            <w:shd w:val="clear" w:color="000000" w:fill="FFFFFF"/>
            <w:noWrap/>
            <w:vAlign w:val="center"/>
            <w:hideMark/>
          </w:tcPr>
          <w:p w14:paraId="4E75971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$828.43 </w:t>
            </w:r>
          </w:p>
        </w:tc>
        <w:tc>
          <w:tcPr>
            <w:tcW w:w="1205" w:type="dxa"/>
            <w:tcBorders>
              <w:top w:val="nil"/>
              <w:left w:val="nil"/>
              <w:bottom w:val="single" w:sz="12" w:space="0" w:color="1E1545"/>
              <w:right w:val="nil"/>
            </w:tcBorders>
            <w:shd w:val="clear" w:color="000000" w:fill="FFFFFF"/>
            <w:noWrap/>
            <w:vAlign w:val="center"/>
            <w:hideMark/>
          </w:tcPr>
          <w:p w14:paraId="1032659D"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$833.48 </w:t>
            </w:r>
          </w:p>
        </w:tc>
        <w:tc>
          <w:tcPr>
            <w:tcW w:w="1205" w:type="dxa"/>
            <w:tcBorders>
              <w:top w:val="nil"/>
              <w:left w:val="nil"/>
              <w:bottom w:val="single" w:sz="12" w:space="0" w:color="1E1545"/>
              <w:right w:val="nil"/>
            </w:tcBorders>
            <w:shd w:val="clear" w:color="000000" w:fill="FFFFFF"/>
            <w:noWrap/>
            <w:vAlign w:val="center"/>
            <w:hideMark/>
          </w:tcPr>
          <w:p w14:paraId="7870EF1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$5.05 </w:t>
            </w:r>
          </w:p>
        </w:tc>
        <w:tc>
          <w:tcPr>
            <w:tcW w:w="1205" w:type="dxa"/>
            <w:tcBorders>
              <w:top w:val="nil"/>
              <w:left w:val="nil"/>
              <w:bottom w:val="single" w:sz="12" w:space="0" w:color="1E1545"/>
              <w:right w:val="nil"/>
            </w:tcBorders>
            <w:shd w:val="clear" w:color="000000" w:fill="FFFFFF"/>
            <w:noWrap/>
            <w:vAlign w:val="center"/>
            <w:hideMark/>
          </w:tcPr>
          <w:p w14:paraId="1F91CC0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$1,019.49 </w:t>
            </w:r>
          </w:p>
        </w:tc>
        <w:tc>
          <w:tcPr>
            <w:tcW w:w="1205" w:type="dxa"/>
            <w:tcBorders>
              <w:top w:val="nil"/>
              <w:left w:val="nil"/>
              <w:bottom w:val="single" w:sz="12" w:space="0" w:color="1E1545"/>
              <w:right w:val="nil"/>
            </w:tcBorders>
            <w:shd w:val="clear" w:color="000000" w:fill="FFFFFF"/>
            <w:noWrap/>
            <w:vAlign w:val="center"/>
            <w:hideMark/>
          </w:tcPr>
          <w:p w14:paraId="374E08A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$186.01 </w:t>
            </w:r>
          </w:p>
        </w:tc>
        <w:tc>
          <w:tcPr>
            <w:tcW w:w="1205" w:type="dxa"/>
            <w:tcBorders>
              <w:top w:val="nil"/>
              <w:left w:val="nil"/>
              <w:bottom w:val="single" w:sz="12" w:space="0" w:color="1E1545"/>
              <w:right w:val="nil"/>
            </w:tcBorders>
            <w:shd w:val="clear" w:color="auto" w:fill="auto"/>
            <w:noWrap/>
            <w:vAlign w:val="center"/>
            <w:hideMark/>
          </w:tcPr>
          <w:p w14:paraId="47ADF6A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4.2%</w:t>
            </w:r>
          </w:p>
        </w:tc>
      </w:tr>
      <w:tr w:rsidR="00B649AC" w:rsidRPr="00B649AC" w14:paraId="11FD7CCF"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3AA95D33"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Capital Grants</w:t>
            </w:r>
          </w:p>
        </w:tc>
        <w:tc>
          <w:tcPr>
            <w:tcW w:w="1204" w:type="dxa"/>
            <w:tcBorders>
              <w:top w:val="nil"/>
              <w:left w:val="nil"/>
              <w:bottom w:val="single" w:sz="12" w:space="0" w:color="1E1545"/>
              <w:right w:val="nil"/>
            </w:tcBorders>
            <w:shd w:val="clear" w:color="000000" w:fill="FFFFFF"/>
            <w:noWrap/>
            <w:vAlign w:val="center"/>
            <w:hideMark/>
          </w:tcPr>
          <w:p w14:paraId="0E692E3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$75.67 </w:t>
            </w:r>
          </w:p>
        </w:tc>
        <w:tc>
          <w:tcPr>
            <w:tcW w:w="1205" w:type="dxa"/>
            <w:tcBorders>
              <w:top w:val="nil"/>
              <w:left w:val="nil"/>
              <w:bottom w:val="single" w:sz="12" w:space="0" w:color="1E1545"/>
              <w:right w:val="nil"/>
            </w:tcBorders>
            <w:shd w:val="clear" w:color="000000" w:fill="FFFFFF"/>
            <w:noWrap/>
            <w:vAlign w:val="center"/>
            <w:hideMark/>
          </w:tcPr>
          <w:p w14:paraId="741DDE4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$131.70 </w:t>
            </w:r>
          </w:p>
        </w:tc>
        <w:tc>
          <w:tcPr>
            <w:tcW w:w="1205" w:type="dxa"/>
            <w:tcBorders>
              <w:top w:val="nil"/>
              <w:left w:val="nil"/>
              <w:bottom w:val="single" w:sz="12" w:space="0" w:color="1E1545"/>
              <w:right w:val="nil"/>
            </w:tcBorders>
            <w:shd w:val="clear" w:color="000000" w:fill="FFFFFF"/>
            <w:noWrap/>
            <w:vAlign w:val="center"/>
            <w:hideMark/>
          </w:tcPr>
          <w:p w14:paraId="38E5006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$56.04 </w:t>
            </w:r>
          </w:p>
        </w:tc>
        <w:tc>
          <w:tcPr>
            <w:tcW w:w="1205" w:type="dxa"/>
            <w:tcBorders>
              <w:top w:val="nil"/>
              <w:left w:val="nil"/>
              <w:bottom w:val="single" w:sz="12" w:space="0" w:color="1E1545"/>
              <w:right w:val="nil"/>
            </w:tcBorders>
            <w:shd w:val="clear" w:color="000000" w:fill="FFFFFF"/>
            <w:noWrap/>
            <w:vAlign w:val="center"/>
            <w:hideMark/>
          </w:tcPr>
          <w:p w14:paraId="444DCC6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$114.14 </w:t>
            </w:r>
          </w:p>
        </w:tc>
        <w:tc>
          <w:tcPr>
            <w:tcW w:w="1205" w:type="dxa"/>
            <w:tcBorders>
              <w:top w:val="nil"/>
              <w:left w:val="nil"/>
              <w:bottom w:val="single" w:sz="12" w:space="0" w:color="1E1545"/>
              <w:right w:val="nil"/>
            </w:tcBorders>
            <w:shd w:val="clear" w:color="000000" w:fill="FFFFFF"/>
            <w:noWrap/>
            <w:vAlign w:val="center"/>
            <w:hideMark/>
          </w:tcPr>
          <w:p w14:paraId="77A6985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($17.56)</w:t>
            </w:r>
          </w:p>
        </w:tc>
        <w:tc>
          <w:tcPr>
            <w:tcW w:w="1205" w:type="dxa"/>
            <w:tcBorders>
              <w:top w:val="nil"/>
              <w:left w:val="nil"/>
              <w:bottom w:val="single" w:sz="12" w:space="0" w:color="1E1545"/>
              <w:right w:val="nil"/>
            </w:tcBorders>
            <w:shd w:val="clear" w:color="auto" w:fill="auto"/>
            <w:noWrap/>
            <w:vAlign w:val="center"/>
            <w:hideMark/>
          </w:tcPr>
          <w:p w14:paraId="4D2EA85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0.5%</w:t>
            </w:r>
          </w:p>
        </w:tc>
      </w:tr>
      <w:tr w:rsidR="00B649AC" w:rsidRPr="00B649AC" w14:paraId="6D6276E8"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44A9CB32"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Interest</w:t>
            </w:r>
          </w:p>
        </w:tc>
        <w:tc>
          <w:tcPr>
            <w:tcW w:w="1204" w:type="dxa"/>
            <w:tcBorders>
              <w:top w:val="nil"/>
              <w:left w:val="nil"/>
              <w:bottom w:val="single" w:sz="12" w:space="0" w:color="1E1545"/>
              <w:right w:val="nil"/>
            </w:tcBorders>
            <w:shd w:val="clear" w:color="000000" w:fill="FFFFFF"/>
            <w:noWrap/>
            <w:vAlign w:val="center"/>
            <w:hideMark/>
          </w:tcPr>
          <w:p w14:paraId="40E5074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$223.28 </w:t>
            </w:r>
          </w:p>
        </w:tc>
        <w:tc>
          <w:tcPr>
            <w:tcW w:w="1205" w:type="dxa"/>
            <w:tcBorders>
              <w:top w:val="nil"/>
              <w:left w:val="nil"/>
              <w:bottom w:val="single" w:sz="12" w:space="0" w:color="1E1545"/>
              <w:right w:val="nil"/>
            </w:tcBorders>
            <w:shd w:val="clear" w:color="000000" w:fill="FFFFFF"/>
            <w:noWrap/>
            <w:vAlign w:val="center"/>
            <w:hideMark/>
          </w:tcPr>
          <w:p w14:paraId="2D54AE3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$187.07 </w:t>
            </w:r>
          </w:p>
        </w:tc>
        <w:tc>
          <w:tcPr>
            <w:tcW w:w="1205" w:type="dxa"/>
            <w:tcBorders>
              <w:top w:val="nil"/>
              <w:left w:val="nil"/>
              <w:bottom w:val="single" w:sz="12" w:space="0" w:color="1E1545"/>
              <w:right w:val="nil"/>
            </w:tcBorders>
            <w:shd w:val="clear" w:color="000000" w:fill="FFFFFF"/>
            <w:noWrap/>
            <w:vAlign w:val="center"/>
            <w:hideMark/>
          </w:tcPr>
          <w:p w14:paraId="24AB7C9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($36.21)</w:t>
            </w:r>
          </w:p>
        </w:tc>
        <w:tc>
          <w:tcPr>
            <w:tcW w:w="1205" w:type="dxa"/>
            <w:tcBorders>
              <w:top w:val="nil"/>
              <w:left w:val="nil"/>
              <w:bottom w:val="single" w:sz="12" w:space="0" w:color="1E1545"/>
              <w:right w:val="nil"/>
            </w:tcBorders>
            <w:shd w:val="clear" w:color="000000" w:fill="FFFFFF"/>
            <w:noWrap/>
            <w:vAlign w:val="center"/>
            <w:hideMark/>
          </w:tcPr>
          <w:p w14:paraId="61D8AC0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$373.78 </w:t>
            </w:r>
          </w:p>
        </w:tc>
        <w:tc>
          <w:tcPr>
            <w:tcW w:w="1205" w:type="dxa"/>
            <w:tcBorders>
              <w:top w:val="nil"/>
              <w:left w:val="nil"/>
              <w:bottom w:val="single" w:sz="12" w:space="0" w:color="1E1545"/>
              <w:right w:val="nil"/>
            </w:tcBorders>
            <w:shd w:val="clear" w:color="000000" w:fill="FFFFFF"/>
            <w:noWrap/>
            <w:vAlign w:val="center"/>
            <w:hideMark/>
          </w:tcPr>
          <w:p w14:paraId="504CD20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$186.70 </w:t>
            </w:r>
          </w:p>
        </w:tc>
        <w:tc>
          <w:tcPr>
            <w:tcW w:w="1205" w:type="dxa"/>
            <w:tcBorders>
              <w:top w:val="nil"/>
              <w:left w:val="nil"/>
              <w:bottom w:val="single" w:sz="12" w:space="0" w:color="1E1545"/>
              <w:right w:val="nil"/>
            </w:tcBorders>
            <w:shd w:val="clear" w:color="auto" w:fill="auto"/>
            <w:noWrap/>
            <w:vAlign w:val="center"/>
            <w:hideMark/>
          </w:tcPr>
          <w:p w14:paraId="2E221A9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1.5%</w:t>
            </w:r>
          </w:p>
        </w:tc>
      </w:tr>
      <w:tr w:rsidR="00B649AC" w:rsidRPr="00B649AC" w14:paraId="338F19CE" w14:textId="77777777" w:rsidTr="00AC5916">
        <w:trPr>
          <w:trHeight w:val="540"/>
        </w:trPr>
        <w:tc>
          <w:tcPr>
            <w:tcW w:w="1843" w:type="dxa"/>
            <w:tcBorders>
              <w:top w:val="nil"/>
              <w:left w:val="nil"/>
              <w:bottom w:val="single" w:sz="12" w:space="0" w:color="1E1545"/>
              <w:right w:val="nil"/>
            </w:tcBorders>
            <w:shd w:val="clear" w:color="000000" w:fill="D8DADA"/>
            <w:vAlign w:val="center"/>
            <w:hideMark/>
          </w:tcPr>
          <w:p w14:paraId="757885A2"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Total accommodation and finance related revenue</w:t>
            </w:r>
          </w:p>
        </w:tc>
        <w:tc>
          <w:tcPr>
            <w:tcW w:w="1204" w:type="dxa"/>
            <w:tcBorders>
              <w:top w:val="nil"/>
              <w:left w:val="nil"/>
              <w:bottom w:val="single" w:sz="12" w:space="0" w:color="1E1545"/>
              <w:right w:val="nil"/>
            </w:tcBorders>
            <w:shd w:val="clear" w:color="000000" w:fill="D8DADA"/>
            <w:noWrap/>
            <w:vAlign w:val="center"/>
            <w:hideMark/>
          </w:tcPr>
          <w:p w14:paraId="2BAB92A9"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$2,464.77 </w:t>
            </w:r>
          </w:p>
        </w:tc>
        <w:tc>
          <w:tcPr>
            <w:tcW w:w="1205" w:type="dxa"/>
            <w:tcBorders>
              <w:top w:val="nil"/>
              <w:left w:val="nil"/>
              <w:bottom w:val="single" w:sz="12" w:space="0" w:color="1E1545"/>
              <w:right w:val="nil"/>
            </w:tcBorders>
            <w:shd w:val="clear" w:color="000000" w:fill="D8DADA"/>
            <w:noWrap/>
            <w:vAlign w:val="center"/>
            <w:hideMark/>
          </w:tcPr>
          <w:p w14:paraId="70262C24"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$2,475.45 </w:t>
            </w:r>
          </w:p>
        </w:tc>
        <w:tc>
          <w:tcPr>
            <w:tcW w:w="1205" w:type="dxa"/>
            <w:tcBorders>
              <w:top w:val="nil"/>
              <w:left w:val="nil"/>
              <w:bottom w:val="single" w:sz="12" w:space="0" w:color="1E1545"/>
              <w:right w:val="nil"/>
            </w:tcBorders>
            <w:shd w:val="clear" w:color="000000" w:fill="D8DADA"/>
            <w:noWrap/>
            <w:vAlign w:val="center"/>
            <w:hideMark/>
          </w:tcPr>
          <w:p w14:paraId="03785D9D"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$10.68 </w:t>
            </w:r>
          </w:p>
        </w:tc>
        <w:tc>
          <w:tcPr>
            <w:tcW w:w="1205" w:type="dxa"/>
            <w:tcBorders>
              <w:top w:val="nil"/>
              <w:left w:val="nil"/>
              <w:bottom w:val="single" w:sz="12" w:space="0" w:color="1E1545"/>
              <w:right w:val="nil"/>
            </w:tcBorders>
            <w:shd w:val="clear" w:color="000000" w:fill="D8DADA"/>
            <w:noWrap/>
            <w:vAlign w:val="center"/>
            <w:hideMark/>
          </w:tcPr>
          <w:p w14:paraId="3BABFF51"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$2,901.73 </w:t>
            </w:r>
          </w:p>
        </w:tc>
        <w:tc>
          <w:tcPr>
            <w:tcW w:w="1205" w:type="dxa"/>
            <w:tcBorders>
              <w:top w:val="nil"/>
              <w:left w:val="nil"/>
              <w:bottom w:val="single" w:sz="12" w:space="0" w:color="1E1545"/>
              <w:right w:val="nil"/>
            </w:tcBorders>
            <w:shd w:val="clear" w:color="000000" w:fill="D8DADA"/>
            <w:noWrap/>
            <w:vAlign w:val="center"/>
            <w:hideMark/>
          </w:tcPr>
          <w:p w14:paraId="506E9181"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$426.28 </w:t>
            </w:r>
          </w:p>
        </w:tc>
        <w:tc>
          <w:tcPr>
            <w:tcW w:w="1205" w:type="dxa"/>
            <w:tcBorders>
              <w:top w:val="nil"/>
              <w:left w:val="nil"/>
              <w:bottom w:val="single" w:sz="12" w:space="0" w:color="1E1545"/>
              <w:right w:val="nil"/>
            </w:tcBorders>
            <w:shd w:val="clear" w:color="000000" w:fill="D8DADA"/>
            <w:noWrap/>
            <w:vAlign w:val="center"/>
            <w:hideMark/>
          </w:tcPr>
          <w:p w14:paraId="3CD0DBDA"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12.0%</w:t>
            </w:r>
          </w:p>
        </w:tc>
      </w:tr>
      <w:tr w:rsidR="00B649AC" w:rsidRPr="00B649AC" w14:paraId="76001484" w14:textId="77777777" w:rsidTr="00AC5916">
        <w:trPr>
          <w:trHeight w:val="330"/>
        </w:trPr>
        <w:tc>
          <w:tcPr>
            <w:tcW w:w="1843" w:type="dxa"/>
            <w:tcBorders>
              <w:top w:val="nil"/>
              <w:left w:val="nil"/>
              <w:bottom w:val="single" w:sz="12" w:space="0" w:color="1E1545"/>
              <w:right w:val="nil"/>
            </w:tcBorders>
            <w:shd w:val="clear" w:color="000000" w:fill="D8DADA"/>
            <w:vAlign w:val="center"/>
            <w:hideMark/>
          </w:tcPr>
          <w:p w14:paraId="13DDC4FC"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Other income</w:t>
            </w:r>
          </w:p>
        </w:tc>
        <w:tc>
          <w:tcPr>
            <w:tcW w:w="1204" w:type="dxa"/>
            <w:tcBorders>
              <w:top w:val="nil"/>
              <w:left w:val="nil"/>
              <w:bottom w:val="single" w:sz="12" w:space="0" w:color="1E1545"/>
              <w:right w:val="nil"/>
            </w:tcBorders>
            <w:shd w:val="clear" w:color="000000" w:fill="D8DADA"/>
            <w:noWrap/>
            <w:vAlign w:val="center"/>
            <w:hideMark/>
          </w:tcPr>
          <w:p w14:paraId="3DDAC686"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0CFEC764"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25341076"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59683D22"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0EFE1905"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 </w:t>
            </w:r>
          </w:p>
        </w:tc>
        <w:tc>
          <w:tcPr>
            <w:tcW w:w="1205" w:type="dxa"/>
            <w:tcBorders>
              <w:top w:val="nil"/>
              <w:left w:val="nil"/>
              <w:bottom w:val="single" w:sz="12" w:space="0" w:color="1E1545"/>
              <w:right w:val="nil"/>
            </w:tcBorders>
            <w:shd w:val="clear" w:color="000000" w:fill="D8DADA"/>
            <w:noWrap/>
            <w:vAlign w:val="center"/>
            <w:hideMark/>
          </w:tcPr>
          <w:p w14:paraId="45129C39"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w:t>
            </w:r>
          </w:p>
        </w:tc>
      </w:tr>
      <w:tr w:rsidR="00B649AC" w:rsidRPr="00B649AC" w14:paraId="3C0EBA30"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7C1FF5AC"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Donations and fundraising</w:t>
            </w:r>
          </w:p>
        </w:tc>
        <w:tc>
          <w:tcPr>
            <w:tcW w:w="1204" w:type="dxa"/>
            <w:tcBorders>
              <w:top w:val="nil"/>
              <w:left w:val="nil"/>
              <w:bottom w:val="single" w:sz="12" w:space="0" w:color="1E1545"/>
              <w:right w:val="nil"/>
            </w:tcBorders>
            <w:shd w:val="clear" w:color="000000" w:fill="FFFFFF"/>
            <w:noWrap/>
            <w:vAlign w:val="center"/>
            <w:hideMark/>
          </w:tcPr>
          <w:p w14:paraId="7120D31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$31.44 </w:t>
            </w:r>
          </w:p>
        </w:tc>
        <w:tc>
          <w:tcPr>
            <w:tcW w:w="1205" w:type="dxa"/>
            <w:tcBorders>
              <w:top w:val="nil"/>
              <w:left w:val="nil"/>
              <w:bottom w:val="single" w:sz="12" w:space="0" w:color="1E1545"/>
              <w:right w:val="nil"/>
            </w:tcBorders>
            <w:shd w:val="clear" w:color="000000" w:fill="FFFFFF"/>
            <w:noWrap/>
            <w:vAlign w:val="center"/>
            <w:hideMark/>
          </w:tcPr>
          <w:p w14:paraId="134E690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$39.36 </w:t>
            </w:r>
          </w:p>
        </w:tc>
        <w:tc>
          <w:tcPr>
            <w:tcW w:w="1205" w:type="dxa"/>
            <w:tcBorders>
              <w:top w:val="nil"/>
              <w:left w:val="nil"/>
              <w:bottom w:val="single" w:sz="12" w:space="0" w:color="1E1545"/>
              <w:right w:val="nil"/>
            </w:tcBorders>
            <w:shd w:val="clear" w:color="000000" w:fill="FFFFFF"/>
            <w:noWrap/>
            <w:vAlign w:val="center"/>
            <w:hideMark/>
          </w:tcPr>
          <w:p w14:paraId="42200563"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$7.92 </w:t>
            </w:r>
          </w:p>
        </w:tc>
        <w:tc>
          <w:tcPr>
            <w:tcW w:w="1205" w:type="dxa"/>
            <w:tcBorders>
              <w:top w:val="nil"/>
              <w:left w:val="nil"/>
              <w:bottom w:val="single" w:sz="12" w:space="0" w:color="1E1545"/>
              <w:right w:val="nil"/>
            </w:tcBorders>
            <w:shd w:val="clear" w:color="000000" w:fill="FFFFFF"/>
            <w:noWrap/>
            <w:vAlign w:val="center"/>
            <w:hideMark/>
          </w:tcPr>
          <w:p w14:paraId="617B8A9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$24.23 </w:t>
            </w:r>
          </w:p>
        </w:tc>
        <w:tc>
          <w:tcPr>
            <w:tcW w:w="1205" w:type="dxa"/>
            <w:tcBorders>
              <w:top w:val="nil"/>
              <w:left w:val="nil"/>
              <w:bottom w:val="single" w:sz="12" w:space="0" w:color="1E1545"/>
              <w:right w:val="nil"/>
            </w:tcBorders>
            <w:shd w:val="clear" w:color="000000" w:fill="FFFFFF"/>
            <w:noWrap/>
            <w:vAlign w:val="center"/>
            <w:hideMark/>
          </w:tcPr>
          <w:p w14:paraId="5B81BF9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($15.13)</w:t>
            </w:r>
          </w:p>
        </w:tc>
        <w:tc>
          <w:tcPr>
            <w:tcW w:w="1205" w:type="dxa"/>
            <w:tcBorders>
              <w:top w:val="nil"/>
              <w:left w:val="nil"/>
              <w:bottom w:val="single" w:sz="12" w:space="0" w:color="1E1545"/>
              <w:right w:val="nil"/>
            </w:tcBorders>
            <w:shd w:val="clear" w:color="auto" w:fill="auto"/>
            <w:noWrap/>
            <w:vAlign w:val="center"/>
            <w:hideMark/>
          </w:tcPr>
          <w:p w14:paraId="1B9EF44C"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0.1%</w:t>
            </w:r>
          </w:p>
        </w:tc>
      </w:tr>
      <w:tr w:rsidR="00B649AC" w:rsidRPr="00B649AC" w14:paraId="317437B0"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1C098E38"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Gain on sale of assets</w:t>
            </w:r>
          </w:p>
        </w:tc>
        <w:tc>
          <w:tcPr>
            <w:tcW w:w="1204" w:type="dxa"/>
            <w:tcBorders>
              <w:top w:val="nil"/>
              <w:left w:val="nil"/>
              <w:bottom w:val="single" w:sz="12" w:space="0" w:color="1E1545"/>
              <w:right w:val="nil"/>
            </w:tcBorders>
            <w:shd w:val="clear" w:color="000000" w:fill="FFFFFF"/>
            <w:noWrap/>
            <w:vAlign w:val="center"/>
            <w:hideMark/>
          </w:tcPr>
          <w:p w14:paraId="35A1B87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$18.82 </w:t>
            </w:r>
          </w:p>
        </w:tc>
        <w:tc>
          <w:tcPr>
            <w:tcW w:w="1205" w:type="dxa"/>
            <w:tcBorders>
              <w:top w:val="nil"/>
              <w:left w:val="nil"/>
              <w:bottom w:val="single" w:sz="12" w:space="0" w:color="1E1545"/>
              <w:right w:val="nil"/>
            </w:tcBorders>
            <w:shd w:val="clear" w:color="000000" w:fill="FFFFFF"/>
            <w:noWrap/>
            <w:vAlign w:val="center"/>
            <w:hideMark/>
          </w:tcPr>
          <w:p w14:paraId="182E509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$22.20 </w:t>
            </w:r>
          </w:p>
        </w:tc>
        <w:tc>
          <w:tcPr>
            <w:tcW w:w="1205" w:type="dxa"/>
            <w:tcBorders>
              <w:top w:val="nil"/>
              <w:left w:val="nil"/>
              <w:bottom w:val="single" w:sz="12" w:space="0" w:color="1E1545"/>
              <w:right w:val="nil"/>
            </w:tcBorders>
            <w:shd w:val="clear" w:color="000000" w:fill="FFFFFF"/>
            <w:noWrap/>
            <w:vAlign w:val="center"/>
            <w:hideMark/>
          </w:tcPr>
          <w:p w14:paraId="43D6CD3B"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$3.39 </w:t>
            </w:r>
          </w:p>
        </w:tc>
        <w:tc>
          <w:tcPr>
            <w:tcW w:w="1205" w:type="dxa"/>
            <w:tcBorders>
              <w:top w:val="nil"/>
              <w:left w:val="nil"/>
              <w:bottom w:val="single" w:sz="12" w:space="0" w:color="1E1545"/>
              <w:right w:val="nil"/>
            </w:tcBorders>
            <w:shd w:val="clear" w:color="000000" w:fill="FFFFFF"/>
            <w:noWrap/>
            <w:vAlign w:val="center"/>
            <w:hideMark/>
          </w:tcPr>
          <w:p w14:paraId="228C2D7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$18.73 </w:t>
            </w:r>
          </w:p>
        </w:tc>
        <w:tc>
          <w:tcPr>
            <w:tcW w:w="1205" w:type="dxa"/>
            <w:tcBorders>
              <w:top w:val="nil"/>
              <w:left w:val="nil"/>
              <w:bottom w:val="single" w:sz="12" w:space="0" w:color="1E1545"/>
              <w:right w:val="nil"/>
            </w:tcBorders>
            <w:shd w:val="clear" w:color="000000" w:fill="FFFFFF"/>
            <w:noWrap/>
            <w:vAlign w:val="center"/>
            <w:hideMark/>
          </w:tcPr>
          <w:p w14:paraId="76BA2B8A"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($3.47)</w:t>
            </w:r>
          </w:p>
        </w:tc>
        <w:tc>
          <w:tcPr>
            <w:tcW w:w="1205" w:type="dxa"/>
            <w:tcBorders>
              <w:top w:val="nil"/>
              <w:left w:val="nil"/>
              <w:bottom w:val="single" w:sz="12" w:space="0" w:color="1E1545"/>
              <w:right w:val="nil"/>
            </w:tcBorders>
            <w:shd w:val="clear" w:color="auto" w:fill="auto"/>
            <w:noWrap/>
            <w:vAlign w:val="center"/>
            <w:hideMark/>
          </w:tcPr>
          <w:p w14:paraId="5F25352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0.1%</w:t>
            </w:r>
          </w:p>
        </w:tc>
      </w:tr>
      <w:tr w:rsidR="00B649AC" w:rsidRPr="00B649AC" w14:paraId="041F2A1D"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528928B6"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Revaluation of assets</w:t>
            </w:r>
          </w:p>
        </w:tc>
        <w:tc>
          <w:tcPr>
            <w:tcW w:w="1204" w:type="dxa"/>
            <w:tcBorders>
              <w:top w:val="nil"/>
              <w:left w:val="nil"/>
              <w:bottom w:val="single" w:sz="12" w:space="0" w:color="1E1545"/>
              <w:right w:val="nil"/>
            </w:tcBorders>
            <w:shd w:val="clear" w:color="000000" w:fill="FFFFFF"/>
            <w:noWrap/>
            <w:vAlign w:val="center"/>
            <w:hideMark/>
          </w:tcPr>
          <w:p w14:paraId="72EBBCC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$85.10 </w:t>
            </w:r>
          </w:p>
        </w:tc>
        <w:tc>
          <w:tcPr>
            <w:tcW w:w="1205" w:type="dxa"/>
            <w:tcBorders>
              <w:top w:val="nil"/>
              <w:left w:val="nil"/>
              <w:bottom w:val="single" w:sz="12" w:space="0" w:color="1E1545"/>
              <w:right w:val="nil"/>
            </w:tcBorders>
            <w:shd w:val="clear" w:color="000000" w:fill="FFFFFF"/>
            <w:noWrap/>
            <w:vAlign w:val="center"/>
            <w:hideMark/>
          </w:tcPr>
          <w:p w14:paraId="58B64FB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$85.91 </w:t>
            </w:r>
          </w:p>
        </w:tc>
        <w:tc>
          <w:tcPr>
            <w:tcW w:w="1205" w:type="dxa"/>
            <w:tcBorders>
              <w:top w:val="nil"/>
              <w:left w:val="nil"/>
              <w:bottom w:val="single" w:sz="12" w:space="0" w:color="1E1545"/>
              <w:right w:val="nil"/>
            </w:tcBorders>
            <w:shd w:val="clear" w:color="000000" w:fill="FFFFFF"/>
            <w:noWrap/>
            <w:vAlign w:val="center"/>
            <w:hideMark/>
          </w:tcPr>
          <w:p w14:paraId="651D4AD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$0.81 </w:t>
            </w:r>
          </w:p>
        </w:tc>
        <w:tc>
          <w:tcPr>
            <w:tcW w:w="1205" w:type="dxa"/>
            <w:tcBorders>
              <w:top w:val="nil"/>
              <w:left w:val="nil"/>
              <w:bottom w:val="single" w:sz="12" w:space="0" w:color="1E1545"/>
              <w:right w:val="nil"/>
            </w:tcBorders>
            <w:shd w:val="clear" w:color="000000" w:fill="FFFFFF"/>
            <w:noWrap/>
            <w:vAlign w:val="center"/>
            <w:hideMark/>
          </w:tcPr>
          <w:p w14:paraId="2FCD03C1"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$122.79 </w:t>
            </w:r>
          </w:p>
        </w:tc>
        <w:tc>
          <w:tcPr>
            <w:tcW w:w="1205" w:type="dxa"/>
            <w:tcBorders>
              <w:top w:val="nil"/>
              <w:left w:val="nil"/>
              <w:bottom w:val="single" w:sz="12" w:space="0" w:color="1E1545"/>
              <w:right w:val="nil"/>
            </w:tcBorders>
            <w:shd w:val="clear" w:color="000000" w:fill="FFFFFF"/>
            <w:noWrap/>
            <w:vAlign w:val="center"/>
            <w:hideMark/>
          </w:tcPr>
          <w:p w14:paraId="6715E14C"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$36.89 </w:t>
            </w:r>
          </w:p>
        </w:tc>
        <w:tc>
          <w:tcPr>
            <w:tcW w:w="1205" w:type="dxa"/>
            <w:tcBorders>
              <w:top w:val="nil"/>
              <w:left w:val="nil"/>
              <w:bottom w:val="single" w:sz="12" w:space="0" w:color="1E1545"/>
              <w:right w:val="nil"/>
            </w:tcBorders>
            <w:shd w:val="clear" w:color="auto" w:fill="auto"/>
            <w:noWrap/>
            <w:vAlign w:val="center"/>
            <w:hideMark/>
          </w:tcPr>
          <w:p w14:paraId="4D7106D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0.5%</w:t>
            </w:r>
          </w:p>
        </w:tc>
      </w:tr>
      <w:tr w:rsidR="00B649AC" w:rsidRPr="00B649AC" w14:paraId="63D8B145" w14:textId="77777777" w:rsidTr="00AC5916">
        <w:trPr>
          <w:trHeight w:val="520"/>
        </w:trPr>
        <w:tc>
          <w:tcPr>
            <w:tcW w:w="1843" w:type="dxa"/>
            <w:tcBorders>
              <w:top w:val="nil"/>
              <w:left w:val="nil"/>
              <w:bottom w:val="single" w:sz="12" w:space="0" w:color="1E1545"/>
              <w:right w:val="nil"/>
            </w:tcBorders>
            <w:shd w:val="clear" w:color="000000" w:fill="FFFFFF"/>
            <w:vAlign w:val="center"/>
            <w:hideMark/>
          </w:tcPr>
          <w:p w14:paraId="3A9F5820"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 xml:space="preserve">Imputed interest on RADs - AASB 16 leases </w:t>
            </w:r>
          </w:p>
        </w:tc>
        <w:tc>
          <w:tcPr>
            <w:tcW w:w="1204" w:type="dxa"/>
            <w:tcBorders>
              <w:top w:val="nil"/>
              <w:left w:val="nil"/>
              <w:bottom w:val="single" w:sz="12" w:space="0" w:color="1E1545"/>
              <w:right w:val="nil"/>
            </w:tcBorders>
            <w:shd w:val="clear" w:color="000000" w:fill="FFFFFF"/>
            <w:noWrap/>
            <w:vAlign w:val="center"/>
            <w:hideMark/>
          </w:tcPr>
          <w:p w14:paraId="0E04A94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$509.22 </w:t>
            </w:r>
          </w:p>
        </w:tc>
        <w:tc>
          <w:tcPr>
            <w:tcW w:w="1205" w:type="dxa"/>
            <w:tcBorders>
              <w:top w:val="nil"/>
              <w:left w:val="nil"/>
              <w:bottom w:val="single" w:sz="12" w:space="0" w:color="1E1545"/>
              <w:right w:val="nil"/>
            </w:tcBorders>
            <w:shd w:val="clear" w:color="000000" w:fill="FFFFFF"/>
            <w:noWrap/>
            <w:vAlign w:val="center"/>
            <w:hideMark/>
          </w:tcPr>
          <w:p w14:paraId="63DFDB7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$558.59 </w:t>
            </w:r>
          </w:p>
        </w:tc>
        <w:tc>
          <w:tcPr>
            <w:tcW w:w="1205" w:type="dxa"/>
            <w:tcBorders>
              <w:top w:val="nil"/>
              <w:left w:val="nil"/>
              <w:bottom w:val="single" w:sz="12" w:space="0" w:color="1E1545"/>
              <w:right w:val="nil"/>
            </w:tcBorders>
            <w:shd w:val="clear" w:color="000000" w:fill="FFFFFF"/>
            <w:noWrap/>
            <w:vAlign w:val="center"/>
            <w:hideMark/>
          </w:tcPr>
          <w:p w14:paraId="1DF3650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$49.37 </w:t>
            </w:r>
          </w:p>
        </w:tc>
        <w:tc>
          <w:tcPr>
            <w:tcW w:w="1205" w:type="dxa"/>
            <w:tcBorders>
              <w:top w:val="nil"/>
              <w:left w:val="nil"/>
              <w:bottom w:val="single" w:sz="12" w:space="0" w:color="1E1545"/>
              <w:right w:val="nil"/>
            </w:tcBorders>
            <w:shd w:val="clear" w:color="000000" w:fill="FFFFFF"/>
            <w:noWrap/>
            <w:vAlign w:val="center"/>
            <w:hideMark/>
          </w:tcPr>
          <w:p w14:paraId="1D77C6F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$829.93 </w:t>
            </w:r>
          </w:p>
        </w:tc>
        <w:tc>
          <w:tcPr>
            <w:tcW w:w="1205" w:type="dxa"/>
            <w:tcBorders>
              <w:top w:val="nil"/>
              <w:left w:val="nil"/>
              <w:bottom w:val="single" w:sz="12" w:space="0" w:color="1E1545"/>
              <w:right w:val="nil"/>
            </w:tcBorders>
            <w:shd w:val="clear" w:color="000000" w:fill="FFFFFF"/>
            <w:noWrap/>
            <w:vAlign w:val="center"/>
            <w:hideMark/>
          </w:tcPr>
          <w:p w14:paraId="1718AA2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$271.34 </w:t>
            </w:r>
          </w:p>
        </w:tc>
        <w:tc>
          <w:tcPr>
            <w:tcW w:w="1205" w:type="dxa"/>
            <w:tcBorders>
              <w:top w:val="nil"/>
              <w:left w:val="nil"/>
              <w:bottom w:val="single" w:sz="12" w:space="0" w:color="1E1545"/>
              <w:right w:val="nil"/>
            </w:tcBorders>
            <w:shd w:val="clear" w:color="auto" w:fill="auto"/>
            <w:noWrap/>
            <w:vAlign w:val="center"/>
            <w:hideMark/>
          </w:tcPr>
          <w:p w14:paraId="28446B64"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3.4%</w:t>
            </w:r>
          </w:p>
        </w:tc>
      </w:tr>
      <w:tr w:rsidR="00B649AC" w:rsidRPr="00B649AC" w14:paraId="50454EFB"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0B158B05"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Other</w:t>
            </w:r>
          </w:p>
        </w:tc>
        <w:tc>
          <w:tcPr>
            <w:tcW w:w="1204" w:type="dxa"/>
            <w:tcBorders>
              <w:top w:val="nil"/>
              <w:left w:val="nil"/>
              <w:bottom w:val="single" w:sz="12" w:space="0" w:color="1E1545"/>
              <w:right w:val="nil"/>
            </w:tcBorders>
            <w:shd w:val="clear" w:color="000000" w:fill="FFFFFF"/>
            <w:noWrap/>
            <w:vAlign w:val="center"/>
            <w:hideMark/>
          </w:tcPr>
          <w:p w14:paraId="5483085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$565.85 </w:t>
            </w:r>
          </w:p>
        </w:tc>
        <w:tc>
          <w:tcPr>
            <w:tcW w:w="1205" w:type="dxa"/>
            <w:tcBorders>
              <w:top w:val="nil"/>
              <w:left w:val="nil"/>
              <w:bottom w:val="single" w:sz="12" w:space="0" w:color="1E1545"/>
              <w:right w:val="nil"/>
            </w:tcBorders>
            <w:shd w:val="clear" w:color="000000" w:fill="FFFFFF"/>
            <w:noWrap/>
            <w:vAlign w:val="center"/>
            <w:hideMark/>
          </w:tcPr>
          <w:p w14:paraId="41E312E5"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$641.38 </w:t>
            </w:r>
          </w:p>
        </w:tc>
        <w:tc>
          <w:tcPr>
            <w:tcW w:w="1205" w:type="dxa"/>
            <w:tcBorders>
              <w:top w:val="nil"/>
              <w:left w:val="nil"/>
              <w:bottom w:val="single" w:sz="12" w:space="0" w:color="1E1545"/>
              <w:right w:val="nil"/>
            </w:tcBorders>
            <w:shd w:val="clear" w:color="000000" w:fill="FFFFFF"/>
            <w:noWrap/>
            <w:vAlign w:val="center"/>
            <w:hideMark/>
          </w:tcPr>
          <w:p w14:paraId="3F58C49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$75.53 </w:t>
            </w:r>
          </w:p>
        </w:tc>
        <w:tc>
          <w:tcPr>
            <w:tcW w:w="1205" w:type="dxa"/>
            <w:tcBorders>
              <w:top w:val="nil"/>
              <w:left w:val="nil"/>
              <w:bottom w:val="single" w:sz="12" w:space="0" w:color="1E1545"/>
              <w:right w:val="nil"/>
            </w:tcBorders>
            <w:shd w:val="clear" w:color="000000" w:fill="FFFFFF"/>
            <w:noWrap/>
            <w:vAlign w:val="center"/>
            <w:hideMark/>
          </w:tcPr>
          <w:p w14:paraId="4B7BAAAE"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$687.86 </w:t>
            </w:r>
          </w:p>
        </w:tc>
        <w:tc>
          <w:tcPr>
            <w:tcW w:w="1205" w:type="dxa"/>
            <w:tcBorders>
              <w:top w:val="nil"/>
              <w:left w:val="nil"/>
              <w:bottom w:val="single" w:sz="12" w:space="0" w:color="1E1545"/>
              <w:right w:val="nil"/>
            </w:tcBorders>
            <w:shd w:val="clear" w:color="000000" w:fill="FFFFFF"/>
            <w:noWrap/>
            <w:vAlign w:val="center"/>
            <w:hideMark/>
          </w:tcPr>
          <w:p w14:paraId="624FA169"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$46.48 </w:t>
            </w:r>
          </w:p>
        </w:tc>
        <w:tc>
          <w:tcPr>
            <w:tcW w:w="1205" w:type="dxa"/>
            <w:tcBorders>
              <w:top w:val="nil"/>
              <w:left w:val="nil"/>
              <w:bottom w:val="single" w:sz="12" w:space="0" w:color="1E1545"/>
              <w:right w:val="nil"/>
            </w:tcBorders>
            <w:shd w:val="clear" w:color="auto" w:fill="auto"/>
            <w:noWrap/>
            <w:vAlign w:val="center"/>
            <w:hideMark/>
          </w:tcPr>
          <w:p w14:paraId="23F02EEF"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2.8%</w:t>
            </w:r>
          </w:p>
        </w:tc>
      </w:tr>
      <w:tr w:rsidR="00B649AC" w:rsidRPr="00B649AC" w14:paraId="2EB2270D" w14:textId="77777777" w:rsidTr="00AC5916">
        <w:trPr>
          <w:trHeight w:val="330"/>
        </w:trPr>
        <w:tc>
          <w:tcPr>
            <w:tcW w:w="1843" w:type="dxa"/>
            <w:tcBorders>
              <w:top w:val="nil"/>
              <w:left w:val="nil"/>
              <w:bottom w:val="single" w:sz="12" w:space="0" w:color="1E1545"/>
              <w:right w:val="nil"/>
            </w:tcBorders>
            <w:shd w:val="clear" w:color="000000" w:fill="FFFFFF"/>
            <w:vAlign w:val="center"/>
            <w:hideMark/>
          </w:tcPr>
          <w:p w14:paraId="0DF3C9F4" w14:textId="77777777" w:rsidR="00B649AC" w:rsidRPr="00492931" w:rsidRDefault="00B649AC" w:rsidP="00B649AC">
            <w:pPr>
              <w:spacing w:before="0" w:after="0" w:line="240" w:lineRule="auto"/>
              <w:rPr>
                <w:rFonts w:cs="Arial"/>
                <w:color w:val="1E1545"/>
                <w:sz w:val="18"/>
                <w:lang w:eastAsia="en-AU"/>
              </w:rPr>
            </w:pPr>
            <w:r w:rsidRPr="00492931">
              <w:rPr>
                <w:rFonts w:cs="Arial"/>
                <w:color w:val="1E1545"/>
                <w:sz w:val="18"/>
                <w:lang w:eastAsia="en-AU"/>
              </w:rPr>
              <w:t>Total other revenue</w:t>
            </w:r>
          </w:p>
        </w:tc>
        <w:tc>
          <w:tcPr>
            <w:tcW w:w="1204" w:type="dxa"/>
            <w:tcBorders>
              <w:top w:val="nil"/>
              <w:left w:val="nil"/>
              <w:bottom w:val="single" w:sz="12" w:space="0" w:color="1E1545"/>
              <w:right w:val="nil"/>
            </w:tcBorders>
            <w:shd w:val="clear" w:color="000000" w:fill="FFFFFF"/>
            <w:noWrap/>
            <w:vAlign w:val="center"/>
            <w:hideMark/>
          </w:tcPr>
          <w:p w14:paraId="5C97562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$1,210.42 </w:t>
            </w:r>
          </w:p>
        </w:tc>
        <w:tc>
          <w:tcPr>
            <w:tcW w:w="1205" w:type="dxa"/>
            <w:tcBorders>
              <w:top w:val="nil"/>
              <w:left w:val="nil"/>
              <w:bottom w:val="single" w:sz="12" w:space="0" w:color="1E1545"/>
              <w:right w:val="nil"/>
            </w:tcBorders>
            <w:shd w:val="clear" w:color="000000" w:fill="FFFFFF"/>
            <w:noWrap/>
            <w:vAlign w:val="center"/>
            <w:hideMark/>
          </w:tcPr>
          <w:p w14:paraId="34D0FF12"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$1,347.43 </w:t>
            </w:r>
          </w:p>
        </w:tc>
        <w:tc>
          <w:tcPr>
            <w:tcW w:w="1205" w:type="dxa"/>
            <w:tcBorders>
              <w:top w:val="nil"/>
              <w:left w:val="nil"/>
              <w:bottom w:val="single" w:sz="12" w:space="0" w:color="1E1545"/>
              <w:right w:val="nil"/>
            </w:tcBorders>
            <w:shd w:val="clear" w:color="000000" w:fill="FFFFFF"/>
            <w:noWrap/>
            <w:vAlign w:val="center"/>
            <w:hideMark/>
          </w:tcPr>
          <w:p w14:paraId="50D61467"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$137.00 </w:t>
            </w:r>
          </w:p>
        </w:tc>
        <w:tc>
          <w:tcPr>
            <w:tcW w:w="1205" w:type="dxa"/>
            <w:tcBorders>
              <w:top w:val="nil"/>
              <w:left w:val="nil"/>
              <w:bottom w:val="single" w:sz="12" w:space="0" w:color="1E1545"/>
              <w:right w:val="nil"/>
            </w:tcBorders>
            <w:shd w:val="clear" w:color="000000" w:fill="FFFFFF"/>
            <w:noWrap/>
            <w:vAlign w:val="center"/>
            <w:hideMark/>
          </w:tcPr>
          <w:p w14:paraId="3FD99C78"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$1,683.54 </w:t>
            </w:r>
          </w:p>
        </w:tc>
        <w:tc>
          <w:tcPr>
            <w:tcW w:w="1205" w:type="dxa"/>
            <w:tcBorders>
              <w:top w:val="nil"/>
              <w:left w:val="nil"/>
              <w:bottom w:val="single" w:sz="12" w:space="0" w:color="1E1545"/>
              <w:right w:val="nil"/>
            </w:tcBorders>
            <w:shd w:val="clear" w:color="000000" w:fill="FFFFFF"/>
            <w:noWrap/>
            <w:vAlign w:val="center"/>
            <w:hideMark/>
          </w:tcPr>
          <w:p w14:paraId="1A547466"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 xml:space="preserve">$336.11 </w:t>
            </w:r>
          </w:p>
        </w:tc>
        <w:tc>
          <w:tcPr>
            <w:tcW w:w="1205" w:type="dxa"/>
            <w:tcBorders>
              <w:top w:val="nil"/>
              <w:left w:val="nil"/>
              <w:bottom w:val="single" w:sz="12" w:space="0" w:color="1E1545"/>
              <w:right w:val="nil"/>
            </w:tcBorders>
            <w:shd w:val="clear" w:color="auto" w:fill="auto"/>
            <w:noWrap/>
            <w:vAlign w:val="center"/>
            <w:hideMark/>
          </w:tcPr>
          <w:p w14:paraId="35022780" w14:textId="77777777" w:rsidR="00B649AC" w:rsidRPr="00492931" w:rsidRDefault="00B649AC" w:rsidP="00B649AC">
            <w:pPr>
              <w:spacing w:before="0" w:after="0" w:line="240" w:lineRule="auto"/>
              <w:jc w:val="right"/>
              <w:rPr>
                <w:rFonts w:cs="Arial"/>
                <w:color w:val="1E1545"/>
                <w:sz w:val="18"/>
                <w:lang w:eastAsia="en-AU"/>
              </w:rPr>
            </w:pPr>
            <w:r w:rsidRPr="00492931">
              <w:rPr>
                <w:rFonts w:cs="Arial"/>
                <w:color w:val="1E1545"/>
                <w:sz w:val="18"/>
                <w:lang w:eastAsia="en-AU"/>
              </w:rPr>
              <w:t>6.9%</w:t>
            </w:r>
          </w:p>
        </w:tc>
      </w:tr>
      <w:tr w:rsidR="00B649AC" w:rsidRPr="00B649AC" w14:paraId="4AB71314" w14:textId="77777777" w:rsidTr="00AC5916">
        <w:trPr>
          <w:trHeight w:val="540"/>
        </w:trPr>
        <w:tc>
          <w:tcPr>
            <w:tcW w:w="1843" w:type="dxa"/>
            <w:tcBorders>
              <w:top w:val="nil"/>
              <w:left w:val="nil"/>
              <w:bottom w:val="single" w:sz="12" w:space="0" w:color="1E1545"/>
              <w:right w:val="nil"/>
            </w:tcBorders>
            <w:shd w:val="clear" w:color="000000" w:fill="D8DADA"/>
            <w:vAlign w:val="center"/>
            <w:hideMark/>
          </w:tcPr>
          <w:p w14:paraId="0390F77E" w14:textId="77777777" w:rsidR="00B649AC" w:rsidRPr="00492931" w:rsidRDefault="00B649AC" w:rsidP="00B649AC">
            <w:pPr>
              <w:spacing w:before="0" w:after="0" w:line="240" w:lineRule="auto"/>
              <w:rPr>
                <w:rFonts w:cs="Arial"/>
                <w:b/>
                <w:color w:val="1E1545"/>
                <w:sz w:val="18"/>
                <w:lang w:eastAsia="en-AU"/>
              </w:rPr>
            </w:pPr>
            <w:r w:rsidRPr="00492931">
              <w:rPr>
                <w:rFonts w:cs="Arial"/>
                <w:b/>
                <w:color w:val="1E1545"/>
                <w:sz w:val="18"/>
                <w:lang w:eastAsia="en-AU"/>
              </w:rPr>
              <w:t>Total residential provider revenue</w:t>
            </w:r>
          </w:p>
        </w:tc>
        <w:tc>
          <w:tcPr>
            <w:tcW w:w="1204" w:type="dxa"/>
            <w:tcBorders>
              <w:top w:val="nil"/>
              <w:left w:val="nil"/>
              <w:bottom w:val="single" w:sz="12" w:space="0" w:color="1E1545"/>
              <w:right w:val="nil"/>
            </w:tcBorders>
            <w:shd w:val="clear" w:color="000000" w:fill="D8DADA"/>
            <w:noWrap/>
            <w:vAlign w:val="center"/>
            <w:hideMark/>
          </w:tcPr>
          <w:p w14:paraId="6B73411D"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$21,478.45 </w:t>
            </w:r>
          </w:p>
        </w:tc>
        <w:tc>
          <w:tcPr>
            <w:tcW w:w="1205" w:type="dxa"/>
            <w:tcBorders>
              <w:top w:val="nil"/>
              <w:left w:val="nil"/>
              <w:bottom w:val="single" w:sz="12" w:space="0" w:color="1E1545"/>
              <w:right w:val="nil"/>
            </w:tcBorders>
            <w:shd w:val="clear" w:color="000000" w:fill="D8DADA"/>
            <w:noWrap/>
            <w:vAlign w:val="center"/>
            <w:hideMark/>
          </w:tcPr>
          <w:p w14:paraId="3F95D30C"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$22,074.54 </w:t>
            </w:r>
          </w:p>
        </w:tc>
        <w:tc>
          <w:tcPr>
            <w:tcW w:w="1205" w:type="dxa"/>
            <w:tcBorders>
              <w:top w:val="nil"/>
              <w:left w:val="nil"/>
              <w:bottom w:val="single" w:sz="12" w:space="0" w:color="1E1545"/>
              <w:right w:val="nil"/>
            </w:tcBorders>
            <w:shd w:val="clear" w:color="000000" w:fill="D8DADA"/>
            <w:noWrap/>
            <w:vAlign w:val="center"/>
            <w:hideMark/>
          </w:tcPr>
          <w:p w14:paraId="71CE4135"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$596.09 </w:t>
            </w:r>
          </w:p>
        </w:tc>
        <w:tc>
          <w:tcPr>
            <w:tcW w:w="1205" w:type="dxa"/>
            <w:tcBorders>
              <w:top w:val="nil"/>
              <w:left w:val="nil"/>
              <w:bottom w:val="single" w:sz="12" w:space="0" w:color="1E1545"/>
              <w:right w:val="nil"/>
            </w:tcBorders>
            <w:shd w:val="clear" w:color="000000" w:fill="D8DADA"/>
            <w:noWrap/>
            <w:vAlign w:val="center"/>
            <w:hideMark/>
          </w:tcPr>
          <w:p w14:paraId="10A883E5"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$24,239.73 </w:t>
            </w:r>
          </w:p>
        </w:tc>
        <w:tc>
          <w:tcPr>
            <w:tcW w:w="1205" w:type="dxa"/>
            <w:tcBorders>
              <w:top w:val="nil"/>
              <w:left w:val="nil"/>
              <w:bottom w:val="single" w:sz="12" w:space="0" w:color="1E1545"/>
              <w:right w:val="nil"/>
            </w:tcBorders>
            <w:shd w:val="clear" w:color="000000" w:fill="D8DADA"/>
            <w:noWrap/>
            <w:vAlign w:val="center"/>
            <w:hideMark/>
          </w:tcPr>
          <w:p w14:paraId="2BD8A290"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 xml:space="preserve">$2,165.19 </w:t>
            </w:r>
          </w:p>
        </w:tc>
        <w:tc>
          <w:tcPr>
            <w:tcW w:w="1205" w:type="dxa"/>
            <w:tcBorders>
              <w:top w:val="nil"/>
              <w:left w:val="nil"/>
              <w:bottom w:val="single" w:sz="12" w:space="0" w:color="1E1545"/>
              <w:right w:val="nil"/>
            </w:tcBorders>
            <w:shd w:val="clear" w:color="000000" w:fill="D8DADA"/>
            <w:noWrap/>
            <w:vAlign w:val="center"/>
            <w:hideMark/>
          </w:tcPr>
          <w:p w14:paraId="30E134E5" w14:textId="77777777" w:rsidR="00B649AC" w:rsidRPr="00492931" w:rsidRDefault="00B649AC" w:rsidP="00B649AC">
            <w:pPr>
              <w:spacing w:before="0" w:after="0" w:line="240" w:lineRule="auto"/>
              <w:jc w:val="right"/>
              <w:rPr>
                <w:rFonts w:cs="Arial"/>
                <w:b/>
                <w:color w:val="1E1545"/>
                <w:sz w:val="18"/>
                <w:lang w:eastAsia="en-AU"/>
              </w:rPr>
            </w:pPr>
            <w:r w:rsidRPr="00492931">
              <w:rPr>
                <w:rFonts w:cs="Arial"/>
                <w:b/>
                <w:color w:val="1E1545"/>
                <w:sz w:val="18"/>
                <w:lang w:eastAsia="en-AU"/>
              </w:rPr>
              <w:t>100.0%</w:t>
            </w:r>
          </w:p>
        </w:tc>
      </w:tr>
    </w:tbl>
    <w:p w14:paraId="353BA644" w14:textId="77777777" w:rsidR="002164A4" w:rsidRDefault="002164A4" w:rsidP="00B649AC">
      <w:pPr>
        <w:pStyle w:val="FootnoteText"/>
      </w:pPr>
    </w:p>
    <w:p w14:paraId="6A4CD7FA" w14:textId="5D2FAB32" w:rsidR="00385C81" w:rsidRDefault="00DF0733" w:rsidP="00DF0733">
      <w:pPr>
        <w:pStyle w:val="FootnoteText"/>
      </w:pPr>
      <w:r w:rsidRPr="004221F9">
        <w:t xml:space="preserve">Note: COVID-19 </w:t>
      </w:r>
      <w:r w:rsidR="00061458">
        <w:t>f</w:t>
      </w:r>
      <w:r w:rsidRPr="004221F9">
        <w:t xml:space="preserve">unding for 2020-21 includes the total amount of funding received for residential aged care operations through aged care specific COVID-19 measures such as the one-off Residential Care Subsidy Increase or the Workforce Retention Bonus and non-aged-care measures such as </w:t>
      </w:r>
      <w:proofErr w:type="spellStart"/>
      <w:r w:rsidRPr="004221F9">
        <w:t>JobKeeper</w:t>
      </w:r>
      <w:proofErr w:type="spellEnd"/>
      <w:r w:rsidRPr="004221F9">
        <w:t>.</w:t>
      </w:r>
    </w:p>
    <w:p w14:paraId="46538682" w14:textId="77777777" w:rsidR="000747BA" w:rsidRDefault="000747BA" w:rsidP="00DF0733">
      <w:pPr>
        <w:pStyle w:val="FootnoteText"/>
      </w:pPr>
    </w:p>
    <w:p w14:paraId="040BCBCF" w14:textId="388488CB" w:rsidR="00B23D78" w:rsidRPr="005B6FCC" w:rsidRDefault="00B23D78" w:rsidP="00B23D78">
      <w:r>
        <w:fldChar w:fldCharType="begin"/>
      </w:r>
      <w:r>
        <w:instrText xml:space="preserve"> REF _Ref162512410 \h </w:instrText>
      </w:r>
      <w:r>
        <w:fldChar w:fldCharType="separate"/>
      </w:r>
      <w:r w:rsidR="001377BE">
        <w:t xml:space="preserve">Chart </w:t>
      </w:r>
      <w:r w:rsidR="001377BE">
        <w:rPr>
          <w:noProof/>
        </w:rPr>
        <w:t>3</w:t>
      </w:r>
      <w:r w:rsidR="001377BE">
        <w:t>.</w:t>
      </w:r>
      <w:r w:rsidR="001377BE">
        <w:rPr>
          <w:noProof/>
        </w:rPr>
        <w:t>4</w:t>
      </w:r>
      <w:r>
        <w:fldChar w:fldCharType="end"/>
      </w:r>
      <w:r>
        <w:t xml:space="preserve"> </w:t>
      </w:r>
      <w:r w:rsidRPr="00677C7B">
        <w:t>shows the proportion of total revenue that residential care providers received from residents.</w:t>
      </w:r>
      <w:r w:rsidRPr="00677C7B">
        <w:rPr>
          <w:spacing w:val="-11"/>
        </w:rPr>
        <w:t xml:space="preserve"> </w:t>
      </w:r>
      <w:r w:rsidRPr="00677C7B">
        <w:t>Consistent</w:t>
      </w:r>
      <w:r w:rsidRPr="00677C7B">
        <w:rPr>
          <w:spacing w:val="-11"/>
        </w:rPr>
        <w:t xml:space="preserve"> </w:t>
      </w:r>
      <w:r w:rsidRPr="00677C7B">
        <w:t>with</w:t>
      </w:r>
      <w:r w:rsidRPr="00677C7B">
        <w:rPr>
          <w:spacing w:val="-11"/>
        </w:rPr>
        <w:t xml:space="preserve"> </w:t>
      </w:r>
      <w:r w:rsidRPr="00677C7B">
        <w:t>previous</w:t>
      </w:r>
      <w:r w:rsidRPr="00677C7B">
        <w:rPr>
          <w:spacing w:val="-11"/>
        </w:rPr>
        <w:t xml:space="preserve"> </w:t>
      </w:r>
      <w:r w:rsidRPr="00677C7B">
        <w:t>years,</w:t>
      </w:r>
      <w:r w:rsidRPr="00677C7B">
        <w:rPr>
          <w:spacing w:val="-11"/>
        </w:rPr>
        <w:t xml:space="preserve"> </w:t>
      </w:r>
      <w:r w:rsidRPr="00677C7B">
        <w:t>the</w:t>
      </w:r>
      <w:r w:rsidRPr="00677C7B">
        <w:rPr>
          <w:spacing w:val="-10"/>
        </w:rPr>
        <w:t xml:space="preserve"> </w:t>
      </w:r>
      <w:r w:rsidR="00B719E3">
        <w:t>b</w:t>
      </w:r>
      <w:r w:rsidRPr="00677C7B">
        <w:t xml:space="preserve">asic </w:t>
      </w:r>
      <w:r w:rsidR="00B719E3">
        <w:t>d</w:t>
      </w:r>
      <w:r w:rsidRPr="00677C7B">
        <w:t xml:space="preserve">aily </w:t>
      </w:r>
      <w:r w:rsidR="00B719E3">
        <w:t>f</w:t>
      </w:r>
      <w:r w:rsidRPr="00677C7B">
        <w:t>ee formed the greatest share of revenue from residents (6</w:t>
      </w:r>
      <w:r w:rsidR="000B79EC">
        <w:t>2.8</w:t>
      </w:r>
      <w:r w:rsidR="00677C7B" w:rsidRPr="00677C7B">
        <w:t>%</w:t>
      </w:r>
      <w:r w:rsidRPr="00677C7B">
        <w:t>). Accommodation payments (Daily Accommodation Payments)</w:t>
      </w:r>
      <w:r w:rsidRPr="00677C7B">
        <w:rPr>
          <w:spacing w:val="-9"/>
        </w:rPr>
        <w:t xml:space="preserve"> </w:t>
      </w:r>
      <w:r w:rsidRPr="00677C7B">
        <w:t>formed</w:t>
      </w:r>
      <w:r w:rsidRPr="00677C7B">
        <w:rPr>
          <w:spacing w:val="-8"/>
        </w:rPr>
        <w:t xml:space="preserve"> </w:t>
      </w:r>
      <w:r w:rsidRPr="00677C7B">
        <w:t>a</w:t>
      </w:r>
      <w:r w:rsidRPr="00677C7B">
        <w:rPr>
          <w:spacing w:val="-8"/>
        </w:rPr>
        <w:t xml:space="preserve"> </w:t>
      </w:r>
      <w:r w:rsidRPr="00677C7B">
        <w:t>further</w:t>
      </w:r>
      <w:r w:rsidRPr="00677C7B">
        <w:rPr>
          <w:spacing w:val="-8"/>
        </w:rPr>
        <w:t xml:space="preserve"> </w:t>
      </w:r>
      <w:r w:rsidR="00677C7B" w:rsidRPr="00677C7B">
        <w:t>1</w:t>
      </w:r>
      <w:r w:rsidR="000B79EC">
        <w:t>6.6</w:t>
      </w:r>
      <w:r w:rsidR="00677C7B" w:rsidRPr="00677C7B">
        <w:t>%</w:t>
      </w:r>
      <w:r w:rsidRPr="00677C7B">
        <w:rPr>
          <w:spacing w:val="-8"/>
        </w:rPr>
        <w:t xml:space="preserve"> </w:t>
      </w:r>
      <w:r w:rsidRPr="00677C7B">
        <w:t>of</w:t>
      </w:r>
      <w:r w:rsidRPr="00677C7B">
        <w:rPr>
          <w:spacing w:val="-8"/>
        </w:rPr>
        <w:t xml:space="preserve"> </w:t>
      </w:r>
      <w:r w:rsidRPr="00677C7B">
        <w:t>the</w:t>
      </w:r>
      <w:r w:rsidRPr="00677C7B">
        <w:rPr>
          <w:spacing w:val="-8"/>
        </w:rPr>
        <w:t xml:space="preserve"> </w:t>
      </w:r>
      <w:r w:rsidRPr="00677C7B">
        <w:t xml:space="preserve">revenue received and means tested care fees represented </w:t>
      </w:r>
      <w:r w:rsidR="00677C7B" w:rsidRPr="00677C7B">
        <w:t>1</w:t>
      </w:r>
      <w:r w:rsidR="00690F5A">
        <w:t>2.9</w:t>
      </w:r>
      <w:r w:rsidR="00677C7B" w:rsidRPr="00677C7B">
        <w:t>%</w:t>
      </w:r>
      <w:r w:rsidRPr="00677C7B">
        <w:t xml:space="preserve">. The remaining </w:t>
      </w:r>
      <w:r w:rsidR="00131826">
        <w:t>7.6</w:t>
      </w:r>
      <w:r w:rsidR="00677C7B" w:rsidRPr="00677C7B">
        <w:t>%</w:t>
      </w:r>
      <w:r w:rsidRPr="00677C7B">
        <w:t xml:space="preserve"> consisted of extra</w:t>
      </w:r>
      <w:r w:rsidRPr="00677C7B">
        <w:rPr>
          <w:spacing w:val="-6"/>
        </w:rPr>
        <w:t xml:space="preserve"> </w:t>
      </w:r>
      <w:r w:rsidRPr="00677C7B">
        <w:t>service</w:t>
      </w:r>
      <w:r w:rsidRPr="00677C7B">
        <w:rPr>
          <w:spacing w:val="-6"/>
        </w:rPr>
        <w:t xml:space="preserve"> </w:t>
      </w:r>
      <w:r w:rsidRPr="00677C7B">
        <w:t>fees,</w:t>
      </w:r>
      <w:r w:rsidRPr="00677C7B">
        <w:rPr>
          <w:spacing w:val="-6"/>
        </w:rPr>
        <w:t xml:space="preserve"> </w:t>
      </w:r>
      <w:r w:rsidRPr="00677C7B">
        <w:t>additional</w:t>
      </w:r>
      <w:r w:rsidRPr="00677C7B">
        <w:rPr>
          <w:spacing w:val="-6"/>
        </w:rPr>
        <w:t xml:space="preserve"> </w:t>
      </w:r>
      <w:r w:rsidRPr="00677C7B">
        <w:t>service</w:t>
      </w:r>
      <w:r w:rsidRPr="00677C7B">
        <w:rPr>
          <w:spacing w:val="-6"/>
        </w:rPr>
        <w:t xml:space="preserve"> </w:t>
      </w:r>
      <w:r w:rsidRPr="00677C7B">
        <w:t>fees</w:t>
      </w:r>
      <w:r w:rsidRPr="00677C7B">
        <w:rPr>
          <w:spacing w:val="-6"/>
        </w:rPr>
        <w:t xml:space="preserve"> </w:t>
      </w:r>
      <w:r w:rsidRPr="00677C7B">
        <w:t>and</w:t>
      </w:r>
      <w:r w:rsidRPr="00677C7B">
        <w:rPr>
          <w:spacing w:val="-6"/>
        </w:rPr>
        <w:t xml:space="preserve"> </w:t>
      </w:r>
      <w:r w:rsidRPr="00677C7B">
        <w:t>other residential care fees.</w:t>
      </w:r>
    </w:p>
    <w:p w14:paraId="1B789975" w14:textId="01F9EFA8" w:rsidR="00516378" w:rsidRDefault="00092D86" w:rsidP="00706D0A">
      <w:pPr>
        <w:pStyle w:val="Caption"/>
      </w:pPr>
      <w:bookmarkStart w:id="109" w:name="_Ref162512410"/>
      <w:bookmarkStart w:id="110" w:name="_Toc173428921"/>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4</w:t>
      </w:r>
      <w:r w:rsidR="00AE19AA">
        <w:rPr>
          <w:noProof/>
        </w:rPr>
        <w:fldChar w:fldCharType="end"/>
      </w:r>
      <w:bookmarkEnd w:id="109"/>
      <w:r>
        <w:t xml:space="preserve">: </w:t>
      </w:r>
      <w:r w:rsidRPr="006E546B">
        <w:t xml:space="preserve"> Proportions of residential care provider revenue from residents, 202</w:t>
      </w:r>
      <w:r w:rsidR="00D20FBE">
        <w:t>2-23</w:t>
      </w:r>
      <w:r w:rsidRPr="006E546B">
        <w:t xml:space="preserve"> ($m)</w:t>
      </w:r>
      <w:bookmarkEnd w:id="110"/>
    </w:p>
    <w:p w14:paraId="6CDFDFD4" w14:textId="180256B5" w:rsidR="00811A3A" w:rsidRDefault="49D4341E" w:rsidP="00811A3A">
      <w:r>
        <w:rPr>
          <w:noProof/>
        </w:rPr>
        <w:drawing>
          <wp:inline distT="0" distB="0" distL="0" distR="0" wp14:anchorId="68B584CE" wp14:editId="3BE9BF9B">
            <wp:extent cx="5904000" cy="2373371"/>
            <wp:effectExtent l="0" t="0" r="1905" b="8255"/>
            <wp:docPr id="1271021948" name="Picture 1271021948" descr="Chart 3.4 is a bar graph titled Proportions of residential care provider revenue from residents, 2022-23 ($m). The basic daily fee forms the greatest share at 62.8%. Accommodation payments (excludes refundable lump sum deposits) formed a further 16.6 % of the revenue received and means tested care fees represent 12.9%. The remaining 7.6% consists of extra service fees, additional service fees and other residential care f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02194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37367" cy="2386784"/>
                    </a:xfrm>
                    <a:prstGeom prst="rect">
                      <a:avLst/>
                    </a:prstGeom>
                  </pic:spPr>
                </pic:pic>
              </a:graphicData>
            </a:graphic>
          </wp:inline>
        </w:drawing>
      </w:r>
    </w:p>
    <w:p w14:paraId="1191BCBA" w14:textId="4D267A8B" w:rsidR="004742A1" w:rsidRDefault="00EA6359" w:rsidP="00811A3A">
      <w:r>
        <w:fldChar w:fldCharType="begin"/>
      </w:r>
      <w:r>
        <w:instrText xml:space="preserve"> REF _Ref170977478 \h </w:instrText>
      </w:r>
      <w:r>
        <w:fldChar w:fldCharType="separate"/>
      </w:r>
      <w:r w:rsidR="001377BE">
        <w:t xml:space="preserve">Table </w:t>
      </w:r>
      <w:r w:rsidR="001377BE">
        <w:rPr>
          <w:noProof/>
        </w:rPr>
        <w:t>3</w:t>
      </w:r>
      <w:r w:rsidR="001377BE">
        <w:t>.</w:t>
      </w:r>
      <w:r w:rsidR="001377BE">
        <w:rPr>
          <w:noProof/>
        </w:rPr>
        <w:t>5</w:t>
      </w:r>
      <w:r>
        <w:fldChar w:fldCharType="end"/>
      </w:r>
      <w:r>
        <w:t xml:space="preserve"> </w:t>
      </w:r>
      <w:r w:rsidR="007F4534" w:rsidRPr="007F4534">
        <w:t>shows the additional service fee revenue in 2022-23 was $200.9</w:t>
      </w:r>
      <w:r w:rsidR="00092AFC">
        <w:t>0</w:t>
      </w:r>
      <w:r w:rsidR="007F4534" w:rsidRPr="007F4534">
        <w:t xml:space="preserve"> million, an increase of $24.9</w:t>
      </w:r>
      <w:r w:rsidR="00120861">
        <w:t>3</w:t>
      </w:r>
      <w:r w:rsidR="007F4534" w:rsidRPr="007F4534">
        <w:t xml:space="preserve"> million (14.2%) from 2021-22 ($17</w:t>
      </w:r>
      <w:r w:rsidR="00572A50">
        <w:t>5.97</w:t>
      </w:r>
      <w:r w:rsidR="007F4534" w:rsidRPr="007F4534">
        <w:t xml:space="preserve"> million). Additional service fees as a percentage of total residential aged care revenue in 2022-23 was 0.83%, with a gradual increase over time in recent years (0.75% in 2020-21). By agreement with the resident, a residential aged care provider can charge an additional service fee for care and services over and above those that they are required to supply under aged care legislation.</w:t>
      </w:r>
    </w:p>
    <w:p w14:paraId="41BFD8D9" w14:textId="76495A91" w:rsidR="00D6328E" w:rsidRDefault="004742A1" w:rsidP="00EA6359">
      <w:pPr>
        <w:pStyle w:val="Caption"/>
      </w:pPr>
      <w:bookmarkStart w:id="111" w:name="_Ref170977478"/>
      <w:bookmarkStart w:id="112" w:name="_Toc173428887"/>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5</w:t>
      </w:r>
      <w:r w:rsidR="00AE19AA">
        <w:rPr>
          <w:noProof/>
        </w:rPr>
        <w:fldChar w:fldCharType="end"/>
      </w:r>
      <w:bookmarkEnd w:id="111"/>
      <w:r>
        <w:t>: A</w:t>
      </w:r>
      <w:r w:rsidRPr="00544D8D">
        <w:t xml:space="preserve">dditional service fee </w:t>
      </w:r>
      <w:r w:rsidR="49995760">
        <w:t>revenue</w:t>
      </w:r>
      <w:r w:rsidRPr="00544D8D">
        <w:t xml:space="preserve"> between 2020-21 and 2022-23 ($m)</w:t>
      </w:r>
      <w:bookmarkEnd w:id="112"/>
      <w:r w:rsidR="004428E6" w:rsidDel="004428E6">
        <w:t xml:space="preserve"> </w:t>
      </w:r>
    </w:p>
    <w:tbl>
      <w:tblPr>
        <w:tblW w:w="8931" w:type="dxa"/>
        <w:tblLook w:val="04A0" w:firstRow="1" w:lastRow="0" w:firstColumn="1" w:lastColumn="0" w:noHBand="0" w:noVBand="1"/>
      </w:tblPr>
      <w:tblGrid>
        <w:gridCol w:w="4623"/>
        <w:gridCol w:w="1520"/>
        <w:gridCol w:w="1520"/>
        <w:gridCol w:w="1268"/>
      </w:tblGrid>
      <w:tr w:rsidR="002B771E" w:rsidRPr="002B771E" w14:paraId="1BBF94E7" w14:textId="77777777" w:rsidTr="006F4F12">
        <w:trPr>
          <w:trHeight w:val="330"/>
        </w:trPr>
        <w:tc>
          <w:tcPr>
            <w:tcW w:w="4623" w:type="dxa"/>
            <w:tcBorders>
              <w:top w:val="single" w:sz="12" w:space="0" w:color="1E1545"/>
              <w:left w:val="nil"/>
              <w:bottom w:val="single" w:sz="12" w:space="0" w:color="1E1545"/>
              <w:right w:val="nil"/>
            </w:tcBorders>
            <w:shd w:val="clear" w:color="000000" w:fill="1E1545"/>
            <w:vAlign w:val="center"/>
            <w:hideMark/>
          </w:tcPr>
          <w:p w14:paraId="7955BD95" w14:textId="77777777" w:rsidR="002B771E" w:rsidRPr="002B771E" w:rsidRDefault="002B771E" w:rsidP="002B771E">
            <w:pPr>
              <w:spacing w:before="0" w:after="0" w:line="240" w:lineRule="auto"/>
              <w:rPr>
                <w:rFonts w:cs="Arial"/>
                <w:b/>
                <w:color w:val="F1F2F2"/>
                <w:sz w:val="21"/>
                <w:szCs w:val="21"/>
                <w:lang w:eastAsia="en-AU"/>
              </w:rPr>
            </w:pPr>
            <w:r w:rsidRPr="002B771E">
              <w:rPr>
                <w:rFonts w:cs="Arial"/>
                <w:b/>
                <w:color w:val="F1F2F2"/>
                <w:sz w:val="21"/>
                <w:szCs w:val="21"/>
                <w:lang w:eastAsia="en-AU"/>
              </w:rPr>
              <w:t>Revenue</w:t>
            </w:r>
          </w:p>
        </w:tc>
        <w:tc>
          <w:tcPr>
            <w:tcW w:w="1520" w:type="dxa"/>
            <w:tcBorders>
              <w:top w:val="single" w:sz="12" w:space="0" w:color="1E1545"/>
              <w:left w:val="nil"/>
              <w:bottom w:val="single" w:sz="12" w:space="0" w:color="1E1545"/>
              <w:right w:val="nil"/>
            </w:tcBorders>
            <w:shd w:val="clear" w:color="000000" w:fill="1E1545"/>
            <w:vAlign w:val="center"/>
            <w:hideMark/>
          </w:tcPr>
          <w:p w14:paraId="6956E3C7" w14:textId="77777777" w:rsidR="002B771E" w:rsidRPr="002B771E" w:rsidRDefault="002B771E" w:rsidP="002B771E">
            <w:pPr>
              <w:spacing w:before="0" w:after="0" w:line="240" w:lineRule="auto"/>
              <w:jc w:val="right"/>
              <w:rPr>
                <w:rFonts w:cs="Arial"/>
                <w:b/>
                <w:color w:val="F1F2F2"/>
                <w:sz w:val="21"/>
                <w:szCs w:val="21"/>
                <w:lang w:eastAsia="en-AU"/>
              </w:rPr>
            </w:pPr>
            <w:r w:rsidRPr="002B771E">
              <w:rPr>
                <w:rFonts w:cs="Arial"/>
                <w:b/>
                <w:color w:val="F1F2F2"/>
                <w:sz w:val="21"/>
                <w:szCs w:val="21"/>
                <w:lang w:eastAsia="en-AU"/>
              </w:rPr>
              <w:t>2020-21</w:t>
            </w:r>
          </w:p>
        </w:tc>
        <w:tc>
          <w:tcPr>
            <w:tcW w:w="1520" w:type="dxa"/>
            <w:tcBorders>
              <w:top w:val="single" w:sz="12" w:space="0" w:color="1E1545"/>
              <w:left w:val="nil"/>
              <w:bottom w:val="single" w:sz="12" w:space="0" w:color="1E1545"/>
              <w:right w:val="nil"/>
            </w:tcBorders>
            <w:shd w:val="clear" w:color="000000" w:fill="1E1545"/>
            <w:vAlign w:val="center"/>
            <w:hideMark/>
          </w:tcPr>
          <w:p w14:paraId="456D43CD" w14:textId="77777777" w:rsidR="002B771E" w:rsidRPr="002B771E" w:rsidRDefault="002B771E" w:rsidP="002B771E">
            <w:pPr>
              <w:spacing w:before="0" w:after="0" w:line="240" w:lineRule="auto"/>
              <w:jc w:val="right"/>
              <w:rPr>
                <w:rFonts w:cs="Arial"/>
                <w:b/>
                <w:color w:val="F1F2F2"/>
                <w:sz w:val="21"/>
                <w:szCs w:val="21"/>
                <w:lang w:eastAsia="en-AU"/>
              </w:rPr>
            </w:pPr>
            <w:r w:rsidRPr="002B771E">
              <w:rPr>
                <w:rFonts w:cs="Arial"/>
                <w:b/>
                <w:color w:val="F1F2F2"/>
                <w:sz w:val="21"/>
                <w:szCs w:val="21"/>
                <w:lang w:eastAsia="en-AU"/>
              </w:rPr>
              <w:t>2021-22</w:t>
            </w:r>
          </w:p>
        </w:tc>
        <w:tc>
          <w:tcPr>
            <w:tcW w:w="1268" w:type="dxa"/>
            <w:tcBorders>
              <w:top w:val="single" w:sz="12" w:space="0" w:color="1E1545"/>
              <w:left w:val="nil"/>
              <w:bottom w:val="single" w:sz="12" w:space="0" w:color="1E1545"/>
              <w:right w:val="nil"/>
            </w:tcBorders>
            <w:shd w:val="clear" w:color="000000" w:fill="1E1545"/>
            <w:vAlign w:val="center"/>
            <w:hideMark/>
          </w:tcPr>
          <w:p w14:paraId="0BCEE8A4" w14:textId="77777777" w:rsidR="002B771E" w:rsidRPr="002B771E" w:rsidRDefault="002B771E" w:rsidP="002B771E">
            <w:pPr>
              <w:spacing w:before="0" w:after="0" w:line="240" w:lineRule="auto"/>
              <w:jc w:val="right"/>
              <w:rPr>
                <w:rFonts w:cs="Arial"/>
                <w:b/>
                <w:color w:val="F1F2F2"/>
                <w:sz w:val="21"/>
                <w:szCs w:val="21"/>
                <w:lang w:eastAsia="en-AU"/>
              </w:rPr>
            </w:pPr>
            <w:r w:rsidRPr="002B771E">
              <w:rPr>
                <w:rFonts w:cs="Arial"/>
                <w:b/>
                <w:color w:val="F1F2F2"/>
                <w:sz w:val="21"/>
                <w:szCs w:val="21"/>
                <w:lang w:eastAsia="en-AU"/>
              </w:rPr>
              <w:t>2022-23</w:t>
            </w:r>
          </w:p>
        </w:tc>
      </w:tr>
      <w:tr w:rsidR="002B771E" w:rsidRPr="002B771E" w14:paraId="136E0FAC" w14:textId="77777777" w:rsidTr="006F4F12">
        <w:trPr>
          <w:trHeight w:val="330"/>
        </w:trPr>
        <w:tc>
          <w:tcPr>
            <w:tcW w:w="4623" w:type="dxa"/>
            <w:tcBorders>
              <w:top w:val="nil"/>
              <w:left w:val="nil"/>
              <w:bottom w:val="single" w:sz="12" w:space="0" w:color="1E1545"/>
              <w:right w:val="nil"/>
            </w:tcBorders>
            <w:shd w:val="clear" w:color="000000" w:fill="FFFFFF"/>
            <w:vAlign w:val="center"/>
            <w:hideMark/>
          </w:tcPr>
          <w:p w14:paraId="1FC013AC" w14:textId="77777777" w:rsidR="002B771E" w:rsidRPr="002B771E" w:rsidRDefault="002B771E" w:rsidP="002B771E">
            <w:pPr>
              <w:spacing w:before="0" w:after="0" w:line="240" w:lineRule="auto"/>
              <w:rPr>
                <w:rFonts w:cs="Arial"/>
                <w:bCs w:val="0"/>
                <w:color w:val="1E1545"/>
                <w:sz w:val="21"/>
                <w:szCs w:val="21"/>
                <w:lang w:eastAsia="en-AU"/>
              </w:rPr>
            </w:pPr>
            <w:r w:rsidRPr="002B771E">
              <w:rPr>
                <w:rFonts w:cs="Arial"/>
                <w:bCs w:val="0"/>
                <w:color w:val="1E1545"/>
                <w:sz w:val="21"/>
                <w:szCs w:val="21"/>
                <w:lang w:eastAsia="en-AU"/>
              </w:rPr>
              <w:t>Additional services fees</w:t>
            </w:r>
          </w:p>
        </w:tc>
        <w:tc>
          <w:tcPr>
            <w:tcW w:w="1520" w:type="dxa"/>
            <w:tcBorders>
              <w:top w:val="nil"/>
              <w:left w:val="nil"/>
              <w:bottom w:val="single" w:sz="12" w:space="0" w:color="1E1545"/>
              <w:right w:val="nil"/>
            </w:tcBorders>
            <w:shd w:val="clear" w:color="000000" w:fill="FFFFFF"/>
            <w:noWrap/>
            <w:vAlign w:val="center"/>
            <w:hideMark/>
          </w:tcPr>
          <w:p w14:paraId="26BF7857"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$161.76 </w:t>
            </w:r>
          </w:p>
        </w:tc>
        <w:tc>
          <w:tcPr>
            <w:tcW w:w="1520" w:type="dxa"/>
            <w:tcBorders>
              <w:top w:val="nil"/>
              <w:left w:val="nil"/>
              <w:bottom w:val="single" w:sz="12" w:space="0" w:color="1E1545"/>
              <w:right w:val="nil"/>
            </w:tcBorders>
            <w:shd w:val="clear" w:color="000000" w:fill="FFFFFF"/>
            <w:noWrap/>
            <w:vAlign w:val="center"/>
            <w:hideMark/>
          </w:tcPr>
          <w:p w14:paraId="1A7866B1"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$175.97 </w:t>
            </w:r>
          </w:p>
        </w:tc>
        <w:tc>
          <w:tcPr>
            <w:tcW w:w="1268" w:type="dxa"/>
            <w:tcBorders>
              <w:top w:val="nil"/>
              <w:left w:val="nil"/>
              <w:bottom w:val="single" w:sz="12" w:space="0" w:color="1E1545"/>
              <w:right w:val="nil"/>
            </w:tcBorders>
            <w:shd w:val="clear" w:color="000000" w:fill="FFFFFF"/>
            <w:noWrap/>
            <w:vAlign w:val="center"/>
            <w:hideMark/>
          </w:tcPr>
          <w:p w14:paraId="180859E9"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$200.90 </w:t>
            </w:r>
          </w:p>
        </w:tc>
      </w:tr>
      <w:tr w:rsidR="002B771E" w:rsidRPr="002B771E" w14:paraId="791C4739" w14:textId="77777777" w:rsidTr="006F4F12">
        <w:trPr>
          <w:trHeight w:val="330"/>
        </w:trPr>
        <w:tc>
          <w:tcPr>
            <w:tcW w:w="4623" w:type="dxa"/>
            <w:tcBorders>
              <w:top w:val="nil"/>
              <w:left w:val="nil"/>
              <w:bottom w:val="single" w:sz="12" w:space="0" w:color="1E1545"/>
              <w:right w:val="nil"/>
            </w:tcBorders>
            <w:shd w:val="clear" w:color="000000" w:fill="FFFFFF"/>
            <w:vAlign w:val="center"/>
            <w:hideMark/>
          </w:tcPr>
          <w:p w14:paraId="005BECAA" w14:textId="77777777" w:rsidR="002B771E" w:rsidRPr="002B771E" w:rsidRDefault="002B771E" w:rsidP="002B771E">
            <w:pPr>
              <w:spacing w:before="0" w:after="0" w:line="240" w:lineRule="auto"/>
              <w:rPr>
                <w:rFonts w:cs="Arial"/>
                <w:bCs w:val="0"/>
                <w:color w:val="1E1545"/>
                <w:sz w:val="21"/>
                <w:szCs w:val="21"/>
                <w:lang w:eastAsia="en-AU"/>
              </w:rPr>
            </w:pPr>
            <w:r w:rsidRPr="002B771E">
              <w:rPr>
                <w:rFonts w:cs="Arial"/>
                <w:bCs w:val="0"/>
                <w:color w:val="1E1545"/>
                <w:sz w:val="21"/>
                <w:szCs w:val="21"/>
                <w:lang w:eastAsia="en-AU"/>
              </w:rPr>
              <w:t>Total Revenue</w:t>
            </w:r>
          </w:p>
        </w:tc>
        <w:tc>
          <w:tcPr>
            <w:tcW w:w="1520" w:type="dxa"/>
            <w:tcBorders>
              <w:top w:val="nil"/>
              <w:left w:val="nil"/>
              <w:bottom w:val="single" w:sz="12" w:space="0" w:color="1E1545"/>
              <w:right w:val="nil"/>
            </w:tcBorders>
            <w:shd w:val="clear" w:color="000000" w:fill="FFFFFF"/>
            <w:noWrap/>
            <w:vAlign w:val="center"/>
            <w:hideMark/>
          </w:tcPr>
          <w:p w14:paraId="6192EB8E"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$21,478.45 </w:t>
            </w:r>
          </w:p>
        </w:tc>
        <w:tc>
          <w:tcPr>
            <w:tcW w:w="1520" w:type="dxa"/>
            <w:tcBorders>
              <w:top w:val="nil"/>
              <w:left w:val="nil"/>
              <w:bottom w:val="single" w:sz="12" w:space="0" w:color="1E1545"/>
              <w:right w:val="nil"/>
            </w:tcBorders>
            <w:shd w:val="clear" w:color="000000" w:fill="FFFFFF"/>
            <w:noWrap/>
            <w:vAlign w:val="center"/>
            <w:hideMark/>
          </w:tcPr>
          <w:p w14:paraId="5C639076"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$22,074.54 </w:t>
            </w:r>
          </w:p>
        </w:tc>
        <w:tc>
          <w:tcPr>
            <w:tcW w:w="1268" w:type="dxa"/>
            <w:tcBorders>
              <w:top w:val="nil"/>
              <w:left w:val="nil"/>
              <w:bottom w:val="single" w:sz="12" w:space="0" w:color="1E1545"/>
              <w:right w:val="nil"/>
            </w:tcBorders>
            <w:shd w:val="clear" w:color="000000" w:fill="FFFFFF"/>
            <w:noWrap/>
            <w:vAlign w:val="center"/>
            <w:hideMark/>
          </w:tcPr>
          <w:p w14:paraId="72A9D9FA"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 xml:space="preserve">$24,239.73 </w:t>
            </w:r>
          </w:p>
        </w:tc>
      </w:tr>
      <w:tr w:rsidR="002B771E" w:rsidRPr="002B771E" w14:paraId="66D32C1E" w14:textId="77777777" w:rsidTr="006F4F12">
        <w:trPr>
          <w:trHeight w:val="330"/>
        </w:trPr>
        <w:tc>
          <w:tcPr>
            <w:tcW w:w="4623" w:type="dxa"/>
            <w:tcBorders>
              <w:top w:val="nil"/>
              <w:left w:val="nil"/>
              <w:bottom w:val="single" w:sz="12" w:space="0" w:color="1E1545"/>
              <w:right w:val="nil"/>
            </w:tcBorders>
            <w:shd w:val="clear" w:color="000000" w:fill="FFFFFF"/>
            <w:vAlign w:val="center"/>
            <w:hideMark/>
          </w:tcPr>
          <w:p w14:paraId="4CE55C34" w14:textId="77777777" w:rsidR="002B771E" w:rsidRPr="002B771E" w:rsidRDefault="002B771E" w:rsidP="002B771E">
            <w:pPr>
              <w:spacing w:before="0" w:after="0" w:line="240" w:lineRule="auto"/>
              <w:rPr>
                <w:rFonts w:cs="Arial"/>
                <w:bCs w:val="0"/>
                <w:color w:val="1E1545"/>
                <w:sz w:val="21"/>
                <w:szCs w:val="21"/>
                <w:lang w:eastAsia="en-AU"/>
              </w:rPr>
            </w:pPr>
            <w:r w:rsidRPr="002B771E">
              <w:rPr>
                <w:rFonts w:cs="Arial"/>
                <w:bCs w:val="0"/>
                <w:color w:val="1E1545"/>
                <w:sz w:val="21"/>
                <w:szCs w:val="21"/>
                <w:lang w:eastAsia="en-AU"/>
              </w:rPr>
              <w:t>Additional service fees as a % of total revenue</w:t>
            </w:r>
          </w:p>
        </w:tc>
        <w:tc>
          <w:tcPr>
            <w:tcW w:w="1520" w:type="dxa"/>
            <w:tcBorders>
              <w:top w:val="nil"/>
              <w:left w:val="nil"/>
              <w:bottom w:val="single" w:sz="12" w:space="0" w:color="1E1545"/>
              <w:right w:val="nil"/>
            </w:tcBorders>
            <w:shd w:val="clear" w:color="000000" w:fill="FFFFFF"/>
            <w:noWrap/>
            <w:vAlign w:val="center"/>
            <w:hideMark/>
          </w:tcPr>
          <w:p w14:paraId="160F1288"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0.75%</w:t>
            </w:r>
          </w:p>
        </w:tc>
        <w:tc>
          <w:tcPr>
            <w:tcW w:w="1520" w:type="dxa"/>
            <w:tcBorders>
              <w:top w:val="nil"/>
              <w:left w:val="nil"/>
              <w:bottom w:val="single" w:sz="12" w:space="0" w:color="1E1545"/>
              <w:right w:val="nil"/>
            </w:tcBorders>
            <w:shd w:val="clear" w:color="000000" w:fill="FFFFFF"/>
            <w:noWrap/>
            <w:vAlign w:val="center"/>
            <w:hideMark/>
          </w:tcPr>
          <w:p w14:paraId="5B46A480"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0.80%</w:t>
            </w:r>
          </w:p>
        </w:tc>
        <w:tc>
          <w:tcPr>
            <w:tcW w:w="1268" w:type="dxa"/>
            <w:tcBorders>
              <w:top w:val="nil"/>
              <w:left w:val="nil"/>
              <w:bottom w:val="single" w:sz="12" w:space="0" w:color="1E1545"/>
              <w:right w:val="nil"/>
            </w:tcBorders>
            <w:shd w:val="clear" w:color="000000" w:fill="FFFFFF"/>
            <w:noWrap/>
            <w:vAlign w:val="center"/>
            <w:hideMark/>
          </w:tcPr>
          <w:p w14:paraId="4021AC13" w14:textId="77777777" w:rsidR="002B771E" w:rsidRPr="002B771E" w:rsidRDefault="002B771E" w:rsidP="002B771E">
            <w:pPr>
              <w:spacing w:before="0" w:after="0" w:line="240" w:lineRule="auto"/>
              <w:jc w:val="right"/>
              <w:rPr>
                <w:rFonts w:cs="Arial"/>
                <w:bCs w:val="0"/>
                <w:color w:val="1E1545"/>
                <w:sz w:val="21"/>
                <w:szCs w:val="21"/>
                <w:lang w:eastAsia="en-AU"/>
              </w:rPr>
            </w:pPr>
            <w:r w:rsidRPr="002B771E">
              <w:rPr>
                <w:rFonts w:cs="Arial"/>
                <w:bCs w:val="0"/>
                <w:color w:val="1E1545"/>
                <w:sz w:val="21"/>
                <w:szCs w:val="21"/>
                <w:lang w:eastAsia="en-AU"/>
              </w:rPr>
              <w:t>0.83%</w:t>
            </w:r>
          </w:p>
        </w:tc>
      </w:tr>
    </w:tbl>
    <w:p w14:paraId="0B63184F" w14:textId="77777777" w:rsidR="006F4F12" w:rsidRDefault="006F4F12" w:rsidP="006F4F12">
      <w:pPr>
        <w:spacing w:before="0" w:after="0" w:line="240" w:lineRule="auto"/>
      </w:pPr>
      <w:r>
        <w:br w:type="page"/>
      </w:r>
    </w:p>
    <w:p w14:paraId="1A2F89F2" w14:textId="2F01FED7" w:rsidR="009359E9" w:rsidRDefault="009359E9" w:rsidP="00811A3A">
      <w:r>
        <w:fldChar w:fldCharType="begin"/>
      </w:r>
      <w:r>
        <w:instrText xml:space="preserve"> REF _Ref170933802 \h </w:instrText>
      </w:r>
      <w:r>
        <w:fldChar w:fldCharType="separate"/>
      </w:r>
      <w:r w:rsidR="001377BE">
        <w:t xml:space="preserve">Table </w:t>
      </w:r>
      <w:r w:rsidR="001377BE">
        <w:rPr>
          <w:noProof/>
        </w:rPr>
        <w:t>3</w:t>
      </w:r>
      <w:r w:rsidR="001377BE">
        <w:t>.</w:t>
      </w:r>
      <w:r w:rsidR="001377BE">
        <w:rPr>
          <w:noProof/>
        </w:rPr>
        <w:t>6</w:t>
      </w:r>
      <w:r>
        <w:fldChar w:fldCharType="end"/>
      </w:r>
      <w:r w:rsidR="00985B97">
        <w:t xml:space="preserve"> </w:t>
      </w:r>
      <w:r w:rsidR="00B9467D">
        <w:t>shows</w:t>
      </w:r>
      <w:r w:rsidR="00495EAC">
        <w:t xml:space="preserve"> that 225</w:t>
      </w:r>
      <w:r w:rsidR="00985B97" w:rsidRPr="00985B97">
        <w:t xml:space="preserve"> </w:t>
      </w:r>
      <w:r w:rsidR="00495EAC">
        <w:t>(29%)</w:t>
      </w:r>
      <w:r w:rsidR="00985B97" w:rsidRPr="00985B97">
        <w:t xml:space="preserve"> </w:t>
      </w:r>
      <w:r w:rsidR="00B9467D">
        <w:t>r</w:t>
      </w:r>
      <w:r w:rsidR="00985B97" w:rsidRPr="00985B97">
        <w:t>esidential aged care providers recorded revenue from additional service fees</w:t>
      </w:r>
      <w:r w:rsidR="00BE6EDB">
        <w:t xml:space="preserve"> in 2022-23</w:t>
      </w:r>
      <w:r w:rsidR="00985B97" w:rsidRPr="00985B97">
        <w:t>. Of the 225 providers, 11 reported receiving 5% or more of their total residential aged care revenue from additional services fees</w:t>
      </w:r>
      <w:r w:rsidR="00AD48E2">
        <w:t xml:space="preserve">. </w:t>
      </w:r>
      <w:r>
        <w:t xml:space="preserve"> </w:t>
      </w:r>
    </w:p>
    <w:p w14:paraId="4D16369A" w14:textId="3040E528" w:rsidR="0043730D" w:rsidRDefault="008E638F" w:rsidP="00EA6359">
      <w:pPr>
        <w:pStyle w:val="Caption"/>
      </w:pPr>
      <w:bookmarkStart w:id="113" w:name="_Ref170933802"/>
      <w:bookmarkStart w:id="114" w:name="_Toc173428888"/>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t>.</w:t>
      </w:r>
      <w:r w:rsidR="00AE19AA">
        <w:fldChar w:fldCharType="begin"/>
      </w:r>
      <w:r w:rsidR="00AE19AA">
        <w:instrText xml:space="preserve"> SEQ Table \* ARABIC \s 1 </w:instrText>
      </w:r>
      <w:r w:rsidR="00AE19AA">
        <w:fldChar w:fldCharType="separate"/>
      </w:r>
      <w:r w:rsidR="001377BE">
        <w:rPr>
          <w:noProof/>
        </w:rPr>
        <w:t>6</w:t>
      </w:r>
      <w:r w:rsidR="00AE19AA">
        <w:rPr>
          <w:noProof/>
        </w:rPr>
        <w:fldChar w:fldCharType="end"/>
      </w:r>
      <w:bookmarkEnd w:id="113"/>
      <w:r>
        <w:t xml:space="preserve">: </w:t>
      </w:r>
      <w:r w:rsidRPr="00BF3569">
        <w:t>Breakdown of providers by how much of their residential aged care revenue they received from additional services fees in 2022-23</w:t>
      </w:r>
      <w:bookmarkEnd w:id="114"/>
    </w:p>
    <w:tbl>
      <w:tblPr>
        <w:tblW w:w="9214" w:type="dxa"/>
        <w:tblLayout w:type="fixed"/>
        <w:tblLook w:val="04A0" w:firstRow="1" w:lastRow="0" w:firstColumn="1" w:lastColumn="0" w:noHBand="0" w:noVBand="1"/>
      </w:tblPr>
      <w:tblGrid>
        <w:gridCol w:w="1600"/>
        <w:gridCol w:w="1087"/>
        <w:gridCol w:w="1088"/>
        <w:gridCol w:w="1088"/>
        <w:gridCol w:w="1087"/>
        <w:gridCol w:w="1088"/>
        <w:gridCol w:w="1088"/>
        <w:gridCol w:w="1088"/>
      </w:tblGrid>
      <w:tr w:rsidR="00E8360C" w:rsidRPr="00E8360C" w14:paraId="439A1536" w14:textId="77777777" w:rsidTr="00AC5916">
        <w:trPr>
          <w:trHeight w:val="330"/>
        </w:trPr>
        <w:tc>
          <w:tcPr>
            <w:tcW w:w="1600" w:type="dxa"/>
            <w:tcBorders>
              <w:top w:val="single" w:sz="12" w:space="0" w:color="1E1545"/>
              <w:left w:val="nil"/>
              <w:bottom w:val="single" w:sz="12" w:space="0" w:color="1E1545"/>
              <w:right w:val="nil"/>
            </w:tcBorders>
            <w:shd w:val="clear" w:color="000000" w:fill="1E1545"/>
            <w:vAlign w:val="center"/>
            <w:hideMark/>
          </w:tcPr>
          <w:p w14:paraId="474B5450" w14:textId="77777777" w:rsidR="00E8360C" w:rsidRPr="00E8360C" w:rsidRDefault="00E8360C" w:rsidP="00E8360C">
            <w:pPr>
              <w:spacing w:before="0" w:after="0" w:line="240" w:lineRule="auto"/>
              <w:rPr>
                <w:rFonts w:cs="Arial"/>
                <w:b/>
                <w:color w:val="F1F2F2"/>
                <w:sz w:val="21"/>
                <w:szCs w:val="21"/>
                <w:lang w:eastAsia="en-AU"/>
              </w:rPr>
            </w:pPr>
            <w:r w:rsidRPr="00E8360C">
              <w:rPr>
                <w:rFonts w:cs="Arial"/>
                <w:b/>
                <w:color w:val="F1F2F2"/>
                <w:sz w:val="21"/>
                <w:szCs w:val="21"/>
                <w:lang w:eastAsia="en-AU"/>
              </w:rPr>
              <w:t> </w:t>
            </w:r>
          </w:p>
        </w:tc>
        <w:tc>
          <w:tcPr>
            <w:tcW w:w="1087" w:type="dxa"/>
            <w:tcBorders>
              <w:top w:val="single" w:sz="12" w:space="0" w:color="1E1545"/>
              <w:left w:val="nil"/>
              <w:bottom w:val="single" w:sz="12" w:space="0" w:color="1E1545"/>
              <w:right w:val="nil"/>
            </w:tcBorders>
            <w:shd w:val="clear" w:color="000000" w:fill="1E1545"/>
            <w:vAlign w:val="center"/>
            <w:hideMark/>
          </w:tcPr>
          <w:p w14:paraId="2FEE512A"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0</w:t>
            </w:r>
          </w:p>
        </w:tc>
        <w:tc>
          <w:tcPr>
            <w:tcW w:w="1088" w:type="dxa"/>
            <w:tcBorders>
              <w:top w:val="single" w:sz="12" w:space="0" w:color="1E1545"/>
              <w:left w:val="nil"/>
              <w:bottom w:val="single" w:sz="12" w:space="0" w:color="1E1545"/>
              <w:right w:val="nil"/>
            </w:tcBorders>
            <w:shd w:val="clear" w:color="000000" w:fill="1E1545"/>
            <w:vAlign w:val="center"/>
            <w:hideMark/>
          </w:tcPr>
          <w:p w14:paraId="64AC7266"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0 to 1%</w:t>
            </w:r>
          </w:p>
        </w:tc>
        <w:tc>
          <w:tcPr>
            <w:tcW w:w="1088" w:type="dxa"/>
            <w:tcBorders>
              <w:top w:val="single" w:sz="12" w:space="0" w:color="1E1545"/>
              <w:left w:val="nil"/>
              <w:bottom w:val="single" w:sz="12" w:space="0" w:color="1E1545"/>
              <w:right w:val="nil"/>
            </w:tcBorders>
            <w:shd w:val="clear" w:color="000000" w:fill="1E1545"/>
            <w:vAlign w:val="center"/>
            <w:hideMark/>
          </w:tcPr>
          <w:p w14:paraId="46ADB175"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1 to 2%</w:t>
            </w:r>
          </w:p>
        </w:tc>
        <w:tc>
          <w:tcPr>
            <w:tcW w:w="1087" w:type="dxa"/>
            <w:tcBorders>
              <w:top w:val="single" w:sz="12" w:space="0" w:color="1E1545"/>
              <w:left w:val="nil"/>
              <w:bottom w:val="single" w:sz="12" w:space="0" w:color="1E1545"/>
              <w:right w:val="nil"/>
            </w:tcBorders>
            <w:shd w:val="clear" w:color="000000" w:fill="1E1545"/>
            <w:vAlign w:val="center"/>
            <w:hideMark/>
          </w:tcPr>
          <w:p w14:paraId="107DBFC1"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2 to 3%</w:t>
            </w:r>
          </w:p>
        </w:tc>
        <w:tc>
          <w:tcPr>
            <w:tcW w:w="1088" w:type="dxa"/>
            <w:tcBorders>
              <w:top w:val="single" w:sz="12" w:space="0" w:color="1E1545"/>
              <w:left w:val="nil"/>
              <w:bottom w:val="single" w:sz="12" w:space="0" w:color="1E1545"/>
              <w:right w:val="nil"/>
            </w:tcBorders>
            <w:shd w:val="clear" w:color="000000" w:fill="1E1545"/>
            <w:vAlign w:val="center"/>
            <w:hideMark/>
          </w:tcPr>
          <w:p w14:paraId="43321851"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3 to 4%</w:t>
            </w:r>
          </w:p>
        </w:tc>
        <w:tc>
          <w:tcPr>
            <w:tcW w:w="1088" w:type="dxa"/>
            <w:tcBorders>
              <w:top w:val="single" w:sz="12" w:space="0" w:color="1E1545"/>
              <w:left w:val="nil"/>
              <w:bottom w:val="single" w:sz="12" w:space="0" w:color="1E1545"/>
              <w:right w:val="nil"/>
            </w:tcBorders>
            <w:shd w:val="clear" w:color="000000" w:fill="1E1545"/>
            <w:vAlign w:val="center"/>
            <w:hideMark/>
          </w:tcPr>
          <w:p w14:paraId="73DBC705"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4 to 5%</w:t>
            </w:r>
          </w:p>
        </w:tc>
        <w:tc>
          <w:tcPr>
            <w:tcW w:w="1088" w:type="dxa"/>
            <w:tcBorders>
              <w:top w:val="single" w:sz="12" w:space="0" w:color="1E1545"/>
              <w:left w:val="nil"/>
              <w:bottom w:val="single" w:sz="12" w:space="0" w:color="1E1545"/>
              <w:right w:val="nil"/>
            </w:tcBorders>
            <w:shd w:val="clear" w:color="000000" w:fill="1E1545"/>
            <w:vAlign w:val="center"/>
            <w:hideMark/>
          </w:tcPr>
          <w:p w14:paraId="516F04B9" w14:textId="77777777" w:rsidR="00E8360C" w:rsidRPr="00E8360C" w:rsidRDefault="00E8360C" w:rsidP="00E8360C">
            <w:pPr>
              <w:spacing w:before="0" w:after="0" w:line="240" w:lineRule="auto"/>
              <w:jc w:val="right"/>
              <w:rPr>
                <w:rFonts w:cs="Arial"/>
                <w:b/>
                <w:color w:val="F1F2F2"/>
                <w:sz w:val="21"/>
                <w:szCs w:val="21"/>
                <w:lang w:eastAsia="en-AU"/>
              </w:rPr>
            </w:pPr>
            <w:r w:rsidRPr="00E8360C">
              <w:rPr>
                <w:rFonts w:cs="Arial"/>
                <w:b/>
                <w:color w:val="F1F2F2"/>
                <w:sz w:val="21"/>
                <w:szCs w:val="21"/>
                <w:lang w:eastAsia="en-AU"/>
              </w:rPr>
              <w:t>5% or more</w:t>
            </w:r>
          </w:p>
        </w:tc>
      </w:tr>
      <w:tr w:rsidR="00E8360C" w:rsidRPr="00E8360C" w14:paraId="31CD860D" w14:textId="77777777" w:rsidTr="00AC5916">
        <w:trPr>
          <w:trHeight w:val="330"/>
        </w:trPr>
        <w:tc>
          <w:tcPr>
            <w:tcW w:w="1600" w:type="dxa"/>
            <w:tcBorders>
              <w:top w:val="nil"/>
              <w:left w:val="nil"/>
              <w:bottom w:val="single" w:sz="12" w:space="0" w:color="1E1545"/>
              <w:right w:val="nil"/>
            </w:tcBorders>
            <w:shd w:val="clear" w:color="000000" w:fill="FFFFFF"/>
            <w:vAlign w:val="center"/>
            <w:hideMark/>
          </w:tcPr>
          <w:p w14:paraId="63CA05DA" w14:textId="77777777" w:rsidR="00E8360C" w:rsidRPr="00E8360C" w:rsidRDefault="00E8360C" w:rsidP="00E8360C">
            <w:pPr>
              <w:spacing w:before="0" w:after="0" w:line="240" w:lineRule="auto"/>
              <w:rPr>
                <w:rFonts w:cs="Arial"/>
                <w:bCs w:val="0"/>
                <w:color w:val="1E1545"/>
                <w:sz w:val="21"/>
                <w:szCs w:val="21"/>
                <w:lang w:eastAsia="en-AU"/>
              </w:rPr>
            </w:pPr>
            <w:r w:rsidRPr="001F12F9">
              <w:rPr>
                <w:rFonts w:cs="Arial"/>
                <w:bCs w:val="0"/>
                <w:color w:val="1E1545"/>
                <w:sz w:val="20"/>
                <w:szCs w:val="20"/>
                <w:lang w:eastAsia="en-AU"/>
              </w:rPr>
              <w:t>Provider count</w:t>
            </w:r>
          </w:p>
        </w:tc>
        <w:tc>
          <w:tcPr>
            <w:tcW w:w="1087" w:type="dxa"/>
            <w:tcBorders>
              <w:top w:val="nil"/>
              <w:left w:val="nil"/>
              <w:bottom w:val="single" w:sz="12" w:space="0" w:color="1E1545"/>
              <w:right w:val="nil"/>
            </w:tcBorders>
            <w:shd w:val="clear" w:color="000000" w:fill="FFFFFF"/>
            <w:noWrap/>
            <w:vAlign w:val="center"/>
            <w:hideMark/>
          </w:tcPr>
          <w:p w14:paraId="584F738E"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537</w:t>
            </w:r>
          </w:p>
        </w:tc>
        <w:tc>
          <w:tcPr>
            <w:tcW w:w="1088" w:type="dxa"/>
            <w:tcBorders>
              <w:top w:val="nil"/>
              <w:left w:val="nil"/>
              <w:bottom w:val="single" w:sz="12" w:space="0" w:color="1E1545"/>
              <w:right w:val="nil"/>
            </w:tcBorders>
            <w:shd w:val="clear" w:color="000000" w:fill="FFFFFF"/>
            <w:noWrap/>
            <w:vAlign w:val="center"/>
            <w:hideMark/>
          </w:tcPr>
          <w:p w14:paraId="7B10F5FC"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142</w:t>
            </w:r>
          </w:p>
        </w:tc>
        <w:tc>
          <w:tcPr>
            <w:tcW w:w="1088" w:type="dxa"/>
            <w:tcBorders>
              <w:top w:val="nil"/>
              <w:left w:val="nil"/>
              <w:bottom w:val="single" w:sz="12" w:space="0" w:color="1E1545"/>
              <w:right w:val="nil"/>
            </w:tcBorders>
            <w:shd w:val="clear" w:color="000000" w:fill="FFFFFF"/>
            <w:noWrap/>
            <w:vAlign w:val="center"/>
            <w:hideMark/>
          </w:tcPr>
          <w:p w14:paraId="54B9B7DC"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35</w:t>
            </w:r>
          </w:p>
        </w:tc>
        <w:tc>
          <w:tcPr>
            <w:tcW w:w="1087" w:type="dxa"/>
            <w:tcBorders>
              <w:top w:val="nil"/>
              <w:left w:val="nil"/>
              <w:bottom w:val="single" w:sz="12" w:space="0" w:color="1E1545"/>
              <w:right w:val="nil"/>
            </w:tcBorders>
            <w:shd w:val="clear" w:color="000000" w:fill="FFFFFF"/>
            <w:vAlign w:val="center"/>
            <w:hideMark/>
          </w:tcPr>
          <w:p w14:paraId="73CF61BD"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21</w:t>
            </w:r>
          </w:p>
        </w:tc>
        <w:tc>
          <w:tcPr>
            <w:tcW w:w="1088" w:type="dxa"/>
            <w:tcBorders>
              <w:top w:val="nil"/>
              <w:left w:val="nil"/>
              <w:bottom w:val="single" w:sz="12" w:space="0" w:color="1E1545"/>
              <w:right w:val="nil"/>
            </w:tcBorders>
            <w:shd w:val="clear" w:color="000000" w:fill="FFFFFF"/>
            <w:vAlign w:val="center"/>
            <w:hideMark/>
          </w:tcPr>
          <w:p w14:paraId="75E5824C"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10</w:t>
            </w:r>
          </w:p>
        </w:tc>
        <w:tc>
          <w:tcPr>
            <w:tcW w:w="1088" w:type="dxa"/>
            <w:tcBorders>
              <w:top w:val="nil"/>
              <w:left w:val="nil"/>
              <w:bottom w:val="single" w:sz="12" w:space="0" w:color="1E1545"/>
              <w:right w:val="nil"/>
            </w:tcBorders>
            <w:shd w:val="clear" w:color="000000" w:fill="FFFFFF"/>
            <w:vAlign w:val="center"/>
            <w:hideMark/>
          </w:tcPr>
          <w:p w14:paraId="00C49A85"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6</w:t>
            </w:r>
          </w:p>
        </w:tc>
        <w:tc>
          <w:tcPr>
            <w:tcW w:w="1088" w:type="dxa"/>
            <w:tcBorders>
              <w:top w:val="nil"/>
              <w:left w:val="nil"/>
              <w:bottom w:val="single" w:sz="12" w:space="0" w:color="1E1545"/>
              <w:right w:val="nil"/>
            </w:tcBorders>
            <w:shd w:val="clear" w:color="000000" w:fill="FFFFFF"/>
            <w:vAlign w:val="center"/>
            <w:hideMark/>
          </w:tcPr>
          <w:p w14:paraId="11688C01"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11</w:t>
            </w:r>
          </w:p>
        </w:tc>
      </w:tr>
      <w:tr w:rsidR="00E8360C" w:rsidRPr="00E8360C" w14:paraId="5F42CF96" w14:textId="77777777" w:rsidTr="00AC5916">
        <w:trPr>
          <w:trHeight w:val="330"/>
        </w:trPr>
        <w:tc>
          <w:tcPr>
            <w:tcW w:w="1600" w:type="dxa"/>
            <w:tcBorders>
              <w:top w:val="nil"/>
              <w:left w:val="nil"/>
              <w:bottom w:val="single" w:sz="12" w:space="0" w:color="1E1545"/>
              <w:right w:val="nil"/>
            </w:tcBorders>
            <w:shd w:val="clear" w:color="000000" w:fill="FFFFFF"/>
            <w:vAlign w:val="center"/>
            <w:hideMark/>
          </w:tcPr>
          <w:p w14:paraId="24E77D23" w14:textId="77777777" w:rsidR="00E8360C" w:rsidRPr="001F12F9" w:rsidRDefault="00E8360C" w:rsidP="00E8360C">
            <w:pPr>
              <w:spacing w:before="0" w:after="0" w:line="240" w:lineRule="auto"/>
              <w:rPr>
                <w:rFonts w:cs="Arial"/>
                <w:bCs w:val="0"/>
                <w:color w:val="1E1545"/>
                <w:sz w:val="20"/>
                <w:szCs w:val="20"/>
                <w:lang w:eastAsia="en-AU"/>
              </w:rPr>
            </w:pPr>
            <w:r w:rsidRPr="001F12F9">
              <w:rPr>
                <w:rFonts w:cs="Arial"/>
                <w:bCs w:val="0"/>
                <w:color w:val="1E1545"/>
                <w:sz w:val="20"/>
                <w:szCs w:val="20"/>
                <w:lang w:eastAsia="en-AU"/>
              </w:rPr>
              <w:t>Share of sector</w:t>
            </w:r>
          </w:p>
        </w:tc>
        <w:tc>
          <w:tcPr>
            <w:tcW w:w="1087" w:type="dxa"/>
            <w:tcBorders>
              <w:top w:val="nil"/>
              <w:left w:val="nil"/>
              <w:bottom w:val="single" w:sz="12" w:space="0" w:color="1E1545"/>
              <w:right w:val="nil"/>
            </w:tcBorders>
            <w:shd w:val="clear" w:color="000000" w:fill="FFFFFF"/>
            <w:noWrap/>
            <w:vAlign w:val="center"/>
            <w:hideMark/>
          </w:tcPr>
          <w:p w14:paraId="5FB85DBD"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70.7%</w:t>
            </w:r>
          </w:p>
        </w:tc>
        <w:tc>
          <w:tcPr>
            <w:tcW w:w="1088" w:type="dxa"/>
            <w:tcBorders>
              <w:top w:val="nil"/>
              <w:left w:val="nil"/>
              <w:bottom w:val="single" w:sz="12" w:space="0" w:color="1E1545"/>
              <w:right w:val="nil"/>
            </w:tcBorders>
            <w:shd w:val="clear" w:color="000000" w:fill="FFFFFF"/>
            <w:noWrap/>
            <w:vAlign w:val="center"/>
            <w:hideMark/>
          </w:tcPr>
          <w:p w14:paraId="3EF0F413"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18.5%</w:t>
            </w:r>
          </w:p>
        </w:tc>
        <w:tc>
          <w:tcPr>
            <w:tcW w:w="1088" w:type="dxa"/>
            <w:tcBorders>
              <w:top w:val="nil"/>
              <w:left w:val="nil"/>
              <w:bottom w:val="single" w:sz="12" w:space="0" w:color="1E1545"/>
              <w:right w:val="nil"/>
            </w:tcBorders>
            <w:shd w:val="clear" w:color="000000" w:fill="FFFFFF"/>
            <w:noWrap/>
            <w:vAlign w:val="center"/>
            <w:hideMark/>
          </w:tcPr>
          <w:p w14:paraId="3CD063A1"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4.6%</w:t>
            </w:r>
          </w:p>
        </w:tc>
        <w:tc>
          <w:tcPr>
            <w:tcW w:w="1087" w:type="dxa"/>
            <w:tcBorders>
              <w:top w:val="nil"/>
              <w:left w:val="nil"/>
              <w:bottom w:val="single" w:sz="12" w:space="0" w:color="1E1545"/>
              <w:right w:val="nil"/>
            </w:tcBorders>
            <w:shd w:val="clear" w:color="000000" w:fill="FFFFFF"/>
            <w:noWrap/>
            <w:vAlign w:val="center"/>
            <w:hideMark/>
          </w:tcPr>
          <w:p w14:paraId="218AF274"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2.7%</w:t>
            </w:r>
          </w:p>
        </w:tc>
        <w:tc>
          <w:tcPr>
            <w:tcW w:w="1088" w:type="dxa"/>
            <w:tcBorders>
              <w:top w:val="nil"/>
              <w:left w:val="nil"/>
              <w:bottom w:val="single" w:sz="12" w:space="0" w:color="1E1545"/>
              <w:right w:val="nil"/>
            </w:tcBorders>
            <w:shd w:val="clear" w:color="000000" w:fill="FFFFFF"/>
            <w:noWrap/>
            <w:vAlign w:val="center"/>
            <w:hideMark/>
          </w:tcPr>
          <w:p w14:paraId="6A84133F"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1.3%</w:t>
            </w:r>
          </w:p>
        </w:tc>
        <w:tc>
          <w:tcPr>
            <w:tcW w:w="1088" w:type="dxa"/>
            <w:tcBorders>
              <w:top w:val="nil"/>
              <w:left w:val="nil"/>
              <w:bottom w:val="single" w:sz="12" w:space="0" w:color="1E1545"/>
              <w:right w:val="nil"/>
            </w:tcBorders>
            <w:shd w:val="clear" w:color="000000" w:fill="FFFFFF"/>
            <w:noWrap/>
            <w:vAlign w:val="center"/>
            <w:hideMark/>
          </w:tcPr>
          <w:p w14:paraId="67E3402F"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0.8%</w:t>
            </w:r>
          </w:p>
        </w:tc>
        <w:tc>
          <w:tcPr>
            <w:tcW w:w="1088" w:type="dxa"/>
            <w:tcBorders>
              <w:top w:val="nil"/>
              <w:left w:val="nil"/>
              <w:bottom w:val="single" w:sz="12" w:space="0" w:color="1E1545"/>
              <w:right w:val="nil"/>
            </w:tcBorders>
            <w:shd w:val="clear" w:color="000000" w:fill="FFFFFF"/>
            <w:noWrap/>
            <w:vAlign w:val="center"/>
            <w:hideMark/>
          </w:tcPr>
          <w:p w14:paraId="14224549" w14:textId="77777777" w:rsidR="00E8360C" w:rsidRPr="00E8360C" w:rsidRDefault="00E8360C" w:rsidP="00E8360C">
            <w:pPr>
              <w:spacing w:before="0" w:after="0" w:line="240" w:lineRule="auto"/>
              <w:jc w:val="right"/>
              <w:rPr>
                <w:rFonts w:cs="Arial"/>
                <w:bCs w:val="0"/>
                <w:color w:val="1E1545"/>
                <w:sz w:val="21"/>
                <w:szCs w:val="21"/>
                <w:lang w:eastAsia="en-AU"/>
              </w:rPr>
            </w:pPr>
            <w:r w:rsidRPr="00E8360C">
              <w:rPr>
                <w:rFonts w:cs="Arial"/>
                <w:bCs w:val="0"/>
                <w:color w:val="1E1545"/>
                <w:sz w:val="21"/>
                <w:szCs w:val="21"/>
                <w:lang w:eastAsia="en-AU"/>
              </w:rPr>
              <w:t>1.4%</w:t>
            </w:r>
          </w:p>
        </w:tc>
      </w:tr>
    </w:tbl>
    <w:p w14:paraId="7AF2FF50" w14:textId="58476E16" w:rsidR="00292830" w:rsidRPr="0054124D" w:rsidRDefault="00292830" w:rsidP="00811A3A"/>
    <w:p w14:paraId="06866F92" w14:textId="414D273E" w:rsidR="00756F36" w:rsidRPr="0054124D" w:rsidRDefault="00EA6359" w:rsidP="00EA6359">
      <w:pPr>
        <w:pStyle w:val="Caption"/>
      </w:pPr>
      <w:r w:rsidRPr="00EA6359">
        <w:rPr>
          <w:b w:val="0"/>
        </w:rPr>
        <w:fldChar w:fldCharType="begin"/>
      </w:r>
      <w:r w:rsidRPr="00EA6359">
        <w:rPr>
          <w:b w:val="0"/>
        </w:rPr>
        <w:instrText xml:space="preserve"> REF _Ref170934125 \h  \* MERGEFORMAT </w:instrText>
      </w:r>
      <w:r w:rsidRPr="00EA6359">
        <w:rPr>
          <w:b w:val="0"/>
        </w:rPr>
      </w:r>
      <w:r w:rsidRPr="00EA6359">
        <w:rPr>
          <w:b w:val="0"/>
        </w:rPr>
        <w:fldChar w:fldCharType="separate"/>
      </w:r>
      <w:r w:rsidR="001377BE" w:rsidRPr="001377BE">
        <w:rPr>
          <w:b w:val="0"/>
        </w:rPr>
        <w:t xml:space="preserve">Table </w:t>
      </w:r>
      <w:r w:rsidR="001377BE" w:rsidRPr="001377BE">
        <w:rPr>
          <w:b w:val="0"/>
          <w:noProof/>
        </w:rPr>
        <w:t>3.7</w:t>
      </w:r>
      <w:r w:rsidRPr="00EA6359">
        <w:rPr>
          <w:b w:val="0"/>
        </w:rPr>
        <w:fldChar w:fldCharType="end"/>
      </w:r>
      <w:r w:rsidRPr="00EA6359">
        <w:rPr>
          <w:b w:val="0"/>
        </w:rPr>
        <w:t xml:space="preserve"> </w:t>
      </w:r>
      <w:r w:rsidR="00756F36" w:rsidRPr="00EA6359">
        <w:rPr>
          <w:b w:val="0"/>
        </w:rPr>
        <w:t>shows</w:t>
      </w:r>
      <w:r w:rsidR="00756F36" w:rsidRPr="0054124D">
        <w:rPr>
          <w:b w:val="0"/>
          <w:spacing w:val="-11"/>
        </w:rPr>
        <w:t xml:space="preserve"> </w:t>
      </w:r>
      <w:r w:rsidR="00756F36" w:rsidRPr="0054124D">
        <w:rPr>
          <w:b w:val="0"/>
        </w:rPr>
        <w:t>provider</w:t>
      </w:r>
      <w:r w:rsidR="00756F36" w:rsidRPr="0054124D">
        <w:rPr>
          <w:b w:val="0"/>
          <w:spacing w:val="-11"/>
        </w:rPr>
        <w:t xml:space="preserve"> </w:t>
      </w:r>
      <w:r w:rsidR="00756F36" w:rsidRPr="0054124D">
        <w:rPr>
          <w:b w:val="0"/>
        </w:rPr>
        <w:t>revenue</w:t>
      </w:r>
      <w:r w:rsidR="00756F36" w:rsidRPr="0054124D">
        <w:rPr>
          <w:b w:val="0"/>
          <w:spacing w:val="-11"/>
        </w:rPr>
        <w:t xml:space="preserve"> </w:t>
      </w:r>
      <w:r w:rsidR="00756F36" w:rsidRPr="0054124D">
        <w:rPr>
          <w:b w:val="0"/>
        </w:rPr>
        <w:t>sources</w:t>
      </w:r>
      <w:r w:rsidR="00756F36" w:rsidRPr="0054124D">
        <w:rPr>
          <w:b w:val="0"/>
          <w:spacing w:val="-11"/>
        </w:rPr>
        <w:t xml:space="preserve"> </w:t>
      </w:r>
      <w:r w:rsidR="00756F36" w:rsidRPr="0054124D">
        <w:rPr>
          <w:b w:val="0"/>
        </w:rPr>
        <w:t>for</w:t>
      </w:r>
      <w:r w:rsidR="00756F36" w:rsidRPr="0054124D">
        <w:rPr>
          <w:b w:val="0"/>
          <w:spacing w:val="-11"/>
        </w:rPr>
        <w:t xml:space="preserve"> </w:t>
      </w:r>
      <w:r w:rsidR="00756F36" w:rsidRPr="0054124D">
        <w:rPr>
          <w:b w:val="0"/>
        </w:rPr>
        <w:t>2022</w:t>
      </w:r>
      <w:r w:rsidR="0027611C" w:rsidRPr="0054124D">
        <w:rPr>
          <w:b w:val="0"/>
        </w:rPr>
        <w:t>-23</w:t>
      </w:r>
      <w:r w:rsidR="00756F36" w:rsidRPr="0054124D">
        <w:rPr>
          <w:b w:val="0"/>
        </w:rPr>
        <w:t xml:space="preserve"> compared with the previous two years.</w:t>
      </w:r>
    </w:p>
    <w:p w14:paraId="0AA09D15" w14:textId="58A70EBD" w:rsidR="002A3855" w:rsidRDefault="00756F36" w:rsidP="00756F36">
      <w:r w:rsidRPr="0027611C">
        <w:t>In</w:t>
      </w:r>
      <w:r w:rsidRPr="0027611C">
        <w:rPr>
          <w:spacing w:val="-10"/>
        </w:rPr>
        <w:t xml:space="preserve"> </w:t>
      </w:r>
      <w:r w:rsidRPr="0027611C">
        <w:t>2022</w:t>
      </w:r>
      <w:r w:rsidR="0027611C">
        <w:t>-23</w:t>
      </w:r>
      <w:r w:rsidRPr="0027611C">
        <w:t>,</w:t>
      </w:r>
      <w:r w:rsidRPr="0027611C">
        <w:rPr>
          <w:spacing w:val="-6"/>
        </w:rPr>
        <w:t xml:space="preserve"> </w:t>
      </w:r>
      <w:r w:rsidRPr="0027611C">
        <w:t>total</w:t>
      </w:r>
      <w:r w:rsidRPr="0027611C">
        <w:rPr>
          <w:spacing w:val="-5"/>
        </w:rPr>
        <w:t xml:space="preserve"> </w:t>
      </w:r>
      <w:r w:rsidR="009D2668">
        <w:rPr>
          <w:spacing w:val="-5"/>
        </w:rPr>
        <w:t>residential sector</w:t>
      </w:r>
      <w:r w:rsidRPr="0027611C">
        <w:rPr>
          <w:spacing w:val="-5"/>
        </w:rPr>
        <w:t xml:space="preserve"> </w:t>
      </w:r>
      <w:r w:rsidRPr="004D788C">
        <w:t>revenue was $2</w:t>
      </w:r>
      <w:r w:rsidR="0027611C" w:rsidRPr="004D788C">
        <w:t>4.2</w:t>
      </w:r>
      <w:r w:rsidRPr="004D788C">
        <w:t xml:space="preserve"> billion, up from $2</w:t>
      </w:r>
      <w:r w:rsidR="0027611C" w:rsidRPr="004D788C">
        <w:t>2.1</w:t>
      </w:r>
      <w:r w:rsidRPr="004D788C">
        <w:t xml:space="preserve"> billion in 2021</w:t>
      </w:r>
      <w:r w:rsidR="0027611C" w:rsidRPr="004D788C">
        <w:t>-22</w:t>
      </w:r>
      <w:r w:rsidR="7E8508CC" w:rsidRPr="004D788C">
        <w:t>.</w:t>
      </w:r>
      <w:r w:rsidRPr="004D788C">
        <w:t xml:space="preserve"> The $</w:t>
      </w:r>
      <w:r w:rsidR="0027611C" w:rsidRPr="004D788C">
        <w:t>2.2 billion</w:t>
      </w:r>
      <w:r w:rsidRPr="004D788C">
        <w:t xml:space="preserve"> increase in 2022</w:t>
      </w:r>
      <w:r w:rsidR="0027611C" w:rsidRPr="004D788C">
        <w:t>-23</w:t>
      </w:r>
      <w:r w:rsidRPr="004D788C">
        <w:t xml:space="preserve"> can mostly be attributed to </w:t>
      </w:r>
      <w:r w:rsidR="004D788C" w:rsidRPr="004D788C">
        <w:t xml:space="preserve">the introduction of AN-ACC from October 2022. </w:t>
      </w:r>
      <w:r w:rsidR="00C71B97">
        <w:t xml:space="preserve">The AN-ACC funding rolls together the previous ACFI basic subsidy (that is, ACFI funding), the amounts that were provided through the Basic Daily Fee supplement, the homeless supplement, the viability supplement, and the additional funding for care minutes. </w:t>
      </w:r>
      <w:r w:rsidR="002A3855">
        <w:t>The</w:t>
      </w:r>
      <w:r w:rsidRPr="004D788C">
        <w:t xml:space="preserve"> Basic</w:t>
      </w:r>
      <w:r w:rsidRPr="0027611C">
        <w:t xml:space="preserve"> Daily Fee supplement </w:t>
      </w:r>
      <w:r w:rsidR="002A3855">
        <w:t>p</w:t>
      </w:r>
      <w:r w:rsidRPr="0027611C">
        <w:t>rovided by the Government in 202</w:t>
      </w:r>
      <w:r w:rsidR="002A3855">
        <w:t>2</w:t>
      </w:r>
      <w:r w:rsidRPr="0027611C">
        <w:t>-2</w:t>
      </w:r>
      <w:r w:rsidR="002A3855">
        <w:t>3 decreased due to aligning with the introduction o</w:t>
      </w:r>
      <w:r w:rsidR="00D20FBE">
        <w:t>f</w:t>
      </w:r>
      <w:r w:rsidR="002A3855">
        <w:t xml:space="preserve"> AN-ACC</w:t>
      </w:r>
      <w:r w:rsidRPr="0027611C">
        <w:t xml:space="preserve">. </w:t>
      </w:r>
    </w:p>
    <w:p w14:paraId="4580B0F6" w14:textId="73F4F167" w:rsidR="00BA5DCC" w:rsidRDefault="00756F36" w:rsidP="00756F36">
      <w:r w:rsidRPr="0027611C">
        <w:t xml:space="preserve">COVID-19 revenue </w:t>
      </w:r>
      <w:r w:rsidR="002A3855">
        <w:t>in</w:t>
      </w:r>
      <w:r w:rsidRPr="0027611C">
        <w:t>creased in 2022</w:t>
      </w:r>
      <w:r w:rsidR="002A3855">
        <w:t>-23</w:t>
      </w:r>
      <w:r w:rsidRPr="0027611C">
        <w:t xml:space="preserve"> by $</w:t>
      </w:r>
      <w:r w:rsidR="002B702C">
        <w:t>208</w:t>
      </w:r>
      <w:r w:rsidR="00FD22AC">
        <w:t>.</w:t>
      </w:r>
      <w:r w:rsidR="006F7AF1">
        <w:t>6</w:t>
      </w:r>
      <w:r w:rsidRPr="0027611C">
        <w:t xml:space="preserve"> million, to a sector total of $</w:t>
      </w:r>
      <w:r w:rsidR="00FD22AC">
        <w:t>514</w:t>
      </w:r>
      <w:r w:rsidR="006F7AF1">
        <w:t>.7</w:t>
      </w:r>
      <w:r w:rsidRPr="0027611C">
        <w:t xml:space="preserve"> million.</w:t>
      </w:r>
    </w:p>
    <w:p w14:paraId="59F24149" w14:textId="77777777" w:rsidR="0050690C" w:rsidRPr="0012316B" w:rsidRDefault="0050690C" w:rsidP="0050690C">
      <w:r w:rsidRPr="0012316B">
        <w:t xml:space="preserve">Other revenue makes up 8.5% of total provider revenue and includes financing income, imputed interest on RADs, and asset revaluation. </w:t>
      </w:r>
    </w:p>
    <w:p w14:paraId="53655DBD" w14:textId="4FA142EA" w:rsidR="00F77D8D" w:rsidRDefault="00D3379C" w:rsidP="00F77D8D">
      <w:pPr>
        <w:pStyle w:val="Caption"/>
      </w:pPr>
      <w:bookmarkStart w:id="115" w:name="_Ref170934125"/>
      <w:bookmarkStart w:id="116" w:name="_Ref162512456"/>
      <w:bookmarkStart w:id="117" w:name="_Toc173428889"/>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7</w:t>
      </w:r>
      <w:r w:rsidR="00AE19AA">
        <w:rPr>
          <w:noProof/>
        </w:rPr>
        <w:fldChar w:fldCharType="end"/>
      </w:r>
      <w:bookmarkEnd w:id="115"/>
      <w:bookmarkEnd w:id="116"/>
      <w:r>
        <w:t xml:space="preserve">: </w:t>
      </w:r>
      <w:r w:rsidRPr="00AD5023">
        <w:t>Revenue</w:t>
      </w:r>
      <w:r w:rsidR="00EE136A">
        <w:t xml:space="preserve"> </w:t>
      </w:r>
      <w:r w:rsidRPr="00AD5023">
        <w:t>sources for residential care providers, Australian Government, resident and ‘other’, 2020</w:t>
      </w:r>
      <w:r w:rsidR="00D20FBE">
        <w:t>-21</w:t>
      </w:r>
      <w:r w:rsidRPr="00AD5023">
        <w:t xml:space="preserve"> to 2022</w:t>
      </w:r>
      <w:r w:rsidR="00D20FBE">
        <w:t>-23</w:t>
      </w:r>
      <w:r w:rsidRPr="00AD5023">
        <w:t xml:space="preserve"> ($m)</w:t>
      </w:r>
      <w:bookmarkEnd w:id="117"/>
    </w:p>
    <w:tbl>
      <w:tblPr>
        <w:tblW w:w="9498" w:type="dxa"/>
        <w:tblLayout w:type="fixed"/>
        <w:tblLook w:val="04A0" w:firstRow="1" w:lastRow="0" w:firstColumn="1" w:lastColumn="0" w:noHBand="0" w:noVBand="1"/>
      </w:tblPr>
      <w:tblGrid>
        <w:gridCol w:w="2268"/>
        <w:gridCol w:w="284"/>
        <w:gridCol w:w="1134"/>
        <w:gridCol w:w="23"/>
        <w:gridCol w:w="544"/>
        <w:gridCol w:w="567"/>
        <w:gridCol w:w="47"/>
        <w:gridCol w:w="662"/>
        <w:gridCol w:w="425"/>
        <w:gridCol w:w="71"/>
        <w:gridCol w:w="638"/>
        <w:gridCol w:w="519"/>
        <w:gridCol w:w="48"/>
        <w:gridCol w:w="708"/>
        <w:gridCol w:w="355"/>
        <w:gridCol w:w="47"/>
        <w:gridCol w:w="874"/>
        <w:gridCol w:w="284"/>
      </w:tblGrid>
      <w:tr w:rsidR="00AD282C" w:rsidRPr="00AD282C" w14:paraId="28F1563D" w14:textId="77777777" w:rsidTr="00CE4B6D">
        <w:trPr>
          <w:trHeight w:val="1370"/>
        </w:trPr>
        <w:tc>
          <w:tcPr>
            <w:tcW w:w="2268" w:type="dxa"/>
            <w:tcBorders>
              <w:top w:val="single" w:sz="12" w:space="0" w:color="1E1545" w:themeColor="text2"/>
              <w:left w:val="nil"/>
              <w:bottom w:val="single" w:sz="12" w:space="0" w:color="1E1545" w:themeColor="text2"/>
              <w:right w:val="nil"/>
            </w:tcBorders>
            <w:shd w:val="clear" w:color="auto" w:fill="1E1545" w:themeFill="text2"/>
            <w:vAlign w:val="center"/>
            <w:hideMark/>
          </w:tcPr>
          <w:p w14:paraId="62ED20EA" w14:textId="77777777" w:rsidR="00AD282C" w:rsidRPr="00AC5916" w:rsidRDefault="00AD282C" w:rsidP="00AD282C">
            <w:pPr>
              <w:spacing w:before="0" w:after="0" w:line="240" w:lineRule="auto"/>
              <w:rPr>
                <w:rFonts w:cs="Arial"/>
                <w:b/>
                <w:color w:val="F1F2F2"/>
                <w:sz w:val="18"/>
                <w:lang w:eastAsia="en-AU"/>
              </w:rPr>
            </w:pPr>
            <w:r w:rsidRPr="00AC5916">
              <w:rPr>
                <w:rFonts w:cs="Arial"/>
                <w:b/>
                <w:color w:val="F1F2F2"/>
                <w:sz w:val="18"/>
                <w:lang w:eastAsia="en-AU"/>
              </w:rPr>
              <w:t>Revenue sources</w:t>
            </w:r>
          </w:p>
        </w:tc>
        <w:tc>
          <w:tcPr>
            <w:tcW w:w="1418" w:type="dxa"/>
            <w:gridSpan w:val="2"/>
            <w:tcBorders>
              <w:top w:val="single" w:sz="12" w:space="0" w:color="1E1545" w:themeColor="text2"/>
              <w:left w:val="nil"/>
              <w:bottom w:val="single" w:sz="12" w:space="0" w:color="1E1545" w:themeColor="text2"/>
              <w:right w:val="nil"/>
            </w:tcBorders>
            <w:shd w:val="clear" w:color="auto" w:fill="1E1545" w:themeFill="text2"/>
            <w:vAlign w:val="center"/>
            <w:hideMark/>
          </w:tcPr>
          <w:p w14:paraId="3E14A18D" w14:textId="77777777" w:rsidR="00AD282C" w:rsidRPr="00AC5916" w:rsidRDefault="00AD282C" w:rsidP="00AD282C">
            <w:pPr>
              <w:spacing w:before="0" w:after="0" w:line="240" w:lineRule="auto"/>
              <w:jc w:val="right"/>
              <w:rPr>
                <w:rFonts w:cs="Arial"/>
                <w:b/>
                <w:color w:val="F1F2F2"/>
                <w:sz w:val="18"/>
                <w:lang w:eastAsia="en-AU"/>
              </w:rPr>
            </w:pPr>
            <w:r w:rsidRPr="00AC5916">
              <w:rPr>
                <w:rFonts w:cs="Arial"/>
                <w:b/>
                <w:color w:val="F1F2F2"/>
                <w:sz w:val="18"/>
                <w:lang w:eastAsia="en-AU"/>
              </w:rPr>
              <w:t>2020-21</w:t>
            </w:r>
            <w:r w:rsidRPr="00AC5916">
              <w:rPr>
                <w:rFonts w:cs="Arial"/>
                <w:b/>
                <w:color w:val="F1F2F2"/>
                <w:sz w:val="18"/>
                <w:lang w:eastAsia="en-AU"/>
              </w:rPr>
              <w:br/>
              <w:t>($m)</w:t>
            </w:r>
          </w:p>
        </w:tc>
        <w:tc>
          <w:tcPr>
            <w:tcW w:w="1134" w:type="dxa"/>
            <w:gridSpan w:val="3"/>
            <w:tcBorders>
              <w:top w:val="single" w:sz="12" w:space="0" w:color="1E1545" w:themeColor="text2"/>
              <w:left w:val="nil"/>
              <w:bottom w:val="single" w:sz="12" w:space="0" w:color="1E1545" w:themeColor="text2"/>
              <w:right w:val="nil"/>
            </w:tcBorders>
            <w:shd w:val="clear" w:color="auto" w:fill="1E1545" w:themeFill="text2"/>
            <w:vAlign w:val="center"/>
            <w:hideMark/>
          </w:tcPr>
          <w:p w14:paraId="38867152" w14:textId="77777777" w:rsidR="00AD282C" w:rsidRPr="00AC5916" w:rsidRDefault="00AD282C" w:rsidP="00AD282C">
            <w:pPr>
              <w:spacing w:before="0" w:after="0" w:line="240" w:lineRule="auto"/>
              <w:jc w:val="right"/>
              <w:rPr>
                <w:rFonts w:cs="Arial"/>
                <w:b/>
                <w:color w:val="F1F2F2"/>
                <w:sz w:val="18"/>
                <w:lang w:eastAsia="en-AU"/>
              </w:rPr>
            </w:pPr>
            <w:r w:rsidRPr="00AC5916">
              <w:rPr>
                <w:rFonts w:cs="Arial"/>
                <w:b/>
                <w:color w:val="F1F2F2"/>
                <w:sz w:val="18"/>
                <w:lang w:eastAsia="en-AU"/>
              </w:rPr>
              <w:t>2021-22</w:t>
            </w:r>
            <w:r w:rsidRPr="00AC5916">
              <w:rPr>
                <w:rFonts w:cs="Arial"/>
                <w:b/>
                <w:color w:val="F1F2F2"/>
                <w:sz w:val="18"/>
                <w:lang w:eastAsia="en-AU"/>
              </w:rPr>
              <w:br/>
              <w:t>($m)</w:t>
            </w:r>
          </w:p>
        </w:tc>
        <w:tc>
          <w:tcPr>
            <w:tcW w:w="1134" w:type="dxa"/>
            <w:gridSpan w:val="3"/>
            <w:tcBorders>
              <w:top w:val="single" w:sz="12" w:space="0" w:color="1E1545" w:themeColor="text2"/>
              <w:left w:val="nil"/>
              <w:bottom w:val="single" w:sz="12" w:space="0" w:color="1E1545" w:themeColor="text2"/>
              <w:right w:val="nil"/>
            </w:tcBorders>
            <w:shd w:val="clear" w:color="auto" w:fill="1E1545" w:themeFill="text2"/>
            <w:vAlign w:val="center"/>
            <w:hideMark/>
          </w:tcPr>
          <w:p w14:paraId="18B61B20" w14:textId="77777777" w:rsidR="00AD282C" w:rsidRPr="00AC5916" w:rsidRDefault="00AD282C" w:rsidP="00AD282C">
            <w:pPr>
              <w:spacing w:before="0" w:after="0" w:line="240" w:lineRule="auto"/>
              <w:jc w:val="right"/>
              <w:rPr>
                <w:rFonts w:cs="Arial"/>
                <w:b/>
                <w:color w:val="F1F2F2"/>
                <w:sz w:val="18"/>
                <w:lang w:eastAsia="en-AU"/>
              </w:rPr>
            </w:pPr>
            <w:r w:rsidRPr="00AC5916">
              <w:rPr>
                <w:rFonts w:cs="Arial"/>
                <w:b/>
                <w:color w:val="F1F2F2"/>
                <w:sz w:val="18"/>
                <w:lang w:eastAsia="en-AU"/>
              </w:rPr>
              <w:t>Change from</w:t>
            </w:r>
            <w:r w:rsidRPr="00AC5916">
              <w:rPr>
                <w:rFonts w:cs="Arial"/>
                <w:b/>
                <w:color w:val="F1F2F2"/>
                <w:sz w:val="18"/>
                <w:lang w:eastAsia="en-AU"/>
              </w:rPr>
              <w:br/>
              <w:t>2020-21 to 2021-22 ($m)</w:t>
            </w:r>
          </w:p>
        </w:tc>
        <w:tc>
          <w:tcPr>
            <w:tcW w:w="1276" w:type="dxa"/>
            <w:gridSpan w:val="4"/>
            <w:tcBorders>
              <w:top w:val="single" w:sz="12" w:space="0" w:color="1E1545" w:themeColor="text2"/>
              <w:left w:val="nil"/>
              <w:bottom w:val="single" w:sz="12" w:space="0" w:color="1E1545" w:themeColor="text2"/>
              <w:right w:val="nil"/>
            </w:tcBorders>
            <w:shd w:val="clear" w:color="auto" w:fill="1E1545" w:themeFill="text2"/>
            <w:vAlign w:val="center"/>
            <w:hideMark/>
          </w:tcPr>
          <w:p w14:paraId="1D3B6747" w14:textId="77777777" w:rsidR="00AD282C" w:rsidRPr="00AC5916" w:rsidRDefault="00AD282C" w:rsidP="00AD282C">
            <w:pPr>
              <w:spacing w:before="0" w:after="0" w:line="240" w:lineRule="auto"/>
              <w:jc w:val="right"/>
              <w:rPr>
                <w:rFonts w:cs="Arial"/>
                <w:b/>
                <w:color w:val="F1F2F2"/>
                <w:sz w:val="18"/>
                <w:lang w:eastAsia="en-AU"/>
              </w:rPr>
            </w:pPr>
            <w:r w:rsidRPr="00AC5916">
              <w:rPr>
                <w:rFonts w:cs="Arial"/>
                <w:b/>
                <w:color w:val="F1F2F2"/>
                <w:sz w:val="18"/>
                <w:lang w:eastAsia="en-AU"/>
              </w:rPr>
              <w:t>2022-23</w:t>
            </w:r>
            <w:r w:rsidRPr="00AC5916">
              <w:rPr>
                <w:rFonts w:cs="Arial"/>
                <w:b/>
                <w:color w:val="F1F2F2"/>
                <w:sz w:val="18"/>
                <w:lang w:eastAsia="en-AU"/>
              </w:rPr>
              <w:br/>
              <w:t>($m)</w:t>
            </w:r>
          </w:p>
        </w:tc>
        <w:tc>
          <w:tcPr>
            <w:tcW w:w="1063" w:type="dxa"/>
            <w:gridSpan w:val="2"/>
            <w:tcBorders>
              <w:top w:val="single" w:sz="12" w:space="0" w:color="1E1545" w:themeColor="text2"/>
              <w:left w:val="nil"/>
              <w:bottom w:val="single" w:sz="12" w:space="0" w:color="1E1545" w:themeColor="text2"/>
              <w:right w:val="nil"/>
            </w:tcBorders>
            <w:shd w:val="clear" w:color="auto" w:fill="1E1545" w:themeFill="text2"/>
            <w:vAlign w:val="center"/>
            <w:hideMark/>
          </w:tcPr>
          <w:p w14:paraId="0AF5E1AB" w14:textId="77777777" w:rsidR="00AD282C" w:rsidRPr="00AC5916" w:rsidRDefault="00AD282C" w:rsidP="00AD282C">
            <w:pPr>
              <w:spacing w:before="0" w:after="0" w:line="240" w:lineRule="auto"/>
              <w:jc w:val="right"/>
              <w:rPr>
                <w:rFonts w:cs="Arial"/>
                <w:b/>
                <w:color w:val="F1F2F2"/>
                <w:sz w:val="18"/>
                <w:lang w:eastAsia="en-AU"/>
              </w:rPr>
            </w:pPr>
            <w:r w:rsidRPr="00AC5916">
              <w:rPr>
                <w:rFonts w:cs="Arial"/>
                <w:b/>
                <w:color w:val="F1F2F2"/>
                <w:sz w:val="18"/>
                <w:lang w:eastAsia="en-AU"/>
              </w:rPr>
              <w:t>Change from 2021-22 to 2022-23 ($m)</w:t>
            </w:r>
          </w:p>
        </w:tc>
        <w:tc>
          <w:tcPr>
            <w:tcW w:w="1205" w:type="dxa"/>
            <w:gridSpan w:val="3"/>
            <w:tcBorders>
              <w:top w:val="single" w:sz="12" w:space="0" w:color="1E1545" w:themeColor="text2"/>
              <w:left w:val="nil"/>
              <w:bottom w:val="single" w:sz="12" w:space="0" w:color="1E1545" w:themeColor="text2"/>
              <w:right w:val="nil"/>
            </w:tcBorders>
            <w:shd w:val="clear" w:color="auto" w:fill="1E1545" w:themeFill="text2"/>
            <w:vAlign w:val="center"/>
            <w:hideMark/>
          </w:tcPr>
          <w:p w14:paraId="15DF0C8E" w14:textId="0D3CD8C9" w:rsidR="00AD282C" w:rsidRPr="00AC5916" w:rsidRDefault="00AD282C" w:rsidP="00AD282C">
            <w:pPr>
              <w:spacing w:before="0" w:after="0" w:line="240" w:lineRule="auto"/>
              <w:jc w:val="center"/>
              <w:rPr>
                <w:rFonts w:cs="Arial"/>
                <w:b/>
                <w:color w:val="F1F2F2"/>
                <w:sz w:val="18"/>
                <w:lang w:eastAsia="en-AU"/>
              </w:rPr>
            </w:pPr>
            <w:r w:rsidRPr="00AC5916">
              <w:rPr>
                <w:rFonts w:cs="Arial"/>
                <w:b/>
                <w:color w:val="F1F2F2" w:themeColor="background2"/>
                <w:sz w:val="18"/>
                <w:lang w:eastAsia="en-AU"/>
              </w:rPr>
              <w:t xml:space="preserve">% of total </w:t>
            </w:r>
            <w:r w:rsidR="00520A0E" w:rsidRPr="00AC5916">
              <w:rPr>
                <w:rFonts w:cs="Arial"/>
                <w:b/>
                <w:color w:val="F1F2F2" w:themeColor="background2"/>
                <w:sz w:val="18"/>
                <w:lang w:eastAsia="en-AU"/>
              </w:rPr>
              <w:t>revenue</w:t>
            </w:r>
          </w:p>
        </w:tc>
      </w:tr>
      <w:tr w:rsidR="00AD282C" w:rsidRPr="00AD282C" w14:paraId="77DA25C8"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4D8633E8"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Australian Government</w:t>
            </w:r>
          </w:p>
        </w:tc>
        <w:tc>
          <w:tcPr>
            <w:tcW w:w="1701" w:type="dxa"/>
            <w:gridSpan w:val="3"/>
            <w:tcBorders>
              <w:top w:val="nil"/>
              <w:left w:val="nil"/>
              <w:bottom w:val="single" w:sz="12" w:space="0" w:color="1E1545" w:themeColor="text2"/>
              <w:right w:val="nil"/>
            </w:tcBorders>
            <w:shd w:val="clear" w:color="auto" w:fill="D8DADA"/>
            <w:vAlign w:val="center"/>
            <w:hideMark/>
          </w:tcPr>
          <w:p w14:paraId="30822BA4"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276" w:type="dxa"/>
            <w:gridSpan w:val="3"/>
            <w:tcBorders>
              <w:top w:val="nil"/>
              <w:left w:val="nil"/>
              <w:bottom w:val="single" w:sz="12" w:space="0" w:color="1E1545" w:themeColor="text2"/>
              <w:right w:val="nil"/>
            </w:tcBorders>
            <w:shd w:val="clear" w:color="auto" w:fill="D8DADA"/>
            <w:vAlign w:val="center"/>
            <w:hideMark/>
          </w:tcPr>
          <w:p w14:paraId="0CD0FCB0"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34" w:type="dxa"/>
            <w:gridSpan w:val="3"/>
            <w:tcBorders>
              <w:top w:val="nil"/>
              <w:left w:val="nil"/>
              <w:bottom w:val="single" w:sz="12" w:space="0" w:color="1E1545" w:themeColor="text2"/>
              <w:right w:val="nil"/>
            </w:tcBorders>
            <w:shd w:val="clear" w:color="auto" w:fill="D8DADA"/>
            <w:vAlign w:val="center"/>
            <w:hideMark/>
          </w:tcPr>
          <w:p w14:paraId="487A91B4"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275" w:type="dxa"/>
            <w:gridSpan w:val="3"/>
            <w:tcBorders>
              <w:top w:val="nil"/>
              <w:left w:val="nil"/>
              <w:bottom w:val="single" w:sz="12" w:space="0" w:color="1E1545" w:themeColor="text2"/>
              <w:right w:val="nil"/>
            </w:tcBorders>
            <w:shd w:val="clear" w:color="auto" w:fill="D8DADA"/>
            <w:vAlign w:val="center"/>
            <w:hideMark/>
          </w:tcPr>
          <w:p w14:paraId="21346ED9"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276" w:type="dxa"/>
            <w:gridSpan w:val="3"/>
            <w:tcBorders>
              <w:top w:val="nil"/>
              <w:left w:val="nil"/>
              <w:bottom w:val="single" w:sz="12" w:space="0" w:color="1E1545" w:themeColor="text2"/>
              <w:right w:val="nil"/>
            </w:tcBorders>
            <w:shd w:val="clear" w:color="auto" w:fill="D8DADA"/>
            <w:vAlign w:val="center"/>
            <w:hideMark/>
          </w:tcPr>
          <w:p w14:paraId="738D471B"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284" w:type="dxa"/>
            <w:tcBorders>
              <w:top w:val="nil"/>
              <w:left w:val="nil"/>
              <w:bottom w:val="single" w:sz="12" w:space="0" w:color="1E1545" w:themeColor="text2"/>
              <w:right w:val="nil"/>
            </w:tcBorders>
            <w:shd w:val="clear" w:color="auto" w:fill="D8DADA"/>
            <w:vAlign w:val="center"/>
            <w:hideMark/>
          </w:tcPr>
          <w:p w14:paraId="0DEDD391"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r>
      <w:tr w:rsidR="00364536" w:rsidRPr="00AD282C" w14:paraId="04294113"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07678979"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 xml:space="preserve">Basic care subsidy </w:t>
            </w:r>
          </w:p>
          <w:p w14:paraId="06E86E22" w14:textId="5903F1FE"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(AN-ACC and ACFI)</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1DD5C73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$11,777.87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D48AA6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$11,883.39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57BD087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$105.52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9FA335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$13,038.84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5E906B5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$1,155.45 </w:t>
            </w:r>
          </w:p>
        </w:tc>
        <w:tc>
          <w:tcPr>
            <w:tcW w:w="1158" w:type="dxa"/>
            <w:gridSpan w:val="2"/>
            <w:tcBorders>
              <w:top w:val="nil"/>
              <w:left w:val="nil"/>
              <w:bottom w:val="single" w:sz="12" w:space="0" w:color="1E1545" w:themeColor="text2"/>
              <w:right w:val="nil"/>
            </w:tcBorders>
            <w:shd w:val="clear" w:color="auto" w:fill="auto"/>
            <w:noWrap/>
            <w:vAlign w:val="center"/>
            <w:hideMark/>
          </w:tcPr>
          <w:p w14:paraId="6572E78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53.8%</w:t>
            </w:r>
          </w:p>
        </w:tc>
      </w:tr>
      <w:tr w:rsidR="00AD282C" w:rsidRPr="00AD282C" w14:paraId="50430468" w14:textId="77777777" w:rsidTr="00AC5916">
        <w:trPr>
          <w:trHeight w:val="560"/>
        </w:trPr>
        <w:tc>
          <w:tcPr>
            <w:tcW w:w="2552" w:type="dxa"/>
            <w:gridSpan w:val="2"/>
            <w:tcBorders>
              <w:top w:val="nil"/>
              <w:left w:val="nil"/>
              <w:bottom w:val="single" w:sz="12" w:space="0" w:color="1E1545" w:themeColor="text2"/>
              <w:right w:val="nil"/>
            </w:tcBorders>
            <w:shd w:val="clear" w:color="auto" w:fill="FFFFFF"/>
            <w:vAlign w:val="center"/>
            <w:hideMark/>
          </w:tcPr>
          <w:p w14:paraId="3DB22243"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Respite subsidy &amp; supplements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75D92C3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$455.77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7815B6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$501.02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89D0F62"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$45.26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C63F19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$681.45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11377F7A"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$180.43 </w:t>
            </w:r>
          </w:p>
        </w:tc>
        <w:tc>
          <w:tcPr>
            <w:tcW w:w="1158" w:type="dxa"/>
            <w:gridSpan w:val="2"/>
            <w:tcBorders>
              <w:top w:val="nil"/>
              <w:left w:val="nil"/>
              <w:bottom w:val="single" w:sz="12" w:space="0" w:color="1E1545" w:themeColor="text2"/>
              <w:right w:val="nil"/>
            </w:tcBorders>
            <w:shd w:val="clear" w:color="auto" w:fill="auto"/>
            <w:noWrap/>
            <w:vAlign w:val="center"/>
            <w:hideMark/>
          </w:tcPr>
          <w:p w14:paraId="1922347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2.8%</w:t>
            </w:r>
          </w:p>
        </w:tc>
      </w:tr>
      <w:tr w:rsidR="00AD282C" w:rsidRPr="00AD282C" w14:paraId="08F653AF"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360CE173"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Basic daily fee supplement</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731C03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$0.00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3AA6A8E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$660.99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6A9CFD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$660.99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5B96B6C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$165.28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3FEFDEE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($495.71)</w:t>
            </w:r>
          </w:p>
        </w:tc>
        <w:tc>
          <w:tcPr>
            <w:tcW w:w="1158" w:type="dxa"/>
            <w:gridSpan w:val="2"/>
            <w:tcBorders>
              <w:top w:val="nil"/>
              <w:left w:val="nil"/>
              <w:bottom w:val="single" w:sz="12" w:space="0" w:color="1E1545" w:themeColor="text2"/>
              <w:right w:val="nil"/>
            </w:tcBorders>
            <w:shd w:val="clear" w:color="auto" w:fill="auto"/>
            <w:noWrap/>
            <w:vAlign w:val="center"/>
            <w:hideMark/>
          </w:tcPr>
          <w:p w14:paraId="7047AE4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0.7%</w:t>
            </w:r>
          </w:p>
        </w:tc>
      </w:tr>
      <w:tr w:rsidR="00AD282C" w:rsidRPr="00AD282C" w14:paraId="146D0035"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6CF50B5B"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COVID-19 funding</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FC1976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$753.61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10D9E8E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$306.06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12C9301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($447.55)</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4B46254A"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$514.69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5D11604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$208.63 </w:t>
            </w:r>
          </w:p>
        </w:tc>
        <w:tc>
          <w:tcPr>
            <w:tcW w:w="1158" w:type="dxa"/>
            <w:gridSpan w:val="2"/>
            <w:tcBorders>
              <w:top w:val="nil"/>
              <w:left w:val="nil"/>
              <w:bottom w:val="single" w:sz="12" w:space="0" w:color="1E1545" w:themeColor="text2"/>
              <w:right w:val="nil"/>
            </w:tcBorders>
            <w:shd w:val="clear" w:color="auto" w:fill="auto"/>
            <w:noWrap/>
            <w:vAlign w:val="center"/>
            <w:hideMark/>
          </w:tcPr>
          <w:p w14:paraId="7EA82A5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2.1%</w:t>
            </w:r>
          </w:p>
        </w:tc>
      </w:tr>
      <w:tr w:rsidR="00AD282C" w:rsidRPr="00AD282C" w14:paraId="68F52355"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34ADB883"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Other supplements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78C497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$156.61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BEB25D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$155.15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71740C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($1.46)</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521D21C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$138.51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42A5C98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($16.64)</w:t>
            </w:r>
          </w:p>
        </w:tc>
        <w:tc>
          <w:tcPr>
            <w:tcW w:w="1158" w:type="dxa"/>
            <w:gridSpan w:val="2"/>
            <w:tcBorders>
              <w:top w:val="nil"/>
              <w:left w:val="nil"/>
              <w:bottom w:val="single" w:sz="12" w:space="0" w:color="1E1545" w:themeColor="text2"/>
              <w:right w:val="nil"/>
            </w:tcBorders>
            <w:shd w:val="clear" w:color="auto" w:fill="auto"/>
            <w:noWrap/>
            <w:vAlign w:val="center"/>
            <w:hideMark/>
          </w:tcPr>
          <w:p w14:paraId="6D30172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0.6%</w:t>
            </w:r>
          </w:p>
        </w:tc>
      </w:tr>
      <w:tr w:rsidR="00AD282C" w:rsidRPr="00AD282C" w14:paraId="12E5D9CF"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1F5970F0"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Accommodation supplement</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454E60B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$1,337.39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6AE1D2F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$1,323.19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466BF7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($14.20)</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4CD317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$1,394.32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6EF09E3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$71.13 </w:t>
            </w:r>
          </w:p>
        </w:tc>
        <w:tc>
          <w:tcPr>
            <w:tcW w:w="1158" w:type="dxa"/>
            <w:gridSpan w:val="2"/>
            <w:tcBorders>
              <w:top w:val="nil"/>
              <w:left w:val="nil"/>
              <w:bottom w:val="single" w:sz="12" w:space="0" w:color="1E1545" w:themeColor="text2"/>
              <w:right w:val="nil"/>
            </w:tcBorders>
            <w:shd w:val="clear" w:color="auto" w:fill="auto"/>
            <w:noWrap/>
            <w:vAlign w:val="center"/>
            <w:hideMark/>
          </w:tcPr>
          <w:p w14:paraId="1FF19B7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5.8%</w:t>
            </w:r>
          </w:p>
        </w:tc>
      </w:tr>
      <w:tr w:rsidR="00AD282C" w:rsidRPr="00AD282C" w14:paraId="51AE4798"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16E188CF"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Capital Grants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654A1FE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$75.67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67B79FD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$131.70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0A7ACAC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$56.04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3C2E4F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$114.14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06D62D4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($17.56)</w:t>
            </w:r>
          </w:p>
        </w:tc>
        <w:tc>
          <w:tcPr>
            <w:tcW w:w="1158" w:type="dxa"/>
            <w:gridSpan w:val="2"/>
            <w:tcBorders>
              <w:top w:val="nil"/>
              <w:left w:val="nil"/>
              <w:bottom w:val="single" w:sz="12" w:space="0" w:color="1E1545" w:themeColor="text2"/>
              <w:right w:val="nil"/>
            </w:tcBorders>
            <w:shd w:val="clear" w:color="auto" w:fill="auto"/>
            <w:noWrap/>
            <w:vAlign w:val="center"/>
            <w:hideMark/>
          </w:tcPr>
          <w:p w14:paraId="6192A41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0.5%</w:t>
            </w:r>
          </w:p>
        </w:tc>
      </w:tr>
      <w:tr w:rsidR="00AD282C" w:rsidRPr="00AD282C" w14:paraId="55B7B4DF" w14:textId="77777777" w:rsidTr="00AC5916">
        <w:trPr>
          <w:trHeight w:val="560"/>
        </w:trPr>
        <w:tc>
          <w:tcPr>
            <w:tcW w:w="2552" w:type="dxa"/>
            <w:gridSpan w:val="2"/>
            <w:tcBorders>
              <w:top w:val="nil"/>
              <w:left w:val="nil"/>
              <w:bottom w:val="single" w:sz="12" w:space="0" w:color="1E1545" w:themeColor="text2"/>
              <w:right w:val="nil"/>
            </w:tcBorders>
            <w:shd w:val="clear" w:color="auto" w:fill="D8DADA"/>
            <w:vAlign w:val="center"/>
            <w:hideMark/>
          </w:tcPr>
          <w:p w14:paraId="25FD7D5E"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Australian Government funding sources</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08BF4F40"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$14,556.92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2E500465"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$14,961.51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4EC56EBB"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$404.59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0735E630"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$16,047.23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39CC6248"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$1,085.72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70E32963"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66.2%</w:t>
            </w:r>
          </w:p>
        </w:tc>
      </w:tr>
      <w:tr w:rsidR="00AD282C" w:rsidRPr="00AD282C" w14:paraId="700B085F"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03A2BD3C"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Resident</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154261B2"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2EAA944D"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61080F02"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0D34B30B"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39C57561"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6734CF8B"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 </w:t>
            </w:r>
          </w:p>
        </w:tc>
      </w:tr>
      <w:tr w:rsidR="00AD282C" w:rsidRPr="00AD282C" w14:paraId="330C5BA6"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724D0E88"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Resident basic daily fee</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1133788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$3,598.91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EA2EBDD"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$3,651.14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4B3F78E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$52.23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5D0E9E1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$3,853.89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14D4E16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$202.75 </w:t>
            </w:r>
          </w:p>
        </w:tc>
        <w:tc>
          <w:tcPr>
            <w:tcW w:w="1158" w:type="dxa"/>
            <w:gridSpan w:val="2"/>
            <w:tcBorders>
              <w:top w:val="nil"/>
              <w:left w:val="nil"/>
              <w:bottom w:val="single" w:sz="12" w:space="0" w:color="1E1545" w:themeColor="text2"/>
              <w:right w:val="nil"/>
            </w:tcBorders>
            <w:shd w:val="clear" w:color="auto" w:fill="auto"/>
            <w:noWrap/>
            <w:vAlign w:val="center"/>
            <w:hideMark/>
          </w:tcPr>
          <w:p w14:paraId="45D90E7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15.9%</w:t>
            </w:r>
          </w:p>
        </w:tc>
      </w:tr>
      <w:tr w:rsidR="00AD282C" w:rsidRPr="00AD282C" w14:paraId="3173CD29"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7C24AB2B"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Resident means tested fee</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5C795D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$657.01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4CC57C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$678.64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5E517FF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$21.63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77A6B93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$793.14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521D2DD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$114.50 </w:t>
            </w:r>
          </w:p>
        </w:tc>
        <w:tc>
          <w:tcPr>
            <w:tcW w:w="1158" w:type="dxa"/>
            <w:gridSpan w:val="2"/>
            <w:tcBorders>
              <w:top w:val="nil"/>
              <w:left w:val="nil"/>
              <w:bottom w:val="single" w:sz="12" w:space="0" w:color="1E1545" w:themeColor="text2"/>
              <w:right w:val="nil"/>
            </w:tcBorders>
            <w:shd w:val="clear" w:color="auto" w:fill="auto"/>
            <w:noWrap/>
            <w:vAlign w:val="center"/>
            <w:hideMark/>
          </w:tcPr>
          <w:p w14:paraId="447401B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3.3%</w:t>
            </w:r>
          </w:p>
        </w:tc>
      </w:tr>
      <w:tr w:rsidR="00AD282C" w:rsidRPr="00AD282C" w14:paraId="40E6D170"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42927064"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Resident other care fees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6EE85A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$118.37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0789D23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$113.71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4D51BE6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($4.66)</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5402410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$143.05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7585413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$29.35 </w:t>
            </w:r>
          </w:p>
        </w:tc>
        <w:tc>
          <w:tcPr>
            <w:tcW w:w="1158" w:type="dxa"/>
            <w:gridSpan w:val="2"/>
            <w:tcBorders>
              <w:top w:val="nil"/>
              <w:left w:val="nil"/>
              <w:bottom w:val="single" w:sz="12" w:space="0" w:color="1E1545" w:themeColor="text2"/>
              <w:right w:val="nil"/>
            </w:tcBorders>
            <w:shd w:val="clear" w:color="auto" w:fill="auto"/>
            <w:noWrap/>
            <w:vAlign w:val="center"/>
            <w:hideMark/>
          </w:tcPr>
          <w:p w14:paraId="1423EA7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0.6%</w:t>
            </w:r>
          </w:p>
        </w:tc>
      </w:tr>
      <w:tr w:rsidR="00AD282C" w:rsidRPr="00AD282C" w14:paraId="7539C65A" w14:textId="77777777" w:rsidTr="00AC5916">
        <w:trPr>
          <w:trHeight w:val="560"/>
        </w:trPr>
        <w:tc>
          <w:tcPr>
            <w:tcW w:w="2552" w:type="dxa"/>
            <w:gridSpan w:val="2"/>
            <w:tcBorders>
              <w:top w:val="nil"/>
              <w:left w:val="nil"/>
              <w:bottom w:val="single" w:sz="12" w:space="0" w:color="1E1545" w:themeColor="text2"/>
              <w:right w:val="nil"/>
            </w:tcBorders>
            <w:shd w:val="clear" w:color="auto" w:fill="FFFFFF"/>
            <w:vAlign w:val="center"/>
            <w:hideMark/>
          </w:tcPr>
          <w:p w14:paraId="71FD9957"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Accommodation payments from residents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8F08EC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$828.43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FA2189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$833.48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8976BA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$5.05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640A6C2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$1,019.49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7EE3860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$186.01 </w:t>
            </w:r>
          </w:p>
        </w:tc>
        <w:tc>
          <w:tcPr>
            <w:tcW w:w="1158" w:type="dxa"/>
            <w:gridSpan w:val="2"/>
            <w:tcBorders>
              <w:top w:val="nil"/>
              <w:left w:val="nil"/>
              <w:bottom w:val="single" w:sz="12" w:space="0" w:color="1E1545" w:themeColor="text2"/>
              <w:right w:val="nil"/>
            </w:tcBorders>
            <w:shd w:val="clear" w:color="auto" w:fill="auto"/>
            <w:noWrap/>
            <w:vAlign w:val="center"/>
            <w:hideMark/>
          </w:tcPr>
          <w:p w14:paraId="7998C7E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4.2%</w:t>
            </w:r>
          </w:p>
        </w:tc>
      </w:tr>
      <w:tr w:rsidR="00AD282C" w:rsidRPr="00AD282C" w14:paraId="71FFC401"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447B5804"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Extra service fee</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4AEC6BE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$123.35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6AF3ECE2"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$125.59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AD378E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$2.24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DD16DC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$124.71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366CAEC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($0.88)</w:t>
            </w:r>
          </w:p>
        </w:tc>
        <w:tc>
          <w:tcPr>
            <w:tcW w:w="1158" w:type="dxa"/>
            <w:gridSpan w:val="2"/>
            <w:tcBorders>
              <w:top w:val="nil"/>
              <w:left w:val="nil"/>
              <w:bottom w:val="single" w:sz="12" w:space="0" w:color="1E1545" w:themeColor="text2"/>
              <w:right w:val="nil"/>
            </w:tcBorders>
            <w:shd w:val="clear" w:color="auto" w:fill="auto"/>
            <w:noWrap/>
            <w:vAlign w:val="center"/>
            <w:hideMark/>
          </w:tcPr>
          <w:p w14:paraId="0278DE9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0.5%</w:t>
            </w:r>
          </w:p>
        </w:tc>
      </w:tr>
      <w:tr w:rsidR="00AD282C" w:rsidRPr="00AD282C" w14:paraId="57A18A05"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7C0F5E50"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Additional services fees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74A20EE2"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$161.76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0821DCA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$175.97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1619CEF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$14.21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77251E8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$200.90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66115AF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$24.93 </w:t>
            </w:r>
          </w:p>
        </w:tc>
        <w:tc>
          <w:tcPr>
            <w:tcW w:w="1158" w:type="dxa"/>
            <w:gridSpan w:val="2"/>
            <w:tcBorders>
              <w:top w:val="nil"/>
              <w:left w:val="nil"/>
              <w:bottom w:val="single" w:sz="12" w:space="0" w:color="1E1545" w:themeColor="text2"/>
              <w:right w:val="nil"/>
            </w:tcBorders>
            <w:shd w:val="clear" w:color="auto" w:fill="auto"/>
            <w:noWrap/>
            <w:vAlign w:val="center"/>
            <w:hideMark/>
          </w:tcPr>
          <w:p w14:paraId="42DA9C0D"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0.8%</w:t>
            </w:r>
          </w:p>
        </w:tc>
      </w:tr>
      <w:tr w:rsidR="00AD282C" w:rsidRPr="00AD282C" w14:paraId="665B9B10"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6B38BFD9"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Resident funding sources</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7B24E675"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$5,487.83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51AA15CE"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$5,578.53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0513710E"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$90.70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55E4EB2B"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$6,135.19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4A1EBC98"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$556.66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1835E33F"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25.3%</w:t>
            </w:r>
          </w:p>
        </w:tc>
      </w:tr>
      <w:tr w:rsidR="00AD282C" w:rsidRPr="00AD282C" w14:paraId="7DA23AAA"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635890F9"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Other income</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57BE8A54"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43CDAB9B"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443D3326"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7AE00A79"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7FFEC3B5"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6BA6EB6A"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 </w:t>
            </w:r>
          </w:p>
        </w:tc>
      </w:tr>
      <w:tr w:rsidR="00AD282C" w:rsidRPr="00AD282C" w14:paraId="1222042C"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53B18105"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Interest</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5BAF80F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$223.28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6F48ADA"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$187.07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1E7FD3B2"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($36.21)</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8E908F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$373.78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0F08BEA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$186.70 </w:t>
            </w:r>
          </w:p>
        </w:tc>
        <w:tc>
          <w:tcPr>
            <w:tcW w:w="1158" w:type="dxa"/>
            <w:gridSpan w:val="2"/>
            <w:tcBorders>
              <w:top w:val="nil"/>
              <w:left w:val="nil"/>
              <w:bottom w:val="single" w:sz="12" w:space="0" w:color="1E1545" w:themeColor="text2"/>
              <w:right w:val="nil"/>
            </w:tcBorders>
            <w:shd w:val="clear" w:color="auto" w:fill="auto"/>
            <w:noWrap/>
            <w:vAlign w:val="center"/>
            <w:hideMark/>
          </w:tcPr>
          <w:p w14:paraId="5D86A98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1.5%</w:t>
            </w:r>
          </w:p>
        </w:tc>
      </w:tr>
      <w:tr w:rsidR="00AD282C" w:rsidRPr="00AD282C" w14:paraId="16525110"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3E06CFF2"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Donations and fundraising</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664471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$31.44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007FE7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$39.36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DBA158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$7.92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66D82D3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$24.23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0E4B5CB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($15.13)</w:t>
            </w:r>
          </w:p>
        </w:tc>
        <w:tc>
          <w:tcPr>
            <w:tcW w:w="1158" w:type="dxa"/>
            <w:gridSpan w:val="2"/>
            <w:tcBorders>
              <w:top w:val="nil"/>
              <w:left w:val="nil"/>
              <w:bottom w:val="single" w:sz="12" w:space="0" w:color="1E1545" w:themeColor="text2"/>
              <w:right w:val="nil"/>
            </w:tcBorders>
            <w:shd w:val="clear" w:color="auto" w:fill="auto"/>
            <w:noWrap/>
            <w:vAlign w:val="center"/>
            <w:hideMark/>
          </w:tcPr>
          <w:p w14:paraId="7C319C9E"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0.1%</w:t>
            </w:r>
          </w:p>
        </w:tc>
      </w:tr>
      <w:tr w:rsidR="00AD282C" w:rsidRPr="00AD282C" w14:paraId="1FF0D024"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6EFC896F"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Gain on sale of assets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6931511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$18.82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2401FE6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$22.20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7B88D38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$3.39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4B290C9C"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$18.73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00D599A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($3.47)</w:t>
            </w:r>
          </w:p>
        </w:tc>
        <w:tc>
          <w:tcPr>
            <w:tcW w:w="1158" w:type="dxa"/>
            <w:gridSpan w:val="2"/>
            <w:tcBorders>
              <w:top w:val="nil"/>
              <w:left w:val="nil"/>
              <w:bottom w:val="single" w:sz="12" w:space="0" w:color="1E1545" w:themeColor="text2"/>
              <w:right w:val="nil"/>
            </w:tcBorders>
            <w:shd w:val="clear" w:color="auto" w:fill="auto"/>
            <w:noWrap/>
            <w:vAlign w:val="center"/>
            <w:hideMark/>
          </w:tcPr>
          <w:p w14:paraId="1D74ABD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0.1%</w:t>
            </w:r>
          </w:p>
        </w:tc>
      </w:tr>
      <w:tr w:rsidR="00AD282C" w:rsidRPr="00AD282C" w14:paraId="11D09963"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746DB82C"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Revaluation of assets</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303F764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$85.10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0DA9F8A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$85.91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4CB6187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$0.81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0D513E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$122.79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09693EC4"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$36.89 </w:t>
            </w:r>
          </w:p>
        </w:tc>
        <w:tc>
          <w:tcPr>
            <w:tcW w:w="1158" w:type="dxa"/>
            <w:gridSpan w:val="2"/>
            <w:tcBorders>
              <w:top w:val="nil"/>
              <w:left w:val="nil"/>
              <w:bottom w:val="single" w:sz="12" w:space="0" w:color="1E1545" w:themeColor="text2"/>
              <w:right w:val="nil"/>
            </w:tcBorders>
            <w:shd w:val="clear" w:color="auto" w:fill="auto"/>
            <w:noWrap/>
            <w:vAlign w:val="center"/>
            <w:hideMark/>
          </w:tcPr>
          <w:p w14:paraId="2599A16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0.5%</w:t>
            </w:r>
          </w:p>
        </w:tc>
      </w:tr>
      <w:tr w:rsidR="00AD282C" w:rsidRPr="00AD282C" w14:paraId="680A32D0" w14:textId="77777777" w:rsidTr="00AC5916">
        <w:trPr>
          <w:trHeight w:val="560"/>
        </w:trPr>
        <w:tc>
          <w:tcPr>
            <w:tcW w:w="2552" w:type="dxa"/>
            <w:gridSpan w:val="2"/>
            <w:tcBorders>
              <w:top w:val="nil"/>
              <w:left w:val="nil"/>
              <w:bottom w:val="single" w:sz="12" w:space="0" w:color="1E1545" w:themeColor="text2"/>
              <w:right w:val="nil"/>
            </w:tcBorders>
            <w:shd w:val="clear" w:color="auto" w:fill="FFFFFF"/>
            <w:vAlign w:val="center"/>
            <w:hideMark/>
          </w:tcPr>
          <w:p w14:paraId="0A991AF6"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 xml:space="preserve">Imputed Interest on RADs - AASB 16 leases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2EABFCBD"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$509.22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170BA4AF"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$558.59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34B98A61"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$49.37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4CFE814B"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$829.93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5AB2F878"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$271.34 </w:t>
            </w:r>
          </w:p>
        </w:tc>
        <w:tc>
          <w:tcPr>
            <w:tcW w:w="1158" w:type="dxa"/>
            <w:gridSpan w:val="2"/>
            <w:tcBorders>
              <w:top w:val="nil"/>
              <w:left w:val="nil"/>
              <w:bottom w:val="single" w:sz="12" w:space="0" w:color="1E1545" w:themeColor="text2"/>
              <w:right w:val="nil"/>
            </w:tcBorders>
            <w:shd w:val="clear" w:color="auto" w:fill="auto"/>
            <w:noWrap/>
            <w:vAlign w:val="center"/>
            <w:hideMark/>
          </w:tcPr>
          <w:p w14:paraId="1EF2EA10"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3.4%</w:t>
            </w:r>
          </w:p>
        </w:tc>
      </w:tr>
      <w:tr w:rsidR="00AD282C" w:rsidRPr="00AD282C" w14:paraId="38183A7B" w14:textId="77777777" w:rsidTr="00AC5916">
        <w:trPr>
          <w:trHeight w:val="330"/>
        </w:trPr>
        <w:tc>
          <w:tcPr>
            <w:tcW w:w="2552" w:type="dxa"/>
            <w:gridSpan w:val="2"/>
            <w:tcBorders>
              <w:top w:val="nil"/>
              <w:left w:val="nil"/>
              <w:bottom w:val="single" w:sz="12" w:space="0" w:color="1E1545" w:themeColor="text2"/>
              <w:right w:val="nil"/>
            </w:tcBorders>
            <w:shd w:val="clear" w:color="auto" w:fill="FFFFFF"/>
            <w:vAlign w:val="center"/>
            <w:hideMark/>
          </w:tcPr>
          <w:p w14:paraId="6A4C4EF2" w14:textId="77777777" w:rsidR="00AD282C" w:rsidRPr="00AC5916" w:rsidRDefault="00AD282C" w:rsidP="00AD282C">
            <w:pPr>
              <w:spacing w:before="0" w:after="0" w:line="240" w:lineRule="auto"/>
              <w:rPr>
                <w:rFonts w:cs="Arial"/>
                <w:color w:val="1E1545"/>
                <w:sz w:val="18"/>
                <w:lang w:eastAsia="en-AU"/>
              </w:rPr>
            </w:pPr>
            <w:r w:rsidRPr="00AC5916">
              <w:rPr>
                <w:rFonts w:cs="Arial"/>
                <w:color w:val="1E1545"/>
                <w:sz w:val="18"/>
                <w:lang w:eastAsia="en-AU"/>
              </w:rPr>
              <w:t>Other</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0C7D7DA6"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$565.85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4549F3B7"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$641.38 </w:t>
            </w:r>
          </w:p>
        </w:tc>
        <w:tc>
          <w:tcPr>
            <w:tcW w:w="1158" w:type="dxa"/>
            <w:gridSpan w:val="3"/>
            <w:tcBorders>
              <w:top w:val="nil"/>
              <w:left w:val="nil"/>
              <w:bottom w:val="single" w:sz="12" w:space="0" w:color="1E1545" w:themeColor="text2"/>
              <w:right w:val="nil"/>
            </w:tcBorders>
            <w:shd w:val="clear" w:color="auto" w:fill="FFFFFF"/>
            <w:noWrap/>
            <w:vAlign w:val="center"/>
            <w:hideMark/>
          </w:tcPr>
          <w:p w14:paraId="411785FA"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$75.53 </w:t>
            </w:r>
          </w:p>
        </w:tc>
        <w:tc>
          <w:tcPr>
            <w:tcW w:w="1157" w:type="dxa"/>
            <w:gridSpan w:val="2"/>
            <w:tcBorders>
              <w:top w:val="nil"/>
              <w:left w:val="nil"/>
              <w:bottom w:val="single" w:sz="12" w:space="0" w:color="1E1545" w:themeColor="text2"/>
              <w:right w:val="nil"/>
            </w:tcBorders>
            <w:shd w:val="clear" w:color="auto" w:fill="FFFFFF"/>
            <w:noWrap/>
            <w:vAlign w:val="center"/>
            <w:hideMark/>
          </w:tcPr>
          <w:p w14:paraId="3E7BA123"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$687.86 </w:t>
            </w:r>
          </w:p>
        </w:tc>
        <w:tc>
          <w:tcPr>
            <w:tcW w:w="1158" w:type="dxa"/>
            <w:gridSpan w:val="4"/>
            <w:tcBorders>
              <w:top w:val="nil"/>
              <w:left w:val="nil"/>
              <w:bottom w:val="single" w:sz="12" w:space="0" w:color="1E1545" w:themeColor="text2"/>
              <w:right w:val="nil"/>
            </w:tcBorders>
            <w:shd w:val="clear" w:color="auto" w:fill="FFFFFF"/>
            <w:noWrap/>
            <w:vAlign w:val="center"/>
            <w:hideMark/>
          </w:tcPr>
          <w:p w14:paraId="27E182F9"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 xml:space="preserve">$46.48 </w:t>
            </w:r>
          </w:p>
        </w:tc>
        <w:tc>
          <w:tcPr>
            <w:tcW w:w="1158" w:type="dxa"/>
            <w:gridSpan w:val="2"/>
            <w:tcBorders>
              <w:top w:val="nil"/>
              <w:left w:val="nil"/>
              <w:bottom w:val="single" w:sz="12" w:space="0" w:color="1E1545" w:themeColor="text2"/>
              <w:right w:val="nil"/>
            </w:tcBorders>
            <w:shd w:val="clear" w:color="auto" w:fill="auto"/>
            <w:noWrap/>
            <w:vAlign w:val="center"/>
            <w:hideMark/>
          </w:tcPr>
          <w:p w14:paraId="116A5A55" w14:textId="77777777" w:rsidR="00AD282C" w:rsidRPr="00AC5916" w:rsidRDefault="00AD282C" w:rsidP="00AD282C">
            <w:pPr>
              <w:spacing w:before="0" w:after="0" w:line="240" w:lineRule="auto"/>
              <w:jc w:val="right"/>
              <w:rPr>
                <w:rFonts w:cs="Arial"/>
                <w:color w:val="1E1545"/>
                <w:sz w:val="18"/>
                <w:lang w:eastAsia="en-AU"/>
              </w:rPr>
            </w:pPr>
            <w:r w:rsidRPr="00AC5916">
              <w:rPr>
                <w:rFonts w:cs="Arial"/>
                <w:color w:val="1E1545"/>
                <w:sz w:val="18"/>
                <w:lang w:eastAsia="en-AU"/>
              </w:rPr>
              <w:t>2.8%</w:t>
            </w:r>
          </w:p>
        </w:tc>
      </w:tr>
      <w:tr w:rsidR="00AD282C" w:rsidRPr="00AD282C" w14:paraId="2DB132B5"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14886517"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Other funding sources</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4F9AE61E"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$1,433.71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047AE0AC"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$1,534.50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7909DCCE"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$100.80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0A68BF21"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$2,057.31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6F7904DD"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$522.81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10BC951D"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8.5%</w:t>
            </w:r>
          </w:p>
        </w:tc>
      </w:tr>
      <w:tr w:rsidR="00AD282C" w:rsidRPr="00AD282C" w14:paraId="59F41A3A" w14:textId="77777777" w:rsidTr="00AC5916">
        <w:trPr>
          <w:trHeight w:val="330"/>
        </w:trPr>
        <w:tc>
          <w:tcPr>
            <w:tcW w:w="2552" w:type="dxa"/>
            <w:gridSpan w:val="2"/>
            <w:tcBorders>
              <w:top w:val="nil"/>
              <w:left w:val="nil"/>
              <w:bottom w:val="single" w:sz="12" w:space="0" w:color="1E1545" w:themeColor="text2"/>
              <w:right w:val="nil"/>
            </w:tcBorders>
            <w:shd w:val="clear" w:color="auto" w:fill="D8DADA"/>
            <w:vAlign w:val="center"/>
            <w:hideMark/>
          </w:tcPr>
          <w:p w14:paraId="01F313F0" w14:textId="77777777" w:rsidR="00AD282C" w:rsidRPr="00AC5916" w:rsidRDefault="00AD282C" w:rsidP="00AD282C">
            <w:pPr>
              <w:spacing w:before="0" w:after="0" w:line="240" w:lineRule="auto"/>
              <w:rPr>
                <w:rFonts w:cs="Arial"/>
                <w:b/>
                <w:color w:val="1E1545"/>
                <w:sz w:val="18"/>
                <w:lang w:eastAsia="en-AU"/>
              </w:rPr>
            </w:pPr>
            <w:r w:rsidRPr="00AC5916">
              <w:rPr>
                <w:rFonts w:cs="Arial"/>
                <w:b/>
                <w:color w:val="1E1545"/>
                <w:sz w:val="18"/>
                <w:lang w:eastAsia="en-AU"/>
              </w:rPr>
              <w:t>Total revenue</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65508AEB"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$21,478.45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5DEE4412"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$22,074.54 </w:t>
            </w:r>
          </w:p>
        </w:tc>
        <w:tc>
          <w:tcPr>
            <w:tcW w:w="1158" w:type="dxa"/>
            <w:gridSpan w:val="3"/>
            <w:tcBorders>
              <w:top w:val="nil"/>
              <w:left w:val="nil"/>
              <w:bottom w:val="single" w:sz="12" w:space="0" w:color="1E1545" w:themeColor="text2"/>
              <w:right w:val="nil"/>
            </w:tcBorders>
            <w:shd w:val="clear" w:color="auto" w:fill="D8DADA"/>
            <w:noWrap/>
            <w:vAlign w:val="center"/>
            <w:hideMark/>
          </w:tcPr>
          <w:p w14:paraId="18B64A32"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$596.09 </w:t>
            </w:r>
          </w:p>
        </w:tc>
        <w:tc>
          <w:tcPr>
            <w:tcW w:w="1157" w:type="dxa"/>
            <w:gridSpan w:val="2"/>
            <w:tcBorders>
              <w:top w:val="nil"/>
              <w:left w:val="nil"/>
              <w:bottom w:val="single" w:sz="12" w:space="0" w:color="1E1545" w:themeColor="text2"/>
              <w:right w:val="nil"/>
            </w:tcBorders>
            <w:shd w:val="clear" w:color="auto" w:fill="D8DADA"/>
            <w:noWrap/>
            <w:vAlign w:val="center"/>
            <w:hideMark/>
          </w:tcPr>
          <w:p w14:paraId="244929F8"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$24,239.73 </w:t>
            </w:r>
          </w:p>
        </w:tc>
        <w:tc>
          <w:tcPr>
            <w:tcW w:w="1158" w:type="dxa"/>
            <w:gridSpan w:val="4"/>
            <w:tcBorders>
              <w:top w:val="nil"/>
              <w:left w:val="nil"/>
              <w:bottom w:val="single" w:sz="12" w:space="0" w:color="1E1545" w:themeColor="text2"/>
              <w:right w:val="nil"/>
            </w:tcBorders>
            <w:shd w:val="clear" w:color="auto" w:fill="D8DADA"/>
            <w:noWrap/>
            <w:vAlign w:val="center"/>
            <w:hideMark/>
          </w:tcPr>
          <w:p w14:paraId="25DBE5B6"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 xml:space="preserve">$2,165.19 </w:t>
            </w:r>
          </w:p>
        </w:tc>
        <w:tc>
          <w:tcPr>
            <w:tcW w:w="1158" w:type="dxa"/>
            <w:gridSpan w:val="2"/>
            <w:tcBorders>
              <w:top w:val="nil"/>
              <w:left w:val="nil"/>
              <w:bottom w:val="single" w:sz="12" w:space="0" w:color="1E1545" w:themeColor="text2"/>
              <w:right w:val="nil"/>
            </w:tcBorders>
            <w:shd w:val="clear" w:color="auto" w:fill="D8DADA"/>
            <w:noWrap/>
            <w:vAlign w:val="center"/>
            <w:hideMark/>
          </w:tcPr>
          <w:p w14:paraId="00085010" w14:textId="77777777" w:rsidR="00AD282C" w:rsidRPr="00AC5916" w:rsidRDefault="00AD282C" w:rsidP="00AD282C">
            <w:pPr>
              <w:spacing w:before="0" w:after="0" w:line="240" w:lineRule="auto"/>
              <w:jc w:val="right"/>
              <w:rPr>
                <w:rFonts w:cs="Arial"/>
                <w:b/>
                <w:color w:val="1E1545"/>
                <w:sz w:val="18"/>
                <w:lang w:eastAsia="en-AU"/>
              </w:rPr>
            </w:pPr>
            <w:r w:rsidRPr="00AC5916">
              <w:rPr>
                <w:rFonts w:cs="Arial"/>
                <w:b/>
                <w:color w:val="1E1545"/>
                <w:sz w:val="18"/>
                <w:lang w:eastAsia="en-AU"/>
              </w:rPr>
              <w:t>100.0%</w:t>
            </w:r>
          </w:p>
        </w:tc>
      </w:tr>
    </w:tbl>
    <w:p w14:paraId="7ECA7BA5" w14:textId="77777777" w:rsidR="00AD282C" w:rsidRDefault="00AD282C" w:rsidP="00AD282C">
      <w:pPr>
        <w:pStyle w:val="FootnoteText"/>
      </w:pPr>
    </w:p>
    <w:p w14:paraId="5FBC027D" w14:textId="62876214" w:rsidR="00AD282C" w:rsidRDefault="006E25CC" w:rsidP="00AD282C">
      <w:pPr>
        <w:pStyle w:val="FootnoteText"/>
      </w:pPr>
      <w:r w:rsidRPr="006E25CC">
        <w:t>Note: Basic care subsidy includes ACFI from 1 July to 30 September 2022, and AN-ACC from 1 October to 30 June 2023.</w:t>
      </w:r>
    </w:p>
    <w:p w14:paraId="2A212BE8" w14:textId="74671B9A" w:rsidR="002142E4" w:rsidRDefault="00D20FBE" w:rsidP="002142E4">
      <w:r>
        <w:fldChar w:fldCharType="begin"/>
      </w:r>
      <w:r>
        <w:instrText xml:space="preserve"> REF _Ref163036208 \h </w:instrText>
      </w:r>
      <w:r>
        <w:fldChar w:fldCharType="separate"/>
      </w:r>
      <w:r w:rsidR="001377BE">
        <w:t xml:space="preserve">Table </w:t>
      </w:r>
      <w:r w:rsidR="001377BE">
        <w:rPr>
          <w:noProof/>
        </w:rPr>
        <w:t>3</w:t>
      </w:r>
      <w:r w:rsidR="001377BE">
        <w:t>.</w:t>
      </w:r>
      <w:r w:rsidR="001377BE">
        <w:rPr>
          <w:noProof/>
        </w:rPr>
        <w:t>8</w:t>
      </w:r>
      <w:r>
        <w:fldChar w:fldCharType="end"/>
      </w:r>
      <w:r>
        <w:t xml:space="preserve"> shows the t</w:t>
      </w:r>
      <w:r w:rsidR="002142E4" w:rsidRPr="00D20FBE">
        <w:t>otal revenue per resident per day was $3</w:t>
      </w:r>
      <w:r w:rsidR="004D3BEA">
        <w:t>53.17</w:t>
      </w:r>
      <w:r w:rsidR="002142E4" w:rsidRPr="00D20FBE">
        <w:t>, an increase</w:t>
      </w:r>
      <w:r w:rsidR="002142E4" w:rsidRPr="00D20FBE">
        <w:rPr>
          <w:spacing w:val="-11"/>
        </w:rPr>
        <w:t xml:space="preserve"> </w:t>
      </w:r>
      <w:r w:rsidR="002142E4" w:rsidRPr="00D20FBE">
        <w:t>of</w:t>
      </w:r>
      <w:r w:rsidR="002142E4" w:rsidRPr="00D20FBE">
        <w:rPr>
          <w:spacing w:val="-11"/>
        </w:rPr>
        <w:t xml:space="preserve"> </w:t>
      </w:r>
      <w:r w:rsidR="00EB3965">
        <w:t>10%</w:t>
      </w:r>
      <w:r w:rsidR="002142E4">
        <w:t xml:space="preserve"> </w:t>
      </w:r>
      <w:r w:rsidR="00BF1518">
        <w:t>on</w:t>
      </w:r>
      <w:r w:rsidR="002142E4" w:rsidRPr="00D20FBE">
        <w:rPr>
          <w:spacing w:val="-11"/>
        </w:rPr>
        <w:t xml:space="preserve"> </w:t>
      </w:r>
      <w:r w:rsidR="002142E4" w:rsidRPr="00D20FBE">
        <w:t>2021</w:t>
      </w:r>
      <w:r w:rsidR="00EB3965">
        <w:t>-22</w:t>
      </w:r>
      <w:r w:rsidR="002142E4" w:rsidRPr="00D20FBE">
        <w:rPr>
          <w:spacing w:val="-8"/>
        </w:rPr>
        <w:t xml:space="preserve"> </w:t>
      </w:r>
      <w:r w:rsidR="002142E4" w:rsidRPr="00D20FBE">
        <w:t>($3</w:t>
      </w:r>
      <w:r w:rsidR="00490CFE">
        <w:t>21</w:t>
      </w:r>
      <w:r w:rsidR="00C521F1">
        <w:t>.46</w:t>
      </w:r>
      <w:r w:rsidR="002142E4" w:rsidRPr="00D20FBE">
        <w:t>)</w:t>
      </w:r>
      <w:r w:rsidR="002142E4" w:rsidRPr="00D20FBE">
        <w:rPr>
          <w:spacing w:val="-9"/>
        </w:rPr>
        <w:t xml:space="preserve"> </w:t>
      </w:r>
      <w:r w:rsidR="002142E4" w:rsidRPr="00D20FBE">
        <w:t>and</w:t>
      </w:r>
      <w:r w:rsidR="002142E4" w:rsidRPr="00D20FBE">
        <w:rPr>
          <w:spacing w:val="-9"/>
        </w:rPr>
        <w:t xml:space="preserve"> </w:t>
      </w:r>
      <w:r w:rsidR="002142E4" w:rsidRPr="00D20FBE">
        <w:t xml:space="preserve">an increase of </w:t>
      </w:r>
      <w:r w:rsidR="00D82BBE">
        <w:t>13</w:t>
      </w:r>
      <w:r w:rsidR="00BF1518">
        <w:t>%</w:t>
      </w:r>
      <w:r w:rsidR="002142E4" w:rsidRPr="00D20FBE">
        <w:t xml:space="preserve"> </w:t>
      </w:r>
      <w:r w:rsidR="00BF1518">
        <w:t>on</w:t>
      </w:r>
      <w:r w:rsidR="00BF1518" w:rsidRPr="00D20FBE">
        <w:t xml:space="preserve"> </w:t>
      </w:r>
      <w:r w:rsidR="002142E4" w:rsidRPr="00D20FBE">
        <w:t>2020</w:t>
      </w:r>
      <w:r w:rsidR="00D82BBE">
        <w:t>-21</w:t>
      </w:r>
      <w:r w:rsidR="002142E4" w:rsidRPr="00D20FBE">
        <w:t xml:space="preserve"> ($</w:t>
      </w:r>
      <w:r w:rsidR="00D82BBE">
        <w:t>311.44</w:t>
      </w:r>
      <w:r w:rsidR="002142E4" w:rsidRPr="00D20FBE">
        <w:t xml:space="preserve">). This increase </w:t>
      </w:r>
      <w:r w:rsidR="00D82BBE">
        <w:t xml:space="preserve">is attributed </w:t>
      </w:r>
      <w:r w:rsidR="00AC0B21">
        <w:t>the new care funding model, AN-ACC, that was introduced in October 2022.</w:t>
      </w:r>
    </w:p>
    <w:p w14:paraId="7339BB20" w14:textId="71E8F54E" w:rsidR="00AD282C" w:rsidRDefault="00EE5C68" w:rsidP="00AD282C">
      <w:pPr>
        <w:pStyle w:val="Caption"/>
      </w:pPr>
      <w:bookmarkStart w:id="118" w:name="_Ref163036208"/>
      <w:bookmarkStart w:id="119" w:name="_Toc173428890"/>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8</w:t>
      </w:r>
      <w:r w:rsidR="00AE19AA">
        <w:rPr>
          <w:noProof/>
        </w:rPr>
        <w:fldChar w:fldCharType="end"/>
      </w:r>
      <w:bookmarkEnd w:id="118"/>
      <w:r>
        <w:t xml:space="preserve">: </w:t>
      </w:r>
      <w:r w:rsidRPr="00FE683E">
        <w:t>Residential care provider revenue sources per resident per day, 20</w:t>
      </w:r>
      <w:r w:rsidR="003819E3">
        <w:t>20-21</w:t>
      </w:r>
      <w:r w:rsidRPr="00FE683E">
        <w:t xml:space="preserve"> to 2022</w:t>
      </w:r>
      <w:r w:rsidR="003819E3">
        <w:t>-23</w:t>
      </w:r>
      <w:bookmarkEnd w:id="119"/>
    </w:p>
    <w:tbl>
      <w:tblPr>
        <w:tblW w:w="9498" w:type="dxa"/>
        <w:tblLayout w:type="fixed"/>
        <w:tblLook w:val="04A0" w:firstRow="1" w:lastRow="0" w:firstColumn="1" w:lastColumn="0" w:noHBand="0" w:noVBand="1"/>
      </w:tblPr>
      <w:tblGrid>
        <w:gridCol w:w="2720"/>
        <w:gridCol w:w="1355"/>
        <w:gridCol w:w="1356"/>
        <w:gridCol w:w="1355"/>
        <w:gridCol w:w="1356"/>
        <w:gridCol w:w="1356"/>
      </w:tblGrid>
      <w:tr w:rsidR="00900EC2" w:rsidRPr="00900EC2" w14:paraId="0488BDF6" w14:textId="77777777" w:rsidTr="00AC5916">
        <w:trPr>
          <w:trHeight w:val="1080"/>
        </w:trPr>
        <w:tc>
          <w:tcPr>
            <w:tcW w:w="2720" w:type="dxa"/>
            <w:tcBorders>
              <w:top w:val="single" w:sz="12" w:space="0" w:color="1E1545"/>
              <w:left w:val="nil"/>
              <w:bottom w:val="single" w:sz="12" w:space="0" w:color="1E1545"/>
              <w:right w:val="nil"/>
            </w:tcBorders>
            <w:shd w:val="clear" w:color="000000" w:fill="1E1545"/>
            <w:vAlign w:val="center"/>
            <w:hideMark/>
          </w:tcPr>
          <w:p w14:paraId="577644A5" w14:textId="77777777" w:rsidR="00900EC2" w:rsidRPr="00900EC2" w:rsidRDefault="00900EC2" w:rsidP="00900EC2">
            <w:pPr>
              <w:spacing w:before="0" w:after="0" w:line="240" w:lineRule="auto"/>
              <w:rPr>
                <w:rFonts w:cs="Arial"/>
                <w:b/>
                <w:color w:val="F1F2F2"/>
                <w:sz w:val="21"/>
                <w:szCs w:val="21"/>
                <w:lang w:eastAsia="en-AU"/>
              </w:rPr>
            </w:pPr>
            <w:r w:rsidRPr="00900EC2">
              <w:rPr>
                <w:rFonts w:cs="Arial"/>
                <w:b/>
                <w:color w:val="F1F2F2"/>
                <w:sz w:val="21"/>
                <w:szCs w:val="21"/>
                <w:lang w:eastAsia="en-AU"/>
              </w:rPr>
              <w:t>Revenue sources</w:t>
            </w:r>
          </w:p>
        </w:tc>
        <w:tc>
          <w:tcPr>
            <w:tcW w:w="1355" w:type="dxa"/>
            <w:tcBorders>
              <w:top w:val="single" w:sz="12" w:space="0" w:color="1E1545"/>
              <w:left w:val="nil"/>
              <w:bottom w:val="single" w:sz="12" w:space="0" w:color="1E1545"/>
              <w:right w:val="nil"/>
            </w:tcBorders>
            <w:shd w:val="clear" w:color="000000" w:fill="1E1545"/>
            <w:vAlign w:val="center"/>
            <w:hideMark/>
          </w:tcPr>
          <w:p w14:paraId="6F346320" w14:textId="77777777" w:rsidR="00900EC2" w:rsidRPr="00900EC2" w:rsidRDefault="00900EC2" w:rsidP="00900EC2">
            <w:pPr>
              <w:spacing w:before="0" w:after="0" w:line="240" w:lineRule="auto"/>
              <w:jc w:val="right"/>
              <w:rPr>
                <w:rFonts w:cs="Arial"/>
                <w:b/>
                <w:color w:val="F1F2F2"/>
                <w:sz w:val="21"/>
                <w:szCs w:val="21"/>
                <w:lang w:eastAsia="en-AU"/>
              </w:rPr>
            </w:pPr>
            <w:r w:rsidRPr="00900EC2">
              <w:rPr>
                <w:rFonts w:cs="Arial"/>
                <w:b/>
                <w:color w:val="F1F2F2"/>
                <w:sz w:val="21"/>
                <w:szCs w:val="21"/>
                <w:lang w:eastAsia="en-AU"/>
              </w:rPr>
              <w:t>2020-21</w:t>
            </w:r>
          </w:p>
        </w:tc>
        <w:tc>
          <w:tcPr>
            <w:tcW w:w="1356" w:type="dxa"/>
            <w:tcBorders>
              <w:top w:val="single" w:sz="12" w:space="0" w:color="1E1545"/>
              <w:left w:val="nil"/>
              <w:bottom w:val="single" w:sz="12" w:space="0" w:color="1E1545"/>
              <w:right w:val="nil"/>
            </w:tcBorders>
            <w:shd w:val="clear" w:color="000000" w:fill="1E1545"/>
            <w:vAlign w:val="center"/>
            <w:hideMark/>
          </w:tcPr>
          <w:p w14:paraId="47CBC620" w14:textId="77777777" w:rsidR="00900EC2" w:rsidRPr="00900EC2" w:rsidRDefault="00900EC2" w:rsidP="00900EC2">
            <w:pPr>
              <w:spacing w:before="0" w:after="0" w:line="240" w:lineRule="auto"/>
              <w:jc w:val="right"/>
              <w:rPr>
                <w:rFonts w:cs="Arial"/>
                <w:b/>
                <w:color w:val="F1F2F2"/>
                <w:sz w:val="21"/>
                <w:szCs w:val="21"/>
                <w:lang w:eastAsia="en-AU"/>
              </w:rPr>
            </w:pPr>
            <w:r w:rsidRPr="00900EC2">
              <w:rPr>
                <w:rFonts w:cs="Arial"/>
                <w:b/>
                <w:color w:val="F1F2F2"/>
                <w:sz w:val="21"/>
                <w:szCs w:val="21"/>
                <w:lang w:eastAsia="en-AU"/>
              </w:rPr>
              <w:t>2021-22</w:t>
            </w:r>
          </w:p>
        </w:tc>
        <w:tc>
          <w:tcPr>
            <w:tcW w:w="1355" w:type="dxa"/>
            <w:tcBorders>
              <w:top w:val="single" w:sz="12" w:space="0" w:color="1E1545"/>
              <w:left w:val="nil"/>
              <w:bottom w:val="single" w:sz="12" w:space="0" w:color="1E1545"/>
              <w:right w:val="nil"/>
            </w:tcBorders>
            <w:shd w:val="clear" w:color="000000" w:fill="1E1545"/>
            <w:vAlign w:val="center"/>
            <w:hideMark/>
          </w:tcPr>
          <w:p w14:paraId="6F7C8B12" w14:textId="77777777" w:rsidR="00900EC2" w:rsidRPr="00900EC2" w:rsidRDefault="00900EC2" w:rsidP="00900EC2">
            <w:pPr>
              <w:spacing w:before="0" w:after="0" w:line="240" w:lineRule="auto"/>
              <w:jc w:val="right"/>
              <w:rPr>
                <w:rFonts w:cs="Arial"/>
                <w:b/>
                <w:color w:val="F1F2F2"/>
                <w:sz w:val="21"/>
                <w:szCs w:val="21"/>
                <w:lang w:eastAsia="en-AU"/>
              </w:rPr>
            </w:pPr>
            <w:r w:rsidRPr="00900EC2">
              <w:rPr>
                <w:rFonts w:cs="Arial"/>
                <w:b/>
                <w:color w:val="F1F2F2"/>
                <w:sz w:val="21"/>
                <w:szCs w:val="21"/>
                <w:lang w:eastAsia="en-AU"/>
              </w:rPr>
              <w:t>Change from</w:t>
            </w:r>
            <w:r w:rsidRPr="00900EC2">
              <w:rPr>
                <w:rFonts w:cs="Arial"/>
                <w:b/>
                <w:color w:val="F1F2F2"/>
                <w:sz w:val="21"/>
                <w:szCs w:val="21"/>
                <w:lang w:eastAsia="en-AU"/>
              </w:rPr>
              <w:br/>
              <w:t xml:space="preserve">2020-21 to 2021-22 </w:t>
            </w:r>
          </w:p>
        </w:tc>
        <w:tc>
          <w:tcPr>
            <w:tcW w:w="1356" w:type="dxa"/>
            <w:tcBorders>
              <w:top w:val="single" w:sz="12" w:space="0" w:color="1E1545"/>
              <w:left w:val="nil"/>
              <w:bottom w:val="single" w:sz="12" w:space="0" w:color="1E1545"/>
              <w:right w:val="nil"/>
            </w:tcBorders>
            <w:shd w:val="clear" w:color="000000" w:fill="1E1545"/>
            <w:vAlign w:val="center"/>
            <w:hideMark/>
          </w:tcPr>
          <w:p w14:paraId="17F01C64" w14:textId="77777777" w:rsidR="00900EC2" w:rsidRPr="00900EC2" w:rsidRDefault="00900EC2" w:rsidP="00900EC2">
            <w:pPr>
              <w:spacing w:before="0" w:after="0" w:line="240" w:lineRule="auto"/>
              <w:jc w:val="right"/>
              <w:rPr>
                <w:rFonts w:cs="Arial"/>
                <w:b/>
                <w:color w:val="F1F2F2"/>
                <w:sz w:val="21"/>
                <w:szCs w:val="21"/>
                <w:lang w:eastAsia="en-AU"/>
              </w:rPr>
            </w:pPr>
            <w:r w:rsidRPr="00900EC2">
              <w:rPr>
                <w:rFonts w:cs="Arial"/>
                <w:b/>
                <w:color w:val="F1F2F2"/>
                <w:sz w:val="21"/>
                <w:szCs w:val="21"/>
                <w:lang w:eastAsia="en-AU"/>
              </w:rPr>
              <w:t>2022-23</w:t>
            </w:r>
          </w:p>
        </w:tc>
        <w:tc>
          <w:tcPr>
            <w:tcW w:w="1356" w:type="dxa"/>
            <w:tcBorders>
              <w:top w:val="single" w:sz="12" w:space="0" w:color="1E1545"/>
              <w:left w:val="nil"/>
              <w:bottom w:val="single" w:sz="12" w:space="0" w:color="1E1545"/>
              <w:right w:val="nil"/>
            </w:tcBorders>
            <w:shd w:val="clear" w:color="000000" w:fill="1E1545"/>
            <w:vAlign w:val="center"/>
            <w:hideMark/>
          </w:tcPr>
          <w:p w14:paraId="717DDCB3" w14:textId="77777777" w:rsidR="00900EC2" w:rsidRPr="00900EC2" w:rsidRDefault="00900EC2" w:rsidP="00900EC2">
            <w:pPr>
              <w:spacing w:before="0" w:after="0" w:line="240" w:lineRule="auto"/>
              <w:jc w:val="right"/>
              <w:rPr>
                <w:rFonts w:cs="Arial"/>
                <w:b/>
                <w:color w:val="F1F2F2"/>
                <w:sz w:val="21"/>
                <w:szCs w:val="21"/>
                <w:lang w:eastAsia="en-AU"/>
              </w:rPr>
            </w:pPr>
            <w:r w:rsidRPr="00900EC2">
              <w:rPr>
                <w:rFonts w:cs="Arial"/>
                <w:b/>
                <w:color w:val="F1F2F2"/>
                <w:sz w:val="21"/>
                <w:szCs w:val="21"/>
                <w:lang w:eastAsia="en-AU"/>
              </w:rPr>
              <w:t>Change from 2021-22 to 2022-23</w:t>
            </w:r>
          </w:p>
        </w:tc>
      </w:tr>
      <w:tr w:rsidR="00900EC2" w:rsidRPr="00900EC2" w14:paraId="76CCF6BB"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0CEC2E75"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xml:space="preserve">Australian Government </w:t>
            </w:r>
          </w:p>
        </w:tc>
        <w:tc>
          <w:tcPr>
            <w:tcW w:w="1355" w:type="dxa"/>
            <w:tcBorders>
              <w:top w:val="nil"/>
              <w:left w:val="nil"/>
              <w:bottom w:val="single" w:sz="12" w:space="0" w:color="1E1545"/>
              <w:right w:val="nil"/>
            </w:tcBorders>
            <w:shd w:val="clear" w:color="000000" w:fill="D8DADA"/>
            <w:vAlign w:val="center"/>
            <w:hideMark/>
          </w:tcPr>
          <w:p w14:paraId="5BBEF8C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485B9016"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5" w:type="dxa"/>
            <w:tcBorders>
              <w:top w:val="nil"/>
              <w:left w:val="nil"/>
              <w:bottom w:val="single" w:sz="12" w:space="0" w:color="1E1545"/>
              <w:right w:val="nil"/>
            </w:tcBorders>
            <w:shd w:val="clear" w:color="000000" w:fill="D8DADA"/>
            <w:vAlign w:val="center"/>
            <w:hideMark/>
          </w:tcPr>
          <w:p w14:paraId="7BB37DFF"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2FF58FF5"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7AA06844"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r>
      <w:tr w:rsidR="00900EC2" w:rsidRPr="00900EC2" w14:paraId="33595CE2"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5585993A" w14:textId="77777777" w:rsid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 xml:space="preserve">Basic care subsidy </w:t>
            </w:r>
          </w:p>
          <w:p w14:paraId="302251DB" w14:textId="1F13CBFE"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w:t>
            </w:r>
            <w:r>
              <w:rPr>
                <w:rFonts w:cs="Arial"/>
                <w:bCs w:val="0"/>
                <w:color w:val="1E1545"/>
                <w:sz w:val="21"/>
                <w:szCs w:val="21"/>
                <w:lang w:eastAsia="en-AU"/>
              </w:rPr>
              <w:t xml:space="preserve">AN-ACC and </w:t>
            </w:r>
            <w:r w:rsidRPr="00900EC2">
              <w:rPr>
                <w:rFonts w:cs="Arial"/>
                <w:bCs w:val="0"/>
                <w:color w:val="1E1545"/>
                <w:sz w:val="21"/>
                <w:szCs w:val="21"/>
                <w:lang w:eastAsia="en-AU"/>
              </w:rPr>
              <w:t>ACFI)</w:t>
            </w:r>
          </w:p>
        </w:tc>
        <w:tc>
          <w:tcPr>
            <w:tcW w:w="1355" w:type="dxa"/>
            <w:tcBorders>
              <w:top w:val="nil"/>
              <w:left w:val="nil"/>
              <w:bottom w:val="single" w:sz="12" w:space="0" w:color="1E1545"/>
              <w:right w:val="nil"/>
            </w:tcBorders>
            <w:shd w:val="clear" w:color="000000" w:fill="FFFFFF"/>
            <w:noWrap/>
            <w:vAlign w:val="center"/>
            <w:hideMark/>
          </w:tcPr>
          <w:p w14:paraId="2FAB040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$170.78 </w:t>
            </w:r>
          </w:p>
        </w:tc>
        <w:tc>
          <w:tcPr>
            <w:tcW w:w="1356" w:type="dxa"/>
            <w:tcBorders>
              <w:top w:val="nil"/>
              <w:left w:val="nil"/>
              <w:bottom w:val="single" w:sz="12" w:space="0" w:color="1E1545"/>
              <w:right w:val="nil"/>
            </w:tcBorders>
            <w:shd w:val="clear" w:color="000000" w:fill="FFFFFF"/>
            <w:noWrap/>
            <w:vAlign w:val="center"/>
            <w:hideMark/>
          </w:tcPr>
          <w:p w14:paraId="4EC5F5E7"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$173.05 </w:t>
            </w:r>
          </w:p>
        </w:tc>
        <w:tc>
          <w:tcPr>
            <w:tcW w:w="1355" w:type="dxa"/>
            <w:tcBorders>
              <w:top w:val="nil"/>
              <w:left w:val="nil"/>
              <w:bottom w:val="single" w:sz="12" w:space="0" w:color="1E1545"/>
              <w:right w:val="nil"/>
            </w:tcBorders>
            <w:shd w:val="clear" w:color="000000" w:fill="FFFFFF"/>
            <w:noWrap/>
            <w:vAlign w:val="center"/>
            <w:hideMark/>
          </w:tcPr>
          <w:p w14:paraId="1B7780B4"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$2.28 </w:t>
            </w:r>
          </w:p>
        </w:tc>
        <w:tc>
          <w:tcPr>
            <w:tcW w:w="1356" w:type="dxa"/>
            <w:tcBorders>
              <w:top w:val="nil"/>
              <w:left w:val="nil"/>
              <w:bottom w:val="single" w:sz="12" w:space="0" w:color="1E1545"/>
              <w:right w:val="nil"/>
            </w:tcBorders>
            <w:shd w:val="clear" w:color="000000" w:fill="FFFFFF"/>
            <w:noWrap/>
            <w:vAlign w:val="center"/>
            <w:hideMark/>
          </w:tcPr>
          <w:p w14:paraId="52912E7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$189.97 </w:t>
            </w:r>
          </w:p>
        </w:tc>
        <w:tc>
          <w:tcPr>
            <w:tcW w:w="1356" w:type="dxa"/>
            <w:tcBorders>
              <w:top w:val="nil"/>
              <w:left w:val="nil"/>
              <w:bottom w:val="single" w:sz="12" w:space="0" w:color="1E1545"/>
              <w:right w:val="nil"/>
            </w:tcBorders>
            <w:shd w:val="clear" w:color="000000" w:fill="FFFFFF"/>
            <w:noWrap/>
            <w:vAlign w:val="center"/>
            <w:hideMark/>
          </w:tcPr>
          <w:p w14:paraId="26AF6F9B"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$16.92 </w:t>
            </w:r>
          </w:p>
        </w:tc>
      </w:tr>
      <w:tr w:rsidR="00900EC2" w:rsidRPr="00900EC2" w14:paraId="24B6DE90" w14:textId="77777777" w:rsidTr="00AC5916">
        <w:trPr>
          <w:trHeight w:val="560"/>
        </w:trPr>
        <w:tc>
          <w:tcPr>
            <w:tcW w:w="2720" w:type="dxa"/>
            <w:tcBorders>
              <w:top w:val="nil"/>
              <w:left w:val="nil"/>
              <w:bottom w:val="single" w:sz="12" w:space="0" w:color="1E1545"/>
              <w:right w:val="nil"/>
            </w:tcBorders>
            <w:shd w:val="clear" w:color="000000" w:fill="FFFFFF"/>
            <w:vAlign w:val="center"/>
            <w:hideMark/>
          </w:tcPr>
          <w:p w14:paraId="064D2033"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Respite subsidy &amp; supplements</w:t>
            </w:r>
          </w:p>
        </w:tc>
        <w:tc>
          <w:tcPr>
            <w:tcW w:w="1355" w:type="dxa"/>
            <w:tcBorders>
              <w:top w:val="nil"/>
              <w:left w:val="nil"/>
              <w:bottom w:val="single" w:sz="12" w:space="0" w:color="1E1545"/>
              <w:right w:val="nil"/>
            </w:tcBorders>
            <w:shd w:val="clear" w:color="000000" w:fill="FFFFFF"/>
            <w:noWrap/>
            <w:vAlign w:val="center"/>
            <w:hideMark/>
          </w:tcPr>
          <w:p w14:paraId="57D8ECB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$6.61 </w:t>
            </w:r>
          </w:p>
        </w:tc>
        <w:tc>
          <w:tcPr>
            <w:tcW w:w="1356" w:type="dxa"/>
            <w:tcBorders>
              <w:top w:val="nil"/>
              <w:left w:val="nil"/>
              <w:bottom w:val="single" w:sz="12" w:space="0" w:color="1E1545"/>
              <w:right w:val="nil"/>
            </w:tcBorders>
            <w:shd w:val="clear" w:color="000000" w:fill="FFFFFF"/>
            <w:noWrap/>
            <w:vAlign w:val="center"/>
            <w:hideMark/>
          </w:tcPr>
          <w:p w14:paraId="37FD039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$7.30 </w:t>
            </w:r>
          </w:p>
        </w:tc>
        <w:tc>
          <w:tcPr>
            <w:tcW w:w="1355" w:type="dxa"/>
            <w:tcBorders>
              <w:top w:val="nil"/>
              <w:left w:val="nil"/>
              <w:bottom w:val="single" w:sz="12" w:space="0" w:color="1E1545"/>
              <w:right w:val="nil"/>
            </w:tcBorders>
            <w:shd w:val="clear" w:color="000000" w:fill="FFFFFF"/>
            <w:noWrap/>
            <w:vAlign w:val="center"/>
            <w:hideMark/>
          </w:tcPr>
          <w:p w14:paraId="007E8D2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$0.69 </w:t>
            </w:r>
          </w:p>
        </w:tc>
        <w:tc>
          <w:tcPr>
            <w:tcW w:w="1356" w:type="dxa"/>
            <w:tcBorders>
              <w:top w:val="nil"/>
              <w:left w:val="nil"/>
              <w:bottom w:val="single" w:sz="12" w:space="0" w:color="1E1545"/>
              <w:right w:val="nil"/>
            </w:tcBorders>
            <w:shd w:val="clear" w:color="000000" w:fill="FFFFFF"/>
            <w:noWrap/>
            <w:vAlign w:val="center"/>
            <w:hideMark/>
          </w:tcPr>
          <w:p w14:paraId="11FA8D0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$9.93 </w:t>
            </w:r>
          </w:p>
        </w:tc>
        <w:tc>
          <w:tcPr>
            <w:tcW w:w="1356" w:type="dxa"/>
            <w:tcBorders>
              <w:top w:val="nil"/>
              <w:left w:val="nil"/>
              <w:bottom w:val="single" w:sz="12" w:space="0" w:color="1E1545"/>
              <w:right w:val="nil"/>
            </w:tcBorders>
            <w:shd w:val="clear" w:color="000000" w:fill="FFFFFF"/>
            <w:noWrap/>
            <w:vAlign w:val="center"/>
            <w:hideMark/>
          </w:tcPr>
          <w:p w14:paraId="540025C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$2.63 </w:t>
            </w:r>
          </w:p>
        </w:tc>
      </w:tr>
      <w:tr w:rsidR="00900EC2" w:rsidRPr="00900EC2" w14:paraId="7AFAB043"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1684F536"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Basic daily fee supplement</w:t>
            </w:r>
          </w:p>
        </w:tc>
        <w:tc>
          <w:tcPr>
            <w:tcW w:w="1355" w:type="dxa"/>
            <w:tcBorders>
              <w:top w:val="nil"/>
              <w:left w:val="nil"/>
              <w:bottom w:val="single" w:sz="12" w:space="0" w:color="1E1545"/>
              <w:right w:val="nil"/>
            </w:tcBorders>
            <w:shd w:val="clear" w:color="000000" w:fill="FFFFFF"/>
            <w:noWrap/>
            <w:vAlign w:val="center"/>
            <w:hideMark/>
          </w:tcPr>
          <w:p w14:paraId="05BFC34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$0.00 </w:t>
            </w:r>
          </w:p>
        </w:tc>
        <w:tc>
          <w:tcPr>
            <w:tcW w:w="1356" w:type="dxa"/>
            <w:tcBorders>
              <w:top w:val="nil"/>
              <w:left w:val="nil"/>
              <w:bottom w:val="single" w:sz="12" w:space="0" w:color="1E1545"/>
              <w:right w:val="nil"/>
            </w:tcBorders>
            <w:shd w:val="clear" w:color="000000" w:fill="FFFFFF"/>
            <w:noWrap/>
            <w:vAlign w:val="center"/>
            <w:hideMark/>
          </w:tcPr>
          <w:p w14:paraId="28B255A7"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$9.63 </w:t>
            </w:r>
          </w:p>
        </w:tc>
        <w:tc>
          <w:tcPr>
            <w:tcW w:w="1355" w:type="dxa"/>
            <w:tcBorders>
              <w:top w:val="nil"/>
              <w:left w:val="nil"/>
              <w:bottom w:val="single" w:sz="12" w:space="0" w:color="1E1545"/>
              <w:right w:val="nil"/>
            </w:tcBorders>
            <w:shd w:val="clear" w:color="000000" w:fill="FFFFFF"/>
            <w:noWrap/>
            <w:vAlign w:val="center"/>
            <w:hideMark/>
          </w:tcPr>
          <w:p w14:paraId="5C8CB49E"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$9.63 </w:t>
            </w:r>
          </w:p>
        </w:tc>
        <w:tc>
          <w:tcPr>
            <w:tcW w:w="1356" w:type="dxa"/>
            <w:tcBorders>
              <w:top w:val="nil"/>
              <w:left w:val="nil"/>
              <w:bottom w:val="single" w:sz="12" w:space="0" w:color="1E1545"/>
              <w:right w:val="nil"/>
            </w:tcBorders>
            <w:shd w:val="clear" w:color="000000" w:fill="FFFFFF"/>
            <w:noWrap/>
            <w:vAlign w:val="center"/>
            <w:hideMark/>
          </w:tcPr>
          <w:p w14:paraId="1CFA002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$2.41 </w:t>
            </w:r>
          </w:p>
        </w:tc>
        <w:tc>
          <w:tcPr>
            <w:tcW w:w="1356" w:type="dxa"/>
            <w:tcBorders>
              <w:top w:val="nil"/>
              <w:left w:val="nil"/>
              <w:bottom w:val="single" w:sz="12" w:space="0" w:color="1E1545"/>
              <w:right w:val="nil"/>
            </w:tcBorders>
            <w:shd w:val="clear" w:color="000000" w:fill="FFFFFF"/>
            <w:noWrap/>
            <w:vAlign w:val="center"/>
            <w:hideMark/>
          </w:tcPr>
          <w:p w14:paraId="3DE450C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($7.22)</w:t>
            </w:r>
          </w:p>
        </w:tc>
      </w:tr>
      <w:tr w:rsidR="00900EC2" w:rsidRPr="00900EC2" w14:paraId="3B81E868"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7E48E45C"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COVID-19 funding</w:t>
            </w:r>
          </w:p>
        </w:tc>
        <w:tc>
          <w:tcPr>
            <w:tcW w:w="1355" w:type="dxa"/>
            <w:tcBorders>
              <w:top w:val="nil"/>
              <w:left w:val="nil"/>
              <w:bottom w:val="single" w:sz="12" w:space="0" w:color="1E1545"/>
              <w:right w:val="nil"/>
            </w:tcBorders>
            <w:shd w:val="clear" w:color="000000" w:fill="FFFFFF"/>
            <w:noWrap/>
            <w:vAlign w:val="center"/>
            <w:hideMark/>
          </w:tcPr>
          <w:p w14:paraId="4D6D9E86"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$10.93 </w:t>
            </w:r>
          </w:p>
        </w:tc>
        <w:tc>
          <w:tcPr>
            <w:tcW w:w="1356" w:type="dxa"/>
            <w:tcBorders>
              <w:top w:val="nil"/>
              <w:left w:val="nil"/>
              <w:bottom w:val="single" w:sz="12" w:space="0" w:color="1E1545"/>
              <w:right w:val="nil"/>
            </w:tcBorders>
            <w:shd w:val="clear" w:color="000000" w:fill="FFFFFF"/>
            <w:noWrap/>
            <w:vAlign w:val="center"/>
            <w:hideMark/>
          </w:tcPr>
          <w:p w14:paraId="0167535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$4.46 </w:t>
            </w:r>
          </w:p>
        </w:tc>
        <w:tc>
          <w:tcPr>
            <w:tcW w:w="1355" w:type="dxa"/>
            <w:tcBorders>
              <w:top w:val="nil"/>
              <w:left w:val="nil"/>
              <w:bottom w:val="single" w:sz="12" w:space="0" w:color="1E1545"/>
              <w:right w:val="nil"/>
            </w:tcBorders>
            <w:shd w:val="clear" w:color="000000" w:fill="FFFFFF"/>
            <w:noWrap/>
            <w:vAlign w:val="center"/>
            <w:hideMark/>
          </w:tcPr>
          <w:p w14:paraId="73F4460E"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($6.47)</w:t>
            </w:r>
          </w:p>
        </w:tc>
        <w:tc>
          <w:tcPr>
            <w:tcW w:w="1356" w:type="dxa"/>
            <w:tcBorders>
              <w:top w:val="nil"/>
              <w:left w:val="nil"/>
              <w:bottom w:val="single" w:sz="12" w:space="0" w:color="1E1545"/>
              <w:right w:val="nil"/>
            </w:tcBorders>
            <w:shd w:val="clear" w:color="000000" w:fill="FFFFFF"/>
            <w:noWrap/>
            <w:vAlign w:val="center"/>
            <w:hideMark/>
          </w:tcPr>
          <w:p w14:paraId="7D307C0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$7.50 </w:t>
            </w:r>
          </w:p>
        </w:tc>
        <w:tc>
          <w:tcPr>
            <w:tcW w:w="1356" w:type="dxa"/>
            <w:tcBorders>
              <w:top w:val="nil"/>
              <w:left w:val="nil"/>
              <w:bottom w:val="single" w:sz="12" w:space="0" w:color="1E1545"/>
              <w:right w:val="nil"/>
            </w:tcBorders>
            <w:shd w:val="clear" w:color="000000" w:fill="FFFFFF"/>
            <w:noWrap/>
            <w:vAlign w:val="center"/>
            <w:hideMark/>
          </w:tcPr>
          <w:p w14:paraId="4813D29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$3.04 </w:t>
            </w:r>
          </w:p>
        </w:tc>
      </w:tr>
      <w:tr w:rsidR="00900EC2" w:rsidRPr="00900EC2" w14:paraId="5DDB8255"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01BDAE8F"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Other supplements</w:t>
            </w:r>
          </w:p>
        </w:tc>
        <w:tc>
          <w:tcPr>
            <w:tcW w:w="1355" w:type="dxa"/>
            <w:tcBorders>
              <w:top w:val="nil"/>
              <w:left w:val="nil"/>
              <w:bottom w:val="single" w:sz="12" w:space="0" w:color="1E1545"/>
              <w:right w:val="nil"/>
            </w:tcBorders>
            <w:shd w:val="clear" w:color="000000" w:fill="FFFFFF"/>
            <w:noWrap/>
            <w:vAlign w:val="center"/>
            <w:hideMark/>
          </w:tcPr>
          <w:p w14:paraId="64DE5014"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$2.27 </w:t>
            </w:r>
          </w:p>
        </w:tc>
        <w:tc>
          <w:tcPr>
            <w:tcW w:w="1356" w:type="dxa"/>
            <w:tcBorders>
              <w:top w:val="nil"/>
              <w:left w:val="nil"/>
              <w:bottom w:val="single" w:sz="12" w:space="0" w:color="1E1545"/>
              <w:right w:val="nil"/>
            </w:tcBorders>
            <w:shd w:val="clear" w:color="000000" w:fill="FFFFFF"/>
            <w:noWrap/>
            <w:vAlign w:val="center"/>
            <w:hideMark/>
          </w:tcPr>
          <w:p w14:paraId="3FB30EF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$2.26 </w:t>
            </w:r>
          </w:p>
        </w:tc>
        <w:tc>
          <w:tcPr>
            <w:tcW w:w="1355" w:type="dxa"/>
            <w:tcBorders>
              <w:top w:val="nil"/>
              <w:left w:val="nil"/>
              <w:bottom w:val="single" w:sz="12" w:space="0" w:color="1E1545"/>
              <w:right w:val="nil"/>
            </w:tcBorders>
            <w:shd w:val="clear" w:color="000000" w:fill="FFFFFF"/>
            <w:noWrap/>
            <w:vAlign w:val="center"/>
            <w:hideMark/>
          </w:tcPr>
          <w:p w14:paraId="5351382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($0.01)</w:t>
            </w:r>
          </w:p>
        </w:tc>
        <w:tc>
          <w:tcPr>
            <w:tcW w:w="1356" w:type="dxa"/>
            <w:tcBorders>
              <w:top w:val="nil"/>
              <w:left w:val="nil"/>
              <w:bottom w:val="single" w:sz="12" w:space="0" w:color="1E1545"/>
              <w:right w:val="nil"/>
            </w:tcBorders>
            <w:shd w:val="clear" w:color="000000" w:fill="FFFFFF"/>
            <w:noWrap/>
            <w:vAlign w:val="center"/>
            <w:hideMark/>
          </w:tcPr>
          <w:p w14:paraId="6DE4DD27"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$2.02 </w:t>
            </w:r>
          </w:p>
        </w:tc>
        <w:tc>
          <w:tcPr>
            <w:tcW w:w="1356" w:type="dxa"/>
            <w:tcBorders>
              <w:top w:val="nil"/>
              <w:left w:val="nil"/>
              <w:bottom w:val="single" w:sz="12" w:space="0" w:color="1E1545"/>
              <w:right w:val="nil"/>
            </w:tcBorders>
            <w:shd w:val="clear" w:color="000000" w:fill="FFFFFF"/>
            <w:noWrap/>
            <w:vAlign w:val="center"/>
            <w:hideMark/>
          </w:tcPr>
          <w:p w14:paraId="000513F6"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($0.24)</w:t>
            </w:r>
          </w:p>
        </w:tc>
      </w:tr>
      <w:tr w:rsidR="00900EC2" w:rsidRPr="00900EC2" w14:paraId="2CB1E541"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4923D909"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Accommodation supplement</w:t>
            </w:r>
          </w:p>
        </w:tc>
        <w:tc>
          <w:tcPr>
            <w:tcW w:w="1355" w:type="dxa"/>
            <w:tcBorders>
              <w:top w:val="nil"/>
              <w:left w:val="nil"/>
              <w:bottom w:val="single" w:sz="12" w:space="0" w:color="1E1545"/>
              <w:right w:val="nil"/>
            </w:tcBorders>
            <w:shd w:val="clear" w:color="000000" w:fill="FFFFFF"/>
            <w:noWrap/>
            <w:vAlign w:val="center"/>
            <w:hideMark/>
          </w:tcPr>
          <w:p w14:paraId="7F4A140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$19.39 </w:t>
            </w:r>
          </w:p>
        </w:tc>
        <w:tc>
          <w:tcPr>
            <w:tcW w:w="1356" w:type="dxa"/>
            <w:tcBorders>
              <w:top w:val="nil"/>
              <w:left w:val="nil"/>
              <w:bottom w:val="single" w:sz="12" w:space="0" w:color="1E1545"/>
              <w:right w:val="nil"/>
            </w:tcBorders>
            <w:shd w:val="clear" w:color="000000" w:fill="FFFFFF"/>
            <w:noWrap/>
            <w:vAlign w:val="center"/>
            <w:hideMark/>
          </w:tcPr>
          <w:p w14:paraId="57EEF748"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$19.27 </w:t>
            </w:r>
          </w:p>
        </w:tc>
        <w:tc>
          <w:tcPr>
            <w:tcW w:w="1355" w:type="dxa"/>
            <w:tcBorders>
              <w:top w:val="nil"/>
              <w:left w:val="nil"/>
              <w:bottom w:val="single" w:sz="12" w:space="0" w:color="1E1545"/>
              <w:right w:val="nil"/>
            </w:tcBorders>
            <w:shd w:val="clear" w:color="000000" w:fill="FFFFFF"/>
            <w:noWrap/>
            <w:vAlign w:val="center"/>
            <w:hideMark/>
          </w:tcPr>
          <w:p w14:paraId="05915B8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($0.12)</w:t>
            </w:r>
          </w:p>
        </w:tc>
        <w:tc>
          <w:tcPr>
            <w:tcW w:w="1356" w:type="dxa"/>
            <w:tcBorders>
              <w:top w:val="nil"/>
              <w:left w:val="nil"/>
              <w:bottom w:val="single" w:sz="12" w:space="0" w:color="1E1545"/>
              <w:right w:val="nil"/>
            </w:tcBorders>
            <w:shd w:val="clear" w:color="000000" w:fill="FFFFFF"/>
            <w:noWrap/>
            <w:vAlign w:val="center"/>
            <w:hideMark/>
          </w:tcPr>
          <w:p w14:paraId="3471F44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$20.31 </w:t>
            </w:r>
          </w:p>
        </w:tc>
        <w:tc>
          <w:tcPr>
            <w:tcW w:w="1356" w:type="dxa"/>
            <w:tcBorders>
              <w:top w:val="nil"/>
              <w:left w:val="nil"/>
              <w:bottom w:val="single" w:sz="12" w:space="0" w:color="1E1545"/>
              <w:right w:val="nil"/>
            </w:tcBorders>
            <w:shd w:val="clear" w:color="000000" w:fill="FFFFFF"/>
            <w:noWrap/>
            <w:vAlign w:val="center"/>
            <w:hideMark/>
          </w:tcPr>
          <w:p w14:paraId="12B45F1F"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$1.04 </w:t>
            </w:r>
          </w:p>
        </w:tc>
      </w:tr>
      <w:tr w:rsidR="00900EC2" w:rsidRPr="00900EC2" w14:paraId="479D5025"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3FB4C2E8"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Capital Grants</w:t>
            </w:r>
          </w:p>
        </w:tc>
        <w:tc>
          <w:tcPr>
            <w:tcW w:w="1355" w:type="dxa"/>
            <w:tcBorders>
              <w:top w:val="nil"/>
              <w:left w:val="nil"/>
              <w:bottom w:val="single" w:sz="12" w:space="0" w:color="1E1545"/>
              <w:right w:val="nil"/>
            </w:tcBorders>
            <w:shd w:val="clear" w:color="000000" w:fill="FFFFFF"/>
            <w:noWrap/>
            <w:vAlign w:val="center"/>
            <w:hideMark/>
          </w:tcPr>
          <w:p w14:paraId="14A6256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$1.10 </w:t>
            </w:r>
          </w:p>
        </w:tc>
        <w:tc>
          <w:tcPr>
            <w:tcW w:w="1356" w:type="dxa"/>
            <w:tcBorders>
              <w:top w:val="nil"/>
              <w:left w:val="nil"/>
              <w:bottom w:val="single" w:sz="12" w:space="0" w:color="1E1545"/>
              <w:right w:val="nil"/>
            </w:tcBorders>
            <w:shd w:val="clear" w:color="000000" w:fill="FFFFFF"/>
            <w:noWrap/>
            <w:vAlign w:val="center"/>
            <w:hideMark/>
          </w:tcPr>
          <w:p w14:paraId="44F4F80B"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$1.92 </w:t>
            </w:r>
          </w:p>
        </w:tc>
        <w:tc>
          <w:tcPr>
            <w:tcW w:w="1355" w:type="dxa"/>
            <w:tcBorders>
              <w:top w:val="nil"/>
              <w:left w:val="nil"/>
              <w:bottom w:val="single" w:sz="12" w:space="0" w:color="1E1545"/>
              <w:right w:val="nil"/>
            </w:tcBorders>
            <w:shd w:val="clear" w:color="000000" w:fill="FFFFFF"/>
            <w:noWrap/>
            <w:vAlign w:val="center"/>
            <w:hideMark/>
          </w:tcPr>
          <w:p w14:paraId="04DC96D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$0.82 </w:t>
            </w:r>
          </w:p>
        </w:tc>
        <w:tc>
          <w:tcPr>
            <w:tcW w:w="1356" w:type="dxa"/>
            <w:tcBorders>
              <w:top w:val="nil"/>
              <w:left w:val="nil"/>
              <w:bottom w:val="single" w:sz="12" w:space="0" w:color="1E1545"/>
              <w:right w:val="nil"/>
            </w:tcBorders>
            <w:shd w:val="clear" w:color="000000" w:fill="FFFFFF"/>
            <w:noWrap/>
            <w:vAlign w:val="center"/>
            <w:hideMark/>
          </w:tcPr>
          <w:p w14:paraId="1D946019"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$1.66 </w:t>
            </w:r>
          </w:p>
        </w:tc>
        <w:tc>
          <w:tcPr>
            <w:tcW w:w="1356" w:type="dxa"/>
            <w:tcBorders>
              <w:top w:val="nil"/>
              <w:left w:val="nil"/>
              <w:bottom w:val="single" w:sz="12" w:space="0" w:color="1E1545"/>
              <w:right w:val="nil"/>
            </w:tcBorders>
            <w:shd w:val="clear" w:color="000000" w:fill="FFFFFF"/>
            <w:noWrap/>
            <w:vAlign w:val="center"/>
            <w:hideMark/>
          </w:tcPr>
          <w:p w14:paraId="6037615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($0.26)</w:t>
            </w:r>
          </w:p>
        </w:tc>
      </w:tr>
      <w:tr w:rsidR="00900EC2" w:rsidRPr="00900EC2" w14:paraId="695305E6" w14:textId="77777777" w:rsidTr="00AC5916">
        <w:trPr>
          <w:trHeight w:val="560"/>
        </w:trPr>
        <w:tc>
          <w:tcPr>
            <w:tcW w:w="2720" w:type="dxa"/>
            <w:tcBorders>
              <w:top w:val="nil"/>
              <w:left w:val="nil"/>
              <w:bottom w:val="single" w:sz="12" w:space="0" w:color="1E1545"/>
              <w:right w:val="nil"/>
            </w:tcBorders>
            <w:shd w:val="clear" w:color="000000" w:fill="D8DADA"/>
            <w:vAlign w:val="center"/>
            <w:hideMark/>
          </w:tcPr>
          <w:p w14:paraId="79186E9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Australian Government funding sources</w:t>
            </w:r>
          </w:p>
        </w:tc>
        <w:tc>
          <w:tcPr>
            <w:tcW w:w="1355" w:type="dxa"/>
            <w:tcBorders>
              <w:top w:val="nil"/>
              <w:left w:val="nil"/>
              <w:bottom w:val="single" w:sz="12" w:space="0" w:color="1E1545"/>
              <w:right w:val="nil"/>
            </w:tcBorders>
            <w:shd w:val="clear" w:color="000000" w:fill="D8DADA"/>
            <w:noWrap/>
            <w:vAlign w:val="center"/>
            <w:hideMark/>
          </w:tcPr>
          <w:p w14:paraId="39584857"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$211.07 </w:t>
            </w:r>
          </w:p>
        </w:tc>
        <w:tc>
          <w:tcPr>
            <w:tcW w:w="1356" w:type="dxa"/>
            <w:tcBorders>
              <w:top w:val="nil"/>
              <w:left w:val="nil"/>
              <w:bottom w:val="single" w:sz="12" w:space="0" w:color="1E1545"/>
              <w:right w:val="nil"/>
            </w:tcBorders>
            <w:shd w:val="clear" w:color="000000" w:fill="D8DADA"/>
            <w:noWrap/>
            <w:vAlign w:val="center"/>
            <w:hideMark/>
          </w:tcPr>
          <w:p w14:paraId="0ADBFA37"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$217.88 </w:t>
            </w:r>
          </w:p>
        </w:tc>
        <w:tc>
          <w:tcPr>
            <w:tcW w:w="1355" w:type="dxa"/>
            <w:tcBorders>
              <w:top w:val="nil"/>
              <w:left w:val="nil"/>
              <w:bottom w:val="single" w:sz="12" w:space="0" w:color="1E1545"/>
              <w:right w:val="nil"/>
            </w:tcBorders>
            <w:shd w:val="clear" w:color="000000" w:fill="D8DADA"/>
            <w:noWrap/>
            <w:vAlign w:val="center"/>
            <w:hideMark/>
          </w:tcPr>
          <w:p w14:paraId="341AC3D5"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$6.81 </w:t>
            </w:r>
          </w:p>
        </w:tc>
        <w:tc>
          <w:tcPr>
            <w:tcW w:w="1356" w:type="dxa"/>
            <w:tcBorders>
              <w:top w:val="nil"/>
              <w:left w:val="nil"/>
              <w:bottom w:val="single" w:sz="12" w:space="0" w:color="1E1545"/>
              <w:right w:val="nil"/>
            </w:tcBorders>
            <w:shd w:val="clear" w:color="000000" w:fill="D8DADA"/>
            <w:noWrap/>
            <w:vAlign w:val="center"/>
            <w:hideMark/>
          </w:tcPr>
          <w:p w14:paraId="01D79089"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$233.80 </w:t>
            </w:r>
          </w:p>
        </w:tc>
        <w:tc>
          <w:tcPr>
            <w:tcW w:w="1356" w:type="dxa"/>
            <w:tcBorders>
              <w:top w:val="nil"/>
              <w:left w:val="nil"/>
              <w:bottom w:val="single" w:sz="12" w:space="0" w:color="1E1545"/>
              <w:right w:val="nil"/>
            </w:tcBorders>
            <w:shd w:val="clear" w:color="000000" w:fill="D8DADA"/>
            <w:noWrap/>
            <w:vAlign w:val="center"/>
            <w:hideMark/>
          </w:tcPr>
          <w:p w14:paraId="45D07631"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$15.92 </w:t>
            </w:r>
          </w:p>
        </w:tc>
      </w:tr>
      <w:tr w:rsidR="00900EC2" w:rsidRPr="00900EC2" w14:paraId="3180B146"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31164011"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Resident</w:t>
            </w:r>
          </w:p>
        </w:tc>
        <w:tc>
          <w:tcPr>
            <w:tcW w:w="1355" w:type="dxa"/>
            <w:tcBorders>
              <w:top w:val="nil"/>
              <w:left w:val="nil"/>
              <w:bottom w:val="single" w:sz="12" w:space="0" w:color="1E1545"/>
              <w:right w:val="nil"/>
            </w:tcBorders>
            <w:shd w:val="clear" w:color="000000" w:fill="D8DADA"/>
            <w:vAlign w:val="center"/>
            <w:hideMark/>
          </w:tcPr>
          <w:p w14:paraId="3DA49B27"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6EE0EBE0"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5" w:type="dxa"/>
            <w:tcBorders>
              <w:top w:val="nil"/>
              <w:left w:val="nil"/>
              <w:bottom w:val="single" w:sz="12" w:space="0" w:color="1E1545"/>
              <w:right w:val="nil"/>
            </w:tcBorders>
            <w:shd w:val="clear" w:color="000000" w:fill="D8DADA"/>
            <w:vAlign w:val="center"/>
            <w:hideMark/>
          </w:tcPr>
          <w:p w14:paraId="45C5DFDE"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532A2C47"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vAlign w:val="center"/>
            <w:hideMark/>
          </w:tcPr>
          <w:p w14:paraId="13F17776"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r>
      <w:tr w:rsidR="00900EC2" w:rsidRPr="00900EC2" w14:paraId="5C54EB2B"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311DA83E"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Resident basic daily fee</w:t>
            </w:r>
          </w:p>
        </w:tc>
        <w:tc>
          <w:tcPr>
            <w:tcW w:w="1355" w:type="dxa"/>
            <w:tcBorders>
              <w:top w:val="nil"/>
              <w:left w:val="nil"/>
              <w:bottom w:val="single" w:sz="12" w:space="0" w:color="1E1545"/>
              <w:right w:val="nil"/>
            </w:tcBorders>
            <w:shd w:val="clear" w:color="000000" w:fill="FFFFFF"/>
            <w:noWrap/>
            <w:vAlign w:val="center"/>
            <w:hideMark/>
          </w:tcPr>
          <w:p w14:paraId="59CC15E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$52.18 </w:t>
            </w:r>
          </w:p>
        </w:tc>
        <w:tc>
          <w:tcPr>
            <w:tcW w:w="1356" w:type="dxa"/>
            <w:tcBorders>
              <w:top w:val="nil"/>
              <w:left w:val="nil"/>
              <w:bottom w:val="single" w:sz="12" w:space="0" w:color="1E1545"/>
              <w:right w:val="nil"/>
            </w:tcBorders>
            <w:shd w:val="clear" w:color="000000" w:fill="FFFFFF"/>
            <w:noWrap/>
            <w:vAlign w:val="center"/>
            <w:hideMark/>
          </w:tcPr>
          <w:p w14:paraId="0570644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$53.17 </w:t>
            </w:r>
          </w:p>
        </w:tc>
        <w:tc>
          <w:tcPr>
            <w:tcW w:w="1355" w:type="dxa"/>
            <w:tcBorders>
              <w:top w:val="nil"/>
              <w:left w:val="nil"/>
              <w:bottom w:val="single" w:sz="12" w:space="0" w:color="1E1545"/>
              <w:right w:val="nil"/>
            </w:tcBorders>
            <w:shd w:val="clear" w:color="000000" w:fill="FFFFFF"/>
            <w:noWrap/>
            <w:vAlign w:val="center"/>
            <w:hideMark/>
          </w:tcPr>
          <w:p w14:paraId="43C2F3B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$0.99 </w:t>
            </w:r>
          </w:p>
        </w:tc>
        <w:tc>
          <w:tcPr>
            <w:tcW w:w="1356" w:type="dxa"/>
            <w:tcBorders>
              <w:top w:val="nil"/>
              <w:left w:val="nil"/>
              <w:bottom w:val="single" w:sz="12" w:space="0" w:color="1E1545"/>
              <w:right w:val="nil"/>
            </w:tcBorders>
            <w:shd w:val="clear" w:color="000000" w:fill="FFFFFF"/>
            <w:noWrap/>
            <w:vAlign w:val="center"/>
            <w:hideMark/>
          </w:tcPr>
          <w:p w14:paraId="290BC497"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$56.15 </w:t>
            </w:r>
          </w:p>
        </w:tc>
        <w:tc>
          <w:tcPr>
            <w:tcW w:w="1356" w:type="dxa"/>
            <w:tcBorders>
              <w:top w:val="nil"/>
              <w:left w:val="nil"/>
              <w:bottom w:val="single" w:sz="12" w:space="0" w:color="1E1545"/>
              <w:right w:val="nil"/>
            </w:tcBorders>
            <w:shd w:val="clear" w:color="000000" w:fill="FFFFFF"/>
            <w:noWrap/>
            <w:vAlign w:val="center"/>
            <w:hideMark/>
          </w:tcPr>
          <w:p w14:paraId="43818EE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$2.98 </w:t>
            </w:r>
          </w:p>
        </w:tc>
      </w:tr>
      <w:tr w:rsidR="00900EC2" w:rsidRPr="00900EC2" w14:paraId="3E053817"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40CEBEFE"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Resident means tested fee</w:t>
            </w:r>
          </w:p>
        </w:tc>
        <w:tc>
          <w:tcPr>
            <w:tcW w:w="1355" w:type="dxa"/>
            <w:tcBorders>
              <w:top w:val="nil"/>
              <w:left w:val="nil"/>
              <w:bottom w:val="single" w:sz="12" w:space="0" w:color="1E1545"/>
              <w:right w:val="nil"/>
            </w:tcBorders>
            <w:shd w:val="clear" w:color="000000" w:fill="FFFFFF"/>
            <w:noWrap/>
            <w:vAlign w:val="center"/>
            <w:hideMark/>
          </w:tcPr>
          <w:p w14:paraId="5681DF1A"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$9.53 </w:t>
            </w:r>
          </w:p>
        </w:tc>
        <w:tc>
          <w:tcPr>
            <w:tcW w:w="1356" w:type="dxa"/>
            <w:tcBorders>
              <w:top w:val="nil"/>
              <w:left w:val="nil"/>
              <w:bottom w:val="single" w:sz="12" w:space="0" w:color="1E1545"/>
              <w:right w:val="nil"/>
            </w:tcBorders>
            <w:shd w:val="clear" w:color="000000" w:fill="FFFFFF"/>
            <w:noWrap/>
            <w:vAlign w:val="center"/>
            <w:hideMark/>
          </w:tcPr>
          <w:p w14:paraId="4F58D79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$9.88 </w:t>
            </w:r>
          </w:p>
        </w:tc>
        <w:tc>
          <w:tcPr>
            <w:tcW w:w="1355" w:type="dxa"/>
            <w:tcBorders>
              <w:top w:val="nil"/>
              <w:left w:val="nil"/>
              <w:bottom w:val="single" w:sz="12" w:space="0" w:color="1E1545"/>
              <w:right w:val="nil"/>
            </w:tcBorders>
            <w:shd w:val="clear" w:color="000000" w:fill="FFFFFF"/>
            <w:noWrap/>
            <w:vAlign w:val="center"/>
            <w:hideMark/>
          </w:tcPr>
          <w:p w14:paraId="1E529777"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$0.36 </w:t>
            </w:r>
          </w:p>
        </w:tc>
        <w:tc>
          <w:tcPr>
            <w:tcW w:w="1356" w:type="dxa"/>
            <w:tcBorders>
              <w:top w:val="nil"/>
              <w:left w:val="nil"/>
              <w:bottom w:val="single" w:sz="12" w:space="0" w:color="1E1545"/>
              <w:right w:val="nil"/>
            </w:tcBorders>
            <w:shd w:val="clear" w:color="000000" w:fill="FFFFFF"/>
            <w:noWrap/>
            <w:vAlign w:val="center"/>
            <w:hideMark/>
          </w:tcPr>
          <w:p w14:paraId="6189762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$11.56 </w:t>
            </w:r>
          </w:p>
        </w:tc>
        <w:tc>
          <w:tcPr>
            <w:tcW w:w="1356" w:type="dxa"/>
            <w:tcBorders>
              <w:top w:val="nil"/>
              <w:left w:val="nil"/>
              <w:bottom w:val="single" w:sz="12" w:space="0" w:color="1E1545"/>
              <w:right w:val="nil"/>
            </w:tcBorders>
            <w:shd w:val="clear" w:color="000000" w:fill="FFFFFF"/>
            <w:noWrap/>
            <w:vAlign w:val="center"/>
            <w:hideMark/>
          </w:tcPr>
          <w:p w14:paraId="7186089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$1.68 </w:t>
            </w:r>
          </w:p>
        </w:tc>
      </w:tr>
      <w:tr w:rsidR="00900EC2" w:rsidRPr="00900EC2" w14:paraId="2F39B929"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6945A817"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Resident other care fees</w:t>
            </w:r>
          </w:p>
        </w:tc>
        <w:tc>
          <w:tcPr>
            <w:tcW w:w="1355" w:type="dxa"/>
            <w:tcBorders>
              <w:top w:val="nil"/>
              <w:left w:val="nil"/>
              <w:bottom w:val="single" w:sz="12" w:space="0" w:color="1E1545"/>
              <w:right w:val="nil"/>
            </w:tcBorders>
            <w:shd w:val="clear" w:color="000000" w:fill="FFFFFF"/>
            <w:noWrap/>
            <w:vAlign w:val="center"/>
            <w:hideMark/>
          </w:tcPr>
          <w:p w14:paraId="304E5D1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$1.72 </w:t>
            </w:r>
          </w:p>
        </w:tc>
        <w:tc>
          <w:tcPr>
            <w:tcW w:w="1356" w:type="dxa"/>
            <w:tcBorders>
              <w:top w:val="nil"/>
              <w:left w:val="nil"/>
              <w:bottom w:val="single" w:sz="12" w:space="0" w:color="1E1545"/>
              <w:right w:val="nil"/>
            </w:tcBorders>
            <w:shd w:val="clear" w:color="000000" w:fill="FFFFFF"/>
            <w:noWrap/>
            <w:vAlign w:val="center"/>
            <w:hideMark/>
          </w:tcPr>
          <w:p w14:paraId="4956E47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$1.66 </w:t>
            </w:r>
          </w:p>
        </w:tc>
        <w:tc>
          <w:tcPr>
            <w:tcW w:w="1355" w:type="dxa"/>
            <w:tcBorders>
              <w:top w:val="nil"/>
              <w:left w:val="nil"/>
              <w:bottom w:val="single" w:sz="12" w:space="0" w:color="1E1545"/>
              <w:right w:val="nil"/>
            </w:tcBorders>
            <w:shd w:val="clear" w:color="000000" w:fill="FFFFFF"/>
            <w:noWrap/>
            <w:vAlign w:val="center"/>
            <w:hideMark/>
          </w:tcPr>
          <w:p w14:paraId="2586CB1F"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($0.06)</w:t>
            </w:r>
          </w:p>
        </w:tc>
        <w:tc>
          <w:tcPr>
            <w:tcW w:w="1356" w:type="dxa"/>
            <w:tcBorders>
              <w:top w:val="nil"/>
              <w:left w:val="nil"/>
              <w:bottom w:val="single" w:sz="12" w:space="0" w:color="1E1545"/>
              <w:right w:val="nil"/>
            </w:tcBorders>
            <w:shd w:val="clear" w:color="000000" w:fill="FFFFFF"/>
            <w:noWrap/>
            <w:vAlign w:val="center"/>
            <w:hideMark/>
          </w:tcPr>
          <w:p w14:paraId="3F2B38B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$2.08 </w:t>
            </w:r>
          </w:p>
        </w:tc>
        <w:tc>
          <w:tcPr>
            <w:tcW w:w="1356" w:type="dxa"/>
            <w:tcBorders>
              <w:top w:val="nil"/>
              <w:left w:val="nil"/>
              <w:bottom w:val="single" w:sz="12" w:space="0" w:color="1E1545"/>
              <w:right w:val="nil"/>
            </w:tcBorders>
            <w:shd w:val="clear" w:color="000000" w:fill="FFFFFF"/>
            <w:noWrap/>
            <w:vAlign w:val="center"/>
            <w:hideMark/>
          </w:tcPr>
          <w:p w14:paraId="782B466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$0.42 </w:t>
            </w:r>
          </w:p>
        </w:tc>
      </w:tr>
      <w:tr w:rsidR="00900EC2" w:rsidRPr="00900EC2" w14:paraId="128F0F65" w14:textId="77777777" w:rsidTr="00AC5916">
        <w:trPr>
          <w:trHeight w:val="560"/>
        </w:trPr>
        <w:tc>
          <w:tcPr>
            <w:tcW w:w="2720" w:type="dxa"/>
            <w:tcBorders>
              <w:top w:val="nil"/>
              <w:left w:val="nil"/>
              <w:bottom w:val="single" w:sz="12" w:space="0" w:color="1E1545"/>
              <w:right w:val="nil"/>
            </w:tcBorders>
            <w:shd w:val="clear" w:color="000000" w:fill="FFFFFF"/>
            <w:vAlign w:val="center"/>
            <w:hideMark/>
          </w:tcPr>
          <w:p w14:paraId="54813395"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Accommodation payments from residents</w:t>
            </w:r>
          </w:p>
        </w:tc>
        <w:tc>
          <w:tcPr>
            <w:tcW w:w="1355" w:type="dxa"/>
            <w:tcBorders>
              <w:top w:val="nil"/>
              <w:left w:val="nil"/>
              <w:bottom w:val="single" w:sz="12" w:space="0" w:color="1E1545"/>
              <w:right w:val="nil"/>
            </w:tcBorders>
            <w:shd w:val="clear" w:color="000000" w:fill="FFFFFF"/>
            <w:noWrap/>
            <w:vAlign w:val="center"/>
            <w:hideMark/>
          </w:tcPr>
          <w:p w14:paraId="7BA4C539"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$12.01 </w:t>
            </w:r>
          </w:p>
        </w:tc>
        <w:tc>
          <w:tcPr>
            <w:tcW w:w="1356" w:type="dxa"/>
            <w:tcBorders>
              <w:top w:val="nil"/>
              <w:left w:val="nil"/>
              <w:bottom w:val="single" w:sz="12" w:space="0" w:color="1E1545"/>
              <w:right w:val="nil"/>
            </w:tcBorders>
            <w:shd w:val="clear" w:color="000000" w:fill="FFFFFF"/>
            <w:noWrap/>
            <w:vAlign w:val="center"/>
            <w:hideMark/>
          </w:tcPr>
          <w:p w14:paraId="7B2F23B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$12.14 </w:t>
            </w:r>
          </w:p>
        </w:tc>
        <w:tc>
          <w:tcPr>
            <w:tcW w:w="1355" w:type="dxa"/>
            <w:tcBorders>
              <w:top w:val="nil"/>
              <w:left w:val="nil"/>
              <w:bottom w:val="single" w:sz="12" w:space="0" w:color="1E1545"/>
              <w:right w:val="nil"/>
            </w:tcBorders>
            <w:shd w:val="clear" w:color="000000" w:fill="FFFFFF"/>
            <w:noWrap/>
            <w:vAlign w:val="center"/>
            <w:hideMark/>
          </w:tcPr>
          <w:p w14:paraId="5A797DF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$0.13 </w:t>
            </w:r>
          </w:p>
        </w:tc>
        <w:tc>
          <w:tcPr>
            <w:tcW w:w="1356" w:type="dxa"/>
            <w:tcBorders>
              <w:top w:val="nil"/>
              <w:left w:val="nil"/>
              <w:bottom w:val="single" w:sz="12" w:space="0" w:color="1E1545"/>
              <w:right w:val="nil"/>
            </w:tcBorders>
            <w:shd w:val="clear" w:color="000000" w:fill="FFFFFF"/>
            <w:noWrap/>
            <w:vAlign w:val="center"/>
            <w:hideMark/>
          </w:tcPr>
          <w:p w14:paraId="01E1606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$14.85 </w:t>
            </w:r>
          </w:p>
        </w:tc>
        <w:tc>
          <w:tcPr>
            <w:tcW w:w="1356" w:type="dxa"/>
            <w:tcBorders>
              <w:top w:val="nil"/>
              <w:left w:val="nil"/>
              <w:bottom w:val="single" w:sz="12" w:space="0" w:color="1E1545"/>
              <w:right w:val="nil"/>
            </w:tcBorders>
            <w:shd w:val="clear" w:color="000000" w:fill="FFFFFF"/>
            <w:noWrap/>
            <w:vAlign w:val="center"/>
            <w:hideMark/>
          </w:tcPr>
          <w:p w14:paraId="3E3BAE0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$2.71 </w:t>
            </w:r>
          </w:p>
        </w:tc>
      </w:tr>
      <w:tr w:rsidR="00900EC2" w:rsidRPr="00900EC2" w14:paraId="3AE08520"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154E548F"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Extra service fee</w:t>
            </w:r>
          </w:p>
        </w:tc>
        <w:tc>
          <w:tcPr>
            <w:tcW w:w="1355" w:type="dxa"/>
            <w:tcBorders>
              <w:top w:val="nil"/>
              <w:left w:val="nil"/>
              <w:bottom w:val="single" w:sz="12" w:space="0" w:color="1E1545"/>
              <w:right w:val="nil"/>
            </w:tcBorders>
            <w:shd w:val="clear" w:color="000000" w:fill="FFFFFF"/>
            <w:noWrap/>
            <w:vAlign w:val="center"/>
            <w:hideMark/>
          </w:tcPr>
          <w:p w14:paraId="790EB4A2"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$1.79 </w:t>
            </w:r>
          </w:p>
        </w:tc>
        <w:tc>
          <w:tcPr>
            <w:tcW w:w="1356" w:type="dxa"/>
            <w:tcBorders>
              <w:top w:val="nil"/>
              <w:left w:val="nil"/>
              <w:bottom w:val="single" w:sz="12" w:space="0" w:color="1E1545"/>
              <w:right w:val="nil"/>
            </w:tcBorders>
            <w:shd w:val="clear" w:color="000000" w:fill="FFFFFF"/>
            <w:noWrap/>
            <w:vAlign w:val="center"/>
            <w:hideMark/>
          </w:tcPr>
          <w:p w14:paraId="44349E04"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$1.83 </w:t>
            </w:r>
          </w:p>
        </w:tc>
        <w:tc>
          <w:tcPr>
            <w:tcW w:w="1355" w:type="dxa"/>
            <w:tcBorders>
              <w:top w:val="nil"/>
              <w:left w:val="nil"/>
              <w:bottom w:val="single" w:sz="12" w:space="0" w:color="1E1545"/>
              <w:right w:val="nil"/>
            </w:tcBorders>
            <w:shd w:val="clear" w:color="000000" w:fill="FFFFFF"/>
            <w:noWrap/>
            <w:vAlign w:val="center"/>
            <w:hideMark/>
          </w:tcPr>
          <w:p w14:paraId="319EE056"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$0.04 </w:t>
            </w:r>
          </w:p>
        </w:tc>
        <w:tc>
          <w:tcPr>
            <w:tcW w:w="1356" w:type="dxa"/>
            <w:tcBorders>
              <w:top w:val="nil"/>
              <w:left w:val="nil"/>
              <w:bottom w:val="single" w:sz="12" w:space="0" w:color="1E1545"/>
              <w:right w:val="nil"/>
            </w:tcBorders>
            <w:shd w:val="clear" w:color="000000" w:fill="FFFFFF"/>
            <w:noWrap/>
            <w:vAlign w:val="center"/>
            <w:hideMark/>
          </w:tcPr>
          <w:p w14:paraId="371117C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$1.82 </w:t>
            </w:r>
          </w:p>
        </w:tc>
        <w:tc>
          <w:tcPr>
            <w:tcW w:w="1356" w:type="dxa"/>
            <w:tcBorders>
              <w:top w:val="nil"/>
              <w:left w:val="nil"/>
              <w:bottom w:val="single" w:sz="12" w:space="0" w:color="1E1545"/>
              <w:right w:val="nil"/>
            </w:tcBorders>
            <w:shd w:val="clear" w:color="000000" w:fill="FFFFFF"/>
            <w:noWrap/>
            <w:vAlign w:val="center"/>
            <w:hideMark/>
          </w:tcPr>
          <w:p w14:paraId="25C9697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($0.01)</w:t>
            </w:r>
          </w:p>
        </w:tc>
      </w:tr>
      <w:tr w:rsidR="00900EC2" w:rsidRPr="00900EC2" w14:paraId="61FC1DF5"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525FF69D"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Additional services fees</w:t>
            </w:r>
          </w:p>
        </w:tc>
        <w:tc>
          <w:tcPr>
            <w:tcW w:w="1355" w:type="dxa"/>
            <w:tcBorders>
              <w:top w:val="nil"/>
              <w:left w:val="nil"/>
              <w:bottom w:val="single" w:sz="12" w:space="0" w:color="1E1545"/>
              <w:right w:val="nil"/>
            </w:tcBorders>
            <w:shd w:val="clear" w:color="000000" w:fill="FFFFFF"/>
            <w:noWrap/>
            <w:vAlign w:val="center"/>
            <w:hideMark/>
          </w:tcPr>
          <w:p w14:paraId="4684C4A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$2.35 </w:t>
            </w:r>
          </w:p>
        </w:tc>
        <w:tc>
          <w:tcPr>
            <w:tcW w:w="1356" w:type="dxa"/>
            <w:tcBorders>
              <w:top w:val="nil"/>
              <w:left w:val="nil"/>
              <w:bottom w:val="single" w:sz="12" w:space="0" w:color="1E1545"/>
              <w:right w:val="nil"/>
            </w:tcBorders>
            <w:shd w:val="clear" w:color="000000" w:fill="FFFFFF"/>
            <w:noWrap/>
            <w:vAlign w:val="center"/>
            <w:hideMark/>
          </w:tcPr>
          <w:p w14:paraId="6E78BF16"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$2.56 </w:t>
            </w:r>
          </w:p>
        </w:tc>
        <w:tc>
          <w:tcPr>
            <w:tcW w:w="1355" w:type="dxa"/>
            <w:tcBorders>
              <w:top w:val="nil"/>
              <w:left w:val="nil"/>
              <w:bottom w:val="single" w:sz="12" w:space="0" w:color="1E1545"/>
              <w:right w:val="nil"/>
            </w:tcBorders>
            <w:shd w:val="clear" w:color="000000" w:fill="FFFFFF"/>
            <w:noWrap/>
            <w:vAlign w:val="center"/>
            <w:hideMark/>
          </w:tcPr>
          <w:p w14:paraId="2947A45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$0.22 </w:t>
            </w:r>
          </w:p>
        </w:tc>
        <w:tc>
          <w:tcPr>
            <w:tcW w:w="1356" w:type="dxa"/>
            <w:tcBorders>
              <w:top w:val="nil"/>
              <w:left w:val="nil"/>
              <w:bottom w:val="single" w:sz="12" w:space="0" w:color="1E1545"/>
              <w:right w:val="nil"/>
            </w:tcBorders>
            <w:shd w:val="clear" w:color="000000" w:fill="FFFFFF"/>
            <w:noWrap/>
            <w:vAlign w:val="center"/>
            <w:hideMark/>
          </w:tcPr>
          <w:p w14:paraId="3C7815B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$2.93 </w:t>
            </w:r>
          </w:p>
        </w:tc>
        <w:tc>
          <w:tcPr>
            <w:tcW w:w="1356" w:type="dxa"/>
            <w:tcBorders>
              <w:top w:val="nil"/>
              <w:left w:val="nil"/>
              <w:bottom w:val="single" w:sz="12" w:space="0" w:color="1E1545"/>
              <w:right w:val="nil"/>
            </w:tcBorders>
            <w:shd w:val="clear" w:color="000000" w:fill="FFFFFF"/>
            <w:noWrap/>
            <w:vAlign w:val="center"/>
            <w:hideMark/>
          </w:tcPr>
          <w:p w14:paraId="65E6CABA"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$0.37 </w:t>
            </w:r>
          </w:p>
        </w:tc>
      </w:tr>
      <w:tr w:rsidR="00900EC2" w:rsidRPr="00900EC2" w14:paraId="2DA8CB68"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2016186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Resident funding sources</w:t>
            </w:r>
          </w:p>
        </w:tc>
        <w:tc>
          <w:tcPr>
            <w:tcW w:w="1355" w:type="dxa"/>
            <w:tcBorders>
              <w:top w:val="nil"/>
              <w:left w:val="nil"/>
              <w:bottom w:val="single" w:sz="12" w:space="0" w:color="1E1545"/>
              <w:right w:val="nil"/>
            </w:tcBorders>
            <w:shd w:val="clear" w:color="000000" w:fill="D8DADA"/>
            <w:noWrap/>
            <w:vAlign w:val="center"/>
            <w:hideMark/>
          </w:tcPr>
          <w:p w14:paraId="0AB3A79A"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$79.57 </w:t>
            </w:r>
          </w:p>
        </w:tc>
        <w:tc>
          <w:tcPr>
            <w:tcW w:w="1356" w:type="dxa"/>
            <w:tcBorders>
              <w:top w:val="nil"/>
              <w:left w:val="nil"/>
              <w:bottom w:val="single" w:sz="12" w:space="0" w:color="1E1545"/>
              <w:right w:val="nil"/>
            </w:tcBorders>
            <w:shd w:val="clear" w:color="000000" w:fill="D8DADA"/>
            <w:noWrap/>
            <w:vAlign w:val="center"/>
            <w:hideMark/>
          </w:tcPr>
          <w:p w14:paraId="2931738C"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$81.24 </w:t>
            </w:r>
          </w:p>
        </w:tc>
        <w:tc>
          <w:tcPr>
            <w:tcW w:w="1355" w:type="dxa"/>
            <w:tcBorders>
              <w:top w:val="nil"/>
              <w:left w:val="nil"/>
              <w:bottom w:val="single" w:sz="12" w:space="0" w:color="1E1545"/>
              <w:right w:val="nil"/>
            </w:tcBorders>
            <w:shd w:val="clear" w:color="000000" w:fill="D8DADA"/>
            <w:noWrap/>
            <w:vAlign w:val="center"/>
            <w:hideMark/>
          </w:tcPr>
          <w:p w14:paraId="692A88F7"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$1.67 </w:t>
            </w:r>
          </w:p>
        </w:tc>
        <w:tc>
          <w:tcPr>
            <w:tcW w:w="1356" w:type="dxa"/>
            <w:tcBorders>
              <w:top w:val="nil"/>
              <w:left w:val="nil"/>
              <w:bottom w:val="single" w:sz="12" w:space="0" w:color="1E1545"/>
              <w:right w:val="nil"/>
            </w:tcBorders>
            <w:shd w:val="clear" w:color="000000" w:fill="D8DADA"/>
            <w:noWrap/>
            <w:vAlign w:val="center"/>
            <w:hideMark/>
          </w:tcPr>
          <w:p w14:paraId="1FD55408"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$89.39 </w:t>
            </w:r>
          </w:p>
        </w:tc>
        <w:tc>
          <w:tcPr>
            <w:tcW w:w="1356" w:type="dxa"/>
            <w:tcBorders>
              <w:top w:val="nil"/>
              <w:left w:val="nil"/>
              <w:bottom w:val="single" w:sz="12" w:space="0" w:color="1E1545"/>
              <w:right w:val="nil"/>
            </w:tcBorders>
            <w:shd w:val="clear" w:color="000000" w:fill="D8DADA"/>
            <w:noWrap/>
            <w:vAlign w:val="center"/>
            <w:hideMark/>
          </w:tcPr>
          <w:p w14:paraId="56058AC0"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$8.15 </w:t>
            </w:r>
          </w:p>
        </w:tc>
      </w:tr>
      <w:tr w:rsidR="00900EC2" w:rsidRPr="00900EC2" w14:paraId="100B24B9"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3F901E96"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Other</w:t>
            </w:r>
          </w:p>
        </w:tc>
        <w:tc>
          <w:tcPr>
            <w:tcW w:w="1355" w:type="dxa"/>
            <w:tcBorders>
              <w:top w:val="nil"/>
              <w:left w:val="nil"/>
              <w:bottom w:val="single" w:sz="12" w:space="0" w:color="1E1545"/>
              <w:right w:val="nil"/>
            </w:tcBorders>
            <w:shd w:val="clear" w:color="000000" w:fill="D8DADA"/>
            <w:noWrap/>
            <w:vAlign w:val="center"/>
            <w:hideMark/>
          </w:tcPr>
          <w:p w14:paraId="16F2371D"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noWrap/>
            <w:vAlign w:val="center"/>
            <w:hideMark/>
          </w:tcPr>
          <w:p w14:paraId="6539061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5" w:type="dxa"/>
            <w:tcBorders>
              <w:top w:val="nil"/>
              <w:left w:val="nil"/>
              <w:bottom w:val="single" w:sz="12" w:space="0" w:color="1E1545"/>
              <w:right w:val="nil"/>
            </w:tcBorders>
            <w:shd w:val="clear" w:color="000000" w:fill="D8DADA"/>
            <w:noWrap/>
            <w:vAlign w:val="center"/>
            <w:hideMark/>
          </w:tcPr>
          <w:p w14:paraId="57AC5150"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noWrap/>
            <w:vAlign w:val="center"/>
            <w:hideMark/>
          </w:tcPr>
          <w:p w14:paraId="08B84E8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c>
          <w:tcPr>
            <w:tcW w:w="1356" w:type="dxa"/>
            <w:tcBorders>
              <w:top w:val="nil"/>
              <w:left w:val="nil"/>
              <w:bottom w:val="single" w:sz="12" w:space="0" w:color="1E1545"/>
              <w:right w:val="nil"/>
            </w:tcBorders>
            <w:shd w:val="clear" w:color="000000" w:fill="D8DADA"/>
            <w:noWrap/>
            <w:vAlign w:val="center"/>
            <w:hideMark/>
          </w:tcPr>
          <w:p w14:paraId="21A9F43A"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w:t>
            </w:r>
          </w:p>
        </w:tc>
      </w:tr>
      <w:tr w:rsidR="00900EC2" w:rsidRPr="00900EC2" w14:paraId="03810FFC" w14:textId="77777777" w:rsidTr="00AC5916">
        <w:trPr>
          <w:trHeight w:val="560"/>
        </w:trPr>
        <w:tc>
          <w:tcPr>
            <w:tcW w:w="2720" w:type="dxa"/>
            <w:tcBorders>
              <w:top w:val="nil"/>
              <w:left w:val="nil"/>
              <w:bottom w:val="single" w:sz="12" w:space="0" w:color="1E1545"/>
              <w:right w:val="nil"/>
            </w:tcBorders>
            <w:shd w:val="clear" w:color="000000" w:fill="FFFFFF"/>
            <w:vAlign w:val="center"/>
            <w:hideMark/>
          </w:tcPr>
          <w:p w14:paraId="168C83E8"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 xml:space="preserve">Imputed Interest on RADs - AASB 16 leases </w:t>
            </w:r>
          </w:p>
        </w:tc>
        <w:tc>
          <w:tcPr>
            <w:tcW w:w="1355" w:type="dxa"/>
            <w:tcBorders>
              <w:top w:val="nil"/>
              <w:left w:val="nil"/>
              <w:bottom w:val="single" w:sz="12" w:space="0" w:color="1E1545"/>
              <w:right w:val="nil"/>
            </w:tcBorders>
            <w:shd w:val="clear" w:color="000000" w:fill="FFFFFF"/>
            <w:noWrap/>
            <w:vAlign w:val="center"/>
            <w:hideMark/>
          </w:tcPr>
          <w:p w14:paraId="27AD25B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$7.38 </w:t>
            </w:r>
          </w:p>
        </w:tc>
        <w:tc>
          <w:tcPr>
            <w:tcW w:w="1356" w:type="dxa"/>
            <w:tcBorders>
              <w:top w:val="nil"/>
              <w:left w:val="nil"/>
              <w:bottom w:val="single" w:sz="12" w:space="0" w:color="1E1545"/>
              <w:right w:val="nil"/>
            </w:tcBorders>
            <w:shd w:val="clear" w:color="000000" w:fill="FFFFFF"/>
            <w:noWrap/>
            <w:vAlign w:val="center"/>
            <w:hideMark/>
          </w:tcPr>
          <w:p w14:paraId="388B9293"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$8.13 </w:t>
            </w:r>
          </w:p>
        </w:tc>
        <w:tc>
          <w:tcPr>
            <w:tcW w:w="1355" w:type="dxa"/>
            <w:tcBorders>
              <w:top w:val="nil"/>
              <w:left w:val="nil"/>
              <w:bottom w:val="single" w:sz="12" w:space="0" w:color="1E1545"/>
              <w:right w:val="nil"/>
            </w:tcBorders>
            <w:shd w:val="clear" w:color="000000" w:fill="FFFFFF"/>
            <w:noWrap/>
            <w:vAlign w:val="center"/>
            <w:hideMark/>
          </w:tcPr>
          <w:p w14:paraId="5D82EFBC"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$0.75 </w:t>
            </w:r>
          </w:p>
        </w:tc>
        <w:tc>
          <w:tcPr>
            <w:tcW w:w="1356" w:type="dxa"/>
            <w:tcBorders>
              <w:top w:val="nil"/>
              <w:left w:val="nil"/>
              <w:bottom w:val="single" w:sz="12" w:space="0" w:color="1E1545"/>
              <w:right w:val="nil"/>
            </w:tcBorders>
            <w:shd w:val="clear" w:color="000000" w:fill="FFFFFF"/>
            <w:noWrap/>
            <w:vAlign w:val="center"/>
            <w:hideMark/>
          </w:tcPr>
          <w:p w14:paraId="0333F371"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$12.09 </w:t>
            </w:r>
          </w:p>
        </w:tc>
        <w:tc>
          <w:tcPr>
            <w:tcW w:w="1356" w:type="dxa"/>
            <w:tcBorders>
              <w:top w:val="nil"/>
              <w:left w:val="nil"/>
              <w:bottom w:val="single" w:sz="12" w:space="0" w:color="1E1545"/>
              <w:right w:val="nil"/>
            </w:tcBorders>
            <w:shd w:val="clear" w:color="000000" w:fill="FFFFFF"/>
            <w:noWrap/>
            <w:vAlign w:val="center"/>
            <w:hideMark/>
          </w:tcPr>
          <w:p w14:paraId="7B0ED7FD"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$3.96 </w:t>
            </w:r>
          </w:p>
        </w:tc>
      </w:tr>
      <w:tr w:rsidR="00900EC2" w:rsidRPr="00900EC2" w14:paraId="4071AD35" w14:textId="77777777" w:rsidTr="00AC5916">
        <w:trPr>
          <w:trHeight w:val="330"/>
        </w:trPr>
        <w:tc>
          <w:tcPr>
            <w:tcW w:w="2720" w:type="dxa"/>
            <w:tcBorders>
              <w:top w:val="nil"/>
              <w:left w:val="nil"/>
              <w:bottom w:val="single" w:sz="12" w:space="0" w:color="1E1545"/>
              <w:right w:val="nil"/>
            </w:tcBorders>
            <w:shd w:val="clear" w:color="000000" w:fill="FFFFFF"/>
            <w:vAlign w:val="center"/>
            <w:hideMark/>
          </w:tcPr>
          <w:p w14:paraId="094EDF89" w14:textId="77777777" w:rsidR="00900EC2" w:rsidRPr="00900EC2" w:rsidRDefault="00900EC2" w:rsidP="00900EC2">
            <w:pPr>
              <w:spacing w:before="0" w:after="0" w:line="240" w:lineRule="auto"/>
              <w:rPr>
                <w:rFonts w:cs="Arial"/>
                <w:bCs w:val="0"/>
                <w:color w:val="1E1545"/>
                <w:sz w:val="21"/>
                <w:szCs w:val="21"/>
                <w:lang w:eastAsia="en-AU"/>
              </w:rPr>
            </w:pPr>
            <w:r w:rsidRPr="00900EC2">
              <w:rPr>
                <w:rFonts w:cs="Arial"/>
                <w:bCs w:val="0"/>
                <w:color w:val="1E1545"/>
                <w:sz w:val="21"/>
                <w:szCs w:val="21"/>
                <w:lang w:eastAsia="en-AU"/>
              </w:rPr>
              <w:t>Other income</w:t>
            </w:r>
          </w:p>
        </w:tc>
        <w:tc>
          <w:tcPr>
            <w:tcW w:w="1355" w:type="dxa"/>
            <w:tcBorders>
              <w:top w:val="nil"/>
              <w:left w:val="nil"/>
              <w:bottom w:val="single" w:sz="12" w:space="0" w:color="1E1545"/>
              <w:right w:val="nil"/>
            </w:tcBorders>
            <w:shd w:val="clear" w:color="000000" w:fill="FFFFFF"/>
            <w:noWrap/>
            <w:vAlign w:val="center"/>
            <w:hideMark/>
          </w:tcPr>
          <w:p w14:paraId="31E24BF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$13.40 </w:t>
            </w:r>
          </w:p>
        </w:tc>
        <w:tc>
          <w:tcPr>
            <w:tcW w:w="1356" w:type="dxa"/>
            <w:tcBorders>
              <w:top w:val="nil"/>
              <w:left w:val="nil"/>
              <w:bottom w:val="single" w:sz="12" w:space="0" w:color="1E1545"/>
              <w:right w:val="nil"/>
            </w:tcBorders>
            <w:shd w:val="clear" w:color="000000" w:fill="FFFFFF"/>
            <w:noWrap/>
            <w:vAlign w:val="center"/>
            <w:hideMark/>
          </w:tcPr>
          <w:p w14:paraId="5188D0E4"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$14.21 </w:t>
            </w:r>
          </w:p>
        </w:tc>
        <w:tc>
          <w:tcPr>
            <w:tcW w:w="1355" w:type="dxa"/>
            <w:tcBorders>
              <w:top w:val="nil"/>
              <w:left w:val="nil"/>
              <w:bottom w:val="single" w:sz="12" w:space="0" w:color="1E1545"/>
              <w:right w:val="nil"/>
            </w:tcBorders>
            <w:shd w:val="clear" w:color="000000" w:fill="FFFFFF"/>
            <w:noWrap/>
            <w:vAlign w:val="center"/>
            <w:hideMark/>
          </w:tcPr>
          <w:p w14:paraId="08C2A155"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$0.81 </w:t>
            </w:r>
          </w:p>
        </w:tc>
        <w:tc>
          <w:tcPr>
            <w:tcW w:w="1356" w:type="dxa"/>
            <w:tcBorders>
              <w:top w:val="nil"/>
              <w:left w:val="nil"/>
              <w:bottom w:val="single" w:sz="12" w:space="0" w:color="1E1545"/>
              <w:right w:val="nil"/>
            </w:tcBorders>
            <w:shd w:val="clear" w:color="000000" w:fill="FFFFFF"/>
            <w:noWrap/>
            <w:vAlign w:val="center"/>
            <w:hideMark/>
          </w:tcPr>
          <w:p w14:paraId="2DB3FFF0"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$17.88 </w:t>
            </w:r>
          </w:p>
        </w:tc>
        <w:tc>
          <w:tcPr>
            <w:tcW w:w="1356" w:type="dxa"/>
            <w:tcBorders>
              <w:top w:val="nil"/>
              <w:left w:val="nil"/>
              <w:bottom w:val="single" w:sz="12" w:space="0" w:color="1E1545"/>
              <w:right w:val="nil"/>
            </w:tcBorders>
            <w:shd w:val="clear" w:color="000000" w:fill="FFFFFF"/>
            <w:noWrap/>
            <w:vAlign w:val="center"/>
            <w:hideMark/>
          </w:tcPr>
          <w:p w14:paraId="6D6E6DA8" w14:textId="77777777" w:rsidR="00900EC2" w:rsidRPr="00900EC2" w:rsidRDefault="00900EC2" w:rsidP="00900EC2">
            <w:pPr>
              <w:spacing w:before="0" w:after="0" w:line="240" w:lineRule="auto"/>
              <w:jc w:val="right"/>
              <w:rPr>
                <w:rFonts w:cs="Arial"/>
                <w:bCs w:val="0"/>
                <w:color w:val="1E1545"/>
                <w:sz w:val="21"/>
                <w:szCs w:val="21"/>
                <w:lang w:eastAsia="en-AU"/>
              </w:rPr>
            </w:pPr>
            <w:r w:rsidRPr="00900EC2">
              <w:rPr>
                <w:rFonts w:cs="Arial"/>
                <w:bCs w:val="0"/>
                <w:color w:val="1E1545"/>
                <w:sz w:val="21"/>
                <w:szCs w:val="21"/>
                <w:lang w:eastAsia="en-AU"/>
              </w:rPr>
              <w:t xml:space="preserve">$3.67 </w:t>
            </w:r>
          </w:p>
        </w:tc>
      </w:tr>
      <w:tr w:rsidR="00900EC2" w:rsidRPr="00900EC2" w14:paraId="0613182B"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640EA8BD"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 xml:space="preserve">Other </w:t>
            </w:r>
          </w:p>
        </w:tc>
        <w:tc>
          <w:tcPr>
            <w:tcW w:w="1355" w:type="dxa"/>
            <w:tcBorders>
              <w:top w:val="nil"/>
              <w:left w:val="nil"/>
              <w:bottom w:val="single" w:sz="12" w:space="0" w:color="1E1545"/>
              <w:right w:val="nil"/>
            </w:tcBorders>
            <w:shd w:val="clear" w:color="000000" w:fill="D8DADA"/>
            <w:noWrap/>
            <w:vAlign w:val="center"/>
            <w:hideMark/>
          </w:tcPr>
          <w:p w14:paraId="216C3660"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$20.79 </w:t>
            </w:r>
          </w:p>
        </w:tc>
        <w:tc>
          <w:tcPr>
            <w:tcW w:w="1356" w:type="dxa"/>
            <w:tcBorders>
              <w:top w:val="nil"/>
              <w:left w:val="nil"/>
              <w:bottom w:val="single" w:sz="12" w:space="0" w:color="1E1545"/>
              <w:right w:val="nil"/>
            </w:tcBorders>
            <w:shd w:val="clear" w:color="000000" w:fill="D8DADA"/>
            <w:noWrap/>
            <w:vAlign w:val="center"/>
            <w:hideMark/>
          </w:tcPr>
          <w:p w14:paraId="4F6EC0F0"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$22.35 </w:t>
            </w:r>
          </w:p>
        </w:tc>
        <w:tc>
          <w:tcPr>
            <w:tcW w:w="1355" w:type="dxa"/>
            <w:tcBorders>
              <w:top w:val="nil"/>
              <w:left w:val="nil"/>
              <w:bottom w:val="single" w:sz="12" w:space="0" w:color="1E1545"/>
              <w:right w:val="nil"/>
            </w:tcBorders>
            <w:shd w:val="clear" w:color="000000" w:fill="D8DADA"/>
            <w:noWrap/>
            <w:vAlign w:val="center"/>
            <w:hideMark/>
          </w:tcPr>
          <w:p w14:paraId="66EC9CA3"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$1.56 </w:t>
            </w:r>
          </w:p>
        </w:tc>
        <w:tc>
          <w:tcPr>
            <w:tcW w:w="1356" w:type="dxa"/>
            <w:tcBorders>
              <w:top w:val="nil"/>
              <w:left w:val="nil"/>
              <w:bottom w:val="single" w:sz="12" w:space="0" w:color="1E1545"/>
              <w:right w:val="nil"/>
            </w:tcBorders>
            <w:shd w:val="clear" w:color="000000" w:fill="D8DADA"/>
            <w:noWrap/>
            <w:vAlign w:val="center"/>
            <w:hideMark/>
          </w:tcPr>
          <w:p w14:paraId="1E42172C"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$29.97 </w:t>
            </w:r>
          </w:p>
        </w:tc>
        <w:tc>
          <w:tcPr>
            <w:tcW w:w="1356" w:type="dxa"/>
            <w:tcBorders>
              <w:top w:val="nil"/>
              <w:left w:val="nil"/>
              <w:bottom w:val="single" w:sz="12" w:space="0" w:color="1E1545"/>
              <w:right w:val="nil"/>
            </w:tcBorders>
            <w:shd w:val="clear" w:color="000000" w:fill="D8DADA"/>
            <w:noWrap/>
            <w:vAlign w:val="center"/>
            <w:hideMark/>
          </w:tcPr>
          <w:p w14:paraId="687FB36C"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$7.62 </w:t>
            </w:r>
          </w:p>
        </w:tc>
      </w:tr>
      <w:tr w:rsidR="00900EC2" w:rsidRPr="00900EC2" w14:paraId="7A934FA8" w14:textId="77777777" w:rsidTr="00AC5916">
        <w:trPr>
          <w:trHeight w:val="330"/>
        </w:trPr>
        <w:tc>
          <w:tcPr>
            <w:tcW w:w="2720" w:type="dxa"/>
            <w:tcBorders>
              <w:top w:val="nil"/>
              <w:left w:val="nil"/>
              <w:bottom w:val="single" w:sz="12" w:space="0" w:color="1E1545"/>
              <w:right w:val="nil"/>
            </w:tcBorders>
            <w:shd w:val="clear" w:color="000000" w:fill="D8DADA"/>
            <w:vAlign w:val="center"/>
            <w:hideMark/>
          </w:tcPr>
          <w:p w14:paraId="2592EC9C" w14:textId="77777777" w:rsidR="00900EC2" w:rsidRPr="00900EC2" w:rsidRDefault="00900EC2" w:rsidP="00900EC2">
            <w:pPr>
              <w:spacing w:before="0" w:after="0" w:line="240" w:lineRule="auto"/>
              <w:rPr>
                <w:rFonts w:cs="Arial"/>
                <w:b/>
                <w:color w:val="1E1545"/>
                <w:sz w:val="21"/>
                <w:szCs w:val="21"/>
                <w:lang w:eastAsia="en-AU"/>
              </w:rPr>
            </w:pPr>
            <w:r w:rsidRPr="00900EC2">
              <w:rPr>
                <w:rFonts w:cs="Arial"/>
                <w:b/>
                <w:color w:val="1E1545"/>
                <w:sz w:val="21"/>
                <w:szCs w:val="21"/>
                <w:lang w:eastAsia="en-AU"/>
              </w:rPr>
              <w:t>Total revenue</w:t>
            </w:r>
          </w:p>
        </w:tc>
        <w:tc>
          <w:tcPr>
            <w:tcW w:w="1355" w:type="dxa"/>
            <w:tcBorders>
              <w:top w:val="nil"/>
              <w:left w:val="nil"/>
              <w:bottom w:val="single" w:sz="12" w:space="0" w:color="1E1545"/>
              <w:right w:val="nil"/>
            </w:tcBorders>
            <w:shd w:val="clear" w:color="000000" w:fill="D8DADA"/>
            <w:noWrap/>
            <w:vAlign w:val="center"/>
            <w:hideMark/>
          </w:tcPr>
          <w:p w14:paraId="108BDEFD"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$311.44 </w:t>
            </w:r>
          </w:p>
        </w:tc>
        <w:tc>
          <w:tcPr>
            <w:tcW w:w="1356" w:type="dxa"/>
            <w:tcBorders>
              <w:top w:val="nil"/>
              <w:left w:val="nil"/>
              <w:bottom w:val="single" w:sz="12" w:space="0" w:color="1E1545"/>
              <w:right w:val="nil"/>
            </w:tcBorders>
            <w:shd w:val="clear" w:color="000000" w:fill="D8DADA"/>
            <w:noWrap/>
            <w:vAlign w:val="center"/>
            <w:hideMark/>
          </w:tcPr>
          <w:p w14:paraId="60F639DE"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$321.46 </w:t>
            </w:r>
          </w:p>
        </w:tc>
        <w:tc>
          <w:tcPr>
            <w:tcW w:w="1355" w:type="dxa"/>
            <w:tcBorders>
              <w:top w:val="nil"/>
              <w:left w:val="nil"/>
              <w:bottom w:val="single" w:sz="12" w:space="0" w:color="1E1545"/>
              <w:right w:val="nil"/>
            </w:tcBorders>
            <w:shd w:val="clear" w:color="000000" w:fill="D8DADA"/>
            <w:noWrap/>
            <w:vAlign w:val="center"/>
            <w:hideMark/>
          </w:tcPr>
          <w:p w14:paraId="6116EF0F"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$10.03 </w:t>
            </w:r>
          </w:p>
        </w:tc>
        <w:tc>
          <w:tcPr>
            <w:tcW w:w="1356" w:type="dxa"/>
            <w:tcBorders>
              <w:top w:val="nil"/>
              <w:left w:val="nil"/>
              <w:bottom w:val="single" w:sz="12" w:space="0" w:color="1E1545"/>
              <w:right w:val="nil"/>
            </w:tcBorders>
            <w:shd w:val="clear" w:color="000000" w:fill="D8DADA"/>
            <w:noWrap/>
            <w:vAlign w:val="center"/>
            <w:hideMark/>
          </w:tcPr>
          <w:p w14:paraId="47DE047D"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$353.17 </w:t>
            </w:r>
          </w:p>
        </w:tc>
        <w:tc>
          <w:tcPr>
            <w:tcW w:w="1356" w:type="dxa"/>
            <w:tcBorders>
              <w:top w:val="nil"/>
              <w:left w:val="nil"/>
              <w:bottom w:val="single" w:sz="12" w:space="0" w:color="1E1545"/>
              <w:right w:val="nil"/>
            </w:tcBorders>
            <w:shd w:val="clear" w:color="000000" w:fill="D8DADA"/>
            <w:noWrap/>
            <w:vAlign w:val="center"/>
            <w:hideMark/>
          </w:tcPr>
          <w:p w14:paraId="2B5F1AC9" w14:textId="77777777" w:rsidR="00900EC2" w:rsidRPr="00900EC2" w:rsidRDefault="00900EC2" w:rsidP="00900EC2">
            <w:pPr>
              <w:spacing w:before="0" w:after="0" w:line="240" w:lineRule="auto"/>
              <w:jc w:val="right"/>
              <w:rPr>
                <w:rFonts w:cs="Arial"/>
                <w:b/>
                <w:color w:val="1E1545"/>
                <w:sz w:val="21"/>
                <w:szCs w:val="21"/>
                <w:lang w:eastAsia="en-AU"/>
              </w:rPr>
            </w:pPr>
            <w:r w:rsidRPr="00900EC2">
              <w:rPr>
                <w:rFonts w:cs="Arial"/>
                <w:b/>
                <w:color w:val="1E1545"/>
                <w:sz w:val="21"/>
                <w:szCs w:val="21"/>
                <w:lang w:eastAsia="en-AU"/>
              </w:rPr>
              <w:t xml:space="preserve">$31.71 </w:t>
            </w:r>
          </w:p>
        </w:tc>
      </w:tr>
    </w:tbl>
    <w:p w14:paraId="2F7CF5EA" w14:textId="77777777" w:rsidR="00AD282C" w:rsidRPr="00AD282C" w:rsidRDefault="00AD282C" w:rsidP="00065672">
      <w:pPr>
        <w:pStyle w:val="FootnoteText"/>
      </w:pPr>
    </w:p>
    <w:p w14:paraId="3456985E" w14:textId="6D691439" w:rsidR="002C78DA" w:rsidRDefault="00EE136A" w:rsidP="00AD282C">
      <w:pPr>
        <w:pStyle w:val="FootnoteText"/>
      </w:pPr>
      <w:r w:rsidRPr="00883241">
        <w:t xml:space="preserve">Notes: </w:t>
      </w:r>
    </w:p>
    <w:p w14:paraId="22037252" w14:textId="7530ACE2" w:rsidR="003174E9" w:rsidRDefault="0006502E" w:rsidP="00CD1E1B">
      <w:pPr>
        <w:pStyle w:val="FootnoteText"/>
        <w:numPr>
          <w:ilvl w:val="0"/>
          <w:numId w:val="17"/>
        </w:numPr>
        <w:rPr>
          <w:sz w:val="18"/>
          <w:szCs w:val="18"/>
        </w:rPr>
      </w:pPr>
      <w:r w:rsidRPr="0006502E">
        <w:rPr>
          <w:sz w:val="18"/>
          <w:szCs w:val="18"/>
        </w:rPr>
        <w:t>Basic care subsidy includes ACFI from 1 July to 30 September 2022, and AN-ACC from 1 October to 30 June 2023.</w:t>
      </w:r>
    </w:p>
    <w:p w14:paraId="592C496B" w14:textId="1B73CAC9" w:rsidR="00BC6B4A" w:rsidRPr="00834ED6" w:rsidRDefault="00EE136A" w:rsidP="00EE136A">
      <w:pPr>
        <w:pStyle w:val="FootnoteText"/>
        <w:numPr>
          <w:ilvl w:val="0"/>
          <w:numId w:val="17"/>
        </w:numPr>
        <w:rPr>
          <w:sz w:val="18"/>
          <w:szCs w:val="18"/>
        </w:rPr>
      </w:pPr>
      <w:r w:rsidRPr="00327D22">
        <w:rPr>
          <w:sz w:val="18"/>
          <w:szCs w:val="18"/>
        </w:rPr>
        <w:t>Extra service subsidy (ESS) reduction does not apply to new residents entering care from 1 July 2014, however it still applies to residents in ESS places who were in care prior to 1 July 2014.</w:t>
      </w:r>
    </w:p>
    <w:p w14:paraId="47ABD501" w14:textId="77777777" w:rsidR="000747BA" w:rsidRDefault="000747BA" w:rsidP="000747BA">
      <w:pPr>
        <w:pStyle w:val="FootnoteText"/>
        <w:rPr>
          <w:sz w:val="18"/>
          <w:szCs w:val="18"/>
        </w:rPr>
      </w:pPr>
    </w:p>
    <w:p w14:paraId="46EC64E8" w14:textId="77777777" w:rsidR="006F4F12" w:rsidRDefault="006F4F12" w:rsidP="006F4F12">
      <w:pPr>
        <w:spacing w:before="0" w:after="0" w:line="240" w:lineRule="auto"/>
      </w:pPr>
      <w:bookmarkStart w:id="120" w:name="_Toc149245323"/>
      <w:bookmarkStart w:id="121" w:name="_Toc173428607"/>
      <w:r>
        <w:br w:type="page"/>
      </w:r>
    </w:p>
    <w:p w14:paraId="631567B1" w14:textId="77777777" w:rsidR="00144FD4" w:rsidRDefault="00144FD4" w:rsidP="00144FD4">
      <w:pPr>
        <w:pStyle w:val="Heading2"/>
      </w:pPr>
      <w:r>
        <w:t>Financial performance – expenditure</w:t>
      </w:r>
      <w:bookmarkEnd w:id="120"/>
      <w:bookmarkEnd w:id="121"/>
    </w:p>
    <w:p w14:paraId="6AB3821B" w14:textId="3DAA2C4E" w:rsidR="00C77767" w:rsidRPr="00C77767" w:rsidRDefault="00C83937" w:rsidP="00706D0A">
      <w:r w:rsidRPr="00F649B0">
        <w:fldChar w:fldCharType="begin"/>
      </w:r>
      <w:r w:rsidRPr="00F649B0">
        <w:instrText xml:space="preserve"> REF _Ref162512561 \h </w:instrText>
      </w:r>
      <w:r w:rsidR="00F649B0">
        <w:instrText xml:space="preserve"> \* MERGEFORMAT </w:instrText>
      </w:r>
      <w:r w:rsidRPr="00F649B0">
        <w:fldChar w:fldCharType="separate"/>
      </w:r>
      <w:r w:rsidR="001377BE">
        <w:t xml:space="preserve">Chart </w:t>
      </w:r>
      <w:r w:rsidR="001377BE">
        <w:rPr>
          <w:noProof/>
        </w:rPr>
        <w:t>3.5</w:t>
      </w:r>
      <w:r w:rsidRPr="00F649B0">
        <w:fldChar w:fldCharType="end"/>
      </w:r>
      <w:r w:rsidRPr="00F649B0">
        <w:t xml:space="preserve"> shows</w:t>
      </w:r>
      <w:r w:rsidRPr="00F649B0">
        <w:rPr>
          <w:spacing w:val="-3"/>
        </w:rPr>
        <w:t xml:space="preserve"> </w:t>
      </w:r>
      <w:r w:rsidRPr="00F649B0">
        <w:t>total</w:t>
      </w:r>
      <w:r w:rsidRPr="00F649B0">
        <w:rPr>
          <w:spacing w:val="-3"/>
        </w:rPr>
        <w:t xml:space="preserve"> </w:t>
      </w:r>
      <w:r w:rsidRPr="00F649B0">
        <w:t>expenses</w:t>
      </w:r>
      <w:r w:rsidRPr="00F649B0">
        <w:rPr>
          <w:spacing w:val="-3"/>
        </w:rPr>
        <w:t xml:space="preserve"> </w:t>
      </w:r>
      <w:r w:rsidRPr="00F649B0">
        <w:t>for</w:t>
      </w:r>
      <w:r w:rsidRPr="00F649B0">
        <w:rPr>
          <w:spacing w:val="-3"/>
        </w:rPr>
        <w:t xml:space="preserve"> </w:t>
      </w:r>
      <w:r w:rsidRPr="00F649B0">
        <w:t>the</w:t>
      </w:r>
      <w:r w:rsidRPr="00F649B0">
        <w:rPr>
          <w:spacing w:val="-3"/>
        </w:rPr>
        <w:t xml:space="preserve"> </w:t>
      </w:r>
      <w:r w:rsidRPr="00F649B0">
        <w:t>5</w:t>
      </w:r>
      <w:r w:rsidRPr="00F649B0">
        <w:rPr>
          <w:spacing w:val="-7"/>
        </w:rPr>
        <w:t xml:space="preserve"> </w:t>
      </w:r>
      <w:r w:rsidRPr="00F649B0">
        <w:rPr>
          <w:spacing w:val="-4"/>
        </w:rPr>
        <w:t>years</w:t>
      </w:r>
      <w:r w:rsidRPr="00F649B0">
        <w:t xml:space="preserve"> </w:t>
      </w:r>
      <w:r w:rsidRPr="00F649B0">
        <w:rPr>
          <w:spacing w:val="-2"/>
        </w:rPr>
        <w:t>to</w:t>
      </w:r>
      <w:r w:rsidRPr="00F649B0">
        <w:rPr>
          <w:spacing w:val="-6"/>
        </w:rPr>
        <w:t xml:space="preserve"> </w:t>
      </w:r>
      <w:r w:rsidRPr="00F649B0">
        <w:rPr>
          <w:spacing w:val="-2"/>
        </w:rPr>
        <w:t>2022</w:t>
      </w:r>
      <w:r w:rsidR="00A54F4B" w:rsidRPr="00F649B0">
        <w:rPr>
          <w:spacing w:val="-2"/>
        </w:rPr>
        <w:t>-23</w:t>
      </w:r>
      <w:r w:rsidRPr="00F649B0">
        <w:rPr>
          <w:spacing w:val="-2"/>
        </w:rPr>
        <w:t>. Total expenditure in</w:t>
      </w:r>
      <w:r w:rsidRPr="00F649B0">
        <w:rPr>
          <w:spacing w:val="-6"/>
        </w:rPr>
        <w:t xml:space="preserve"> </w:t>
      </w:r>
      <w:r w:rsidRPr="00F649B0">
        <w:rPr>
          <w:spacing w:val="-6"/>
        </w:rPr>
        <w:br/>
      </w:r>
      <w:r w:rsidRPr="00F649B0">
        <w:rPr>
          <w:spacing w:val="-2"/>
        </w:rPr>
        <w:t>20</w:t>
      </w:r>
      <w:r w:rsidR="00A54F4B" w:rsidRPr="00F649B0">
        <w:rPr>
          <w:spacing w:val="-2"/>
        </w:rPr>
        <w:t xml:space="preserve">22-23 </w:t>
      </w:r>
      <w:r w:rsidRPr="00F649B0">
        <w:rPr>
          <w:spacing w:val="-2"/>
        </w:rPr>
        <w:t xml:space="preserve">for residential </w:t>
      </w:r>
      <w:r w:rsidRPr="00F649B0">
        <w:t>care providers was $</w:t>
      </w:r>
      <w:r w:rsidR="00370A00" w:rsidRPr="00F649B0">
        <w:t>2</w:t>
      </w:r>
      <w:r w:rsidR="003505A4" w:rsidRPr="00F649B0">
        <w:t>6.0</w:t>
      </w:r>
      <w:r w:rsidRPr="00F649B0">
        <w:t xml:space="preserve"> billion, up </w:t>
      </w:r>
      <w:r w:rsidR="006C696E" w:rsidRPr="00F649B0">
        <w:t>7%</w:t>
      </w:r>
      <w:r w:rsidRPr="00F649B0">
        <w:t xml:space="preserve"> from </w:t>
      </w:r>
      <w:r w:rsidRPr="00F649B0">
        <w:br/>
        <w:t>$2</w:t>
      </w:r>
      <w:r w:rsidR="001D3A5C" w:rsidRPr="00F649B0">
        <w:t>4.3</w:t>
      </w:r>
      <w:r w:rsidRPr="00F649B0">
        <w:rPr>
          <w:spacing w:val="-13"/>
        </w:rPr>
        <w:t xml:space="preserve"> </w:t>
      </w:r>
      <w:r w:rsidRPr="00F649B0">
        <w:t>billion</w:t>
      </w:r>
      <w:r w:rsidRPr="00F649B0">
        <w:rPr>
          <w:spacing w:val="-11"/>
        </w:rPr>
        <w:t xml:space="preserve"> </w:t>
      </w:r>
      <w:r w:rsidRPr="00F649B0">
        <w:t>in</w:t>
      </w:r>
      <w:r w:rsidRPr="00F649B0">
        <w:rPr>
          <w:spacing w:val="-11"/>
        </w:rPr>
        <w:t xml:space="preserve"> </w:t>
      </w:r>
      <w:r w:rsidRPr="00F649B0">
        <w:t>2021</w:t>
      </w:r>
      <w:r w:rsidR="001D3A5C" w:rsidRPr="00F649B0">
        <w:t>-22</w:t>
      </w:r>
      <w:r w:rsidRPr="00F649B0">
        <w:rPr>
          <w:spacing w:val="-7"/>
        </w:rPr>
        <w:t xml:space="preserve"> </w:t>
      </w:r>
      <w:r w:rsidRPr="00F649B0">
        <w:t>and</w:t>
      </w:r>
      <w:r w:rsidRPr="00F649B0">
        <w:rPr>
          <w:spacing w:val="-8"/>
        </w:rPr>
        <w:t xml:space="preserve"> </w:t>
      </w:r>
      <w:r w:rsidRPr="00F649B0">
        <w:t>up</w:t>
      </w:r>
      <w:r w:rsidRPr="00F649B0">
        <w:rPr>
          <w:spacing w:val="-7"/>
        </w:rPr>
        <w:t xml:space="preserve"> </w:t>
      </w:r>
      <w:r w:rsidR="00C21629" w:rsidRPr="00F649B0">
        <w:rPr>
          <w:spacing w:val="-7"/>
        </w:rPr>
        <w:t>1</w:t>
      </w:r>
      <w:r w:rsidR="00B360DB">
        <w:rPr>
          <w:spacing w:val="-7"/>
        </w:rPr>
        <w:t>7</w:t>
      </w:r>
      <w:r w:rsidR="00C21629" w:rsidRPr="00F649B0">
        <w:rPr>
          <w:spacing w:val="-7"/>
        </w:rPr>
        <w:t>%</w:t>
      </w:r>
      <w:r w:rsidRPr="00F649B0">
        <w:rPr>
          <w:spacing w:val="-7"/>
        </w:rPr>
        <w:t xml:space="preserve"> </w:t>
      </w:r>
      <w:r w:rsidRPr="00F649B0">
        <w:rPr>
          <w:spacing w:val="-4"/>
        </w:rPr>
        <w:t>from</w:t>
      </w:r>
      <w:r w:rsidRPr="00F649B0">
        <w:t xml:space="preserve"> </w:t>
      </w:r>
      <w:r w:rsidRPr="00F649B0">
        <w:rPr>
          <w:spacing w:val="-2"/>
        </w:rPr>
        <w:t>$2</w:t>
      </w:r>
      <w:r w:rsidR="00F649B0" w:rsidRPr="00F649B0">
        <w:rPr>
          <w:spacing w:val="-2"/>
        </w:rPr>
        <w:t>2.3</w:t>
      </w:r>
      <w:r w:rsidRPr="00F649B0">
        <w:rPr>
          <w:spacing w:val="-5"/>
        </w:rPr>
        <w:t xml:space="preserve"> </w:t>
      </w:r>
      <w:r w:rsidRPr="00F649B0">
        <w:rPr>
          <w:spacing w:val="-2"/>
        </w:rPr>
        <w:t>billion</w:t>
      </w:r>
      <w:r w:rsidRPr="00F649B0">
        <w:t xml:space="preserve"> </w:t>
      </w:r>
      <w:r w:rsidRPr="00F649B0">
        <w:rPr>
          <w:spacing w:val="-2"/>
        </w:rPr>
        <w:t>in</w:t>
      </w:r>
      <w:r w:rsidRPr="00F649B0">
        <w:rPr>
          <w:spacing w:val="-5"/>
        </w:rPr>
        <w:t xml:space="preserve"> </w:t>
      </w:r>
      <w:r w:rsidRPr="00F649B0">
        <w:rPr>
          <w:spacing w:val="-2"/>
        </w:rPr>
        <w:t>2020</w:t>
      </w:r>
      <w:r w:rsidR="00F649B0" w:rsidRPr="00F649B0">
        <w:rPr>
          <w:spacing w:val="-2"/>
        </w:rPr>
        <w:t>-21</w:t>
      </w:r>
      <w:r w:rsidRPr="00F649B0">
        <w:rPr>
          <w:spacing w:val="-2"/>
        </w:rPr>
        <w:t>.</w:t>
      </w:r>
    </w:p>
    <w:p w14:paraId="5FD21703" w14:textId="212B1918" w:rsidR="00BC6B4A" w:rsidRDefault="00C77767" w:rsidP="00F91BBB">
      <w:pPr>
        <w:pStyle w:val="Caption"/>
      </w:pPr>
      <w:bookmarkStart w:id="122" w:name="_Ref162512561"/>
      <w:bookmarkStart w:id="123" w:name="_Toc173428922"/>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5</w:t>
      </w:r>
      <w:r w:rsidR="00AE19AA">
        <w:rPr>
          <w:noProof/>
        </w:rPr>
        <w:fldChar w:fldCharType="end"/>
      </w:r>
      <w:bookmarkEnd w:id="122"/>
      <w:r>
        <w:t xml:space="preserve">: </w:t>
      </w:r>
      <w:r w:rsidRPr="008741FA">
        <w:t>Total expenses, residential care providers, 20</w:t>
      </w:r>
      <w:r w:rsidR="00BC3AF7">
        <w:t>18-19</w:t>
      </w:r>
      <w:r w:rsidRPr="008741FA">
        <w:t xml:space="preserve"> to 2</w:t>
      </w:r>
      <w:r w:rsidR="00BC3AF7">
        <w:t>0</w:t>
      </w:r>
      <w:r w:rsidRPr="008741FA">
        <w:t>22</w:t>
      </w:r>
      <w:r w:rsidR="00BC3AF7">
        <w:t>-23</w:t>
      </w:r>
      <w:r w:rsidRPr="008741FA">
        <w:t xml:space="preserve"> ($b)</w:t>
      </w:r>
      <w:bookmarkEnd w:id="123"/>
    </w:p>
    <w:p w14:paraId="5E6FC30C" w14:textId="77777777" w:rsidR="00385C81" w:rsidRDefault="00BC3AF7" w:rsidP="00F91BBB">
      <w:pPr>
        <w:pStyle w:val="Caption"/>
      </w:pPr>
      <w:r>
        <w:rPr>
          <w:noProof/>
        </w:rPr>
        <w:drawing>
          <wp:inline distT="0" distB="0" distL="0" distR="0" wp14:anchorId="77164E09" wp14:editId="78163F08">
            <wp:extent cx="5966346" cy="3395345"/>
            <wp:effectExtent l="0" t="0" r="0" b="0"/>
            <wp:docPr id="1465481036" name="Picture 1465481036" descr="Chart 3.5 is a stacked column chart titled Total expenses, residential care providers, 2018-19 to 2022-23 ($b). Total expenditure in 2022-23 for residential care providers was $26.0 billion. Total employee expenses was $16.79 billion. Other expenses was $1.27 billion, revaluation of assets (decrease)/impairment was $0.12 billion. Total expenses from interest was $0.11 billion in 2022-2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6" name="Picture 1465481036" descr="Chart 3.5 is a stacked column chart titled Total expenses, residential care providers, 2018-19 to 2022-23 ($b). Total expenditure in 2022-23 for residential care providers was $26.0 billion. Total employee expenses was $16.79 billion. Other expenses was $1.27 billion, revaluation of assets (decrease)/impairment was $0.12 billion. Total expenses from interest was $0.11 billion in 2022-23.&#10;&#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72955" cy="3399106"/>
                    </a:xfrm>
                    <a:prstGeom prst="rect">
                      <a:avLst/>
                    </a:prstGeom>
                    <a:noFill/>
                  </pic:spPr>
                </pic:pic>
              </a:graphicData>
            </a:graphic>
          </wp:inline>
        </w:drawing>
      </w:r>
    </w:p>
    <w:p w14:paraId="21C8F3AF" w14:textId="77777777" w:rsidR="006F4F12" w:rsidRDefault="006F4F12" w:rsidP="006F4F12">
      <w:pPr>
        <w:spacing w:before="0" w:after="0" w:line="240" w:lineRule="auto"/>
      </w:pPr>
      <w:r>
        <w:br w:type="page"/>
      </w:r>
    </w:p>
    <w:p w14:paraId="75FA534B" w14:textId="1195750B" w:rsidR="007D26CB" w:rsidRPr="00D56035" w:rsidRDefault="000747BA" w:rsidP="007D26CB">
      <w:r>
        <w:fldChar w:fldCharType="begin"/>
      </w:r>
      <w:r>
        <w:instrText xml:space="preserve"> REF _Ref162512589 \h </w:instrText>
      </w:r>
      <w:r>
        <w:fldChar w:fldCharType="separate"/>
      </w:r>
      <w:r w:rsidR="001377BE">
        <w:t xml:space="preserve">Table </w:t>
      </w:r>
      <w:r w:rsidR="001377BE">
        <w:rPr>
          <w:noProof/>
        </w:rPr>
        <w:t>3</w:t>
      </w:r>
      <w:r w:rsidR="001377BE">
        <w:t>.</w:t>
      </w:r>
      <w:r w:rsidR="001377BE">
        <w:rPr>
          <w:noProof/>
        </w:rPr>
        <w:t>9</w:t>
      </w:r>
      <w:r>
        <w:fldChar w:fldCharType="end"/>
      </w:r>
      <w:r w:rsidR="00EC3DBE" w:rsidRPr="00EE0692">
        <w:t xml:space="preserve"> shows</w:t>
      </w:r>
      <w:r w:rsidR="00EC3DBE" w:rsidRPr="00EE0692">
        <w:rPr>
          <w:spacing w:val="-11"/>
        </w:rPr>
        <w:t xml:space="preserve"> </w:t>
      </w:r>
      <w:r w:rsidR="00EC3DBE" w:rsidRPr="00EE0692">
        <w:t>the</w:t>
      </w:r>
      <w:r w:rsidR="00EC3DBE" w:rsidRPr="00EE0692">
        <w:rPr>
          <w:spacing w:val="-11"/>
        </w:rPr>
        <w:t xml:space="preserve"> </w:t>
      </w:r>
      <w:r w:rsidR="00EC3DBE" w:rsidRPr="00EE0692">
        <w:t>expenses</w:t>
      </w:r>
      <w:r w:rsidR="00EC3DBE" w:rsidRPr="00EE0692">
        <w:rPr>
          <w:spacing w:val="-11"/>
        </w:rPr>
        <w:t xml:space="preserve"> </w:t>
      </w:r>
      <w:r w:rsidR="00EC3DBE" w:rsidRPr="00EE0692">
        <w:t>for</w:t>
      </w:r>
      <w:r w:rsidR="00EC3DBE" w:rsidRPr="00EE0692">
        <w:rPr>
          <w:spacing w:val="-11"/>
        </w:rPr>
        <w:t xml:space="preserve"> </w:t>
      </w:r>
      <w:r w:rsidR="00EC3DBE" w:rsidRPr="00EE0692">
        <w:t>residential</w:t>
      </w:r>
      <w:r w:rsidR="00EC3DBE" w:rsidRPr="00EE0692">
        <w:rPr>
          <w:spacing w:val="-11"/>
        </w:rPr>
        <w:t xml:space="preserve"> </w:t>
      </w:r>
      <w:r w:rsidR="00EC3DBE" w:rsidRPr="00EE0692">
        <w:t>care providers</w:t>
      </w:r>
      <w:r w:rsidR="00EC3DBE" w:rsidRPr="00EE0692">
        <w:rPr>
          <w:spacing w:val="-7"/>
        </w:rPr>
        <w:t xml:space="preserve"> </w:t>
      </w:r>
      <w:r w:rsidR="00EC3DBE" w:rsidRPr="00EE0692">
        <w:t>in</w:t>
      </w:r>
      <w:r w:rsidR="00EC3DBE" w:rsidRPr="00EE0692">
        <w:rPr>
          <w:spacing w:val="-11"/>
        </w:rPr>
        <w:t xml:space="preserve"> </w:t>
      </w:r>
      <w:r w:rsidR="00EC3DBE" w:rsidRPr="00EE0692">
        <w:t>2021-22</w:t>
      </w:r>
      <w:r w:rsidR="00EC3DBE" w:rsidRPr="00EE0692">
        <w:rPr>
          <w:spacing w:val="-7"/>
        </w:rPr>
        <w:t xml:space="preserve"> </w:t>
      </w:r>
      <w:r w:rsidR="00EC3DBE" w:rsidRPr="00EE0692">
        <w:t>compared</w:t>
      </w:r>
      <w:r w:rsidR="00EC3DBE" w:rsidRPr="00EE0692">
        <w:rPr>
          <w:spacing w:val="-7"/>
        </w:rPr>
        <w:t xml:space="preserve"> </w:t>
      </w:r>
      <w:r w:rsidR="00EC3DBE" w:rsidRPr="00EE0692">
        <w:t>with</w:t>
      </w:r>
      <w:r w:rsidR="00EC3DBE" w:rsidRPr="00EE0692">
        <w:rPr>
          <w:spacing w:val="-7"/>
        </w:rPr>
        <w:t xml:space="preserve"> </w:t>
      </w:r>
      <w:r w:rsidR="00EC3DBE" w:rsidRPr="00EE0692">
        <w:t>the</w:t>
      </w:r>
      <w:r w:rsidR="00EC3DBE" w:rsidRPr="00EE0692">
        <w:rPr>
          <w:spacing w:val="-7"/>
        </w:rPr>
        <w:t xml:space="preserve"> </w:t>
      </w:r>
      <w:r w:rsidR="00EC3DBE" w:rsidRPr="00EE0692">
        <w:t>previous two years. In 2022</w:t>
      </w:r>
      <w:r w:rsidR="00EE0692">
        <w:t>-23</w:t>
      </w:r>
      <w:r w:rsidR="00EC3DBE" w:rsidRPr="00EE0692">
        <w:t>, employee expenses were $1</w:t>
      </w:r>
      <w:r w:rsidR="001C1859">
        <w:t>6.8</w:t>
      </w:r>
      <w:r w:rsidR="00EC3DBE" w:rsidRPr="00EE0692">
        <w:rPr>
          <w:spacing w:val="-11"/>
        </w:rPr>
        <w:t xml:space="preserve"> </w:t>
      </w:r>
      <w:r w:rsidR="00EC3DBE" w:rsidRPr="00EE0692">
        <w:t>billion,</w:t>
      </w:r>
      <w:r w:rsidR="00EC3DBE" w:rsidRPr="00EE0692">
        <w:rPr>
          <w:spacing w:val="-11"/>
        </w:rPr>
        <w:t xml:space="preserve"> </w:t>
      </w:r>
      <w:r w:rsidR="00EC3DBE" w:rsidRPr="00EE0692">
        <w:t>up</w:t>
      </w:r>
      <w:r w:rsidR="00EC3DBE" w:rsidRPr="00EE0692">
        <w:rPr>
          <w:spacing w:val="-11"/>
        </w:rPr>
        <w:t xml:space="preserve"> </w:t>
      </w:r>
      <w:r w:rsidR="00EC3DBE" w:rsidRPr="00EE0692">
        <w:t>from</w:t>
      </w:r>
      <w:r w:rsidR="00EC3DBE" w:rsidRPr="00EE0692">
        <w:rPr>
          <w:spacing w:val="-9"/>
        </w:rPr>
        <w:t xml:space="preserve"> </w:t>
      </w:r>
      <w:r w:rsidR="00EC3DBE" w:rsidRPr="00EE0692">
        <w:t>$1</w:t>
      </w:r>
      <w:r w:rsidR="001C1859">
        <w:t>5.9</w:t>
      </w:r>
      <w:r w:rsidR="00EC3DBE" w:rsidRPr="00EE0692">
        <w:rPr>
          <w:spacing w:val="-11"/>
        </w:rPr>
        <w:t xml:space="preserve"> </w:t>
      </w:r>
      <w:r w:rsidR="00EC3DBE" w:rsidRPr="00EE0692">
        <w:t>billion</w:t>
      </w:r>
      <w:r w:rsidR="00EC3DBE" w:rsidRPr="00EE0692">
        <w:rPr>
          <w:spacing w:val="-9"/>
        </w:rPr>
        <w:t xml:space="preserve"> </w:t>
      </w:r>
      <w:r w:rsidR="00EC3DBE" w:rsidRPr="00EE0692">
        <w:t>in</w:t>
      </w:r>
      <w:r w:rsidR="00EC3DBE" w:rsidRPr="00EE0692">
        <w:rPr>
          <w:spacing w:val="-11"/>
        </w:rPr>
        <w:t xml:space="preserve"> </w:t>
      </w:r>
      <w:r w:rsidR="00EC3DBE" w:rsidRPr="00EE0692">
        <w:t>2021</w:t>
      </w:r>
      <w:r w:rsidR="001C1859">
        <w:t>-22</w:t>
      </w:r>
      <w:r w:rsidR="00EC3DBE" w:rsidRPr="00EE0692">
        <w:rPr>
          <w:spacing w:val="-8"/>
        </w:rPr>
        <w:t xml:space="preserve"> </w:t>
      </w:r>
      <w:r w:rsidR="00EC3DBE" w:rsidRPr="00EE0692">
        <w:rPr>
          <w:spacing w:val="-5"/>
        </w:rPr>
        <w:t>and</w:t>
      </w:r>
      <w:r w:rsidR="00EC3DBE" w:rsidRPr="00EE0692">
        <w:t xml:space="preserve"> $14</w:t>
      </w:r>
      <w:r w:rsidR="001C1859">
        <w:t>.8</w:t>
      </w:r>
      <w:r w:rsidR="00EC3DBE" w:rsidRPr="00EE0692">
        <w:rPr>
          <w:spacing w:val="-13"/>
        </w:rPr>
        <w:t xml:space="preserve"> </w:t>
      </w:r>
      <w:r w:rsidR="00EC3DBE" w:rsidRPr="00EE0692">
        <w:t>billion</w:t>
      </w:r>
      <w:r w:rsidR="00EC3DBE" w:rsidRPr="00EE0692">
        <w:rPr>
          <w:spacing w:val="-9"/>
        </w:rPr>
        <w:t xml:space="preserve"> </w:t>
      </w:r>
      <w:r w:rsidR="00EC3DBE" w:rsidRPr="00EE0692">
        <w:t>in</w:t>
      </w:r>
      <w:r w:rsidR="00EC3DBE" w:rsidRPr="00EE0692">
        <w:rPr>
          <w:spacing w:val="-10"/>
        </w:rPr>
        <w:t xml:space="preserve"> </w:t>
      </w:r>
      <w:r w:rsidR="00EC3DBE" w:rsidRPr="00EE0692">
        <w:rPr>
          <w:spacing w:val="-2"/>
        </w:rPr>
        <w:t>2020</w:t>
      </w:r>
      <w:r w:rsidR="001C1859">
        <w:rPr>
          <w:spacing w:val="-2"/>
        </w:rPr>
        <w:t>-21</w:t>
      </w:r>
      <w:r w:rsidR="00EC3DBE" w:rsidRPr="00EE0692">
        <w:rPr>
          <w:spacing w:val="-2"/>
        </w:rPr>
        <w:t>.</w:t>
      </w:r>
      <w:r w:rsidR="00EC3DBE" w:rsidRPr="00EE0692">
        <w:t xml:space="preserve"> </w:t>
      </w:r>
      <w:r w:rsidR="00E52515">
        <w:t xml:space="preserve">The increase in </w:t>
      </w:r>
      <w:r w:rsidR="006F0993">
        <w:t>expenses is</w:t>
      </w:r>
      <w:r w:rsidR="004D23E3">
        <w:t xml:space="preserve"> likely attributed to </w:t>
      </w:r>
      <w:r w:rsidR="00B6759C">
        <w:t>increased spending on care labour by providers working towards their</w:t>
      </w:r>
      <w:r w:rsidR="00007041">
        <w:t xml:space="preserve"> mandatory</w:t>
      </w:r>
      <w:r w:rsidR="00B6759C">
        <w:t xml:space="preserve"> care minute</w:t>
      </w:r>
      <w:r w:rsidR="00007041">
        <w:t xml:space="preserve"> targets</w:t>
      </w:r>
      <w:r w:rsidR="004D23E3">
        <w:t>,</w:t>
      </w:r>
      <w:r w:rsidR="00007041">
        <w:t xml:space="preserve"> which came in to </w:t>
      </w:r>
      <w:r w:rsidR="00CE18BA">
        <w:t>e</w:t>
      </w:r>
      <w:r w:rsidR="00007041">
        <w:t>ffect on 1 October 2023</w:t>
      </w:r>
      <w:r w:rsidR="008F46E4">
        <w:t xml:space="preserve"> and w</w:t>
      </w:r>
      <w:r w:rsidR="00B953CD">
        <w:t>as funded from 1 October 2022</w:t>
      </w:r>
      <w:r w:rsidR="00B6759C">
        <w:t>.</w:t>
      </w:r>
      <w:r w:rsidR="004D23E3">
        <w:t xml:space="preserve"> In addition, </w:t>
      </w:r>
      <w:r w:rsidR="008B679F">
        <w:t>providers may also be spending more money on care labour in preparation for</w:t>
      </w:r>
      <w:r w:rsidR="00C31B01">
        <w:t xml:space="preserve"> the 24/7 registered nurse care requirement, which came in to </w:t>
      </w:r>
      <w:r w:rsidR="006F0993">
        <w:t>effect</w:t>
      </w:r>
      <w:r w:rsidR="00C31B01">
        <w:t xml:space="preserve"> on 1 Jul</w:t>
      </w:r>
      <w:r w:rsidR="006F0993">
        <w:t>y</w:t>
      </w:r>
      <w:r w:rsidR="00C31B01">
        <w:t xml:space="preserve"> 2023. </w:t>
      </w:r>
      <w:r w:rsidR="00B953CD">
        <w:t>Expenses are</w:t>
      </w:r>
      <w:r w:rsidR="24D016C1">
        <w:t xml:space="preserve"> </w:t>
      </w:r>
      <w:r w:rsidR="001C1859">
        <w:t>expected to increase again in 2023-24 with the introduction of</w:t>
      </w:r>
      <w:r w:rsidR="00F93C60">
        <w:t xml:space="preserve"> the </w:t>
      </w:r>
      <w:r w:rsidR="00A277AA">
        <w:t>FWC</w:t>
      </w:r>
      <w:r w:rsidR="00F93C60">
        <w:t xml:space="preserve">’s </w:t>
      </w:r>
      <w:r w:rsidR="007D26CB">
        <w:t>decision for an interim increase of 15% to minimum award wages for registered nurses, enrolled nurses and personal care workers/assistants in nursing in the Aged Care Work Value case from 30 June 2023, and Annual Wage Review increases of 5.75% from 1 July 2023.</w:t>
      </w:r>
    </w:p>
    <w:p w14:paraId="5390B8E7" w14:textId="0ACE6343" w:rsidR="00BC6B4A" w:rsidRDefault="00EC3DBE" w:rsidP="00706D0A">
      <w:r w:rsidRPr="00EE0692">
        <w:t>The $</w:t>
      </w:r>
      <w:r w:rsidR="00F54CED">
        <w:t>766</w:t>
      </w:r>
      <w:r w:rsidRPr="00EE0692">
        <w:t xml:space="preserve"> million bed license amortisation </w:t>
      </w:r>
      <w:r w:rsidR="00D25F57">
        <w:t>expense</w:t>
      </w:r>
      <w:r w:rsidRPr="00EE0692">
        <w:t xml:space="preserve"> which is included in the “other expenses” category, is a result of the removal of the ACAR and the need for providers to readjust the treatment of bed licences as intangible assets. </w:t>
      </w:r>
    </w:p>
    <w:p w14:paraId="7C5A1E09" w14:textId="6A75834F" w:rsidR="006140CC" w:rsidRDefault="00B61372" w:rsidP="00706D0A">
      <w:pPr>
        <w:pStyle w:val="Caption"/>
      </w:pPr>
      <w:bookmarkStart w:id="124" w:name="_Ref162512589"/>
      <w:bookmarkStart w:id="125" w:name="_Toc173428891"/>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9</w:t>
      </w:r>
      <w:r w:rsidR="00AE19AA">
        <w:rPr>
          <w:noProof/>
        </w:rPr>
        <w:fldChar w:fldCharType="end"/>
      </w:r>
      <w:bookmarkEnd w:id="124"/>
      <w:r>
        <w:t xml:space="preserve">: </w:t>
      </w:r>
      <w:r w:rsidRPr="00952CE4">
        <w:t>Summary of expenses, residential care providers, 2020</w:t>
      </w:r>
      <w:r w:rsidR="00306AF3">
        <w:t>-21</w:t>
      </w:r>
      <w:r w:rsidRPr="00952CE4">
        <w:t xml:space="preserve"> to 2022</w:t>
      </w:r>
      <w:r w:rsidR="00306AF3">
        <w:t>-23</w:t>
      </w:r>
      <w:bookmarkEnd w:id="125"/>
    </w:p>
    <w:tbl>
      <w:tblPr>
        <w:tblW w:w="9356" w:type="dxa"/>
        <w:tblLayout w:type="fixed"/>
        <w:tblLook w:val="04A0" w:firstRow="1" w:lastRow="0" w:firstColumn="1" w:lastColumn="0" w:noHBand="0" w:noVBand="1"/>
      </w:tblPr>
      <w:tblGrid>
        <w:gridCol w:w="2317"/>
        <w:gridCol w:w="1407"/>
        <w:gridCol w:w="1408"/>
        <w:gridCol w:w="1408"/>
        <w:gridCol w:w="1408"/>
        <w:gridCol w:w="1408"/>
      </w:tblGrid>
      <w:tr w:rsidR="00306AF3" w:rsidRPr="00306AF3" w14:paraId="2A33FBE7" w14:textId="77777777" w:rsidTr="00AC5916">
        <w:trPr>
          <w:trHeight w:val="1370"/>
        </w:trPr>
        <w:tc>
          <w:tcPr>
            <w:tcW w:w="2317" w:type="dxa"/>
            <w:tcBorders>
              <w:top w:val="single" w:sz="12" w:space="0" w:color="1E1545"/>
              <w:left w:val="nil"/>
              <w:bottom w:val="single" w:sz="12" w:space="0" w:color="1E1545"/>
              <w:right w:val="nil"/>
            </w:tcBorders>
            <w:shd w:val="clear" w:color="000000" w:fill="1E1545"/>
            <w:vAlign w:val="center"/>
            <w:hideMark/>
          </w:tcPr>
          <w:p w14:paraId="6E9CB77B" w14:textId="77777777" w:rsidR="00306AF3" w:rsidRPr="00306AF3" w:rsidRDefault="00306AF3" w:rsidP="00306AF3">
            <w:pPr>
              <w:spacing w:before="0" w:after="0" w:line="240" w:lineRule="auto"/>
              <w:rPr>
                <w:rFonts w:cs="Arial"/>
                <w:b/>
                <w:color w:val="F1F2F2"/>
                <w:sz w:val="21"/>
                <w:szCs w:val="21"/>
                <w:lang w:eastAsia="en-AU"/>
              </w:rPr>
            </w:pPr>
            <w:r w:rsidRPr="00306AF3">
              <w:rPr>
                <w:rFonts w:cs="Arial"/>
                <w:b/>
                <w:color w:val="F1F2F2"/>
                <w:sz w:val="21"/>
                <w:szCs w:val="21"/>
                <w:lang w:eastAsia="en-AU"/>
              </w:rPr>
              <w:t>Expenses</w:t>
            </w:r>
          </w:p>
        </w:tc>
        <w:tc>
          <w:tcPr>
            <w:tcW w:w="1407" w:type="dxa"/>
            <w:tcBorders>
              <w:top w:val="single" w:sz="12" w:space="0" w:color="1E1545"/>
              <w:left w:val="nil"/>
              <w:bottom w:val="single" w:sz="12" w:space="0" w:color="1E1545"/>
              <w:right w:val="nil"/>
            </w:tcBorders>
            <w:shd w:val="clear" w:color="000000" w:fill="1E1545"/>
            <w:vAlign w:val="center"/>
            <w:hideMark/>
          </w:tcPr>
          <w:p w14:paraId="0D37E997" w14:textId="77777777" w:rsidR="00306AF3" w:rsidRPr="00306AF3" w:rsidRDefault="00306AF3" w:rsidP="00306AF3">
            <w:pPr>
              <w:spacing w:before="0" w:after="0" w:line="240" w:lineRule="auto"/>
              <w:jc w:val="right"/>
              <w:rPr>
                <w:rFonts w:cs="Arial"/>
                <w:b/>
                <w:color w:val="F1F2F2"/>
                <w:sz w:val="21"/>
                <w:szCs w:val="21"/>
                <w:lang w:eastAsia="en-AU"/>
              </w:rPr>
            </w:pPr>
            <w:r w:rsidRPr="00306AF3">
              <w:rPr>
                <w:rFonts w:cs="Arial"/>
                <w:b/>
                <w:color w:val="F1F2F2"/>
                <w:sz w:val="21"/>
                <w:szCs w:val="21"/>
                <w:lang w:eastAsia="en-AU"/>
              </w:rPr>
              <w:t>2020-21</w:t>
            </w:r>
            <w:r w:rsidRPr="00306AF3">
              <w:rPr>
                <w:rFonts w:cs="Arial"/>
                <w:b/>
                <w:color w:val="F1F2F2"/>
                <w:sz w:val="21"/>
                <w:szCs w:val="21"/>
                <w:lang w:eastAsia="en-AU"/>
              </w:rPr>
              <w:br/>
              <w:t>($m)</w:t>
            </w:r>
          </w:p>
        </w:tc>
        <w:tc>
          <w:tcPr>
            <w:tcW w:w="1408" w:type="dxa"/>
            <w:tcBorders>
              <w:top w:val="single" w:sz="12" w:space="0" w:color="1E1545"/>
              <w:left w:val="nil"/>
              <w:bottom w:val="single" w:sz="12" w:space="0" w:color="1E1545"/>
              <w:right w:val="nil"/>
            </w:tcBorders>
            <w:shd w:val="clear" w:color="000000" w:fill="1E1545"/>
            <w:vAlign w:val="center"/>
            <w:hideMark/>
          </w:tcPr>
          <w:p w14:paraId="3508FBBB" w14:textId="77777777" w:rsidR="00306AF3" w:rsidRPr="00306AF3" w:rsidRDefault="00306AF3" w:rsidP="00306AF3">
            <w:pPr>
              <w:spacing w:before="0" w:after="0" w:line="240" w:lineRule="auto"/>
              <w:jc w:val="right"/>
              <w:rPr>
                <w:rFonts w:cs="Arial"/>
                <w:b/>
                <w:color w:val="F1F2F2"/>
                <w:sz w:val="21"/>
                <w:szCs w:val="21"/>
                <w:lang w:eastAsia="en-AU"/>
              </w:rPr>
            </w:pPr>
            <w:r w:rsidRPr="00306AF3">
              <w:rPr>
                <w:rFonts w:cs="Arial"/>
                <w:b/>
                <w:color w:val="F1F2F2"/>
                <w:sz w:val="21"/>
                <w:szCs w:val="21"/>
                <w:lang w:eastAsia="en-AU"/>
              </w:rPr>
              <w:t>2021-22</w:t>
            </w:r>
            <w:r w:rsidRPr="00306AF3">
              <w:rPr>
                <w:rFonts w:cs="Arial"/>
                <w:b/>
                <w:color w:val="F1F2F2"/>
                <w:sz w:val="21"/>
                <w:szCs w:val="21"/>
                <w:lang w:eastAsia="en-AU"/>
              </w:rPr>
              <w:br/>
              <w:t>($m)</w:t>
            </w:r>
          </w:p>
        </w:tc>
        <w:tc>
          <w:tcPr>
            <w:tcW w:w="1408" w:type="dxa"/>
            <w:tcBorders>
              <w:top w:val="single" w:sz="12" w:space="0" w:color="1E1545"/>
              <w:left w:val="nil"/>
              <w:bottom w:val="single" w:sz="12" w:space="0" w:color="1E1545"/>
              <w:right w:val="nil"/>
            </w:tcBorders>
            <w:shd w:val="clear" w:color="000000" w:fill="1E1545"/>
            <w:vAlign w:val="center"/>
            <w:hideMark/>
          </w:tcPr>
          <w:p w14:paraId="34ADFF6A" w14:textId="77777777" w:rsidR="00306AF3" w:rsidRPr="00306AF3" w:rsidRDefault="00306AF3" w:rsidP="00306AF3">
            <w:pPr>
              <w:spacing w:before="0" w:after="0" w:line="240" w:lineRule="auto"/>
              <w:jc w:val="right"/>
              <w:rPr>
                <w:rFonts w:cs="Arial"/>
                <w:b/>
                <w:color w:val="F1F2F2"/>
                <w:sz w:val="21"/>
                <w:szCs w:val="21"/>
                <w:lang w:eastAsia="en-AU"/>
              </w:rPr>
            </w:pPr>
            <w:r w:rsidRPr="00306AF3">
              <w:rPr>
                <w:rFonts w:cs="Arial"/>
                <w:b/>
                <w:color w:val="F1F2F2"/>
                <w:sz w:val="21"/>
                <w:szCs w:val="21"/>
                <w:lang w:eastAsia="en-AU"/>
              </w:rPr>
              <w:t>Change from</w:t>
            </w:r>
            <w:r w:rsidRPr="00306AF3">
              <w:rPr>
                <w:rFonts w:cs="Arial"/>
                <w:b/>
                <w:color w:val="F1F2F2"/>
                <w:sz w:val="21"/>
                <w:szCs w:val="21"/>
                <w:lang w:eastAsia="en-AU"/>
              </w:rPr>
              <w:br/>
              <w:t>2020-21 to 2021-22 ($m)</w:t>
            </w:r>
          </w:p>
        </w:tc>
        <w:tc>
          <w:tcPr>
            <w:tcW w:w="1408" w:type="dxa"/>
            <w:tcBorders>
              <w:top w:val="single" w:sz="12" w:space="0" w:color="1E1545"/>
              <w:left w:val="nil"/>
              <w:bottom w:val="single" w:sz="12" w:space="0" w:color="1E1545"/>
              <w:right w:val="nil"/>
            </w:tcBorders>
            <w:shd w:val="clear" w:color="000000" w:fill="1E1545"/>
            <w:vAlign w:val="center"/>
            <w:hideMark/>
          </w:tcPr>
          <w:p w14:paraId="122C4E1E" w14:textId="77777777" w:rsidR="00306AF3" w:rsidRPr="00306AF3" w:rsidRDefault="00306AF3" w:rsidP="00306AF3">
            <w:pPr>
              <w:spacing w:before="0" w:after="0" w:line="240" w:lineRule="auto"/>
              <w:jc w:val="right"/>
              <w:rPr>
                <w:rFonts w:cs="Arial"/>
                <w:b/>
                <w:color w:val="F1F2F2"/>
                <w:sz w:val="21"/>
                <w:szCs w:val="21"/>
                <w:lang w:eastAsia="en-AU"/>
              </w:rPr>
            </w:pPr>
            <w:r w:rsidRPr="00306AF3">
              <w:rPr>
                <w:rFonts w:cs="Arial"/>
                <w:b/>
                <w:color w:val="F1F2F2"/>
                <w:sz w:val="21"/>
                <w:szCs w:val="21"/>
                <w:lang w:eastAsia="en-AU"/>
              </w:rPr>
              <w:t>2022-23</w:t>
            </w:r>
            <w:r w:rsidRPr="00306AF3">
              <w:rPr>
                <w:rFonts w:cs="Arial"/>
                <w:b/>
                <w:color w:val="F1F2F2"/>
                <w:sz w:val="21"/>
                <w:szCs w:val="21"/>
                <w:lang w:eastAsia="en-AU"/>
              </w:rPr>
              <w:br/>
              <w:t>($m)</w:t>
            </w:r>
          </w:p>
        </w:tc>
        <w:tc>
          <w:tcPr>
            <w:tcW w:w="1408" w:type="dxa"/>
            <w:tcBorders>
              <w:top w:val="single" w:sz="12" w:space="0" w:color="1E1545"/>
              <w:left w:val="nil"/>
              <w:bottom w:val="single" w:sz="12" w:space="0" w:color="1E1545"/>
              <w:right w:val="nil"/>
            </w:tcBorders>
            <w:shd w:val="clear" w:color="000000" w:fill="1E1545"/>
            <w:vAlign w:val="center"/>
            <w:hideMark/>
          </w:tcPr>
          <w:p w14:paraId="48BD88C0" w14:textId="77777777" w:rsidR="00306AF3" w:rsidRPr="00306AF3" w:rsidRDefault="00306AF3" w:rsidP="00306AF3">
            <w:pPr>
              <w:spacing w:before="0" w:after="0" w:line="240" w:lineRule="auto"/>
              <w:jc w:val="right"/>
              <w:rPr>
                <w:rFonts w:cs="Arial"/>
                <w:b/>
                <w:color w:val="F1F2F2"/>
                <w:sz w:val="21"/>
                <w:szCs w:val="21"/>
                <w:lang w:eastAsia="en-AU"/>
              </w:rPr>
            </w:pPr>
            <w:r w:rsidRPr="00306AF3">
              <w:rPr>
                <w:rFonts w:cs="Arial"/>
                <w:b/>
                <w:color w:val="F1F2F2"/>
                <w:sz w:val="21"/>
                <w:szCs w:val="21"/>
                <w:lang w:eastAsia="en-AU"/>
              </w:rPr>
              <w:t>Change from 2021-22 to 2022-23 ($m)</w:t>
            </w:r>
          </w:p>
        </w:tc>
      </w:tr>
      <w:tr w:rsidR="00306AF3" w:rsidRPr="00306AF3" w14:paraId="1B7F05CA" w14:textId="77777777" w:rsidTr="00AC5916">
        <w:trPr>
          <w:trHeight w:val="330"/>
        </w:trPr>
        <w:tc>
          <w:tcPr>
            <w:tcW w:w="2317" w:type="dxa"/>
            <w:tcBorders>
              <w:top w:val="nil"/>
              <w:left w:val="nil"/>
              <w:bottom w:val="single" w:sz="12" w:space="0" w:color="1E1545"/>
              <w:right w:val="nil"/>
            </w:tcBorders>
            <w:shd w:val="clear" w:color="000000" w:fill="FFFFFF"/>
            <w:vAlign w:val="center"/>
            <w:hideMark/>
          </w:tcPr>
          <w:p w14:paraId="275391B4" w14:textId="77777777" w:rsidR="00306AF3" w:rsidRPr="00306AF3" w:rsidRDefault="00306AF3" w:rsidP="00306AF3">
            <w:pPr>
              <w:spacing w:before="0" w:after="0" w:line="240" w:lineRule="auto"/>
              <w:rPr>
                <w:rFonts w:cs="Arial"/>
                <w:bCs w:val="0"/>
                <w:color w:val="1E1545"/>
                <w:sz w:val="21"/>
                <w:szCs w:val="21"/>
                <w:lang w:eastAsia="en-AU"/>
              </w:rPr>
            </w:pPr>
            <w:r w:rsidRPr="00306AF3">
              <w:rPr>
                <w:rFonts w:cs="Arial"/>
                <w:bCs w:val="0"/>
                <w:color w:val="1E1545"/>
                <w:sz w:val="21"/>
                <w:szCs w:val="21"/>
                <w:lang w:eastAsia="en-AU"/>
              </w:rPr>
              <w:t>Employee</w:t>
            </w:r>
          </w:p>
        </w:tc>
        <w:tc>
          <w:tcPr>
            <w:tcW w:w="1407" w:type="dxa"/>
            <w:tcBorders>
              <w:top w:val="nil"/>
              <w:left w:val="nil"/>
              <w:bottom w:val="single" w:sz="12" w:space="0" w:color="1E1545"/>
              <w:right w:val="nil"/>
            </w:tcBorders>
            <w:shd w:val="clear" w:color="000000" w:fill="FFFFFF"/>
            <w:noWrap/>
            <w:vAlign w:val="center"/>
            <w:hideMark/>
          </w:tcPr>
          <w:p w14:paraId="4C09767D"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$14,814.00 </w:t>
            </w:r>
          </w:p>
        </w:tc>
        <w:tc>
          <w:tcPr>
            <w:tcW w:w="1408" w:type="dxa"/>
            <w:tcBorders>
              <w:top w:val="nil"/>
              <w:left w:val="nil"/>
              <w:bottom w:val="single" w:sz="12" w:space="0" w:color="1E1545"/>
              <w:right w:val="nil"/>
            </w:tcBorders>
            <w:shd w:val="clear" w:color="000000" w:fill="FFFFFF"/>
            <w:noWrap/>
            <w:vAlign w:val="center"/>
            <w:hideMark/>
          </w:tcPr>
          <w:p w14:paraId="221379EC"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$15,910.50 </w:t>
            </w:r>
          </w:p>
        </w:tc>
        <w:tc>
          <w:tcPr>
            <w:tcW w:w="1408" w:type="dxa"/>
            <w:tcBorders>
              <w:top w:val="nil"/>
              <w:left w:val="nil"/>
              <w:bottom w:val="single" w:sz="12" w:space="0" w:color="1E1545"/>
              <w:right w:val="nil"/>
            </w:tcBorders>
            <w:shd w:val="clear" w:color="000000" w:fill="FFFFFF"/>
            <w:noWrap/>
            <w:vAlign w:val="center"/>
            <w:hideMark/>
          </w:tcPr>
          <w:p w14:paraId="60390469"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$1,096.50 </w:t>
            </w:r>
          </w:p>
        </w:tc>
        <w:tc>
          <w:tcPr>
            <w:tcW w:w="1408" w:type="dxa"/>
            <w:tcBorders>
              <w:top w:val="nil"/>
              <w:left w:val="nil"/>
              <w:bottom w:val="single" w:sz="12" w:space="0" w:color="1E1545"/>
              <w:right w:val="nil"/>
            </w:tcBorders>
            <w:shd w:val="clear" w:color="000000" w:fill="FFFFFF"/>
            <w:noWrap/>
            <w:vAlign w:val="center"/>
            <w:hideMark/>
          </w:tcPr>
          <w:p w14:paraId="066B1A66"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$16,788.71 </w:t>
            </w:r>
          </w:p>
        </w:tc>
        <w:tc>
          <w:tcPr>
            <w:tcW w:w="1408" w:type="dxa"/>
            <w:tcBorders>
              <w:top w:val="nil"/>
              <w:left w:val="nil"/>
              <w:bottom w:val="single" w:sz="12" w:space="0" w:color="1E1545"/>
              <w:right w:val="nil"/>
            </w:tcBorders>
            <w:shd w:val="clear" w:color="000000" w:fill="FFFFFF"/>
            <w:noWrap/>
            <w:vAlign w:val="center"/>
            <w:hideMark/>
          </w:tcPr>
          <w:p w14:paraId="55E05DE5"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$878.22 </w:t>
            </w:r>
          </w:p>
        </w:tc>
      </w:tr>
      <w:tr w:rsidR="00306AF3" w:rsidRPr="00306AF3" w14:paraId="22B9BFC8" w14:textId="77777777" w:rsidTr="00AC5916">
        <w:trPr>
          <w:trHeight w:val="330"/>
        </w:trPr>
        <w:tc>
          <w:tcPr>
            <w:tcW w:w="2317" w:type="dxa"/>
            <w:tcBorders>
              <w:top w:val="nil"/>
              <w:left w:val="nil"/>
              <w:bottom w:val="single" w:sz="12" w:space="0" w:color="1E1545"/>
              <w:right w:val="nil"/>
            </w:tcBorders>
            <w:shd w:val="clear" w:color="000000" w:fill="FFFFFF"/>
            <w:vAlign w:val="center"/>
            <w:hideMark/>
          </w:tcPr>
          <w:p w14:paraId="730DE9ED" w14:textId="77777777" w:rsidR="00306AF3" w:rsidRPr="00306AF3" w:rsidRDefault="00306AF3" w:rsidP="00306AF3">
            <w:pPr>
              <w:spacing w:before="0" w:after="0" w:line="240" w:lineRule="auto"/>
              <w:rPr>
                <w:rFonts w:cs="Arial"/>
                <w:bCs w:val="0"/>
                <w:color w:val="1E1545"/>
                <w:sz w:val="21"/>
                <w:szCs w:val="21"/>
                <w:lang w:eastAsia="en-AU"/>
              </w:rPr>
            </w:pPr>
            <w:r w:rsidRPr="00306AF3">
              <w:rPr>
                <w:rFonts w:cs="Arial"/>
                <w:bCs w:val="0"/>
                <w:color w:val="1E1545"/>
                <w:sz w:val="21"/>
                <w:szCs w:val="21"/>
                <w:lang w:eastAsia="en-AU"/>
              </w:rPr>
              <w:t>Depreciation</w:t>
            </w:r>
          </w:p>
        </w:tc>
        <w:tc>
          <w:tcPr>
            <w:tcW w:w="1407" w:type="dxa"/>
            <w:tcBorders>
              <w:top w:val="nil"/>
              <w:left w:val="nil"/>
              <w:bottom w:val="single" w:sz="12" w:space="0" w:color="1E1545"/>
              <w:right w:val="nil"/>
            </w:tcBorders>
            <w:shd w:val="clear" w:color="000000" w:fill="FFFFFF"/>
            <w:noWrap/>
            <w:vAlign w:val="center"/>
            <w:hideMark/>
          </w:tcPr>
          <w:p w14:paraId="77D4173D"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$1,137.40 </w:t>
            </w:r>
          </w:p>
        </w:tc>
        <w:tc>
          <w:tcPr>
            <w:tcW w:w="1408" w:type="dxa"/>
            <w:tcBorders>
              <w:top w:val="nil"/>
              <w:left w:val="nil"/>
              <w:bottom w:val="single" w:sz="12" w:space="0" w:color="1E1545"/>
              <w:right w:val="nil"/>
            </w:tcBorders>
            <w:shd w:val="clear" w:color="000000" w:fill="FFFFFF"/>
            <w:noWrap/>
            <w:vAlign w:val="center"/>
            <w:hideMark/>
          </w:tcPr>
          <w:p w14:paraId="1E8C7FF7"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$1,245.00 </w:t>
            </w:r>
          </w:p>
        </w:tc>
        <w:tc>
          <w:tcPr>
            <w:tcW w:w="1408" w:type="dxa"/>
            <w:tcBorders>
              <w:top w:val="nil"/>
              <w:left w:val="nil"/>
              <w:bottom w:val="single" w:sz="12" w:space="0" w:color="1E1545"/>
              <w:right w:val="nil"/>
            </w:tcBorders>
            <w:shd w:val="clear" w:color="000000" w:fill="FFFFFF"/>
            <w:noWrap/>
            <w:vAlign w:val="center"/>
            <w:hideMark/>
          </w:tcPr>
          <w:p w14:paraId="0F15E380"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$107.60 </w:t>
            </w:r>
          </w:p>
        </w:tc>
        <w:tc>
          <w:tcPr>
            <w:tcW w:w="1408" w:type="dxa"/>
            <w:tcBorders>
              <w:top w:val="nil"/>
              <w:left w:val="nil"/>
              <w:bottom w:val="single" w:sz="12" w:space="0" w:color="1E1545"/>
              <w:right w:val="nil"/>
            </w:tcBorders>
            <w:shd w:val="clear" w:color="000000" w:fill="FFFFFF"/>
            <w:noWrap/>
            <w:vAlign w:val="center"/>
            <w:hideMark/>
          </w:tcPr>
          <w:p w14:paraId="55C564E3"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$1,269.48 </w:t>
            </w:r>
          </w:p>
        </w:tc>
        <w:tc>
          <w:tcPr>
            <w:tcW w:w="1408" w:type="dxa"/>
            <w:tcBorders>
              <w:top w:val="nil"/>
              <w:left w:val="nil"/>
              <w:bottom w:val="single" w:sz="12" w:space="0" w:color="1E1545"/>
              <w:right w:val="nil"/>
            </w:tcBorders>
            <w:shd w:val="clear" w:color="000000" w:fill="FFFFFF"/>
            <w:noWrap/>
            <w:vAlign w:val="center"/>
            <w:hideMark/>
          </w:tcPr>
          <w:p w14:paraId="10BC4BEF"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$24.49 </w:t>
            </w:r>
          </w:p>
        </w:tc>
      </w:tr>
      <w:tr w:rsidR="00306AF3" w:rsidRPr="00306AF3" w14:paraId="3A11367D" w14:textId="77777777" w:rsidTr="00AC5916">
        <w:trPr>
          <w:trHeight w:val="330"/>
        </w:trPr>
        <w:tc>
          <w:tcPr>
            <w:tcW w:w="2317" w:type="dxa"/>
            <w:tcBorders>
              <w:top w:val="nil"/>
              <w:left w:val="nil"/>
              <w:bottom w:val="single" w:sz="12" w:space="0" w:color="1E1545"/>
              <w:right w:val="nil"/>
            </w:tcBorders>
            <w:shd w:val="clear" w:color="000000" w:fill="FFFFFF"/>
            <w:vAlign w:val="center"/>
            <w:hideMark/>
          </w:tcPr>
          <w:p w14:paraId="4AFF18B9" w14:textId="77777777" w:rsidR="00306AF3" w:rsidRPr="00306AF3" w:rsidRDefault="00306AF3" w:rsidP="00306AF3">
            <w:pPr>
              <w:spacing w:before="0" w:after="0" w:line="240" w:lineRule="auto"/>
              <w:rPr>
                <w:rFonts w:cs="Arial"/>
                <w:bCs w:val="0"/>
                <w:color w:val="1E1545"/>
                <w:sz w:val="21"/>
                <w:szCs w:val="21"/>
                <w:lang w:eastAsia="en-AU"/>
              </w:rPr>
            </w:pPr>
            <w:r w:rsidRPr="00306AF3">
              <w:rPr>
                <w:rFonts w:cs="Arial"/>
                <w:bCs w:val="0"/>
                <w:color w:val="1E1545"/>
                <w:sz w:val="21"/>
                <w:szCs w:val="21"/>
                <w:lang w:eastAsia="en-AU"/>
              </w:rPr>
              <w:t>Financing interest</w:t>
            </w:r>
          </w:p>
        </w:tc>
        <w:tc>
          <w:tcPr>
            <w:tcW w:w="1407" w:type="dxa"/>
            <w:tcBorders>
              <w:top w:val="nil"/>
              <w:left w:val="nil"/>
              <w:bottom w:val="single" w:sz="12" w:space="0" w:color="1E1545"/>
              <w:right w:val="nil"/>
            </w:tcBorders>
            <w:shd w:val="clear" w:color="000000" w:fill="FFFFFF"/>
            <w:noWrap/>
            <w:vAlign w:val="center"/>
            <w:hideMark/>
          </w:tcPr>
          <w:p w14:paraId="37644C78"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$96.70 </w:t>
            </w:r>
          </w:p>
        </w:tc>
        <w:tc>
          <w:tcPr>
            <w:tcW w:w="1408" w:type="dxa"/>
            <w:tcBorders>
              <w:top w:val="nil"/>
              <w:left w:val="nil"/>
              <w:bottom w:val="single" w:sz="12" w:space="0" w:color="1E1545"/>
              <w:right w:val="nil"/>
            </w:tcBorders>
            <w:shd w:val="clear" w:color="000000" w:fill="FFFFFF"/>
            <w:noWrap/>
            <w:vAlign w:val="center"/>
            <w:hideMark/>
          </w:tcPr>
          <w:p w14:paraId="1DD67A94"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$89.30 </w:t>
            </w:r>
          </w:p>
        </w:tc>
        <w:tc>
          <w:tcPr>
            <w:tcW w:w="1408" w:type="dxa"/>
            <w:tcBorders>
              <w:top w:val="nil"/>
              <w:left w:val="nil"/>
              <w:bottom w:val="single" w:sz="12" w:space="0" w:color="1E1545"/>
              <w:right w:val="nil"/>
            </w:tcBorders>
            <w:shd w:val="clear" w:color="000000" w:fill="FFFFFF"/>
            <w:noWrap/>
            <w:vAlign w:val="center"/>
            <w:hideMark/>
          </w:tcPr>
          <w:p w14:paraId="48293138"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($7.40)</w:t>
            </w:r>
          </w:p>
        </w:tc>
        <w:tc>
          <w:tcPr>
            <w:tcW w:w="1408" w:type="dxa"/>
            <w:tcBorders>
              <w:top w:val="nil"/>
              <w:left w:val="nil"/>
              <w:bottom w:val="single" w:sz="12" w:space="0" w:color="1E1545"/>
              <w:right w:val="nil"/>
            </w:tcBorders>
            <w:shd w:val="clear" w:color="000000" w:fill="FFFFFF"/>
            <w:noWrap/>
            <w:vAlign w:val="center"/>
            <w:hideMark/>
          </w:tcPr>
          <w:p w14:paraId="6F5206AF"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$108.18 </w:t>
            </w:r>
          </w:p>
        </w:tc>
        <w:tc>
          <w:tcPr>
            <w:tcW w:w="1408" w:type="dxa"/>
            <w:tcBorders>
              <w:top w:val="nil"/>
              <w:left w:val="nil"/>
              <w:bottom w:val="single" w:sz="12" w:space="0" w:color="1E1545"/>
              <w:right w:val="nil"/>
            </w:tcBorders>
            <w:shd w:val="clear" w:color="000000" w:fill="FFFFFF"/>
            <w:noWrap/>
            <w:vAlign w:val="center"/>
            <w:hideMark/>
          </w:tcPr>
          <w:p w14:paraId="38D76382"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$18.89 </w:t>
            </w:r>
          </w:p>
        </w:tc>
      </w:tr>
      <w:tr w:rsidR="00306AF3" w:rsidRPr="00306AF3" w14:paraId="43B21FF2" w14:textId="77777777" w:rsidTr="00AC5916">
        <w:trPr>
          <w:trHeight w:val="560"/>
        </w:trPr>
        <w:tc>
          <w:tcPr>
            <w:tcW w:w="2317" w:type="dxa"/>
            <w:tcBorders>
              <w:top w:val="nil"/>
              <w:left w:val="nil"/>
              <w:bottom w:val="single" w:sz="12" w:space="0" w:color="1E1545"/>
              <w:right w:val="nil"/>
            </w:tcBorders>
            <w:shd w:val="clear" w:color="000000" w:fill="FFFFFF"/>
            <w:vAlign w:val="center"/>
            <w:hideMark/>
          </w:tcPr>
          <w:p w14:paraId="41641F18" w14:textId="77777777" w:rsidR="00306AF3" w:rsidRPr="00306AF3" w:rsidRDefault="00306AF3" w:rsidP="00306AF3">
            <w:pPr>
              <w:spacing w:before="0" w:after="0" w:line="240" w:lineRule="auto"/>
              <w:rPr>
                <w:rFonts w:cs="Arial"/>
                <w:bCs w:val="0"/>
                <w:color w:val="1E1545"/>
                <w:sz w:val="21"/>
                <w:szCs w:val="21"/>
                <w:lang w:eastAsia="en-AU"/>
              </w:rPr>
            </w:pPr>
            <w:r w:rsidRPr="00306AF3">
              <w:rPr>
                <w:rFonts w:cs="Arial"/>
                <w:bCs w:val="0"/>
                <w:color w:val="1E1545"/>
                <w:sz w:val="21"/>
                <w:szCs w:val="21"/>
                <w:lang w:eastAsia="en-AU"/>
              </w:rPr>
              <w:t>Revaluation of assets (decrease)/impairment</w:t>
            </w:r>
          </w:p>
        </w:tc>
        <w:tc>
          <w:tcPr>
            <w:tcW w:w="1407" w:type="dxa"/>
            <w:tcBorders>
              <w:top w:val="nil"/>
              <w:left w:val="nil"/>
              <w:bottom w:val="single" w:sz="12" w:space="0" w:color="1E1545"/>
              <w:right w:val="nil"/>
            </w:tcBorders>
            <w:shd w:val="clear" w:color="000000" w:fill="FFFFFF"/>
            <w:noWrap/>
            <w:vAlign w:val="center"/>
            <w:hideMark/>
          </w:tcPr>
          <w:p w14:paraId="3909B2B6"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$383.01 </w:t>
            </w:r>
          </w:p>
        </w:tc>
        <w:tc>
          <w:tcPr>
            <w:tcW w:w="1408" w:type="dxa"/>
            <w:tcBorders>
              <w:top w:val="nil"/>
              <w:left w:val="nil"/>
              <w:bottom w:val="single" w:sz="12" w:space="0" w:color="1E1545"/>
              <w:right w:val="nil"/>
            </w:tcBorders>
            <w:shd w:val="clear" w:color="000000" w:fill="FFFFFF"/>
            <w:noWrap/>
            <w:vAlign w:val="center"/>
            <w:hideMark/>
          </w:tcPr>
          <w:p w14:paraId="4419C589"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$194.00 </w:t>
            </w:r>
          </w:p>
        </w:tc>
        <w:tc>
          <w:tcPr>
            <w:tcW w:w="1408" w:type="dxa"/>
            <w:tcBorders>
              <w:top w:val="nil"/>
              <w:left w:val="nil"/>
              <w:bottom w:val="single" w:sz="12" w:space="0" w:color="1E1545"/>
              <w:right w:val="nil"/>
            </w:tcBorders>
            <w:shd w:val="clear" w:color="000000" w:fill="FFFFFF"/>
            <w:noWrap/>
            <w:vAlign w:val="center"/>
            <w:hideMark/>
          </w:tcPr>
          <w:p w14:paraId="2BBBF54F"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($189.00)</w:t>
            </w:r>
          </w:p>
        </w:tc>
        <w:tc>
          <w:tcPr>
            <w:tcW w:w="1408" w:type="dxa"/>
            <w:tcBorders>
              <w:top w:val="nil"/>
              <w:left w:val="nil"/>
              <w:bottom w:val="single" w:sz="12" w:space="0" w:color="1E1545"/>
              <w:right w:val="nil"/>
            </w:tcBorders>
            <w:shd w:val="clear" w:color="000000" w:fill="FFFFFF"/>
            <w:noWrap/>
            <w:vAlign w:val="center"/>
            <w:hideMark/>
          </w:tcPr>
          <w:p w14:paraId="64BE97B0"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$118.79 </w:t>
            </w:r>
          </w:p>
        </w:tc>
        <w:tc>
          <w:tcPr>
            <w:tcW w:w="1408" w:type="dxa"/>
            <w:tcBorders>
              <w:top w:val="nil"/>
              <w:left w:val="nil"/>
              <w:bottom w:val="single" w:sz="12" w:space="0" w:color="1E1545"/>
              <w:right w:val="nil"/>
            </w:tcBorders>
            <w:shd w:val="clear" w:color="000000" w:fill="FFFFFF"/>
            <w:noWrap/>
            <w:vAlign w:val="center"/>
            <w:hideMark/>
          </w:tcPr>
          <w:p w14:paraId="7ECE196B"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($75.25)</w:t>
            </w:r>
          </w:p>
        </w:tc>
      </w:tr>
      <w:tr w:rsidR="00306AF3" w:rsidRPr="00306AF3" w14:paraId="47DC650B" w14:textId="77777777" w:rsidTr="00AC5916">
        <w:trPr>
          <w:trHeight w:val="330"/>
        </w:trPr>
        <w:tc>
          <w:tcPr>
            <w:tcW w:w="2317" w:type="dxa"/>
            <w:tcBorders>
              <w:top w:val="nil"/>
              <w:left w:val="nil"/>
              <w:bottom w:val="single" w:sz="12" w:space="0" w:color="1E1545"/>
              <w:right w:val="nil"/>
            </w:tcBorders>
            <w:shd w:val="clear" w:color="000000" w:fill="FFFFFF"/>
            <w:vAlign w:val="center"/>
            <w:hideMark/>
          </w:tcPr>
          <w:p w14:paraId="23806D58" w14:textId="77777777" w:rsidR="00306AF3" w:rsidRPr="00306AF3" w:rsidRDefault="00306AF3" w:rsidP="00306AF3">
            <w:pPr>
              <w:spacing w:before="0" w:after="0" w:line="240" w:lineRule="auto"/>
              <w:rPr>
                <w:rFonts w:cs="Arial"/>
                <w:bCs w:val="0"/>
                <w:color w:val="1E1545"/>
                <w:sz w:val="21"/>
                <w:szCs w:val="21"/>
                <w:lang w:eastAsia="en-AU"/>
              </w:rPr>
            </w:pPr>
            <w:r w:rsidRPr="00306AF3">
              <w:rPr>
                <w:rFonts w:cs="Arial"/>
                <w:bCs w:val="0"/>
                <w:color w:val="1E1545"/>
                <w:sz w:val="21"/>
                <w:szCs w:val="21"/>
                <w:lang w:eastAsia="en-AU"/>
              </w:rPr>
              <w:t>Other expenses</w:t>
            </w:r>
          </w:p>
        </w:tc>
        <w:tc>
          <w:tcPr>
            <w:tcW w:w="1407" w:type="dxa"/>
            <w:tcBorders>
              <w:top w:val="nil"/>
              <w:left w:val="nil"/>
              <w:bottom w:val="single" w:sz="12" w:space="0" w:color="1E1545"/>
              <w:right w:val="nil"/>
            </w:tcBorders>
            <w:shd w:val="clear" w:color="000000" w:fill="FFFFFF"/>
            <w:noWrap/>
            <w:vAlign w:val="center"/>
            <w:hideMark/>
          </w:tcPr>
          <w:p w14:paraId="10EF8810"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$5,900.90 </w:t>
            </w:r>
          </w:p>
        </w:tc>
        <w:tc>
          <w:tcPr>
            <w:tcW w:w="1408" w:type="dxa"/>
            <w:tcBorders>
              <w:top w:val="nil"/>
              <w:left w:val="nil"/>
              <w:bottom w:val="single" w:sz="12" w:space="0" w:color="1E1545"/>
              <w:right w:val="nil"/>
            </w:tcBorders>
            <w:shd w:val="clear" w:color="000000" w:fill="FFFFFF"/>
            <w:noWrap/>
            <w:vAlign w:val="center"/>
            <w:hideMark/>
          </w:tcPr>
          <w:p w14:paraId="50437F0A"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$6,899.80 </w:t>
            </w:r>
          </w:p>
        </w:tc>
        <w:tc>
          <w:tcPr>
            <w:tcW w:w="1408" w:type="dxa"/>
            <w:tcBorders>
              <w:top w:val="nil"/>
              <w:left w:val="nil"/>
              <w:bottom w:val="single" w:sz="12" w:space="0" w:color="1E1545"/>
              <w:right w:val="nil"/>
            </w:tcBorders>
            <w:shd w:val="clear" w:color="000000" w:fill="FFFFFF"/>
            <w:noWrap/>
            <w:vAlign w:val="center"/>
            <w:hideMark/>
          </w:tcPr>
          <w:p w14:paraId="486D896F"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$998.90 </w:t>
            </w:r>
          </w:p>
        </w:tc>
        <w:tc>
          <w:tcPr>
            <w:tcW w:w="1408" w:type="dxa"/>
            <w:tcBorders>
              <w:top w:val="nil"/>
              <w:left w:val="nil"/>
              <w:bottom w:val="single" w:sz="12" w:space="0" w:color="1E1545"/>
              <w:right w:val="nil"/>
            </w:tcBorders>
            <w:shd w:val="clear" w:color="000000" w:fill="FFFFFF"/>
            <w:noWrap/>
            <w:vAlign w:val="center"/>
            <w:hideMark/>
          </w:tcPr>
          <w:p w14:paraId="2D3E4942"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$7,691.67 </w:t>
            </w:r>
          </w:p>
        </w:tc>
        <w:tc>
          <w:tcPr>
            <w:tcW w:w="1408" w:type="dxa"/>
            <w:tcBorders>
              <w:top w:val="nil"/>
              <w:left w:val="nil"/>
              <w:bottom w:val="single" w:sz="12" w:space="0" w:color="1E1545"/>
              <w:right w:val="nil"/>
            </w:tcBorders>
            <w:shd w:val="clear" w:color="000000" w:fill="FFFFFF"/>
            <w:noWrap/>
            <w:vAlign w:val="center"/>
            <w:hideMark/>
          </w:tcPr>
          <w:p w14:paraId="498D2BF6" w14:textId="77777777" w:rsidR="00306AF3" w:rsidRPr="00306AF3" w:rsidRDefault="00306AF3" w:rsidP="00306AF3">
            <w:pPr>
              <w:spacing w:before="0" w:after="0" w:line="240" w:lineRule="auto"/>
              <w:jc w:val="right"/>
              <w:rPr>
                <w:rFonts w:cs="Arial"/>
                <w:bCs w:val="0"/>
                <w:color w:val="1E1545"/>
                <w:sz w:val="21"/>
                <w:szCs w:val="21"/>
                <w:lang w:eastAsia="en-AU"/>
              </w:rPr>
            </w:pPr>
            <w:r w:rsidRPr="00306AF3">
              <w:rPr>
                <w:rFonts w:cs="Arial"/>
                <w:bCs w:val="0"/>
                <w:color w:val="1E1545"/>
                <w:sz w:val="21"/>
                <w:szCs w:val="21"/>
                <w:lang w:eastAsia="en-AU"/>
              </w:rPr>
              <w:t xml:space="preserve">$791.87 </w:t>
            </w:r>
          </w:p>
        </w:tc>
      </w:tr>
      <w:tr w:rsidR="00306AF3" w:rsidRPr="00306AF3" w14:paraId="466DE48D" w14:textId="77777777" w:rsidTr="00AC5916">
        <w:trPr>
          <w:trHeight w:val="330"/>
        </w:trPr>
        <w:tc>
          <w:tcPr>
            <w:tcW w:w="2317" w:type="dxa"/>
            <w:tcBorders>
              <w:top w:val="nil"/>
              <w:left w:val="nil"/>
              <w:bottom w:val="single" w:sz="12" w:space="0" w:color="1E1545"/>
              <w:right w:val="nil"/>
            </w:tcBorders>
            <w:shd w:val="clear" w:color="000000" w:fill="D8DADA"/>
            <w:vAlign w:val="center"/>
            <w:hideMark/>
          </w:tcPr>
          <w:p w14:paraId="6D1D2751" w14:textId="77777777" w:rsidR="00306AF3" w:rsidRPr="00306AF3" w:rsidRDefault="00306AF3" w:rsidP="00306AF3">
            <w:pPr>
              <w:spacing w:before="0" w:after="0" w:line="240" w:lineRule="auto"/>
              <w:rPr>
                <w:rFonts w:cs="Arial"/>
                <w:b/>
                <w:color w:val="1E1545"/>
                <w:sz w:val="21"/>
                <w:szCs w:val="21"/>
                <w:lang w:eastAsia="en-AU"/>
              </w:rPr>
            </w:pPr>
            <w:r w:rsidRPr="00306AF3">
              <w:rPr>
                <w:rFonts w:cs="Arial"/>
                <w:b/>
                <w:color w:val="1E1545"/>
                <w:sz w:val="21"/>
                <w:szCs w:val="21"/>
                <w:lang w:eastAsia="en-AU"/>
              </w:rPr>
              <w:t>Total expenses</w:t>
            </w:r>
          </w:p>
        </w:tc>
        <w:tc>
          <w:tcPr>
            <w:tcW w:w="1407" w:type="dxa"/>
            <w:tcBorders>
              <w:top w:val="nil"/>
              <w:left w:val="nil"/>
              <w:bottom w:val="single" w:sz="12" w:space="0" w:color="1E1545"/>
              <w:right w:val="nil"/>
            </w:tcBorders>
            <w:shd w:val="clear" w:color="000000" w:fill="D8DADA"/>
            <w:noWrap/>
            <w:vAlign w:val="center"/>
            <w:hideMark/>
          </w:tcPr>
          <w:p w14:paraId="127A43D7" w14:textId="77777777" w:rsidR="00306AF3" w:rsidRPr="00306AF3" w:rsidRDefault="00306AF3" w:rsidP="00306AF3">
            <w:pPr>
              <w:spacing w:before="0" w:after="0" w:line="240" w:lineRule="auto"/>
              <w:jc w:val="right"/>
              <w:rPr>
                <w:rFonts w:cs="Arial"/>
                <w:b/>
                <w:color w:val="1E1545"/>
                <w:sz w:val="21"/>
                <w:szCs w:val="21"/>
                <w:lang w:eastAsia="en-AU"/>
              </w:rPr>
            </w:pPr>
            <w:r w:rsidRPr="00306AF3">
              <w:rPr>
                <w:rFonts w:cs="Arial"/>
                <w:b/>
                <w:color w:val="1E1545"/>
                <w:sz w:val="21"/>
                <w:szCs w:val="21"/>
                <w:lang w:eastAsia="en-AU"/>
              </w:rPr>
              <w:t xml:space="preserve">$22,332.10 </w:t>
            </w:r>
          </w:p>
        </w:tc>
        <w:tc>
          <w:tcPr>
            <w:tcW w:w="1408" w:type="dxa"/>
            <w:tcBorders>
              <w:top w:val="nil"/>
              <w:left w:val="nil"/>
              <w:bottom w:val="single" w:sz="12" w:space="0" w:color="1E1545"/>
              <w:right w:val="nil"/>
            </w:tcBorders>
            <w:shd w:val="clear" w:color="000000" w:fill="D8DADA"/>
            <w:noWrap/>
            <w:vAlign w:val="center"/>
            <w:hideMark/>
          </w:tcPr>
          <w:p w14:paraId="77895ADB" w14:textId="77777777" w:rsidR="00306AF3" w:rsidRPr="00306AF3" w:rsidRDefault="00306AF3" w:rsidP="00306AF3">
            <w:pPr>
              <w:spacing w:before="0" w:after="0" w:line="240" w:lineRule="auto"/>
              <w:jc w:val="right"/>
              <w:rPr>
                <w:rFonts w:cs="Arial"/>
                <w:b/>
                <w:color w:val="1E1545"/>
                <w:sz w:val="21"/>
                <w:szCs w:val="21"/>
                <w:lang w:eastAsia="en-AU"/>
              </w:rPr>
            </w:pPr>
            <w:r w:rsidRPr="00306AF3">
              <w:rPr>
                <w:rFonts w:cs="Arial"/>
                <w:b/>
                <w:color w:val="1E1545"/>
                <w:sz w:val="21"/>
                <w:szCs w:val="21"/>
                <w:lang w:eastAsia="en-AU"/>
              </w:rPr>
              <w:t xml:space="preserve">$24,338.60 </w:t>
            </w:r>
          </w:p>
        </w:tc>
        <w:tc>
          <w:tcPr>
            <w:tcW w:w="1408" w:type="dxa"/>
            <w:tcBorders>
              <w:top w:val="nil"/>
              <w:left w:val="nil"/>
              <w:bottom w:val="single" w:sz="12" w:space="0" w:color="1E1545"/>
              <w:right w:val="nil"/>
            </w:tcBorders>
            <w:shd w:val="clear" w:color="000000" w:fill="D8DADA"/>
            <w:noWrap/>
            <w:vAlign w:val="center"/>
            <w:hideMark/>
          </w:tcPr>
          <w:p w14:paraId="6B6F75E6" w14:textId="77777777" w:rsidR="00306AF3" w:rsidRPr="00306AF3" w:rsidRDefault="00306AF3" w:rsidP="00306AF3">
            <w:pPr>
              <w:spacing w:before="0" w:after="0" w:line="240" w:lineRule="auto"/>
              <w:jc w:val="right"/>
              <w:rPr>
                <w:rFonts w:cs="Arial"/>
                <w:b/>
                <w:color w:val="1E1545"/>
                <w:sz w:val="21"/>
                <w:szCs w:val="21"/>
                <w:lang w:eastAsia="en-AU"/>
              </w:rPr>
            </w:pPr>
            <w:r w:rsidRPr="00306AF3">
              <w:rPr>
                <w:rFonts w:cs="Arial"/>
                <w:b/>
                <w:color w:val="1E1545"/>
                <w:sz w:val="21"/>
                <w:szCs w:val="21"/>
                <w:lang w:eastAsia="en-AU"/>
              </w:rPr>
              <w:t xml:space="preserve">$2,006.50 </w:t>
            </w:r>
          </w:p>
        </w:tc>
        <w:tc>
          <w:tcPr>
            <w:tcW w:w="1408" w:type="dxa"/>
            <w:tcBorders>
              <w:top w:val="nil"/>
              <w:left w:val="nil"/>
              <w:bottom w:val="single" w:sz="12" w:space="0" w:color="1E1545"/>
              <w:right w:val="nil"/>
            </w:tcBorders>
            <w:shd w:val="clear" w:color="000000" w:fill="D8DADA"/>
            <w:noWrap/>
            <w:vAlign w:val="center"/>
            <w:hideMark/>
          </w:tcPr>
          <w:p w14:paraId="2E0AD997" w14:textId="77777777" w:rsidR="00306AF3" w:rsidRPr="00306AF3" w:rsidRDefault="00306AF3" w:rsidP="00306AF3">
            <w:pPr>
              <w:spacing w:before="0" w:after="0" w:line="240" w:lineRule="auto"/>
              <w:jc w:val="right"/>
              <w:rPr>
                <w:rFonts w:cs="Arial"/>
                <w:b/>
                <w:color w:val="1E1545"/>
                <w:sz w:val="21"/>
                <w:szCs w:val="21"/>
                <w:lang w:eastAsia="en-AU"/>
              </w:rPr>
            </w:pPr>
            <w:r w:rsidRPr="00306AF3">
              <w:rPr>
                <w:rFonts w:cs="Arial"/>
                <w:b/>
                <w:color w:val="1E1545"/>
                <w:sz w:val="21"/>
                <w:szCs w:val="21"/>
                <w:lang w:eastAsia="en-AU"/>
              </w:rPr>
              <w:t xml:space="preserve">$25,976.84 </w:t>
            </w:r>
          </w:p>
        </w:tc>
        <w:tc>
          <w:tcPr>
            <w:tcW w:w="1408" w:type="dxa"/>
            <w:tcBorders>
              <w:top w:val="nil"/>
              <w:left w:val="nil"/>
              <w:bottom w:val="single" w:sz="12" w:space="0" w:color="1E1545"/>
              <w:right w:val="nil"/>
            </w:tcBorders>
            <w:shd w:val="clear" w:color="000000" w:fill="D8DADA"/>
            <w:noWrap/>
            <w:vAlign w:val="center"/>
            <w:hideMark/>
          </w:tcPr>
          <w:p w14:paraId="714A3205" w14:textId="77777777" w:rsidR="00306AF3" w:rsidRPr="00306AF3" w:rsidRDefault="00306AF3" w:rsidP="00306AF3">
            <w:pPr>
              <w:spacing w:before="0" w:after="0" w:line="240" w:lineRule="auto"/>
              <w:jc w:val="right"/>
              <w:rPr>
                <w:rFonts w:cs="Arial"/>
                <w:b/>
                <w:color w:val="1E1545"/>
                <w:sz w:val="21"/>
                <w:szCs w:val="21"/>
                <w:lang w:eastAsia="en-AU"/>
              </w:rPr>
            </w:pPr>
            <w:r w:rsidRPr="00306AF3">
              <w:rPr>
                <w:rFonts w:cs="Arial"/>
                <w:b/>
                <w:color w:val="1E1545"/>
                <w:sz w:val="21"/>
                <w:szCs w:val="21"/>
                <w:lang w:eastAsia="en-AU"/>
              </w:rPr>
              <w:t xml:space="preserve">$1,638.22 </w:t>
            </w:r>
          </w:p>
        </w:tc>
      </w:tr>
    </w:tbl>
    <w:p w14:paraId="66E84C0C" w14:textId="344FC490" w:rsidR="00E9210A" w:rsidRDefault="00E9210A" w:rsidP="002836F5">
      <w:pPr>
        <w:pStyle w:val="FootnoteText"/>
        <w:spacing w:before="120"/>
      </w:pPr>
      <w:r w:rsidRPr="009146EB">
        <w:t>Notes: The increase in Other expenses includes $</w:t>
      </w:r>
      <w:r w:rsidR="00F96660">
        <w:t>766</w:t>
      </w:r>
      <w:r w:rsidRPr="009146EB">
        <w:t xml:space="preserve"> million in bed licence amortisation as a result of the removal of the ACAR</w:t>
      </w:r>
      <w:r w:rsidR="00054D8C">
        <w:t xml:space="preserve"> and change in accounting treatment</w:t>
      </w:r>
      <w:r w:rsidRPr="009146EB">
        <w:t>.</w:t>
      </w:r>
    </w:p>
    <w:p w14:paraId="2E476723" w14:textId="77777777" w:rsidR="006F4F12" w:rsidRDefault="006F4F12" w:rsidP="006F4F12">
      <w:pPr>
        <w:spacing w:before="0" w:after="0" w:line="240" w:lineRule="auto"/>
      </w:pPr>
      <w:r>
        <w:br w:type="page"/>
      </w:r>
    </w:p>
    <w:p w14:paraId="519E4711" w14:textId="7D2529C2" w:rsidR="00196518" w:rsidRDefault="00196518" w:rsidP="00196518">
      <w:r>
        <w:fldChar w:fldCharType="begin"/>
      </w:r>
      <w:r>
        <w:instrText xml:space="preserve"> REF _Ref162512659 \h </w:instrText>
      </w:r>
      <w:r>
        <w:fldChar w:fldCharType="separate"/>
      </w:r>
      <w:r w:rsidR="001377BE">
        <w:t xml:space="preserve">Chart </w:t>
      </w:r>
      <w:r w:rsidR="001377BE">
        <w:rPr>
          <w:noProof/>
        </w:rPr>
        <w:t>3</w:t>
      </w:r>
      <w:r w:rsidR="001377BE">
        <w:t>.</w:t>
      </w:r>
      <w:r w:rsidR="001377BE">
        <w:rPr>
          <w:noProof/>
        </w:rPr>
        <w:t>6</w:t>
      </w:r>
      <w:r>
        <w:fldChar w:fldCharType="end"/>
      </w:r>
      <w:r>
        <w:t xml:space="preserve"> </w:t>
      </w:r>
      <w:r w:rsidRPr="00115A02">
        <w:t>presents the key categories of expenses for providers in 2022</w:t>
      </w:r>
      <w:r w:rsidR="00115A02" w:rsidRPr="00115A02">
        <w:t>-23</w:t>
      </w:r>
      <w:r w:rsidRPr="00115A02">
        <w:t xml:space="preserve"> as a proportion</w:t>
      </w:r>
      <w:r w:rsidRPr="00115A02">
        <w:rPr>
          <w:spacing w:val="-11"/>
        </w:rPr>
        <w:t xml:space="preserve"> </w:t>
      </w:r>
      <w:r w:rsidRPr="00115A02">
        <w:t>of</w:t>
      </w:r>
      <w:r w:rsidRPr="00115A02">
        <w:rPr>
          <w:spacing w:val="-11"/>
        </w:rPr>
        <w:t xml:space="preserve"> </w:t>
      </w:r>
      <w:r w:rsidRPr="00115A02">
        <w:t>total</w:t>
      </w:r>
      <w:r w:rsidRPr="00115A02">
        <w:rPr>
          <w:spacing w:val="-10"/>
        </w:rPr>
        <w:t xml:space="preserve"> </w:t>
      </w:r>
      <w:r w:rsidRPr="00115A02">
        <w:t>expenses.</w:t>
      </w:r>
      <w:r w:rsidRPr="00115A02">
        <w:rPr>
          <w:spacing w:val="-11"/>
        </w:rPr>
        <w:t xml:space="preserve"> </w:t>
      </w:r>
      <w:r w:rsidRPr="00115A02">
        <w:t>Employee</w:t>
      </w:r>
      <w:r w:rsidRPr="00115A02">
        <w:rPr>
          <w:spacing w:val="-11"/>
        </w:rPr>
        <w:t xml:space="preserve"> </w:t>
      </w:r>
      <w:r w:rsidRPr="00115A02">
        <w:t>expenses</w:t>
      </w:r>
      <w:r w:rsidRPr="00115A02">
        <w:rPr>
          <w:spacing w:val="-10"/>
        </w:rPr>
        <w:t xml:space="preserve"> </w:t>
      </w:r>
      <w:r w:rsidRPr="00115A02">
        <w:t>represent 65</w:t>
      </w:r>
      <w:r w:rsidR="00115A02">
        <w:t>%</w:t>
      </w:r>
      <w:r w:rsidRPr="00115A02">
        <w:rPr>
          <w:spacing w:val="-2"/>
        </w:rPr>
        <w:t xml:space="preserve"> </w:t>
      </w:r>
      <w:r w:rsidRPr="00115A02">
        <w:t>of</w:t>
      </w:r>
      <w:r w:rsidRPr="00115A02">
        <w:rPr>
          <w:spacing w:val="-2"/>
        </w:rPr>
        <w:t xml:space="preserve"> </w:t>
      </w:r>
      <w:r w:rsidRPr="00115A02">
        <w:t>the</w:t>
      </w:r>
      <w:r w:rsidRPr="00115A02">
        <w:rPr>
          <w:spacing w:val="-2"/>
        </w:rPr>
        <w:t xml:space="preserve"> </w:t>
      </w:r>
      <w:r w:rsidRPr="00115A02">
        <w:t>total</w:t>
      </w:r>
      <w:r w:rsidRPr="00115A02">
        <w:rPr>
          <w:spacing w:val="-2"/>
        </w:rPr>
        <w:t xml:space="preserve"> </w:t>
      </w:r>
      <w:r w:rsidRPr="00115A02">
        <w:t>expenses</w:t>
      </w:r>
      <w:r w:rsidRPr="00115A02">
        <w:rPr>
          <w:spacing w:val="-2"/>
        </w:rPr>
        <w:t xml:space="preserve"> </w:t>
      </w:r>
      <w:r w:rsidRPr="00115A02">
        <w:t>incurred</w:t>
      </w:r>
      <w:r w:rsidRPr="00115A02">
        <w:rPr>
          <w:spacing w:val="-2"/>
        </w:rPr>
        <w:t xml:space="preserve"> </w:t>
      </w:r>
      <w:r w:rsidRPr="00115A02">
        <w:t>by</w:t>
      </w:r>
      <w:r w:rsidRPr="00115A02">
        <w:rPr>
          <w:spacing w:val="-2"/>
        </w:rPr>
        <w:t xml:space="preserve"> </w:t>
      </w:r>
      <w:r w:rsidRPr="00115A02">
        <w:t>providers, a similar proportion to 202</w:t>
      </w:r>
      <w:r w:rsidR="00115A02">
        <w:t>1-22 and 2020-21</w:t>
      </w:r>
      <w:r w:rsidRPr="00115A02">
        <w:t xml:space="preserve">. Other expenses represent the next largest category, at </w:t>
      </w:r>
      <w:r w:rsidR="00115A02">
        <w:t>30%</w:t>
      </w:r>
      <w:r w:rsidRPr="00115A02">
        <w:t xml:space="preserve"> of total costs. Other expenses include amortisation, building repairs and maintenance expenses, rent, utilities and costs associated with employment support activities, cleaning and administration.</w:t>
      </w:r>
    </w:p>
    <w:p w14:paraId="3D346F64" w14:textId="7048195B" w:rsidR="008102AE" w:rsidRDefault="006140CC" w:rsidP="00706D0A">
      <w:pPr>
        <w:pStyle w:val="Caption"/>
      </w:pPr>
      <w:bookmarkStart w:id="126" w:name="_Ref162512659"/>
      <w:bookmarkStart w:id="127" w:name="_Toc173428923"/>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6</w:t>
      </w:r>
      <w:r w:rsidR="00AE19AA">
        <w:rPr>
          <w:noProof/>
        </w:rPr>
        <w:fldChar w:fldCharType="end"/>
      </w:r>
      <w:bookmarkEnd w:id="126"/>
      <w:r>
        <w:t>:</w:t>
      </w:r>
      <w:r w:rsidR="008102AE">
        <w:t xml:space="preserve"> </w:t>
      </w:r>
      <w:r w:rsidRPr="00D622DB">
        <w:t>Proportion of residential care provider total expenses, 2022</w:t>
      </w:r>
      <w:r w:rsidR="00935A0D">
        <w:t>-23</w:t>
      </w:r>
      <w:r w:rsidRPr="00D622DB">
        <w:t xml:space="preserve"> ($m)</w:t>
      </w:r>
      <w:bookmarkEnd w:id="127"/>
    </w:p>
    <w:p w14:paraId="5FFA4C0E" w14:textId="0AFB02F5" w:rsidR="009146EB" w:rsidRPr="009146EB" w:rsidRDefault="00115A02" w:rsidP="009146EB">
      <w:r>
        <w:rPr>
          <w:noProof/>
        </w:rPr>
        <w:drawing>
          <wp:inline distT="0" distB="0" distL="0" distR="0" wp14:anchorId="15C033D3" wp14:editId="1587DAE9">
            <wp:extent cx="6254115" cy="1879730"/>
            <wp:effectExtent l="0" t="0" r="0" b="6350"/>
            <wp:docPr id="1465481040" name="Picture 1465481040" descr="Chart 3.6 is a bar graph titled Proportion of residential care provider total expenses, 2022-23 ($m). Employee expenses represent 64.6% of the total expenses incurred by providers. Other expenses represent the next largest category, at 29.6% of total costs. Depreciation expenses (4.9%), revaluation of assets (0.5%) and financing interest expenses (0.4%) formed the rest of the total expens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0" name="Picture 1465481040" descr="Chart 3.6 is a bar graph titled Proportion of residential care provider total expenses, 2022-23 ($m). Employee expenses represent 64.6% of the total expenses incurred by providers. Other expenses represent the next largest category, at 29.6% of total costs. Depreciation expenses (4.9%), revaluation of assets (0.5%) and financing interest expenses (0.4%) formed the rest of the total expenses. &#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84717" cy="1888928"/>
                    </a:xfrm>
                    <a:prstGeom prst="rect">
                      <a:avLst/>
                    </a:prstGeom>
                    <a:noFill/>
                  </pic:spPr>
                </pic:pic>
              </a:graphicData>
            </a:graphic>
          </wp:inline>
        </w:drawing>
      </w:r>
    </w:p>
    <w:p w14:paraId="32148703" w14:textId="74177322" w:rsidR="00EA6359" w:rsidRDefault="00AB38B1" w:rsidP="00EA6359">
      <w:r>
        <w:fldChar w:fldCharType="begin"/>
      </w:r>
      <w:r>
        <w:instrText xml:space="preserve"> REF _Ref172020552 \h </w:instrText>
      </w:r>
      <w:r>
        <w:fldChar w:fldCharType="separate"/>
      </w:r>
      <w:r w:rsidR="001377BE">
        <w:t xml:space="preserve">Table </w:t>
      </w:r>
      <w:r w:rsidR="001377BE">
        <w:rPr>
          <w:noProof/>
        </w:rPr>
        <w:t>3</w:t>
      </w:r>
      <w:r w:rsidR="001377BE">
        <w:t>.</w:t>
      </w:r>
      <w:r w:rsidR="001377BE">
        <w:rPr>
          <w:noProof/>
        </w:rPr>
        <w:t>10</w:t>
      </w:r>
      <w:r>
        <w:fldChar w:fldCharType="end"/>
      </w:r>
      <w:r w:rsidR="00EA6359" w:rsidRPr="00EA6359">
        <w:t xml:space="preserve"> </w:t>
      </w:r>
      <w:r w:rsidR="008D7AAD" w:rsidRPr="00EA6359">
        <w:t>shows the major expense types for providers, per resident per day, for the 5 years to 2022</w:t>
      </w:r>
      <w:r w:rsidR="00637613" w:rsidRPr="00EA6359">
        <w:t>-23</w:t>
      </w:r>
      <w:r w:rsidR="008D7AAD" w:rsidRPr="00EA6359">
        <w:t>. Over the last five years, total expenses have increased from $2</w:t>
      </w:r>
      <w:r w:rsidR="006E60B7" w:rsidRPr="00EA6359">
        <w:t>79</w:t>
      </w:r>
      <w:r w:rsidR="008D7AAD" w:rsidRPr="00EA6359">
        <w:t>.6</w:t>
      </w:r>
      <w:r w:rsidR="006E60B7" w:rsidRPr="00EA6359">
        <w:t>5</w:t>
      </w:r>
      <w:r w:rsidR="008D7AAD" w:rsidRPr="00EA6359">
        <w:t xml:space="preserve"> to $3</w:t>
      </w:r>
      <w:r w:rsidR="006E60B7" w:rsidRPr="00EA6359">
        <w:t>78.48</w:t>
      </w:r>
      <w:r w:rsidR="008D7AAD" w:rsidRPr="00EA6359">
        <w:t xml:space="preserve"> per resident per day</w:t>
      </w:r>
      <w:r w:rsidR="007E0AF5" w:rsidRPr="00EA6359">
        <w:t>,</w:t>
      </w:r>
      <w:r w:rsidR="008D7AAD" w:rsidRPr="00EA6359">
        <w:t xml:space="preserve"> which represents </w:t>
      </w:r>
      <w:r w:rsidR="005C0814" w:rsidRPr="00EA6359">
        <w:t>on average a 9%</w:t>
      </w:r>
      <w:r w:rsidR="008D7AAD" w:rsidRPr="00EA6359">
        <w:t xml:space="preserve"> increase each year from 20</w:t>
      </w:r>
      <w:r w:rsidR="005C0814" w:rsidRPr="00EA6359">
        <w:t>18-19</w:t>
      </w:r>
      <w:r w:rsidR="008D7AAD" w:rsidRPr="00EA6359">
        <w:t xml:space="preserve"> to 20</w:t>
      </w:r>
      <w:r w:rsidR="005C0814" w:rsidRPr="00EA6359">
        <w:t>22-23</w:t>
      </w:r>
      <w:r w:rsidR="00472205" w:rsidRPr="00EA6359">
        <w:t xml:space="preserve">. </w:t>
      </w:r>
      <w:r w:rsidR="008D7AAD" w:rsidRPr="00EA6359">
        <w:t>Other expenses have</w:t>
      </w:r>
      <w:r w:rsidR="000F72D6" w:rsidRPr="00EA6359">
        <w:t xml:space="preserve"> </w:t>
      </w:r>
      <w:r w:rsidR="008D7AAD" w:rsidRPr="00EA6359">
        <w:t>grown</w:t>
      </w:r>
      <w:r w:rsidR="000F72D6" w:rsidRPr="00EA6359">
        <w:t xml:space="preserve"> the</w:t>
      </w:r>
      <w:r w:rsidR="008D7AAD" w:rsidRPr="00EA6359">
        <w:t xml:space="preserve"> most rapidly, from $</w:t>
      </w:r>
      <w:r w:rsidR="00462741" w:rsidRPr="00EA6359">
        <w:t>70.08</w:t>
      </w:r>
      <w:r w:rsidR="008D7AAD" w:rsidRPr="00EA6359">
        <w:t xml:space="preserve"> to $1</w:t>
      </w:r>
      <w:r w:rsidR="00462741" w:rsidRPr="00EA6359">
        <w:t>12.07</w:t>
      </w:r>
      <w:r w:rsidR="00483B81" w:rsidRPr="00EA6359">
        <w:t xml:space="preserve"> per resident per day</w:t>
      </w:r>
      <w:r w:rsidR="007F4EBD" w:rsidRPr="00EA6359">
        <w:t>.</w:t>
      </w:r>
      <w:r w:rsidR="00670A52" w:rsidRPr="00EA6359">
        <w:t xml:space="preserve"> It is expected that expenses will increase again in 2023-24 with the introduction of the FWC decision for an interim increase of 15% to minimum award wages for registered nurses, enrolled nurses and personal care workers/assistants in nursing in the Aged Care Work Value case from 30 June 2023, the Annual Wage Review increases of 5.75% from 1 July 2023, and as providers move towards meeting care minutes targets, which became mandatory from 1 October 2023.</w:t>
      </w:r>
      <w:r w:rsidR="00670A52" w:rsidDel="00670A52">
        <w:t xml:space="preserve"> </w:t>
      </w:r>
      <w:bookmarkStart w:id="128" w:name="_Ref162512695"/>
    </w:p>
    <w:p w14:paraId="3EF1D240" w14:textId="38711F1C" w:rsidR="00B17BCE" w:rsidRDefault="00AB042D" w:rsidP="00EA6359">
      <w:pPr>
        <w:pStyle w:val="Caption"/>
      </w:pPr>
      <w:bookmarkStart w:id="129" w:name="_Ref172020552"/>
      <w:bookmarkStart w:id="130" w:name="_Toc173428892"/>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10</w:t>
      </w:r>
      <w:r w:rsidR="00AE19AA">
        <w:rPr>
          <w:noProof/>
        </w:rPr>
        <w:fldChar w:fldCharType="end"/>
      </w:r>
      <w:bookmarkEnd w:id="128"/>
      <w:bookmarkEnd w:id="129"/>
      <w:r>
        <w:t xml:space="preserve">: </w:t>
      </w:r>
      <w:r w:rsidRPr="00534A3B">
        <w:t>Summary of residential care provider expenses, per resident per day, 201</w:t>
      </w:r>
      <w:r w:rsidR="00935A0D">
        <w:t>8-19</w:t>
      </w:r>
      <w:r w:rsidRPr="00534A3B">
        <w:t xml:space="preserve"> to 202</w:t>
      </w:r>
      <w:r w:rsidR="00935A0D">
        <w:t>2-23</w:t>
      </w:r>
      <w:bookmarkEnd w:id="130"/>
    </w:p>
    <w:tbl>
      <w:tblPr>
        <w:tblW w:w="9214" w:type="dxa"/>
        <w:tblLayout w:type="fixed"/>
        <w:tblLook w:val="04A0" w:firstRow="1" w:lastRow="0" w:firstColumn="1" w:lastColumn="0" w:noHBand="0" w:noVBand="1"/>
      </w:tblPr>
      <w:tblGrid>
        <w:gridCol w:w="2331"/>
        <w:gridCol w:w="1376"/>
        <w:gridCol w:w="1377"/>
        <w:gridCol w:w="1376"/>
        <w:gridCol w:w="1377"/>
        <w:gridCol w:w="1377"/>
      </w:tblGrid>
      <w:tr w:rsidR="00935A0D" w:rsidRPr="00935A0D" w14:paraId="60F50123" w14:textId="77777777" w:rsidTr="00901390">
        <w:trPr>
          <w:trHeight w:val="330"/>
        </w:trPr>
        <w:tc>
          <w:tcPr>
            <w:tcW w:w="2331" w:type="dxa"/>
            <w:tcBorders>
              <w:top w:val="single" w:sz="12" w:space="0" w:color="1E1545"/>
              <w:left w:val="nil"/>
              <w:bottom w:val="single" w:sz="12" w:space="0" w:color="1E1545"/>
              <w:right w:val="nil"/>
            </w:tcBorders>
            <w:shd w:val="clear" w:color="000000" w:fill="1E1545"/>
            <w:vAlign w:val="center"/>
            <w:hideMark/>
          </w:tcPr>
          <w:p w14:paraId="16E4A001" w14:textId="77777777" w:rsidR="00935A0D" w:rsidRPr="00935A0D" w:rsidRDefault="00935A0D" w:rsidP="00935A0D">
            <w:pPr>
              <w:spacing w:before="0" w:after="0" w:line="240" w:lineRule="auto"/>
              <w:rPr>
                <w:rFonts w:cs="Arial"/>
                <w:b/>
                <w:color w:val="F1F2F2"/>
                <w:sz w:val="21"/>
                <w:szCs w:val="21"/>
                <w:lang w:eastAsia="en-AU"/>
              </w:rPr>
            </w:pPr>
            <w:r w:rsidRPr="00935A0D">
              <w:rPr>
                <w:rFonts w:cs="Arial"/>
                <w:b/>
                <w:color w:val="F1F2F2"/>
                <w:sz w:val="21"/>
                <w:szCs w:val="21"/>
                <w:lang w:eastAsia="en-AU"/>
              </w:rPr>
              <w:t>Expenses</w:t>
            </w:r>
          </w:p>
        </w:tc>
        <w:tc>
          <w:tcPr>
            <w:tcW w:w="1376" w:type="dxa"/>
            <w:tcBorders>
              <w:top w:val="single" w:sz="12" w:space="0" w:color="1E1545"/>
              <w:left w:val="nil"/>
              <w:bottom w:val="single" w:sz="12" w:space="0" w:color="1E1545"/>
              <w:right w:val="nil"/>
            </w:tcBorders>
            <w:shd w:val="clear" w:color="000000" w:fill="1E1545"/>
            <w:vAlign w:val="center"/>
            <w:hideMark/>
          </w:tcPr>
          <w:p w14:paraId="5BDB059A" w14:textId="77777777" w:rsidR="00935A0D" w:rsidRPr="00935A0D" w:rsidRDefault="00935A0D" w:rsidP="00502DE7">
            <w:pPr>
              <w:spacing w:before="0" w:after="0" w:line="240" w:lineRule="auto"/>
              <w:jc w:val="right"/>
              <w:rPr>
                <w:rFonts w:cs="Arial"/>
                <w:b/>
                <w:color w:val="F1F2F2"/>
                <w:sz w:val="21"/>
                <w:szCs w:val="21"/>
                <w:lang w:eastAsia="en-AU"/>
              </w:rPr>
            </w:pPr>
            <w:r w:rsidRPr="00935A0D">
              <w:rPr>
                <w:rFonts w:cs="Arial"/>
                <w:b/>
                <w:color w:val="F1F2F2"/>
                <w:sz w:val="21"/>
                <w:szCs w:val="21"/>
                <w:lang w:eastAsia="en-AU"/>
              </w:rPr>
              <w:t>2018-19</w:t>
            </w:r>
          </w:p>
        </w:tc>
        <w:tc>
          <w:tcPr>
            <w:tcW w:w="1377" w:type="dxa"/>
            <w:tcBorders>
              <w:top w:val="single" w:sz="12" w:space="0" w:color="1E1545"/>
              <w:left w:val="nil"/>
              <w:bottom w:val="single" w:sz="12" w:space="0" w:color="1E1545"/>
              <w:right w:val="nil"/>
            </w:tcBorders>
            <w:shd w:val="clear" w:color="000000" w:fill="1E1545"/>
            <w:vAlign w:val="center"/>
            <w:hideMark/>
          </w:tcPr>
          <w:p w14:paraId="7C72CA78" w14:textId="77777777" w:rsidR="00935A0D" w:rsidRPr="00935A0D" w:rsidRDefault="00935A0D" w:rsidP="00502DE7">
            <w:pPr>
              <w:spacing w:before="0" w:after="0" w:line="240" w:lineRule="auto"/>
              <w:jc w:val="right"/>
              <w:rPr>
                <w:rFonts w:cs="Arial"/>
                <w:b/>
                <w:color w:val="F1F2F2"/>
                <w:sz w:val="21"/>
                <w:szCs w:val="21"/>
                <w:lang w:eastAsia="en-AU"/>
              </w:rPr>
            </w:pPr>
            <w:r w:rsidRPr="00935A0D">
              <w:rPr>
                <w:rFonts w:cs="Arial"/>
                <w:b/>
                <w:color w:val="F1F2F2"/>
                <w:sz w:val="21"/>
                <w:szCs w:val="21"/>
                <w:lang w:eastAsia="en-AU"/>
              </w:rPr>
              <w:t>2019-20</w:t>
            </w:r>
          </w:p>
        </w:tc>
        <w:tc>
          <w:tcPr>
            <w:tcW w:w="1376" w:type="dxa"/>
            <w:tcBorders>
              <w:top w:val="single" w:sz="12" w:space="0" w:color="1E1545"/>
              <w:left w:val="nil"/>
              <w:bottom w:val="single" w:sz="12" w:space="0" w:color="1E1545"/>
              <w:right w:val="nil"/>
            </w:tcBorders>
            <w:shd w:val="clear" w:color="000000" w:fill="1E1545"/>
            <w:vAlign w:val="center"/>
            <w:hideMark/>
          </w:tcPr>
          <w:p w14:paraId="5ACE6284" w14:textId="77777777" w:rsidR="00935A0D" w:rsidRPr="00935A0D" w:rsidRDefault="00935A0D" w:rsidP="00502DE7">
            <w:pPr>
              <w:spacing w:before="0" w:after="0" w:line="240" w:lineRule="auto"/>
              <w:jc w:val="right"/>
              <w:rPr>
                <w:rFonts w:cs="Arial"/>
                <w:b/>
                <w:color w:val="F1F2F2"/>
                <w:sz w:val="21"/>
                <w:szCs w:val="21"/>
                <w:lang w:eastAsia="en-AU"/>
              </w:rPr>
            </w:pPr>
            <w:r w:rsidRPr="00935A0D">
              <w:rPr>
                <w:rFonts w:cs="Arial"/>
                <w:b/>
                <w:color w:val="F1F2F2"/>
                <w:sz w:val="21"/>
                <w:szCs w:val="21"/>
                <w:lang w:eastAsia="en-AU"/>
              </w:rPr>
              <w:t>2020-21</w:t>
            </w:r>
          </w:p>
        </w:tc>
        <w:tc>
          <w:tcPr>
            <w:tcW w:w="1377" w:type="dxa"/>
            <w:tcBorders>
              <w:top w:val="single" w:sz="12" w:space="0" w:color="1E1545"/>
              <w:left w:val="nil"/>
              <w:bottom w:val="single" w:sz="12" w:space="0" w:color="1E1545"/>
              <w:right w:val="nil"/>
            </w:tcBorders>
            <w:shd w:val="clear" w:color="000000" w:fill="1E1545"/>
            <w:vAlign w:val="center"/>
            <w:hideMark/>
          </w:tcPr>
          <w:p w14:paraId="3AA644C9" w14:textId="77777777" w:rsidR="00935A0D" w:rsidRPr="00935A0D" w:rsidRDefault="00935A0D" w:rsidP="00502DE7">
            <w:pPr>
              <w:spacing w:before="0" w:after="0" w:line="240" w:lineRule="auto"/>
              <w:jc w:val="right"/>
              <w:rPr>
                <w:rFonts w:cs="Arial"/>
                <w:b/>
                <w:color w:val="F1F2F2"/>
                <w:sz w:val="21"/>
                <w:szCs w:val="21"/>
                <w:lang w:eastAsia="en-AU"/>
              </w:rPr>
            </w:pPr>
            <w:r w:rsidRPr="00935A0D">
              <w:rPr>
                <w:rFonts w:cs="Arial"/>
                <w:b/>
                <w:color w:val="F1F2F2"/>
                <w:sz w:val="21"/>
                <w:szCs w:val="21"/>
                <w:lang w:eastAsia="en-AU"/>
              </w:rPr>
              <w:t>2021-22</w:t>
            </w:r>
          </w:p>
        </w:tc>
        <w:tc>
          <w:tcPr>
            <w:tcW w:w="1377" w:type="dxa"/>
            <w:tcBorders>
              <w:top w:val="single" w:sz="12" w:space="0" w:color="1E1545"/>
              <w:left w:val="nil"/>
              <w:bottom w:val="single" w:sz="12" w:space="0" w:color="1E1545"/>
              <w:right w:val="nil"/>
            </w:tcBorders>
            <w:shd w:val="clear" w:color="000000" w:fill="1E1545"/>
            <w:vAlign w:val="center"/>
            <w:hideMark/>
          </w:tcPr>
          <w:p w14:paraId="17A99CE7" w14:textId="77777777" w:rsidR="00935A0D" w:rsidRPr="00935A0D" w:rsidRDefault="00935A0D" w:rsidP="00502DE7">
            <w:pPr>
              <w:spacing w:before="0" w:after="0" w:line="240" w:lineRule="auto"/>
              <w:jc w:val="right"/>
              <w:rPr>
                <w:rFonts w:cs="Arial"/>
                <w:b/>
                <w:color w:val="F1F2F2"/>
                <w:sz w:val="21"/>
                <w:szCs w:val="21"/>
                <w:lang w:eastAsia="en-AU"/>
              </w:rPr>
            </w:pPr>
            <w:r w:rsidRPr="00935A0D">
              <w:rPr>
                <w:rFonts w:cs="Arial"/>
                <w:b/>
                <w:color w:val="F1F2F2"/>
                <w:sz w:val="21"/>
                <w:szCs w:val="21"/>
                <w:lang w:eastAsia="en-AU"/>
              </w:rPr>
              <w:t>2022-23</w:t>
            </w:r>
          </w:p>
        </w:tc>
      </w:tr>
      <w:tr w:rsidR="00935A0D" w:rsidRPr="00935A0D" w14:paraId="70CAE7D8" w14:textId="77777777" w:rsidTr="00901390">
        <w:trPr>
          <w:trHeight w:val="330"/>
        </w:trPr>
        <w:tc>
          <w:tcPr>
            <w:tcW w:w="2331" w:type="dxa"/>
            <w:tcBorders>
              <w:top w:val="nil"/>
              <w:left w:val="nil"/>
              <w:bottom w:val="single" w:sz="12" w:space="0" w:color="1E1545"/>
              <w:right w:val="nil"/>
            </w:tcBorders>
            <w:shd w:val="clear" w:color="000000" w:fill="FFFFFF"/>
            <w:vAlign w:val="center"/>
            <w:hideMark/>
          </w:tcPr>
          <w:p w14:paraId="323996E6" w14:textId="77777777" w:rsidR="00935A0D" w:rsidRPr="00935A0D" w:rsidRDefault="00935A0D" w:rsidP="00935A0D">
            <w:pPr>
              <w:spacing w:before="0" w:after="0" w:line="240" w:lineRule="auto"/>
              <w:rPr>
                <w:rFonts w:cs="Arial"/>
                <w:bCs w:val="0"/>
                <w:color w:val="1E1545"/>
                <w:sz w:val="21"/>
                <w:szCs w:val="21"/>
                <w:lang w:eastAsia="en-AU"/>
              </w:rPr>
            </w:pPr>
            <w:r w:rsidRPr="00935A0D">
              <w:rPr>
                <w:rFonts w:cs="Arial"/>
                <w:bCs w:val="0"/>
                <w:color w:val="1E1545"/>
                <w:sz w:val="21"/>
                <w:szCs w:val="21"/>
                <w:lang w:eastAsia="en-AU"/>
              </w:rPr>
              <w:t>Employee</w:t>
            </w:r>
          </w:p>
        </w:tc>
        <w:tc>
          <w:tcPr>
            <w:tcW w:w="1376" w:type="dxa"/>
            <w:tcBorders>
              <w:top w:val="nil"/>
              <w:left w:val="nil"/>
              <w:bottom w:val="single" w:sz="12" w:space="0" w:color="1E1545"/>
              <w:right w:val="nil"/>
            </w:tcBorders>
            <w:shd w:val="clear" w:color="000000" w:fill="FFFFFF"/>
            <w:noWrap/>
            <w:vAlign w:val="center"/>
            <w:hideMark/>
          </w:tcPr>
          <w:p w14:paraId="665EC0B5"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$190.88 </w:t>
            </w:r>
          </w:p>
        </w:tc>
        <w:tc>
          <w:tcPr>
            <w:tcW w:w="1377" w:type="dxa"/>
            <w:tcBorders>
              <w:top w:val="nil"/>
              <w:left w:val="nil"/>
              <w:bottom w:val="single" w:sz="12" w:space="0" w:color="1E1545"/>
              <w:right w:val="nil"/>
            </w:tcBorders>
            <w:shd w:val="clear" w:color="000000" w:fill="FFFFFF"/>
            <w:noWrap/>
            <w:vAlign w:val="center"/>
            <w:hideMark/>
          </w:tcPr>
          <w:p w14:paraId="5C13C0B6"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$201.72 </w:t>
            </w:r>
          </w:p>
        </w:tc>
        <w:tc>
          <w:tcPr>
            <w:tcW w:w="1376" w:type="dxa"/>
            <w:tcBorders>
              <w:top w:val="nil"/>
              <w:left w:val="nil"/>
              <w:bottom w:val="single" w:sz="12" w:space="0" w:color="1E1545"/>
              <w:right w:val="nil"/>
            </w:tcBorders>
            <w:shd w:val="clear" w:color="000000" w:fill="FFFFFF"/>
            <w:noWrap/>
            <w:vAlign w:val="center"/>
            <w:hideMark/>
          </w:tcPr>
          <w:p w14:paraId="7CD4E19A"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$214.80 </w:t>
            </w:r>
          </w:p>
        </w:tc>
        <w:tc>
          <w:tcPr>
            <w:tcW w:w="1377" w:type="dxa"/>
            <w:tcBorders>
              <w:top w:val="nil"/>
              <w:left w:val="nil"/>
              <w:bottom w:val="single" w:sz="12" w:space="0" w:color="1E1545"/>
              <w:right w:val="nil"/>
            </w:tcBorders>
            <w:shd w:val="clear" w:color="000000" w:fill="FFFFFF"/>
            <w:noWrap/>
            <w:vAlign w:val="center"/>
            <w:hideMark/>
          </w:tcPr>
          <w:p w14:paraId="0DDFC8D5"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$231.70 </w:t>
            </w:r>
          </w:p>
        </w:tc>
        <w:tc>
          <w:tcPr>
            <w:tcW w:w="1377" w:type="dxa"/>
            <w:tcBorders>
              <w:top w:val="nil"/>
              <w:left w:val="nil"/>
              <w:bottom w:val="single" w:sz="12" w:space="0" w:color="1E1545"/>
              <w:right w:val="nil"/>
            </w:tcBorders>
            <w:shd w:val="clear" w:color="000000" w:fill="FFFFFF"/>
            <w:noWrap/>
            <w:vAlign w:val="center"/>
            <w:hideMark/>
          </w:tcPr>
          <w:p w14:paraId="5D285ED5"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$244.61 </w:t>
            </w:r>
          </w:p>
        </w:tc>
      </w:tr>
      <w:tr w:rsidR="00935A0D" w:rsidRPr="00935A0D" w14:paraId="52170842" w14:textId="77777777" w:rsidTr="00901390">
        <w:trPr>
          <w:trHeight w:val="330"/>
        </w:trPr>
        <w:tc>
          <w:tcPr>
            <w:tcW w:w="2331" w:type="dxa"/>
            <w:tcBorders>
              <w:top w:val="nil"/>
              <w:left w:val="nil"/>
              <w:bottom w:val="single" w:sz="12" w:space="0" w:color="1E1545"/>
              <w:right w:val="nil"/>
            </w:tcBorders>
            <w:shd w:val="clear" w:color="000000" w:fill="FFFFFF"/>
            <w:vAlign w:val="center"/>
            <w:hideMark/>
          </w:tcPr>
          <w:p w14:paraId="332D3AD6" w14:textId="77777777" w:rsidR="00935A0D" w:rsidRPr="00935A0D" w:rsidRDefault="00935A0D" w:rsidP="00935A0D">
            <w:pPr>
              <w:spacing w:before="0" w:after="0" w:line="240" w:lineRule="auto"/>
              <w:rPr>
                <w:rFonts w:cs="Arial"/>
                <w:bCs w:val="0"/>
                <w:color w:val="1E1545"/>
                <w:sz w:val="21"/>
                <w:szCs w:val="21"/>
                <w:lang w:eastAsia="en-AU"/>
              </w:rPr>
            </w:pPr>
            <w:r w:rsidRPr="00935A0D">
              <w:rPr>
                <w:rFonts w:cs="Arial"/>
                <w:bCs w:val="0"/>
                <w:color w:val="1E1545"/>
                <w:sz w:val="21"/>
                <w:szCs w:val="21"/>
                <w:lang w:eastAsia="en-AU"/>
              </w:rPr>
              <w:t>Depreciation</w:t>
            </w:r>
          </w:p>
        </w:tc>
        <w:tc>
          <w:tcPr>
            <w:tcW w:w="1376" w:type="dxa"/>
            <w:tcBorders>
              <w:top w:val="nil"/>
              <w:left w:val="nil"/>
              <w:bottom w:val="single" w:sz="12" w:space="0" w:color="1E1545"/>
              <w:right w:val="nil"/>
            </w:tcBorders>
            <w:shd w:val="clear" w:color="000000" w:fill="FFFFFF"/>
            <w:noWrap/>
            <w:vAlign w:val="center"/>
            <w:hideMark/>
          </w:tcPr>
          <w:p w14:paraId="6936F6D6"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$15.67 </w:t>
            </w:r>
          </w:p>
        </w:tc>
        <w:tc>
          <w:tcPr>
            <w:tcW w:w="1377" w:type="dxa"/>
            <w:tcBorders>
              <w:top w:val="nil"/>
              <w:left w:val="nil"/>
              <w:bottom w:val="single" w:sz="12" w:space="0" w:color="1E1545"/>
              <w:right w:val="nil"/>
            </w:tcBorders>
            <w:shd w:val="clear" w:color="000000" w:fill="FFFFFF"/>
            <w:noWrap/>
            <w:vAlign w:val="center"/>
            <w:hideMark/>
          </w:tcPr>
          <w:p w14:paraId="7CA85A70"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$18.31 </w:t>
            </w:r>
          </w:p>
        </w:tc>
        <w:tc>
          <w:tcPr>
            <w:tcW w:w="1376" w:type="dxa"/>
            <w:tcBorders>
              <w:top w:val="nil"/>
              <w:left w:val="nil"/>
              <w:bottom w:val="single" w:sz="12" w:space="0" w:color="1E1545"/>
              <w:right w:val="nil"/>
            </w:tcBorders>
            <w:shd w:val="clear" w:color="000000" w:fill="FFFFFF"/>
            <w:noWrap/>
            <w:vAlign w:val="center"/>
            <w:hideMark/>
          </w:tcPr>
          <w:p w14:paraId="61A26DB3"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$16.49 </w:t>
            </w:r>
          </w:p>
        </w:tc>
        <w:tc>
          <w:tcPr>
            <w:tcW w:w="1377" w:type="dxa"/>
            <w:tcBorders>
              <w:top w:val="nil"/>
              <w:left w:val="nil"/>
              <w:bottom w:val="single" w:sz="12" w:space="0" w:color="1E1545"/>
              <w:right w:val="nil"/>
            </w:tcBorders>
            <w:shd w:val="clear" w:color="000000" w:fill="FFFFFF"/>
            <w:noWrap/>
            <w:vAlign w:val="center"/>
            <w:hideMark/>
          </w:tcPr>
          <w:p w14:paraId="2F576556"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$18.13 </w:t>
            </w:r>
          </w:p>
        </w:tc>
        <w:tc>
          <w:tcPr>
            <w:tcW w:w="1377" w:type="dxa"/>
            <w:tcBorders>
              <w:top w:val="nil"/>
              <w:left w:val="nil"/>
              <w:bottom w:val="single" w:sz="12" w:space="0" w:color="1E1545"/>
              <w:right w:val="nil"/>
            </w:tcBorders>
            <w:shd w:val="clear" w:color="000000" w:fill="FFFFFF"/>
            <w:noWrap/>
            <w:vAlign w:val="center"/>
            <w:hideMark/>
          </w:tcPr>
          <w:p w14:paraId="46D77101"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$18.50 </w:t>
            </w:r>
          </w:p>
        </w:tc>
      </w:tr>
      <w:tr w:rsidR="00935A0D" w:rsidRPr="00935A0D" w14:paraId="352323A3" w14:textId="77777777" w:rsidTr="00901390">
        <w:trPr>
          <w:trHeight w:val="330"/>
        </w:trPr>
        <w:tc>
          <w:tcPr>
            <w:tcW w:w="2331" w:type="dxa"/>
            <w:tcBorders>
              <w:top w:val="nil"/>
              <w:left w:val="nil"/>
              <w:bottom w:val="single" w:sz="12" w:space="0" w:color="1E1545"/>
              <w:right w:val="nil"/>
            </w:tcBorders>
            <w:shd w:val="clear" w:color="000000" w:fill="FFFFFF"/>
            <w:vAlign w:val="center"/>
            <w:hideMark/>
          </w:tcPr>
          <w:p w14:paraId="58A49E19" w14:textId="77777777" w:rsidR="00935A0D" w:rsidRPr="00935A0D" w:rsidRDefault="00935A0D" w:rsidP="00935A0D">
            <w:pPr>
              <w:spacing w:before="0" w:after="0" w:line="240" w:lineRule="auto"/>
              <w:rPr>
                <w:rFonts w:cs="Arial"/>
                <w:bCs w:val="0"/>
                <w:color w:val="1E1545"/>
                <w:sz w:val="21"/>
                <w:szCs w:val="21"/>
                <w:lang w:eastAsia="en-AU"/>
              </w:rPr>
            </w:pPr>
            <w:r w:rsidRPr="00935A0D">
              <w:rPr>
                <w:rFonts w:cs="Arial"/>
                <w:bCs w:val="0"/>
                <w:color w:val="1E1545"/>
                <w:sz w:val="21"/>
                <w:szCs w:val="21"/>
                <w:lang w:eastAsia="en-AU"/>
              </w:rPr>
              <w:t>Financing interest</w:t>
            </w:r>
          </w:p>
        </w:tc>
        <w:tc>
          <w:tcPr>
            <w:tcW w:w="1376" w:type="dxa"/>
            <w:tcBorders>
              <w:top w:val="nil"/>
              <w:left w:val="nil"/>
              <w:bottom w:val="single" w:sz="12" w:space="0" w:color="1E1545"/>
              <w:right w:val="nil"/>
            </w:tcBorders>
            <w:shd w:val="clear" w:color="000000" w:fill="FFFFFF"/>
            <w:noWrap/>
            <w:vAlign w:val="center"/>
            <w:hideMark/>
          </w:tcPr>
          <w:p w14:paraId="3E5201EB"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$3.02 </w:t>
            </w:r>
          </w:p>
        </w:tc>
        <w:tc>
          <w:tcPr>
            <w:tcW w:w="1377" w:type="dxa"/>
            <w:tcBorders>
              <w:top w:val="nil"/>
              <w:left w:val="nil"/>
              <w:bottom w:val="single" w:sz="12" w:space="0" w:color="1E1545"/>
              <w:right w:val="nil"/>
            </w:tcBorders>
            <w:shd w:val="clear" w:color="000000" w:fill="FFFFFF"/>
            <w:noWrap/>
            <w:vAlign w:val="center"/>
            <w:hideMark/>
          </w:tcPr>
          <w:p w14:paraId="6B20703B"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$4.67 </w:t>
            </w:r>
          </w:p>
        </w:tc>
        <w:tc>
          <w:tcPr>
            <w:tcW w:w="1376" w:type="dxa"/>
            <w:tcBorders>
              <w:top w:val="nil"/>
              <w:left w:val="nil"/>
              <w:bottom w:val="single" w:sz="12" w:space="0" w:color="1E1545"/>
              <w:right w:val="nil"/>
            </w:tcBorders>
            <w:shd w:val="clear" w:color="000000" w:fill="FFFFFF"/>
            <w:noWrap/>
            <w:vAlign w:val="center"/>
            <w:hideMark/>
          </w:tcPr>
          <w:p w14:paraId="567E7BCC"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$1.40 </w:t>
            </w:r>
          </w:p>
        </w:tc>
        <w:tc>
          <w:tcPr>
            <w:tcW w:w="1377" w:type="dxa"/>
            <w:tcBorders>
              <w:top w:val="nil"/>
              <w:left w:val="nil"/>
              <w:bottom w:val="single" w:sz="12" w:space="0" w:color="1E1545"/>
              <w:right w:val="nil"/>
            </w:tcBorders>
            <w:shd w:val="clear" w:color="000000" w:fill="FFFFFF"/>
            <w:noWrap/>
            <w:vAlign w:val="center"/>
            <w:hideMark/>
          </w:tcPr>
          <w:p w14:paraId="4D601E65"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$1.30 </w:t>
            </w:r>
          </w:p>
        </w:tc>
        <w:tc>
          <w:tcPr>
            <w:tcW w:w="1377" w:type="dxa"/>
            <w:tcBorders>
              <w:top w:val="nil"/>
              <w:left w:val="nil"/>
              <w:bottom w:val="single" w:sz="12" w:space="0" w:color="1E1545"/>
              <w:right w:val="nil"/>
            </w:tcBorders>
            <w:shd w:val="clear" w:color="000000" w:fill="FFFFFF"/>
            <w:noWrap/>
            <w:vAlign w:val="center"/>
            <w:hideMark/>
          </w:tcPr>
          <w:p w14:paraId="7B7AE7FF"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$1.58 </w:t>
            </w:r>
          </w:p>
        </w:tc>
      </w:tr>
      <w:tr w:rsidR="00935A0D" w:rsidRPr="00935A0D" w14:paraId="6C504359" w14:textId="77777777" w:rsidTr="00901390">
        <w:trPr>
          <w:trHeight w:val="560"/>
        </w:trPr>
        <w:tc>
          <w:tcPr>
            <w:tcW w:w="2331" w:type="dxa"/>
            <w:tcBorders>
              <w:top w:val="nil"/>
              <w:left w:val="nil"/>
              <w:bottom w:val="single" w:sz="12" w:space="0" w:color="1E1545"/>
              <w:right w:val="nil"/>
            </w:tcBorders>
            <w:shd w:val="clear" w:color="000000" w:fill="FFFFFF"/>
            <w:vAlign w:val="center"/>
            <w:hideMark/>
          </w:tcPr>
          <w:p w14:paraId="201B03C0" w14:textId="77777777" w:rsidR="00935A0D" w:rsidRPr="00935A0D" w:rsidRDefault="00935A0D" w:rsidP="00935A0D">
            <w:pPr>
              <w:spacing w:before="0" w:after="0" w:line="240" w:lineRule="auto"/>
              <w:rPr>
                <w:rFonts w:cs="Arial"/>
                <w:bCs w:val="0"/>
                <w:color w:val="1E1545"/>
                <w:sz w:val="21"/>
                <w:szCs w:val="21"/>
                <w:lang w:eastAsia="en-AU"/>
              </w:rPr>
            </w:pPr>
            <w:r w:rsidRPr="00935A0D">
              <w:rPr>
                <w:rFonts w:cs="Arial"/>
                <w:bCs w:val="0"/>
                <w:color w:val="1E1545"/>
                <w:sz w:val="21"/>
                <w:szCs w:val="21"/>
                <w:lang w:eastAsia="en-AU"/>
              </w:rPr>
              <w:t>Revaluation of assets (decrease)/impairment</w:t>
            </w:r>
          </w:p>
        </w:tc>
        <w:tc>
          <w:tcPr>
            <w:tcW w:w="1376" w:type="dxa"/>
            <w:tcBorders>
              <w:top w:val="nil"/>
              <w:left w:val="nil"/>
              <w:bottom w:val="single" w:sz="12" w:space="0" w:color="1E1545"/>
              <w:right w:val="nil"/>
            </w:tcBorders>
            <w:shd w:val="clear" w:color="000000" w:fill="FFFFFF"/>
            <w:noWrap/>
            <w:vAlign w:val="center"/>
            <w:hideMark/>
          </w:tcPr>
          <w:p w14:paraId="476BA6EE"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 -   </w:t>
            </w:r>
          </w:p>
        </w:tc>
        <w:tc>
          <w:tcPr>
            <w:tcW w:w="1377" w:type="dxa"/>
            <w:tcBorders>
              <w:top w:val="nil"/>
              <w:left w:val="nil"/>
              <w:bottom w:val="single" w:sz="12" w:space="0" w:color="1E1545"/>
              <w:right w:val="nil"/>
            </w:tcBorders>
            <w:shd w:val="clear" w:color="000000" w:fill="FFFFFF"/>
            <w:noWrap/>
            <w:vAlign w:val="center"/>
            <w:hideMark/>
          </w:tcPr>
          <w:p w14:paraId="07EFCB8F"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$5.08 </w:t>
            </w:r>
          </w:p>
        </w:tc>
        <w:tc>
          <w:tcPr>
            <w:tcW w:w="1376" w:type="dxa"/>
            <w:tcBorders>
              <w:top w:val="nil"/>
              <w:left w:val="nil"/>
              <w:bottom w:val="single" w:sz="12" w:space="0" w:color="1E1545"/>
              <w:right w:val="nil"/>
            </w:tcBorders>
            <w:shd w:val="clear" w:color="000000" w:fill="FFFFFF"/>
            <w:noWrap/>
            <w:vAlign w:val="center"/>
            <w:hideMark/>
          </w:tcPr>
          <w:p w14:paraId="1560F149"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$5.55 </w:t>
            </w:r>
          </w:p>
        </w:tc>
        <w:tc>
          <w:tcPr>
            <w:tcW w:w="1377" w:type="dxa"/>
            <w:tcBorders>
              <w:top w:val="nil"/>
              <w:left w:val="nil"/>
              <w:bottom w:val="single" w:sz="12" w:space="0" w:color="1E1545"/>
              <w:right w:val="nil"/>
            </w:tcBorders>
            <w:shd w:val="clear" w:color="000000" w:fill="FFFFFF"/>
            <w:noWrap/>
            <w:vAlign w:val="center"/>
            <w:hideMark/>
          </w:tcPr>
          <w:p w14:paraId="43154A2C"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$2.83 </w:t>
            </w:r>
          </w:p>
        </w:tc>
        <w:tc>
          <w:tcPr>
            <w:tcW w:w="1377" w:type="dxa"/>
            <w:tcBorders>
              <w:top w:val="nil"/>
              <w:left w:val="nil"/>
              <w:bottom w:val="single" w:sz="12" w:space="0" w:color="1E1545"/>
              <w:right w:val="nil"/>
            </w:tcBorders>
            <w:shd w:val="clear" w:color="000000" w:fill="FFFFFF"/>
            <w:noWrap/>
            <w:vAlign w:val="center"/>
            <w:hideMark/>
          </w:tcPr>
          <w:p w14:paraId="22CB4CDB"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$1.73 </w:t>
            </w:r>
          </w:p>
        </w:tc>
      </w:tr>
      <w:tr w:rsidR="00935A0D" w:rsidRPr="00935A0D" w14:paraId="364008ED" w14:textId="77777777" w:rsidTr="00901390">
        <w:trPr>
          <w:trHeight w:val="330"/>
        </w:trPr>
        <w:tc>
          <w:tcPr>
            <w:tcW w:w="2331" w:type="dxa"/>
            <w:tcBorders>
              <w:top w:val="nil"/>
              <w:left w:val="nil"/>
              <w:bottom w:val="single" w:sz="12" w:space="0" w:color="1E1545"/>
              <w:right w:val="nil"/>
            </w:tcBorders>
            <w:shd w:val="clear" w:color="000000" w:fill="FFFFFF"/>
            <w:vAlign w:val="center"/>
            <w:hideMark/>
          </w:tcPr>
          <w:p w14:paraId="5E34ACB5" w14:textId="77777777" w:rsidR="00935A0D" w:rsidRPr="00935A0D" w:rsidRDefault="00935A0D" w:rsidP="00935A0D">
            <w:pPr>
              <w:spacing w:before="0" w:after="0" w:line="240" w:lineRule="auto"/>
              <w:rPr>
                <w:rFonts w:cs="Arial"/>
                <w:bCs w:val="0"/>
                <w:color w:val="1E1545"/>
                <w:sz w:val="21"/>
                <w:szCs w:val="21"/>
                <w:lang w:eastAsia="en-AU"/>
              </w:rPr>
            </w:pPr>
            <w:r w:rsidRPr="00935A0D">
              <w:rPr>
                <w:rFonts w:cs="Arial"/>
                <w:bCs w:val="0"/>
                <w:color w:val="1E1545"/>
                <w:sz w:val="21"/>
                <w:szCs w:val="21"/>
                <w:lang w:eastAsia="en-AU"/>
              </w:rPr>
              <w:t>Other</w:t>
            </w:r>
          </w:p>
        </w:tc>
        <w:tc>
          <w:tcPr>
            <w:tcW w:w="1376" w:type="dxa"/>
            <w:tcBorders>
              <w:top w:val="nil"/>
              <w:left w:val="nil"/>
              <w:bottom w:val="single" w:sz="12" w:space="0" w:color="1E1545"/>
              <w:right w:val="nil"/>
            </w:tcBorders>
            <w:shd w:val="clear" w:color="000000" w:fill="FFFFFF"/>
            <w:noWrap/>
            <w:vAlign w:val="center"/>
            <w:hideMark/>
          </w:tcPr>
          <w:p w14:paraId="25D293DE"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$70.08 </w:t>
            </w:r>
          </w:p>
        </w:tc>
        <w:tc>
          <w:tcPr>
            <w:tcW w:w="1377" w:type="dxa"/>
            <w:tcBorders>
              <w:top w:val="nil"/>
              <w:left w:val="nil"/>
              <w:bottom w:val="single" w:sz="12" w:space="0" w:color="1E1545"/>
              <w:right w:val="nil"/>
            </w:tcBorders>
            <w:shd w:val="clear" w:color="000000" w:fill="FFFFFF"/>
            <w:noWrap/>
            <w:vAlign w:val="center"/>
            <w:hideMark/>
          </w:tcPr>
          <w:p w14:paraId="1A7F65A5"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$77.50 </w:t>
            </w:r>
          </w:p>
        </w:tc>
        <w:tc>
          <w:tcPr>
            <w:tcW w:w="1376" w:type="dxa"/>
            <w:tcBorders>
              <w:top w:val="nil"/>
              <w:left w:val="nil"/>
              <w:bottom w:val="single" w:sz="12" w:space="0" w:color="1E1545"/>
              <w:right w:val="nil"/>
            </w:tcBorders>
            <w:shd w:val="clear" w:color="000000" w:fill="FFFFFF"/>
            <w:noWrap/>
            <w:vAlign w:val="center"/>
            <w:hideMark/>
          </w:tcPr>
          <w:p w14:paraId="246B350C"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$85.56 </w:t>
            </w:r>
          </w:p>
        </w:tc>
        <w:tc>
          <w:tcPr>
            <w:tcW w:w="1377" w:type="dxa"/>
            <w:tcBorders>
              <w:top w:val="nil"/>
              <w:left w:val="nil"/>
              <w:bottom w:val="single" w:sz="12" w:space="0" w:color="1E1545"/>
              <w:right w:val="nil"/>
            </w:tcBorders>
            <w:shd w:val="clear" w:color="000000" w:fill="FFFFFF"/>
            <w:noWrap/>
            <w:vAlign w:val="center"/>
            <w:hideMark/>
          </w:tcPr>
          <w:p w14:paraId="3FDED97D"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$100.48 </w:t>
            </w:r>
          </w:p>
        </w:tc>
        <w:tc>
          <w:tcPr>
            <w:tcW w:w="1377" w:type="dxa"/>
            <w:tcBorders>
              <w:top w:val="nil"/>
              <w:left w:val="nil"/>
              <w:bottom w:val="single" w:sz="12" w:space="0" w:color="1E1545"/>
              <w:right w:val="nil"/>
            </w:tcBorders>
            <w:shd w:val="clear" w:color="000000" w:fill="FFFFFF"/>
            <w:noWrap/>
            <w:vAlign w:val="center"/>
            <w:hideMark/>
          </w:tcPr>
          <w:p w14:paraId="634A58DD" w14:textId="77777777" w:rsidR="00935A0D" w:rsidRPr="00935A0D" w:rsidRDefault="00935A0D" w:rsidP="00502DE7">
            <w:pPr>
              <w:spacing w:before="0" w:after="0" w:line="240" w:lineRule="auto"/>
              <w:jc w:val="right"/>
              <w:rPr>
                <w:rFonts w:cs="Arial"/>
                <w:bCs w:val="0"/>
                <w:color w:val="1E1545"/>
                <w:sz w:val="21"/>
                <w:szCs w:val="21"/>
                <w:lang w:eastAsia="en-AU"/>
              </w:rPr>
            </w:pPr>
            <w:r w:rsidRPr="00935A0D">
              <w:rPr>
                <w:rFonts w:cs="Arial"/>
                <w:bCs w:val="0"/>
                <w:color w:val="1E1545"/>
                <w:sz w:val="21"/>
                <w:szCs w:val="21"/>
                <w:lang w:eastAsia="en-AU"/>
              </w:rPr>
              <w:t xml:space="preserve">$112.07 </w:t>
            </w:r>
          </w:p>
        </w:tc>
      </w:tr>
      <w:tr w:rsidR="00935A0D" w:rsidRPr="00935A0D" w14:paraId="48D9A5DB" w14:textId="77777777" w:rsidTr="00901390">
        <w:trPr>
          <w:trHeight w:val="330"/>
        </w:trPr>
        <w:tc>
          <w:tcPr>
            <w:tcW w:w="2331" w:type="dxa"/>
            <w:tcBorders>
              <w:top w:val="nil"/>
              <w:left w:val="nil"/>
              <w:bottom w:val="single" w:sz="12" w:space="0" w:color="1E1545"/>
              <w:right w:val="nil"/>
            </w:tcBorders>
            <w:shd w:val="clear" w:color="000000" w:fill="D8DADA"/>
            <w:vAlign w:val="center"/>
            <w:hideMark/>
          </w:tcPr>
          <w:p w14:paraId="51A3427D" w14:textId="77777777" w:rsidR="00935A0D" w:rsidRPr="00935A0D" w:rsidRDefault="00935A0D" w:rsidP="00935A0D">
            <w:pPr>
              <w:spacing w:before="0" w:after="0" w:line="240" w:lineRule="auto"/>
              <w:rPr>
                <w:rFonts w:cs="Arial"/>
                <w:b/>
                <w:color w:val="1E1545"/>
                <w:sz w:val="21"/>
                <w:szCs w:val="21"/>
                <w:lang w:eastAsia="en-AU"/>
              </w:rPr>
            </w:pPr>
            <w:r w:rsidRPr="00935A0D">
              <w:rPr>
                <w:rFonts w:cs="Arial"/>
                <w:b/>
                <w:color w:val="1E1545"/>
                <w:sz w:val="21"/>
                <w:szCs w:val="21"/>
                <w:lang w:eastAsia="en-AU"/>
              </w:rPr>
              <w:t>Total expenses</w:t>
            </w:r>
          </w:p>
        </w:tc>
        <w:tc>
          <w:tcPr>
            <w:tcW w:w="1376" w:type="dxa"/>
            <w:tcBorders>
              <w:top w:val="nil"/>
              <w:left w:val="nil"/>
              <w:bottom w:val="single" w:sz="12" w:space="0" w:color="1E1545"/>
              <w:right w:val="nil"/>
            </w:tcBorders>
            <w:shd w:val="clear" w:color="000000" w:fill="D8DADA"/>
            <w:noWrap/>
            <w:vAlign w:val="center"/>
            <w:hideMark/>
          </w:tcPr>
          <w:p w14:paraId="7F3A9FCE" w14:textId="77777777" w:rsidR="00935A0D" w:rsidRPr="00935A0D" w:rsidRDefault="00935A0D" w:rsidP="00502DE7">
            <w:pPr>
              <w:spacing w:before="0" w:after="0" w:line="240" w:lineRule="auto"/>
              <w:jc w:val="right"/>
              <w:rPr>
                <w:rFonts w:cs="Arial"/>
                <w:b/>
                <w:color w:val="1E1545"/>
                <w:sz w:val="21"/>
                <w:szCs w:val="21"/>
                <w:lang w:eastAsia="en-AU"/>
              </w:rPr>
            </w:pPr>
            <w:r w:rsidRPr="00935A0D">
              <w:rPr>
                <w:rFonts w:cs="Arial"/>
                <w:b/>
                <w:color w:val="1E1545"/>
                <w:sz w:val="21"/>
                <w:szCs w:val="21"/>
                <w:lang w:eastAsia="en-AU"/>
              </w:rPr>
              <w:t xml:space="preserve">$279.65 </w:t>
            </w:r>
          </w:p>
        </w:tc>
        <w:tc>
          <w:tcPr>
            <w:tcW w:w="1377" w:type="dxa"/>
            <w:tcBorders>
              <w:top w:val="nil"/>
              <w:left w:val="nil"/>
              <w:bottom w:val="single" w:sz="12" w:space="0" w:color="1E1545"/>
              <w:right w:val="nil"/>
            </w:tcBorders>
            <w:shd w:val="clear" w:color="000000" w:fill="D8DADA"/>
            <w:noWrap/>
            <w:vAlign w:val="center"/>
            <w:hideMark/>
          </w:tcPr>
          <w:p w14:paraId="07119F58" w14:textId="77777777" w:rsidR="00935A0D" w:rsidRPr="00935A0D" w:rsidRDefault="00935A0D" w:rsidP="00502DE7">
            <w:pPr>
              <w:spacing w:before="0" w:after="0" w:line="240" w:lineRule="auto"/>
              <w:jc w:val="right"/>
              <w:rPr>
                <w:rFonts w:cs="Arial"/>
                <w:b/>
                <w:color w:val="1E1545"/>
                <w:sz w:val="21"/>
                <w:szCs w:val="21"/>
                <w:lang w:eastAsia="en-AU"/>
              </w:rPr>
            </w:pPr>
            <w:r w:rsidRPr="00935A0D">
              <w:rPr>
                <w:rFonts w:cs="Arial"/>
                <w:b/>
                <w:color w:val="1E1545"/>
                <w:sz w:val="21"/>
                <w:szCs w:val="21"/>
                <w:lang w:eastAsia="en-AU"/>
              </w:rPr>
              <w:t xml:space="preserve">$307.27 </w:t>
            </w:r>
          </w:p>
        </w:tc>
        <w:tc>
          <w:tcPr>
            <w:tcW w:w="1376" w:type="dxa"/>
            <w:tcBorders>
              <w:top w:val="nil"/>
              <w:left w:val="nil"/>
              <w:bottom w:val="single" w:sz="12" w:space="0" w:color="1E1545"/>
              <w:right w:val="nil"/>
            </w:tcBorders>
            <w:shd w:val="clear" w:color="000000" w:fill="D8DADA"/>
            <w:noWrap/>
            <w:vAlign w:val="center"/>
            <w:hideMark/>
          </w:tcPr>
          <w:p w14:paraId="4A1AB009" w14:textId="77777777" w:rsidR="00935A0D" w:rsidRPr="00935A0D" w:rsidRDefault="00935A0D" w:rsidP="00502DE7">
            <w:pPr>
              <w:spacing w:before="0" w:after="0" w:line="240" w:lineRule="auto"/>
              <w:jc w:val="right"/>
              <w:rPr>
                <w:rFonts w:cs="Arial"/>
                <w:b/>
                <w:color w:val="1E1545"/>
                <w:sz w:val="21"/>
                <w:szCs w:val="21"/>
                <w:lang w:eastAsia="en-AU"/>
              </w:rPr>
            </w:pPr>
            <w:r w:rsidRPr="00935A0D">
              <w:rPr>
                <w:rFonts w:cs="Arial"/>
                <w:b/>
                <w:color w:val="1E1545"/>
                <w:sz w:val="21"/>
                <w:szCs w:val="21"/>
                <w:lang w:eastAsia="en-AU"/>
              </w:rPr>
              <w:t xml:space="preserve">$323.81 </w:t>
            </w:r>
          </w:p>
        </w:tc>
        <w:tc>
          <w:tcPr>
            <w:tcW w:w="1377" w:type="dxa"/>
            <w:tcBorders>
              <w:top w:val="nil"/>
              <w:left w:val="nil"/>
              <w:bottom w:val="single" w:sz="12" w:space="0" w:color="1E1545"/>
              <w:right w:val="nil"/>
            </w:tcBorders>
            <w:shd w:val="clear" w:color="000000" w:fill="D8DADA"/>
            <w:noWrap/>
            <w:vAlign w:val="center"/>
            <w:hideMark/>
          </w:tcPr>
          <w:p w14:paraId="7CE02487" w14:textId="77777777" w:rsidR="00935A0D" w:rsidRPr="00935A0D" w:rsidRDefault="00935A0D" w:rsidP="00502DE7">
            <w:pPr>
              <w:spacing w:before="0" w:after="0" w:line="240" w:lineRule="auto"/>
              <w:jc w:val="right"/>
              <w:rPr>
                <w:rFonts w:cs="Arial"/>
                <w:b/>
                <w:color w:val="1E1545"/>
                <w:sz w:val="21"/>
                <w:szCs w:val="21"/>
                <w:lang w:eastAsia="en-AU"/>
              </w:rPr>
            </w:pPr>
            <w:r w:rsidRPr="00935A0D">
              <w:rPr>
                <w:rFonts w:cs="Arial"/>
                <w:b/>
                <w:color w:val="1E1545"/>
                <w:sz w:val="21"/>
                <w:szCs w:val="21"/>
                <w:lang w:eastAsia="en-AU"/>
              </w:rPr>
              <w:t xml:space="preserve">$354.44 </w:t>
            </w:r>
          </w:p>
        </w:tc>
        <w:tc>
          <w:tcPr>
            <w:tcW w:w="1377" w:type="dxa"/>
            <w:tcBorders>
              <w:top w:val="nil"/>
              <w:left w:val="nil"/>
              <w:bottom w:val="single" w:sz="12" w:space="0" w:color="1E1545"/>
              <w:right w:val="nil"/>
            </w:tcBorders>
            <w:shd w:val="clear" w:color="000000" w:fill="D8DADA"/>
            <w:noWrap/>
            <w:vAlign w:val="center"/>
            <w:hideMark/>
          </w:tcPr>
          <w:p w14:paraId="3DE65863" w14:textId="77777777" w:rsidR="00935A0D" w:rsidRPr="00935A0D" w:rsidRDefault="00935A0D" w:rsidP="00502DE7">
            <w:pPr>
              <w:spacing w:before="0" w:after="0" w:line="240" w:lineRule="auto"/>
              <w:jc w:val="right"/>
              <w:rPr>
                <w:rFonts w:cs="Arial"/>
                <w:b/>
                <w:color w:val="1E1545"/>
                <w:sz w:val="21"/>
                <w:szCs w:val="21"/>
                <w:lang w:eastAsia="en-AU"/>
              </w:rPr>
            </w:pPr>
            <w:r w:rsidRPr="00935A0D">
              <w:rPr>
                <w:rFonts w:cs="Arial"/>
                <w:b/>
                <w:color w:val="1E1545"/>
                <w:sz w:val="21"/>
                <w:szCs w:val="21"/>
                <w:lang w:eastAsia="en-AU"/>
              </w:rPr>
              <w:t xml:space="preserve">$378.48 </w:t>
            </w:r>
          </w:p>
        </w:tc>
      </w:tr>
    </w:tbl>
    <w:p w14:paraId="412B391B" w14:textId="3D1CF59E" w:rsidR="00A42606" w:rsidRPr="00462741" w:rsidRDefault="005C1379" w:rsidP="00A42606">
      <w:r>
        <w:fldChar w:fldCharType="begin"/>
      </w:r>
      <w:r>
        <w:instrText xml:space="preserve"> REF _Ref162512724 \h </w:instrText>
      </w:r>
      <w:r>
        <w:fldChar w:fldCharType="separate"/>
      </w:r>
      <w:r w:rsidR="001377BE">
        <w:t xml:space="preserve">Table </w:t>
      </w:r>
      <w:r w:rsidR="001377BE">
        <w:rPr>
          <w:noProof/>
        </w:rPr>
        <w:t>3</w:t>
      </w:r>
      <w:r w:rsidR="001377BE">
        <w:t>.</w:t>
      </w:r>
      <w:r w:rsidR="001377BE">
        <w:rPr>
          <w:noProof/>
        </w:rPr>
        <w:t>11</w:t>
      </w:r>
      <w:r>
        <w:fldChar w:fldCharType="end"/>
      </w:r>
      <w:r>
        <w:t xml:space="preserve"> </w:t>
      </w:r>
      <w:r w:rsidR="00A42606" w:rsidRPr="00462741">
        <w:t>shows provider expenditure in 2022</w:t>
      </w:r>
      <w:r w:rsidR="0058166E">
        <w:t>-23</w:t>
      </w:r>
      <w:r w:rsidR="00A42606" w:rsidRPr="00462741">
        <w:t xml:space="preserve">, compared with the previous two years. </w:t>
      </w:r>
    </w:p>
    <w:p w14:paraId="323A8E96" w14:textId="4A509641" w:rsidR="00A42606" w:rsidRPr="00462741" w:rsidRDefault="00A42606" w:rsidP="00A42606">
      <w:r w:rsidRPr="00462741">
        <w:rPr>
          <w:spacing w:val="-4"/>
        </w:rPr>
        <w:t>Care expenditure relates to the direct costs incurred</w:t>
      </w:r>
      <w:r w:rsidRPr="00462741">
        <w:t xml:space="preserve"> </w:t>
      </w:r>
      <w:r w:rsidRPr="00462741">
        <w:rPr>
          <w:spacing w:val="-4"/>
        </w:rPr>
        <w:t>in providing care for residents within residential care</w:t>
      </w:r>
      <w:r w:rsidRPr="00462741">
        <w:t xml:space="preserve"> facilities. Care related employee expenses </w:t>
      </w:r>
      <w:r w:rsidR="0086257D">
        <w:t>were</w:t>
      </w:r>
      <w:r w:rsidR="0086257D" w:rsidRPr="00462741">
        <w:t xml:space="preserve"> </w:t>
      </w:r>
      <w:r w:rsidR="007B7FBA">
        <w:t>43</w:t>
      </w:r>
      <w:r w:rsidR="0058166E">
        <w:t>%</w:t>
      </w:r>
      <w:r w:rsidRPr="00462741">
        <w:rPr>
          <w:spacing w:val="-2"/>
        </w:rPr>
        <w:t xml:space="preserve"> </w:t>
      </w:r>
      <w:r w:rsidRPr="00462741">
        <w:t>of</w:t>
      </w:r>
      <w:r w:rsidRPr="00462741">
        <w:rPr>
          <w:spacing w:val="-2"/>
        </w:rPr>
        <w:t xml:space="preserve"> </w:t>
      </w:r>
      <w:r w:rsidRPr="00462741">
        <w:t>total</w:t>
      </w:r>
      <w:r w:rsidRPr="00462741">
        <w:rPr>
          <w:spacing w:val="-2"/>
        </w:rPr>
        <w:t xml:space="preserve"> </w:t>
      </w:r>
      <w:r w:rsidRPr="00462741">
        <w:t>expenditure,</w:t>
      </w:r>
      <w:r w:rsidRPr="00462741">
        <w:rPr>
          <w:spacing w:val="-2"/>
        </w:rPr>
        <w:t xml:space="preserve"> </w:t>
      </w:r>
      <w:r w:rsidRPr="00462741">
        <w:t>making</w:t>
      </w:r>
      <w:r w:rsidRPr="00462741">
        <w:rPr>
          <w:spacing w:val="-2"/>
        </w:rPr>
        <w:t xml:space="preserve"> </w:t>
      </w:r>
      <w:r w:rsidRPr="00462741">
        <w:t>it</w:t>
      </w:r>
      <w:r w:rsidRPr="00462741">
        <w:rPr>
          <w:spacing w:val="-2"/>
        </w:rPr>
        <w:t xml:space="preserve"> </w:t>
      </w:r>
      <w:r w:rsidRPr="00462741">
        <w:t>the</w:t>
      </w:r>
      <w:r w:rsidRPr="00462741">
        <w:rPr>
          <w:spacing w:val="-2"/>
        </w:rPr>
        <w:t xml:space="preserve"> </w:t>
      </w:r>
      <w:r w:rsidRPr="00462741">
        <w:t xml:space="preserve">largest </w:t>
      </w:r>
      <w:r w:rsidRPr="00462741">
        <w:rPr>
          <w:spacing w:val="-2"/>
        </w:rPr>
        <w:t>single</w:t>
      </w:r>
      <w:r w:rsidRPr="00462741">
        <w:rPr>
          <w:spacing w:val="-9"/>
        </w:rPr>
        <w:t xml:space="preserve"> </w:t>
      </w:r>
      <w:r w:rsidRPr="00462741">
        <w:rPr>
          <w:spacing w:val="-2"/>
        </w:rPr>
        <w:t>expense</w:t>
      </w:r>
      <w:r w:rsidRPr="00462741">
        <w:rPr>
          <w:spacing w:val="-9"/>
        </w:rPr>
        <w:t xml:space="preserve"> </w:t>
      </w:r>
      <w:r w:rsidRPr="00462741">
        <w:rPr>
          <w:spacing w:val="-2"/>
        </w:rPr>
        <w:t>for</w:t>
      </w:r>
      <w:r w:rsidRPr="00462741">
        <w:rPr>
          <w:spacing w:val="-9"/>
        </w:rPr>
        <w:t xml:space="preserve"> </w:t>
      </w:r>
      <w:r w:rsidRPr="00462741">
        <w:rPr>
          <w:spacing w:val="-2"/>
        </w:rPr>
        <w:t>providers.</w:t>
      </w:r>
      <w:r w:rsidRPr="00462741">
        <w:rPr>
          <w:spacing w:val="-9"/>
        </w:rPr>
        <w:t xml:space="preserve"> </w:t>
      </w:r>
      <w:r w:rsidRPr="00462741">
        <w:rPr>
          <w:spacing w:val="-2"/>
        </w:rPr>
        <w:t>This</w:t>
      </w:r>
      <w:r w:rsidRPr="00462741">
        <w:rPr>
          <w:spacing w:val="-9"/>
        </w:rPr>
        <w:t xml:space="preserve"> </w:t>
      </w:r>
      <w:r w:rsidRPr="00462741">
        <w:rPr>
          <w:spacing w:val="-2"/>
        </w:rPr>
        <w:t>proportion</w:t>
      </w:r>
      <w:r w:rsidRPr="00462741">
        <w:rPr>
          <w:spacing w:val="-9"/>
        </w:rPr>
        <w:t xml:space="preserve"> </w:t>
      </w:r>
      <w:r w:rsidRPr="00462741">
        <w:rPr>
          <w:spacing w:val="-2"/>
        </w:rPr>
        <w:t>is</w:t>
      </w:r>
      <w:r w:rsidRPr="00462741">
        <w:rPr>
          <w:spacing w:val="-9"/>
        </w:rPr>
        <w:t xml:space="preserve"> </w:t>
      </w:r>
      <w:r w:rsidRPr="00462741">
        <w:rPr>
          <w:spacing w:val="-2"/>
        </w:rPr>
        <w:t>consistent with</w:t>
      </w:r>
      <w:r w:rsidRPr="00462741">
        <w:rPr>
          <w:spacing w:val="-9"/>
        </w:rPr>
        <w:t xml:space="preserve"> </w:t>
      </w:r>
      <w:r w:rsidRPr="00462741">
        <w:rPr>
          <w:spacing w:val="-2"/>
        </w:rPr>
        <w:t>recent</w:t>
      </w:r>
      <w:r w:rsidRPr="00462741">
        <w:rPr>
          <w:spacing w:val="-9"/>
        </w:rPr>
        <w:t xml:space="preserve"> </w:t>
      </w:r>
      <w:r w:rsidRPr="00462741">
        <w:rPr>
          <w:spacing w:val="-2"/>
        </w:rPr>
        <w:t>years.</w:t>
      </w:r>
      <w:r w:rsidRPr="00462741">
        <w:rPr>
          <w:spacing w:val="-9"/>
        </w:rPr>
        <w:t xml:space="preserve"> </w:t>
      </w:r>
      <w:r w:rsidRPr="00462741">
        <w:rPr>
          <w:spacing w:val="-2"/>
        </w:rPr>
        <w:t>Employee</w:t>
      </w:r>
      <w:r w:rsidRPr="00462741">
        <w:rPr>
          <w:spacing w:val="-9"/>
        </w:rPr>
        <w:t xml:space="preserve"> </w:t>
      </w:r>
      <w:r w:rsidRPr="00462741">
        <w:rPr>
          <w:spacing w:val="-2"/>
        </w:rPr>
        <w:t>expenses</w:t>
      </w:r>
      <w:r w:rsidRPr="00462741">
        <w:rPr>
          <w:spacing w:val="-9"/>
        </w:rPr>
        <w:t xml:space="preserve"> </w:t>
      </w:r>
      <w:r w:rsidRPr="00462741">
        <w:rPr>
          <w:spacing w:val="-2"/>
        </w:rPr>
        <w:t>include</w:t>
      </w:r>
      <w:r w:rsidRPr="00462741">
        <w:rPr>
          <w:spacing w:val="-9"/>
        </w:rPr>
        <w:t xml:space="preserve"> </w:t>
      </w:r>
      <w:r w:rsidRPr="00462741">
        <w:rPr>
          <w:spacing w:val="-2"/>
        </w:rPr>
        <w:t xml:space="preserve">payments </w:t>
      </w:r>
      <w:r w:rsidRPr="00462741">
        <w:t>made</w:t>
      </w:r>
      <w:r w:rsidRPr="00462741">
        <w:rPr>
          <w:spacing w:val="-2"/>
        </w:rPr>
        <w:t xml:space="preserve"> </w:t>
      </w:r>
      <w:r w:rsidRPr="00462741">
        <w:t>to</w:t>
      </w:r>
      <w:r w:rsidRPr="00462741">
        <w:rPr>
          <w:spacing w:val="-2"/>
        </w:rPr>
        <w:t xml:space="preserve"> n</w:t>
      </w:r>
      <w:r w:rsidRPr="00462741">
        <w:t>urses,</w:t>
      </w:r>
      <w:r w:rsidRPr="00462741">
        <w:rPr>
          <w:spacing w:val="-2"/>
        </w:rPr>
        <w:t xml:space="preserve"> </w:t>
      </w:r>
      <w:r w:rsidRPr="00462741">
        <w:t>therapists,</w:t>
      </w:r>
      <w:r w:rsidRPr="00462741">
        <w:rPr>
          <w:spacing w:val="-2"/>
        </w:rPr>
        <w:t xml:space="preserve"> </w:t>
      </w:r>
      <w:r w:rsidRPr="00462741">
        <w:t>nutritionists,</w:t>
      </w:r>
      <w:r w:rsidRPr="00462741">
        <w:rPr>
          <w:spacing w:val="-2"/>
        </w:rPr>
        <w:t xml:space="preserve"> </w:t>
      </w:r>
      <w:r w:rsidRPr="00462741">
        <w:t>care managers, health assistants and support staff.</w:t>
      </w:r>
    </w:p>
    <w:p w14:paraId="0B7CD8CD" w14:textId="77777777" w:rsidR="00A42606" w:rsidRPr="00462741" w:rsidRDefault="00A42606" w:rsidP="00A42606">
      <w:r w:rsidRPr="00462741">
        <w:t>Other care expenses include items such as resident medication,</w:t>
      </w:r>
      <w:r w:rsidRPr="00462741">
        <w:rPr>
          <w:spacing w:val="-11"/>
        </w:rPr>
        <w:t xml:space="preserve"> </w:t>
      </w:r>
      <w:r w:rsidRPr="00462741">
        <w:t>oxygen</w:t>
      </w:r>
      <w:r w:rsidRPr="00462741">
        <w:rPr>
          <w:spacing w:val="-11"/>
        </w:rPr>
        <w:t xml:space="preserve"> </w:t>
      </w:r>
      <w:r w:rsidRPr="00462741">
        <w:t>and</w:t>
      </w:r>
      <w:r w:rsidRPr="00462741">
        <w:rPr>
          <w:spacing w:val="-11"/>
        </w:rPr>
        <w:t xml:space="preserve"> </w:t>
      </w:r>
      <w:r w:rsidRPr="00462741">
        <w:t>related</w:t>
      </w:r>
      <w:r w:rsidRPr="00462741">
        <w:rPr>
          <w:spacing w:val="-11"/>
        </w:rPr>
        <w:t xml:space="preserve"> </w:t>
      </w:r>
      <w:r w:rsidRPr="00462741">
        <w:t>equipment,</w:t>
      </w:r>
      <w:r w:rsidRPr="00462741">
        <w:rPr>
          <w:spacing w:val="-11"/>
        </w:rPr>
        <w:t xml:space="preserve"> </w:t>
      </w:r>
      <w:r w:rsidRPr="00462741">
        <w:t>treatments and procedures, incontinence aids, items that assist mobility, recreation and social activities, rehabilitation support, personal grooming and specific cultural and social events.</w:t>
      </w:r>
    </w:p>
    <w:p w14:paraId="4F95EED0" w14:textId="0E11963F" w:rsidR="00A42606" w:rsidRPr="00462741" w:rsidRDefault="00A42606" w:rsidP="00A42606">
      <w:r w:rsidRPr="00462741">
        <w:t>Accommodation and finance expenditure, which represents 1</w:t>
      </w:r>
      <w:r w:rsidR="00E41E38">
        <w:t>5%</w:t>
      </w:r>
      <w:r w:rsidRPr="00462741">
        <w:rPr>
          <w:spacing w:val="-4"/>
        </w:rPr>
        <w:t xml:space="preserve"> </w:t>
      </w:r>
      <w:r w:rsidRPr="00462741">
        <w:t>of</w:t>
      </w:r>
      <w:r w:rsidRPr="00462741">
        <w:rPr>
          <w:spacing w:val="-4"/>
        </w:rPr>
        <w:t xml:space="preserve"> </w:t>
      </w:r>
      <w:r w:rsidRPr="00462741">
        <w:t>total</w:t>
      </w:r>
      <w:r w:rsidRPr="00462741">
        <w:rPr>
          <w:spacing w:val="-4"/>
        </w:rPr>
        <w:t xml:space="preserve"> </w:t>
      </w:r>
      <w:r w:rsidRPr="00462741">
        <w:t>expenses,</w:t>
      </w:r>
      <w:r w:rsidRPr="00462741">
        <w:rPr>
          <w:spacing w:val="-4"/>
        </w:rPr>
        <w:t xml:space="preserve"> </w:t>
      </w:r>
      <w:r w:rsidRPr="00462741">
        <w:t>relates</w:t>
      </w:r>
      <w:r w:rsidRPr="00462741">
        <w:rPr>
          <w:spacing w:val="-4"/>
        </w:rPr>
        <w:t xml:space="preserve"> </w:t>
      </w:r>
      <w:r w:rsidRPr="00462741">
        <w:t>to</w:t>
      </w:r>
      <w:r w:rsidRPr="00462741">
        <w:rPr>
          <w:spacing w:val="-3"/>
        </w:rPr>
        <w:t xml:space="preserve"> </w:t>
      </w:r>
      <w:r w:rsidRPr="00462741">
        <w:rPr>
          <w:spacing w:val="-2"/>
        </w:rPr>
        <w:t>costs</w:t>
      </w:r>
      <w:r w:rsidRPr="00462741">
        <w:t xml:space="preserve"> incurred</w:t>
      </w:r>
      <w:r w:rsidRPr="00462741">
        <w:rPr>
          <w:spacing w:val="-11"/>
        </w:rPr>
        <w:t xml:space="preserve"> </w:t>
      </w:r>
      <w:r w:rsidRPr="00462741">
        <w:t>in</w:t>
      </w:r>
      <w:r w:rsidRPr="00462741">
        <w:rPr>
          <w:spacing w:val="-11"/>
        </w:rPr>
        <w:t xml:space="preserve"> </w:t>
      </w:r>
      <w:r w:rsidRPr="00462741">
        <w:t>providing</w:t>
      </w:r>
      <w:r w:rsidRPr="00462741">
        <w:rPr>
          <w:spacing w:val="-11"/>
        </w:rPr>
        <w:t xml:space="preserve"> </w:t>
      </w:r>
      <w:r w:rsidRPr="00462741">
        <w:t>accommodation</w:t>
      </w:r>
      <w:r w:rsidRPr="00462741">
        <w:rPr>
          <w:spacing w:val="-11"/>
        </w:rPr>
        <w:t xml:space="preserve"> </w:t>
      </w:r>
      <w:r w:rsidRPr="00462741">
        <w:t>to</w:t>
      </w:r>
      <w:r w:rsidRPr="00462741">
        <w:rPr>
          <w:spacing w:val="-11"/>
        </w:rPr>
        <w:t xml:space="preserve"> </w:t>
      </w:r>
      <w:r w:rsidRPr="00462741">
        <w:t>residents.</w:t>
      </w:r>
      <w:r w:rsidRPr="00462741">
        <w:rPr>
          <w:spacing w:val="-11"/>
        </w:rPr>
        <w:t xml:space="preserve"> </w:t>
      </w:r>
      <w:r w:rsidRPr="00462741">
        <w:t>This includes accommodation, employee expenses, repairs and maintenance, and rent.</w:t>
      </w:r>
    </w:p>
    <w:p w14:paraId="45F78032" w14:textId="55443D62" w:rsidR="00A42606" w:rsidRDefault="00A42606" w:rsidP="00A42606">
      <w:r w:rsidRPr="00462741">
        <w:t>Hotel</w:t>
      </w:r>
      <w:r w:rsidRPr="00462741">
        <w:rPr>
          <w:spacing w:val="-11"/>
        </w:rPr>
        <w:t xml:space="preserve"> </w:t>
      </w:r>
      <w:r w:rsidRPr="00462741">
        <w:t>expenditure</w:t>
      </w:r>
      <w:r w:rsidRPr="00462741">
        <w:rPr>
          <w:spacing w:val="-11"/>
        </w:rPr>
        <w:t xml:space="preserve"> </w:t>
      </w:r>
      <w:r w:rsidRPr="00462741">
        <w:t>(which</w:t>
      </w:r>
      <w:r w:rsidRPr="00462741">
        <w:rPr>
          <w:spacing w:val="-11"/>
        </w:rPr>
        <w:t xml:space="preserve"> </w:t>
      </w:r>
      <w:r w:rsidRPr="00462741">
        <w:t>represents</w:t>
      </w:r>
      <w:r w:rsidRPr="00462741">
        <w:rPr>
          <w:spacing w:val="-11"/>
        </w:rPr>
        <w:t xml:space="preserve"> </w:t>
      </w:r>
      <w:r w:rsidR="00161150">
        <w:t>16%</w:t>
      </w:r>
      <w:r w:rsidRPr="00462741">
        <w:rPr>
          <w:spacing w:val="-11"/>
        </w:rPr>
        <w:t xml:space="preserve"> </w:t>
      </w:r>
      <w:r w:rsidRPr="00462741">
        <w:t>of</w:t>
      </w:r>
      <w:r w:rsidRPr="00462741">
        <w:rPr>
          <w:spacing w:val="-11"/>
        </w:rPr>
        <w:t xml:space="preserve"> </w:t>
      </w:r>
      <w:r w:rsidRPr="00462741">
        <w:t>total expenses) relates to the costs incurred in the provision of everyday living services to residents, including employees and contracted services.</w:t>
      </w:r>
    </w:p>
    <w:p w14:paraId="18AC982E" w14:textId="107102B2" w:rsidR="00AA58CD" w:rsidRPr="00462741" w:rsidRDefault="00AA58CD" w:rsidP="00A42606">
      <w:r>
        <w:t xml:space="preserve">Total </w:t>
      </w:r>
      <w:r w:rsidR="00416692">
        <w:t>COVID</w:t>
      </w:r>
      <w:r>
        <w:t xml:space="preserve">-19 expenses reduced in 2022-23 by $284.5 million in comparison to 2021-22. </w:t>
      </w:r>
    </w:p>
    <w:p w14:paraId="42FDE7D0" w14:textId="297C8B42" w:rsidR="00A42606" w:rsidRPr="00462741" w:rsidRDefault="00A42606" w:rsidP="00A42606">
      <w:r w:rsidRPr="00462741">
        <w:t>Contracted services are payments made to external providers or internal divisions for the provision of catering, cleaning or laundry. Other expenses consist of</w:t>
      </w:r>
      <w:r w:rsidRPr="00462741">
        <w:rPr>
          <w:spacing w:val="-4"/>
        </w:rPr>
        <w:t xml:space="preserve"> </w:t>
      </w:r>
      <w:r w:rsidRPr="00462741">
        <w:t>expenses</w:t>
      </w:r>
      <w:r w:rsidR="00294D1C">
        <w:t xml:space="preserve"> </w:t>
      </w:r>
      <w:r w:rsidRPr="00462741">
        <w:t>such</w:t>
      </w:r>
      <w:r w:rsidRPr="00462741">
        <w:rPr>
          <w:spacing w:val="-4"/>
        </w:rPr>
        <w:t xml:space="preserve"> </w:t>
      </w:r>
      <w:r w:rsidRPr="00462741">
        <w:t>as</w:t>
      </w:r>
      <w:r w:rsidRPr="00462741">
        <w:rPr>
          <w:spacing w:val="-4"/>
        </w:rPr>
        <w:t xml:space="preserve"> </w:t>
      </w:r>
      <w:r w:rsidRPr="00462741">
        <w:t>meals,</w:t>
      </w:r>
      <w:r w:rsidRPr="00462741">
        <w:rPr>
          <w:spacing w:val="-4"/>
        </w:rPr>
        <w:t xml:space="preserve"> </w:t>
      </w:r>
      <w:r w:rsidRPr="00462741">
        <w:t>refreshments,</w:t>
      </w:r>
      <w:r w:rsidRPr="00462741">
        <w:rPr>
          <w:spacing w:val="-4"/>
        </w:rPr>
        <w:t xml:space="preserve"> </w:t>
      </w:r>
      <w:r w:rsidRPr="00462741">
        <w:t>other</w:t>
      </w:r>
      <w:r w:rsidRPr="00462741">
        <w:rPr>
          <w:spacing w:val="-4"/>
        </w:rPr>
        <w:t xml:space="preserve"> </w:t>
      </w:r>
      <w:r w:rsidRPr="00462741">
        <w:t>food consumables,</w:t>
      </w:r>
      <w:r w:rsidRPr="00462741">
        <w:rPr>
          <w:spacing w:val="-11"/>
        </w:rPr>
        <w:t xml:space="preserve"> </w:t>
      </w:r>
      <w:r w:rsidRPr="00462741">
        <w:t>bedding</w:t>
      </w:r>
      <w:r w:rsidRPr="00462741">
        <w:rPr>
          <w:spacing w:val="-11"/>
        </w:rPr>
        <w:t xml:space="preserve"> </w:t>
      </w:r>
      <w:r w:rsidRPr="00462741">
        <w:t>materials,</w:t>
      </w:r>
      <w:r w:rsidRPr="00462741">
        <w:rPr>
          <w:spacing w:val="-11"/>
        </w:rPr>
        <w:t xml:space="preserve"> </w:t>
      </w:r>
      <w:r w:rsidRPr="00462741">
        <w:t>toiletry</w:t>
      </w:r>
      <w:r w:rsidRPr="00462741">
        <w:rPr>
          <w:spacing w:val="-11"/>
        </w:rPr>
        <w:t xml:space="preserve"> </w:t>
      </w:r>
      <w:r w:rsidRPr="00462741">
        <w:t>and</w:t>
      </w:r>
      <w:r w:rsidRPr="00462741">
        <w:rPr>
          <w:spacing w:val="-11"/>
        </w:rPr>
        <w:t xml:space="preserve"> </w:t>
      </w:r>
      <w:r w:rsidRPr="00462741">
        <w:t>sanitary goods, cleaning and laundry items.</w:t>
      </w:r>
    </w:p>
    <w:p w14:paraId="21B2F4C0" w14:textId="77777777" w:rsidR="00A42606" w:rsidRPr="00F43115" w:rsidRDefault="00A42606" w:rsidP="00A42606">
      <w:r w:rsidRPr="00462741">
        <w:t>For</w:t>
      </w:r>
      <w:r w:rsidRPr="00462741">
        <w:rPr>
          <w:spacing w:val="-1"/>
        </w:rPr>
        <w:t xml:space="preserve"> </w:t>
      </w:r>
      <w:r w:rsidRPr="00462741">
        <w:t>leased</w:t>
      </w:r>
      <w:r w:rsidRPr="00462741">
        <w:rPr>
          <w:spacing w:val="-1"/>
        </w:rPr>
        <w:t xml:space="preserve"> </w:t>
      </w:r>
      <w:r w:rsidRPr="00462741">
        <w:t>assets</w:t>
      </w:r>
      <w:r w:rsidRPr="00462741">
        <w:rPr>
          <w:spacing w:val="-1"/>
        </w:rPr>
        <w:t xml:space="preserve"> </w:t>
      </w:r>
      <w:r w:rsidRPr="00462741">
        <w:t>reported</w:t>
      </w:r>
      <w:r w:rsidRPr="00462741">
        <w:rPr>
          <w:spacing w:val="-1"/>
        </w:rPr>
        <w:t xml:space="preserve"> </w:t>
      </w:r>
      <w:r w:rsidRPr="00462741">
        <w:t>in</w:t>
      </w:r>
      <w:r w:rsidRPr="00462741">
        <w:rPr>
          <w:spacing w:val="-1"/>
        </w:rPr>
        <w:t xml:space="preserve"> </w:t>
      </w:r>
      <w:r w:rsidRPr="00462741">
        <w:t>the</w:t>
      </w:r>
      <w:r w:rsidRPr="00462741">
        <w:rPr>
          <w:spacing w:val="-1"/>
        </w:rPr>
        <w:t xml:space="preserve"> </w:t>
      </w:r>
      <w:r w:rsidRPr="00462741">
        <w:t>balance</w:t>
      </w:r>
      <w:r w:rsidRPr="00462741">
        <w:rPr>
          <w:spacing w:val="-1"/>
        </w:rPr>
        <w:t xml:space="preserve"> </w:t>
      </w:r>
      <w:r w:rsidRPr="00462741">
        <w:t>sheet,</w:t>
      </w:r>
      <w:r w:rsidRPr="00462741">
        <w:rPr>
          <w:spacing w:val="-1"/>
        </w:rPr>
        <w:t xml:space="preserve"> </w:t>
      </w:r>
      <w:r w:rsidRPr="00462741">
        <w:t xml:space="preserve">rent </w:t>
      </w:r>
      <w:r w:rsidRPr="00462741">
        <w:rPr>
          <w:spacing w:val="-4"/>
        </w:rPr>
        <w:t>expenses are replaced by depreciation and interest expenses,</w:t>
      </w:r>
      <w:r w:rsidRPr="00462741">
        <w:t xml:space="preserve"> calculated</w:t>
      </w:r>
      <w:r w:rsidRPr="00462741">
        <w:rPr>
          <w:spacing w:val="-1"/>
        </w:rPr>
        <w:t xml:space="preserve"> </w:t>
      </w:r>
      <w:r w:rsidRPr="00462741">
        <w:t>on</w:t>
      </w:r>
      <w:r w:rsidRPr="00462741">
        <w:rPr>
          <w:spacing w:val="-1"/>
        </w:rPr>
        <w:t xml:space="preserve"> </w:t>
      </w:r>
      <w:r w:rsidRPr="00462741">
        <w:t>the</w:t>
      </w:r>
      <w:r w:rsidRPr="00462741">
        <w:rPr>
          <w:spacing w:val="-1"/>
        </w:rPr>
        <w:t xml:space="preserve"> </w:t>
      </w:r>
      <w:r w:rsidRPr="00462741">
        <w:t>value</w:t>
      </w:r>
      <w:r w:rsidRPr="00462741">
        <w:rPr>
          <w:spacing w:val="-1"/>
        </w:rPr>
        <w:t xml:space="preserve"> </w:t>
      </w:r>
      <w:r w:rsidRPr="00462741">
        <w:t>of</w:t>
      </w:r>
      <w:r w:rsidRPr="00462741">
        <w:rPr>
          <w:spacing w:val="-1"/>
        </w:rPr>
        <w:t xml:space="preserve"> </w:t>
      </w:r>
      <w:r w:rsidRPr="00462741">
        <w:t>the</w:t>
      </w:r>
      <w:r w:rsidRPr="00462741">
        <w:rPr>
          <w:spacing w:val="-1"/>
        </w:rPr>
        <w:t xml:space="preserve"> </w:t>
      </w:r>
      <w:r w:rsidRPr="00462741">
        <w:t>leased</w:t>
      </w:r>
      <w:r w:rsidRPr="00462741">
        <w:rPr>
          <w:spacing w:val="-1"/>
        </w:rPr>
        <w:t xml:space="preserve"> </w:t>
      </w:r>
      <w:r w:rsidRPr="00462741">
        <w:t xml:space="preserve">asset. </w:t>
      </w:r>
      <w:r w:rsidRPr="00462741">
        <w:br/>
        <w:t xml:space="preserve">Short-term leases and low value leases are exempt and </w:t>
      </w:r>
      <w:r w:rsidRPr="00462741">
        <w:rPr>
          <w:spacing w:val="-2"/>
        </w:rPr>
        <w:t>can</w:t>
      </w:r>
      <w:r w:rsidRPr="00462741">
        <w:rPr>
          <w:spacing w:val="-9"/>
        </w:rPr>
        <w:t xml:space="preserve"> </w:t>
      </w:r>
      <w:r w:rsidRPr="00462741">
        <w:rPr>
          <w:spacing w:val="-2"/>
        </w:rPr>
        <w:t>still</w:t>
      </w:r>
      <w:r w:rsidRPr="00462741">
        <w:rPr>
          <w:spacing w:val="-7"/>
        </w:rPr>
        <w:t xml:space="preserve"> </w:t>
      </w:r>
      <w:r w:rsidRPr="00462741">
        <w:rPr>
          <w:spacing w:val="-2"/>
        </w:rPr>
        <w:t>be</w:t>
      </w:r>
      <w:r w:rsidRPr="00462741">
        <w:rPr>
          <w:spacing w:val="-8"/>
        </w:rPr>
        <w:t xml:space="preserve"> </w:t>
      </w:r>
      <w:r w:rsidRPr="00462741">
        <w:rPr>
          <w:spacing w:val="-2"/>
        </w:rPr>
        <w:t>shown</w:t>
      </w:r>
      <w:r w:rsidRPr="00462741">
        <w:rPr>
          <w:spacing w:val="-8"/>
        </w:rPr>
        <w:t xml:space="preserve"> </w:t>
      </w:r>
      <w:r w:rsidRPr="00462741">
        <w:rPr>
          <w:spacing w:val="-2"/>
        </w:rPr>
        <w:t>as</w:t>
      </w:r>
      <w:r w:rsidRPr="00462741">
        <w:rPr>
          <w:spacing w:val="-8"/>
        </w:rPr>
        <w:t xml:space="preserve"> </w:t>
      </w:r>
      <w:r w:rsidRPr="00462741">
        <w:rPr>
          <w:spacing w:val="-2"/>
        </w:rPr>
        <w:t>rent expenses</w:t>
      </w:r>
      <w:r w:rsidRPr="00462741">
        <w:rPr>
          <w:spacing w:val="-8"/>
        </w:rPr>
        <w:t xml:space="preserve"> </w:t>
      </w:r>
      <w:r w:rsidRPr="00462741">
        <w:rPr>
          <w:spacing w:val="-2"/>
        </w:rPr>
        <w:t>(similar</w:t>
      </w:r>
      <w:r w:rsidRPr="00462741">
        <w:rPr>
          <w:spacing w:val="-8"/>
        </w:rPr>
        <w:t xml:space="preserve"> </w:t>
      </w:r>
      <w:r w:rsidRPr="00462741">
        <w:rPr>
          <w:spacing w:val="-2"/>
        </w:rPr>
        <w:t>to</w:t>
      </w:r>
      <w:r w:rsidRPr="00462741">
        <w:rPr>
          <w:spacing w:val="-8"/>
        </w:rPr>
        <w:t xml:space="preserve"> </w:t>
      </w:r>
      <w:r w:rsidRPr="00462741">
        <w:rPr>
          <w:spacing w:val="-2"/>
        </w:rPr>
        <w:t>prior</w:t>
      </w:r>
      <w:r w:rsidRPr="00462741">
        <w:rPr>
          <w:spacing w:val="-9"/>
        </w:rPr>
        <w:t xml:space="preserve"> </w:t>
      </w:r>
      <w:r w:rsidRPr="00462741">
        <w:rPr>
          <w:spacing w:val="-2"/>
        </w:rPr>
        <w:t>years).</w:t>
      </w:r>
    </w:p>
    <w:p w14:paraId="121172C9" w14:textId="3675089A" w:rsidR="001226A9" w:rsidRDefault="00B17BCE" w:rsidP="00706D0A">
      <w:pPr>
        <w:pStyle w:val="Caption"/>
      </w:pPr>
      <w:bookmarkStart w:id="131" w:name="_Ref162512724"/>
      <w:bookmarkStart w:id="132" w:name="_Toc173428893"/>
      <w:r>
        <w:t xml:space="preserve">Table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11</w:t>
      </w:r>
      <w:r w:rsidR="00AE19AA">
        <w:rPr>
          <w:noProof/>
        </w:rPr>
        <w:fldChar w:fldCharType="end"/>
      </w:r>
      <w:bookmarkEnd w:id="131"/>
      <w:r>
        <w:t xml:space="preserve">: </w:t>
      </w:r>
      <w:r w:rsidRPr="0047088B">
        <w:t>Breakdown of residential care provider expenses, 2020</w:t>
      </w:r>
      <w:r w:rsidR="00F36D7C">
        <w:t>-21</w:t>
      </w:r>
      <w:r w:rsidRPr="0047088B">
        <w:t xml:space="preserve"> to 2022</w:t>
      </w:r>
      <w:r w:rsidR="00F36D7C">
        <w:t>-23</w:t>
      </w:r>
      <w:r w:rsidRPr="0047088B">
        <w:t xml:space="preserve"> ($m)</w:t>
      </w:r>
      <w:bookmarkEnd w:id="132"/>
    </w:p>
    <w:tbl>
      <w:tblPr>
        <w:tblW w:w="9214" w:type="dxa"/>
        <w:tblLayout w:type="fixed"/>
        <w:tblLook w:val="04A0" w:firstRow="1" w:lastRow="0" w:firstColumn="1" w:lastColumn="0" w:noHBand="0" w:noVBand="1"/>
      </w:tblPr>
      <w:tblGrid>
        <w:gridCol w:w="2127"/>
        <w:gridCol w:w="1297"/>
        <w:gridCol w:w="1254"/>
        <w:gridCol w:w="1134"/>
        <w:gridCol w:w="1276"/>
        <w:gridCol w:w="1134"/>
        <w:gridCol w:w="992"/>
      </w:tblGrid>
      <w:tr w:rsidR="005869E8" w:rsidRPr="00B93401" w14:paraId="64F1C816" w14:textId="77777777" w:rsidTr="00901390">
        <w:trPr>
          <w:trHeight w:val="1185"/>
        </w:trPr>
        <w:tc>
          <w:tcPr>
            <w:tcW w:w="2127" w:type="dxa"/>
            <w:tcBorders>
              <w:top w:val="single" w:sz="12" w:space="0" w:color="1E1545"/>
              <w:left w:val="nil"/>
              <w:bottom w:val="single" w:sz="12" w:space="0" w:color="1E1545"/>
              <w:right w:val="nil"/>
            </w:tcBorders>
            <w:shd w:val="clear" w:color="000000" w:fill="1E1545"/>
            <w:vAlign w:val="center"/>
            <w:hideMark/>
          </w:tcPr>
          <w:p w14:paraId="547E4A44" w14:textId="77777777" w:rsidR="005869E8" w:rsidRPr="00B93401" w:rsidRDefault="005869E8" w:rsidP="005869E8">
            <w:pPr>
              <w:spacing w:before="0" w:after="0" w:line="240" w:lineRule="auto"/>
              <w:rPr>
                <w:rFonts w:cs="Arial"/>
                <w:b/>
                <w:color w:val="F1F2F2"/>
                <w:sz w:val="20"/>
                <w:szCs w:val="20"/>
                <w:lang w:eastAsia="en-AU"/>
              </w:rPr>
            </w:pPr>
            <w:r w:rsidRPr="00B93401">
              <w:rPr>
                <w:rFonts w:cs="Arial"/>
                <w:b/>
                <w:color w:val="F1F2F2"/>
                <w:sz w:val="20"/>
                <w:szCs w:val="20"/>
                <w:lang w:eastAsia="en-AU"/>
              </w:rPr>
              <w:t> </w:t>
            </w:r>
          </w:p>
        </w:tc>
        <w:tc>
          <w:tcPr>
            <w:tcW w:w="1297" w:type="dxa"/>
            <w:tcBorders>
              <w:top w:val="single" w:sz="12" w:space="0" w:color="1E1545"/>
              <w:left w:val="nil"/>
              <w:bottom w:val="single" w:sz="12" w:space="0" w:color="1E1545"/>
              <w:right w:val="nil"/>
            </w:tcBorders>
            <w:shd w:val="clear" w:color="000000" w:fill="1E1545"/>
            <w:vAlign w:val="center"/>
            <w:hideMark/>
          </w:tcPr>
          <w:p w14:paraId="0BF3E7D3" w14:textId="1E6C07C0"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2020-21   ($m)</w:t>
            </w:r>
          </w:p>
        </w:tc>
        <w:tc>
          <w:tcPr>
            <w:tcW w:w="1254" w:type="dxa"/>
            <w:tcBorders>
              <w:top w:val="single" w:sz="12" w:space="0" w:color="1E1545"/>
              <w:left w:val="nil"/>
              <w:bottom w:val="single" w:sz="12" w:space="0" w:color="1E1545"/>
              <w:right w:val="nil"/>
            </w:tcBorders>
            <w:shd w:val="clear" w:color="000000" w:fill="1E1545"/>
            <w:vAlign w:val="center"/>
            <w:hideMark/>
          </w:tcPr>
          <w:p w14:paraId="27114A51" w14:textId="3172141D"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2021-22   ($m)</w:t>
            </w:r>
          </w:p>
        </w:tc>
        <w:tc>
          <w:tcPr>
            <w:tcW w:w="1134" w:type="dxa"/>
            <w:tcBorders>
              <w:top w:val="single" w:sz="12" w:space="0" w:color="1E1545"/>
              <w:left w:val="nil"/>
              <w:bottom w:val="single" w:sz="12" w:space="0" w:color="1E1545"/>
              <w:right w:val="nil"/>
            </w:tcBorders>
            <w:shd w:val="clear" w:color="000000" w:fill="1E1545"/>
            <w:vAlign w:val="center"/>
            <w:hideMark/>
          </w:tcPr>
          <w:p w14:paraId="5D5CD5E6" w14:textId="77777777"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Change from 2020-21 to 2021-22 ($m)</w:t>
            </w:r>
          </w:p>
        </w:tc>
        <w:tc>
          <w:tcPr>
            <w:tcW w:w="1276" w:type="dxa"/>
            <w:tcBorders>
              <w:top w:val="single" w:sz="12" w:space="0" w:color="1E1545"/>
              <w:left w:val="nil"/>
              <w:bottom w:val="single" w:sz="12" w:space="0" w:color="1E1545"/>
              <w:right w:val="nil"/>
            </w:tcBorders>
            <w:shd w:val="clear" w:color="000000" w:fill="1E1545"/>
            <w:vAlign w:val="center"/>
            <w:hideMark/>
          </w:tcPr>
          <w:p w14:paraId="4D86B58A" w14:textId="007A5B54"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2022-23   ($m)</w:t>
            </w:r>
          </w:p>
        </w:tc>
        <w:tc>
          <w:tcPr>
            <w:tcW w:w="1134" w:type="dxa"/>
            <w:tcBorders>
              <w:top w:val="single" w:sz="12" w:space="0" w:color="1E1545"/>
              <w:left w:val="nil"/>
              <w:bottom w:val="single" w:sz="12" w:space="0" w:color="1E1545"/>
              <w:right w:val="nil"/>
            </w:tcBorders>
            <w:shd w:val="clear" w:color="000000" w:fill="1E1545"/>
            <w:vAlign w:val="center"/>
            <w:hideMark/>
          </w:tcPr>
          <w:p w14:paraId="43EF58EF" w14:textId="77777777"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Change from 2022-22 to 2022-23 ($m)</w:t>
            </w:r>
          </w:p>
        </w:tc>
        <w:tc>
          <w:tcPr>
            <w:tcW w:w="992" w:type="dxa"/>
            <w:tcBorders>
              <w:top w:val="single" w:sz="12" w:space="0" w:color="1E1545"/>
              <w:left w:val="nil"/>
              <w:bottom w:val="single" w:sz="12" w:space="0" w:color="1E1545"/>
              <w:right w:val="nil"/>
            </w:tcBorders>
            <w:shd w:val="clear" w:color="000000" w:fill="1E1545"/>
            <w:vAlign w:val="center"/>
            <w:hideMark/>
          </w:tcPr>
          <w:p w14:paraId="50338E95" w14:textId="77777777" w:rsidR="005869E8" w:rsidRPr="00B93401" w:rsidRDefault="005869E8" w:rsidP="005869E8">
            <w:pPr>
              <w:spacing w:before="0" w:after="0" w:line="240" w:lineRule="auto"/>
              <w:jc w:val="center"/>
              <w:rPr>
                <w:rFonts w:cs="Arial"/>
                <w:b/>
                <w:color w:val="F1F2F2"/>
                <w:sz w:val="20"/>
                <w:szCs w:val="20"/>
                <w:lang w:eastAsia="en-AU"/>
              </w:rPr>
            </w:pPr>
            <w:r w:rsidRPr="00B93401">
              <w:rPr>
                <w:rFonts w:cs="Arial"/>
                <w:b/>
                <w:color w:val="F1F2F2"/>
                <w:sz w:val="20"/>
                <w:szCs w:val="20"/>
                <w:lang w:eastAsia="en-AU"/>
              </w:rPr>
              <w:t>% of total expenses</w:t>
            </w:r>
          </w:p>
        </w:tc>
      </w:tr>
      <w:tr w:rsidR="005869E8" w:rsidRPr="00B93401" w14:paraId="3AE40C2A"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2A95EBA8"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Care</w:t>
            </w:r>
          </w:p>
        </w:tc>
        <w:tc>
          <w:tcPr>
            <w:tcW w:w="1297" w:type="dxa"/>
            <w:tcBorders>
              <w:top w:val="nil"/>
              <w:left w:val="nil"/>
              <w:bottom w:val="single" w:sz="12" w:space="0" w:color="1E1545"/>
              <w:right w:val="nil"/>
            </w:tcBorders>
            <w:shd w:val="clear" w:color="000000" w:fill="D8DADA"/>
            <w:noWrap/>
            <w:vAlign w:val="center"/>
            <w:hideMark/>
          </w:tcPr>
          <w:p w14:paraId="547E4294"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0ACD0A9A"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771C5975"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15A0E175"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57F5F409"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119FCF65"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 </w:t>
            </w:r>
          </w:p>
        </w:tc>
      </w:tr>
      <w:tr w:rsidR="005869E8" w:rsidRPr="00B93401" w14:paraId="12A7B862"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59B3831E"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Employee expenses</w:t>
            </w:r>
          </w:p>
        </w:tc>
        <w:tc>
          <w:tcPr>
            <w:tcW w:w="1297" w:type="dxa"/>
            <w:tcBorders>
              <w:top w:val="nil"/>
              <w:left w:val="nil"/>
              <w:bottom w:val="single" w:sz="12" w:space="0" w:color="1E1545"/>
              <w:right w:val="nil"/>
            </w:tcBorders>
            <w:shd w:val="clear" w:color="000000" w:fill="FFFFFF"/>
            <w:noWrap/>
            <w:vAlign w:val="center"/>
            <w:hideMark/>
          </w:tcPr>
          <w:p w14:paraId="56BA0A4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$10,892.50 </w:t>
            </w:r>
          </w:p>
        </w:tc>
        <w:tc>
          <w:tcPr>
            <w:tcW w:w="1254" w:type="dxa"/>
            <w:tcBorders>
              <w:top w:val="nil"/>
              <w:left w:val="nil"/>
              <w:bottom w:val="single" w:sz="12" w:space="0" w:color="1E1545"/>
              <w:right w:val="nil"/>
            </w:tcBorders>
            <w:shd w:val="clear" w:color="000000" w:fill="FFFFFF"/>
            <w:noWrap/>
            <w:vAlign w:val="center"/>
            <w:hideMark/>
          </w:tcPr>
          <w:p w14:paraId="3A28898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$10,875.60 </w:t>
            </w:r>
          </w:p>
        </w:tc>
        <w:tc>
          <w:tcPr>
            <w:tcW w:w="1134" w:type="dxa"/>
            <w:tcBorders>
              <w:top w:val="nil"/>
              <w:left w:val="nil"/>
              <w:bottom w:val="single" w:sz="12" w:space="0" w:color="1E1545"/>
              <w:right w:val="nil"/>
            </w:tcBorders>
            <w:shd w:val="clear" w:color="000000" w:fill="FFFFFF"/>
            <w:noWrap/>
            <w:vAlign w:val="center"/>
            <w:hideMark/>
          </w:tcPr>
          <w:p w14:paraId="4031BE9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($16.90)</w:t>
            </w:r>
          </w:p>
        </w:tc>
        <w:tc>
          <w:tcPr>
            <w:tcW w:w="1276" w:type="dxa"/>
            <w:tcBorders>
              <w:top w:val="nil"/>
              <w:left w:val="nil"/>
              <w:bottom w:val="single" w:sz="12" w:space="0" w:color="1E1545"/>
              <w:right w:val="nil"/>
            </w:tcBorders>
            <w:shd w:val="clear" w:color="000000" w:fill="FFFFFF"/>
            <w:noWrap/>
            <w:vAlign w:val="center"/>
            <w:hideMark/>
          </w:tcPr>
          <w:p w14:paraId="4F687A1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$11,193.83 </w:t>
            </w:r>
          </w:p>
        </w:tc>
        <w:tc>
          <w:tcPr>
            <w:tcW w:w="1134" w:type="dxa"/>
            <w:tcBorders>
              <w:top w:val="nil"/>
              <w:left w:val="nil"/>
              <w:bottom w:val="single" w:sz="12" w:space="0" w:color="1E1545"/>
              <w:right w:val="nil"/>
            </w:tcBorders>
            <w:shd w:val="clear" w:color="000000" w:fill="FFFFFF"/>
            <w:noWrap/>
            <w:vAlign w:val="center"/>
            <w:hideMark/>
          </w:tcPr>
          <w:p w14:paraId="761FE39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$318.25 </w:t>
            </w:r>
          </w:p>
        </w:tc>
        <w:tc>
          <w:tcPr>
            <w:tcW w:w="992" w:type="dxa"/>
            <w:tcBorders>
              <w:top w:val="nil"/>
              <w:left w:val="nil"/>
              <w:bottom w:val="single" w:sz="12" w:space="0" w:color="1E1545"/>
              <w:right w:val="nil"/>
            </w:tcBorders>
            <w:shd w:val="clear" w:color="000000" w:fill="FFFFFF"/>
            <w:noWrap/>
            <w:vAlign w:val="center"/>
            <w:hideMark/>
          </w:tcPr>
          <w:p w14:paraId="406C37D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43.1%</w:t>
            </w:r>
          </w:p>
        </w:tc>
      </w:tr>
      <w:tr w:rsidR="005869E8" w:rsidRPr="00B93401" w14:paraId="286DEA0E"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475949B0"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Contracted services</w:t>
            </w:r>
          </w:p>
        </w:tc>
        <w:tc>
          <w:tcPr>
            <w:tcW w:w="1297" w:type="dxa"/>
            <w:tcBorders>
              <w:top w:val="nil"/>
              <w:left w:val="nil"/>
              <w:bottom w:val="single" w:sz="12" w:space="0" w:color="1E1545"/>
              <w:right w:val="nil"/>
            </w:tcBorders>
            <w:shd w:val="clear" w:color="000000" w:fill="FFFFFF"/>
            <w:noWrap/>
            <w:vAlign w:val="center"/>
            <w:hideMark/>
          </w:tcPr>
          <w:p w14:paraId="476CC6B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N/A</w:t>
            </w:r>
          </w:p>
        </w:tc>
        <w:tc>
          <w:tcPr>
            <w:tcW w:w="1254" w:type="dxa"/>
            <w:tcBorders>
              <w:top w:val="nil"/>
              <w:left w:val="nil"/>
              <w:bottom w:val="single" w:sz="12" w:space="0" w:color="1E1545"/>
              <w:right w:val="nil"/>
            </w:tcBorders>
            <w:shd w:val="clear" w:color="000000" w:fill="FFFFFF"/>
            <w:noWrap/>
            <w:vAlign w:val="center"/>
            <w:hideMark/>
          </w:tcPr>
          <w:p w14:paraId="33105C4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$791.20 </w:t>
            </w:r>
          </w:p>
        </w:tc>
        <w:tc>
          <w:tcPr>
            <w:tcW w:w="1134" w:type="dxa"/>
            <w:tcBorders>
              <w:top w:val="nil"/>
              <w:left w:val="nil"/>
              <w:bottom w:val="single" w:sz="12" w:space="0" w:color="1E1545"/>
              <w:right w:val="nil"/>
            </w:tcBorders>
            <w:shd w:val="clear" w:color="000000" w:fill="FFFFFF"/>
            <w:noWrap/>
            <w:vAlign w:val="center"/>
            <w:hideMark/>
          </w:tcPr>
          <w:p w14:paraId="15B01A8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$791.20 </w:t>
            </w:r>
          </w:p>
        </w:tc>
        <w:tc>
          <w:tcPr>
            <w:tcW w:w="1276" w:type="dxa"/>
            <w:tcBorders>
              <w:top w:val="nil"/>
              <w:left w:val="nil"/>
              <w:bottom w:val="single" w:sz="12" w:space="0" w:color="1E1545"/>
              <w:right w:val="nil"/>
            </w:tcBorders>
            <w:shd w:val="clear" w:color="000000" w:fill="FFFFFF"/>
            <w:noWrap/>
            <w:vAlign w:val="center"/>
            <w:hideMark/>
          </w:tcPr>
          <w:p w14:paraId="1FF6A2F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$1,342.91 </w:t>
            </w:r>
          </w:p>
        </w:tc>
        <w:tc>
          <w:tcPr>
            <w:tcW w:w="1134" w:type="dxa"/>
            <w:tcBorders>
              <w:top w:val="nil"/>
              <w:left w:val="nil"/>
              <w:bottom w:val="single" w:sz="12" w:space="0" w:color="1E1545"/>
              <w:right w:val="nil"/>
            </w:tcBorders>
            <w:shd w:val="clear" w:color="000000" w:fill="FFFFFF"/>
            <w:noWrap/>
            <w:vAlign w:val="center"/>
            <w:hideMark/>
          </w:tcPr>
          <w:p w14:paraId="53D74D4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$551.73 </w:t>
            </w:r>
          </w:p>
        </w:tc>
        <w:tc>
          <w:tcPr>
            <w:tcW w:w="992" w:type="dxa"/>
            <w:tcBorders>
              <w:top w:val="nil"/>
              <w:left w:val="nil"/>
              <w:bottom w:val="single" w:sz="12" w:space="0" w:color="1E1545"/>
              <w:right w:val="nil"/>
            </w:tcBorders>
            <w:shd w:val="clear" w:color="000000" w:fill="FFFFFF"/>
            <w:noWrap/>
            <w:vAlign w:val="center"/>
            <w:hideMark/>
          </w:tcPr>
          <w:p w14:paraId="05BC6B5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5.2%</w:t>
            </w:r>
          </w:p>
        </w:tc>
      </w:tr>
      <w:tr w:rsidR="005869E8" w:rsidRPr="00B93401" w14:paraId="5F67B5EF"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1BB8D695"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w:t>
            </w:r>
          </w:p>
        </w:tc>
        <w:tc>
          <w:tcPr>
            <w:tcW w:w="1297" w:type="dxa"/>
            <w:tcBorders>
              <w:top w:val="nil"/>
              <w:left w:val="nil"/>
              <w:bottom w:val="single" w:sz="12" w:space="0" w:color="1E1545"/>
              <w:right w:val="nil"/>
            </w:tcBorders>
            <w:shd w:val="clear" w:color="000000" w:fill="FFFFFF"/>
            <w:noWrap/>
            <w:vAlign w:val="center"/>
            <w:hideMark/>
          </w:tcPr>
          <w:p w14:paraId="1D0CCE2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$774.60 </w:t>
            </w:r>
          </w:p>
        </w:tc>
        <w:tc>
          <w:tcPr>
            <w:tcW w:w="1254" w:type="dxa"/>
            <w:tcBorders>
              <w:top w:val="nil"/>
              <w:left w:val="nil"/>
              <w:bottom w:val="single" w:sz="12" w:space="0" w:color="1E1545"/>
              <w:right w:val="nil"/>
            </w:tcBorders>
            <w:shd w:val="clear" w:color="000000" w:fill="FFFFFF"/>
            <w:noWrap/>
            <w:vAlign w:val="center"/>
            <w:hideMark/>
          </w:tcPr>
          <w:p w14:paraId="0F4D4E3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$586.80 </w:t>
            </w:r>
          </w:p>
        </w:tc>
        <w:tc>
          <w:tcPr>
            <w:tcW w:w="1134" w:type="dxa"/>
            <w:tcBorders>
              <w:top w:val="nil"/>
              <w:left w:val="nil"/>
              <w:bottom w:val="single" w:sz="12" w:space="0" w:color="1E1545"/>
              <w:right w:val="nil"/>
            </w:tcBorders>
            <w:shd w:val="clear" w:color="000000" w:fill="FFFFFF"/>
            <w:noWrap/>
            <w:vAlign w:val="center"/>
            <w:hideMark/>
          </w:tcPr>
          <w:p w14:paraId="23BF4A1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($187.80)</w:t>
            </w:r>
          </w:p>
        </w:tc>
        <w:tc>
          <w:tcPr>
            <w:tcW w:w="1276" w:type="dxa"/>
            <w:tcBorders>
              <w:top w:val="nil"/>
              <w:left w:val="nil"/>
              <w:bottom w:val="single" w:sz="12" w:space="0" w:color="1E1545"/>
              <w:right w:val="nil"/>
            </w:tcBorders>
            <w:shd w:val="clear" w:color="000000" w:fill="FFFFFF"/>
            <w:noWrap/>
            <w:vAlign w:val="center"/>
            <w:hideMark/>
          </w:tcPr>
          <w:p w14:paraId="7C8AE6B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$585.77 </w:t>
            </w:r>
          </w:p>
        </w:tc>
        <w:tc>
          <w:tcPr>
            <w:tcW w:w="1134" w:type="dxa"/>
            <w:tcBorders>
              <w:top w:val="nil"/>
              <w:left w:val="nil"/>
              <w:bottom w:val="single" w:sz="12" w:space="0" w:color="1E1545"/>
              <w:right w:val="nil"/>
            </w:tcBorders>
            <w:shd w:val="clear" w:color="000000" w:fill="FFFFFF"/>
            <w:noWrap/>
            <w:vAlign w:val="center"/>
            <w:hideMark/>
          </w:tcPr>
          <w:p w14:paraId="77C2E74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($1.02)</w:t>
            </w:r>
          </w:p>
        </w:tc>
        <w:tc>
          <w:tcPr>
            <w:tcW w:w="992" w:type="dxa"/>
            <w:tcBorders>
              <w:top w:val="nil"/>
              <w:left w:val="nil"/>
              <w:bottom w:val="single" w:sz="12" w:space="0" w:color="1E1545"/>
              <w:right w:val="nil"/>
            </w:tcBorders>
            <w:shd w:val="clear" w:color="000000" w:fill="FFFFFF"/>
            <w:noWrap/>
            <w:vAlign w:val="center"/>
            <w:hideMark/>
          </w:tcPr>
          <w:p w14:paraId="0B3084E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2.3%</w:t>
            </w:r>
          </w:p>
        </w:tc>
      </w:tr>
      <w:tr w:rsidR="005869E8" w:rsidRPr="00B93401" w14:paraId="5CB3E548"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28BB831E"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care expenses</w:t>
            </w:r>
          </w:p>
        </w:tc>
        <w:tc>
          <w:tcPr>
            <w:tcW w:w="1297" w:type="dxa"/>
            <w:tcBorders>
              <w:top w:val="nil"/>
              <w:left w:val="nil"/>
              <w:bottom w:val="single" w:sz="12" w:space="0" w:color="1E1545"/>
              <w:right w:val="nil"/>
            </w:tcBorders>
            <w:shd w:val="clear" w:color="000000" w:fill="D8DADA"/>
            <w:noWrap/>
            <w:vAlign w:val="center"/>
            <w:hideMark/>
          </w:tcPr>
          <w:p w14:paraId="3CA1E1F4"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$11,667.10 </w:t>
            </w:r>
          </w:p>
        </w:tc>
        <w:tc>
          <w:tcPr>
            <w:tcW w:w="1254" w:type="dxa"/>
            <w:tcBorders>
              <w:top w:val="nil"/>
              <w:left w:val="nil"/>
              <w:bottom w:val="single" w:sz="12" w:space="0" w:color="1E1545"/>
              <w:right w:val="nil"/>
            </w:tcBorders>
            <w:shd w:val="clear" w:color="000000" w:fill="D8DADA"/>
            <w:noWrap/>
            <w:vAlign w:val="center"/>
            <w:hideMark/>
          </w:tcPr>
          <w:p w14:paraId="29660F2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$12,253.60 </w:t>
            </w:r>
          </w:p>
        </w:tc>
        <w:tc>
          <w:tcPr>
            <w:tcW w:w="1134" w:type="dxa"/>
            <w:tcBorders>
              <w:top w:val="nil"/>
              <w:left w:val="nil"/>
              <w:bottom w:val="single" w:sz="12" w:space="0" w:color="1E1545"/>
              <w:right w:val="nil"/>
            </w:tcBorders>
            <w:shd w:val="clear" w:color="000000" w:fill="D8DADA"/>
            <w:noWrap/>
            <w:vAlign w:val="center"/>
            <w:hideMark/>
          </w:tcPr>
          <w:p w14:paraId="4B5F3563"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$586.50 </w:t>
            </w:r>
          </w:p>
        </w:tc>
        <w:tc>
          <w:tcPr>
            <w:tcW w:w="1276" w:type="dxa"/>
            <w:tcBorders>
              <w:top w:val="nil"/>
              <w:left w:val="nil"/>
              <w:bottom w:val="single" w:sz="12" w:space="0" w:color="1E1545"/>
              <w:right w:val="nil"/>
            </w:tcBorders>
            <w:shd w:val="clear" w:color="000000" w:fill="D8DADA"/>
            <w:noWrap/>
            <w:vAlign w:val="center"/>
            <w:hideMark/>
          </w:tcPr>
          <w:p w14:paraId="1E8FECFC"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$13,122.51 </w:t>
            </w:r>
          </w:p>
        </w:tc>
        <w:tc>
          <w:tcPr>
            <w:tcW w:w="1134" w:type="dxa"/>
            <w:tcBorders>
              <w:top w:val="nil"/>
              <w:left w:val="nil"/>
              <w:bottom w:val="single" w:sz="12" w:space="0" w:color="1E1545"/>
              <w:right w:val="nil"/>
            </w:tcBorders>
            <w:shd w:val="clear" w:color="000000" w:fill="D8DADA"/>
            <w:noWrap/>
            <w:vAlign w:val="center"/>
            <w:hideMark/>
          </w:tcPr>
          <w:p w14:paraId="1283471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$868.96 </w:t>
            </w:r>
          </w:p>
        </w:tc>
        <w:tc>
          <w:tcPr>
            <w:tcW w:w="992" w:type="dxa"/>
            <w:tcBorders>
              <w:top w:val="nil"/>
              <w:left w:val="nil"/>
              <w:bottom w:val="single" w:sz="12" w:space="0" w:color="1E1545"/>
              <w:right w:val="nil"/>
            </w:tcBorders>
            <w:shd w:val="clear" w:color="000000" w:fill="D8DADA"/>
            <w:noWrap/>
            <w:vAlign w:val="center"/>
            <w:hideMark/>
          </w:tcPr>
          <w:p w14:paraId="514B9C3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50.5%</w:t>
            </w:r>
          </w:p>
        </w:tc>
      </w:tr>
      <w:tr w:rsidR="005869E8" w:rsidRPr="00B93401" w14:paraId="6C3A3237"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7C6FE10E"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Accommodation and finance</w:t>
            </w:r>
          </w:p>
        </w:tc>
        <w:tc>
          <w:tcPr>
            <w:tcW w:w="1297" w:type="dxa"/>
            <w:tcBorders>
              <w:top w:val="nil"/>
              <w:left w:val="nil"/>
              <w:bottom w:val="single" w:sz="12" w:space="0" w:color="1E1545"/>
              <w:right w:val="nil"/>
            </w:tcBorders>
            <w:shd w:val="clear" w:color="000000" w:fill="D8DADA"/>
            <w:noWrap/>
            <w:vAlign w:val="center"/>
            <w:hideMark/>
          </w:tcPr>
          <w:p w14:paraId="6B19D77C"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596CA48F"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37F1ED2C"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5724880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2F84371C"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7E430595"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r>
      <w:tr w:rsidR="005869E8" w:rsidRPr="00B93401" w14:paraId="7837C92F"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0FA56963"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Employee expenses</w:t>
            </w:r>
          </w:p>
        </w:tc>
        <w:tc>
          <w:tcPr>
            <w:tcW w:w="1297" w:type="dxa"/>
            <w:tcBorders>
              <w:top w:val="nil"/>
              <w:left w:val="nil"/>
              <w:bottom w:val="single" w:sz="12" w:space="0" w:color="1E1545"/>
              <w:right w:val="nil"/>
            </w:tcBorders>
            <w:shd w:val="clear" w:color="000000" w:fill="FFFFFF"/>
            <w:noWrap/>
            <w:vAlign w:val="center"/>
            <w:hideMark/>
          </w:tcPr>
          <w:p w14:paraId="57C8A2C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$291.50 </w:t>
            </w:r>
          </w:p>
        </w:tc>
        <w:tc>
          <w:tcPr>
            <w:tcW w:w="1254" w:type="dxa"/>
            <w:tcBorders>
              <w:top w:val="nil"/>
              <w:left w:val="nil"/>
              <w:bottom w:val="single" w:sz="12" w:space="0" w:color="1E1545"/>
              <w:right w:val="nil"/>
            </w:tcBorders>
            <w:shd w:val="clear" w:color="000000" w:fill="FFFFFF"/>
            <w:noWrap/>
            <w:vAlign w:val="center"/>
            <w:hideMark/>
          </w:tcPr>
          <w:p w14:paraId="47188AE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$306.50 </w:t>
            </w:r>
          </w:p>
        </w:tc>
        <w:tc>
          <w:tcPr>
            <w:tcW w:w="1134" w:type="dxa"/>
            <w:tcBorders>
              <w:top w:val="nil"/>
              <w:left w:val="nil"/>
              <w:bottom w:val="single" w:sz="12" w:space="0" w:color="1E1545"/>
              <w:right w:val="nil"/>
            </w:tcBorders>
            <w:shd w:val="clear" w:color="000000" w:fill="FFFFFF"/>
            <w:noWrap/>
            <w:vAlign w:val="center"/>
            <w:hideMark/>
          </w:tcPr>
          <w:p w14:paraId="139569A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$15.00 </w:t>
            </w:r>
          </w:p>
        </w:tc>
        <w:tc>
          <w:tcPr>
            <w:tcW w:w="1276" w:type="dxa"/>
            <w:tcBorders>
              <w:top w:val="nil"/>
              <w:left w:val="nil"/>
              <w:bottom w:val="single" w:sz="12" w:space="0" w:color="1E1545"/>
              <w:right w:val="nil"/>
            </w:tcBorders>
            <w:shd w:val="clear" w:color="000000" w:fill="FFFFFF"/>
            <w:noWrap/>
            <w:vAlign w:val="center"/>
            <w:hideMark/>
          </w:tcPr>
          <w:p w14:paraId="66030C2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$333.36 </w:t>
            </w:r>
          </w:p>
        </w:tc>
        <w:tc>
          <w:tcPr>
            <w:tcW w:w="1134" w:type="dxa"/>
            <w:tcBorders>
              <w:top w:val="nil"/>
              <w:left w:val="nil"/>
              <w:bottom w:val="single" w:sz="12" w:space="0" w:color="1E1545"/>
              <w:right w:val="nil"/>
            </w:tcBorders>
            <w:shd w:val="clear" w:color="000000" w:fill="FFFFFF"/>
            <w:noWrap/>
            <w:vAlign w:val="center"/>
            <w:hideMark/>
          </w:tcPr>
          <w:p w14:paraId="1DF6F264"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$26.87 </w:t>
            </w:r>
          </w:p>
        </w:tc>
        <w:tc>
          <w:tcPr>
            <w:tcW w:w="992" w:type="dxa"/>
            <w:tcBorders>
              <w:top w:val="nil"/>
              <w:left w:val="nil"/>
              <w:bottom w:val="single" w:sz="12" w:space="0" w:color="1E1545"/>
              <w:right w:val="nil"/>
            </w:tcBorders>
            <w:shd w:val="clear" w:color="000000" w:fill="FFFFFF"/>
            <w:noWrap/>
            <w:vAlign w:val="center"/>
            <w:hideMark/>
          </w:tcPr>
          <w:p w14:paraId="25BDAA3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1.3%</w:t>
            </w:r>
          </w:p>
        </w:tc>
      </w:tr>
      <w:tr w:rsidR="005869E8" w:rsidRPr="00B93401" w14:paraId="3DA8591D"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0F2DFBAD"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Repairs &amp; maintenance</w:t>
            </w:r>
          </w:p>
        </w:tc>
        <w:tc>
          <w:tcPr>
            <w:tcW w:w="1297" w:type="dxa"/>
            <w:tcBorders>
              <w:top w:val="nil"/>
              <w:left w:val="nil"/>
              <w:bottom w:val="single" w:sz="12" w:space="0" w:color="1E1545"/>
              <w:right w:val="nil"/>
            </w:tcBorders>
            <w:shd w:val="clear" w:color="000000" w:fill="FFFFFF"/>
            <w:noWrap/>
            <w:vAlign w:val="center"/>
            <w:hideMark/>
          </w:tcPr>
          <w:p w14:paraId="721CC90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$515.10 </w:t>
            </w:r>
          </w:p>
        </w:tc>
        <w:tc>
          <w:tcPr>
            <w:tcW w:w="1254" w:type="dxa"/>
            <w:tcBorders>
              <w:top w:val="nil"/>
              <w:left w:val="nil"/>
              <w:bottom w:val="single" w:sz="12" w:space="0" w:color="1E1545"/>
              <w:right w:val="nil"/>
            </w:tcBorders>
            <w:shd w:val="clear" w:color="000000" w:fill="FFFFFF"/>
            <w:noWrap/>
            <w:vAlign w:val="center"/>
            <w:hideMark/>
          </w:tcPr>
          <w:p w14:paraId="5558FFB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$474.30 </w:t>
            </w:r>
          </w:p>
        </w:tc>
        <w:tc>
          <w:tcPr>
            <w:tcW w:w="1134" w:type="dxa"/>
            <w:tcBorders>
              <w:top w:val="nil"/>
              <w:left w:val="nil"/>
              <w:bottom w:val="single" w:sz="12" w:space="0" w:color="1E1545"/>
              <w:right w:val="nil"/>
            </w:tcBorders>
            <w:shd w:val="clear" w:color="000000" w:fill="FFFFFF"/>
            <w:noWrap/>
            <w:vAlign w:val="center"/>
            <w:hideMark/>
          </w:tcPr>
          <w:p w14:paraId="5255DD6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($40.90)</w:t>
            </w:r>
          </w:p>
        </w:tc>
        <w:tc>
          <w:tcPr>
            <w:tcW w:w="1276" w:type="dxa"/>
            <w:tcBorders>
              <w:top w:val="nil"/>
              <w:left w:val="nil"/>
              <w:bottom w:val="single" w:sz="12" w:space="0" w:color="1E1545"/>
              <w:right w:val="nil"/>
            </w:tcBorders>
            <w:shd w:val="clear" w:color="000000" w:fill="FFFFFF"/>
            <w:noWrap/>
            <w:vAlign w:val="center"/>
            <w:hideMark/>
          </w:tcPr>
          <w:p w14:paraId="431A8EE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$503.85 </w:t>
            </w:r>
          </w:p>
        </w:tc>
        <w:tc>
          <w:tcPr>
            <w:tcW w:w="1134" w:type="dxa"/>
            <w:tcBorders>
              <w:top w:val="nil"/>
              <w:left w:val="nil"/>
              <w:bottom w:val="single" w:sz="12" w:space="0" w:color="1E1545"/>
              <w:right w:val="nil"/>
            </w:tcBorders>
            <w:shd w:val="clear" w:color="000000" w:fill="FFFFFF"/>
            <w:noWrap/>
            <w:vAlign w:val="center"/>
            <w:hideMark/>
          </w:tcPr>
          <w:p w14:paraId="6CEA1F3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$29.58 </w:t>
            </w:r>
          </w:p>
        </w:tc>
        <w:tc>
          <w:tcPr>
            <w:tcW w:w="992" w:type="dxa"/>
            <w:tcBorders>
              <w:top w:val="nil"/>
              <w:left w:val="nil"/>
              <w:bottom w:val="single" w:sz="12" w:space="0" w:color="1E1545"/>
              <w:right w:val="nil"/>
            </w:tcBorders>
            <w:shd w:val="clear" w:color="000000" w:fill="FFFFFF"/>
            <w:noWrap/>
            <w:vAlign w:val="center"/>
            <w:hideMark/>
          </w:tcPr>
          <w:p w14:paraId="6CBD851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1.9%</w:t>
            </w:r>
          </w:p>
        </w:tc>
      </w:tr>
      <w:tr w:rsidR="005869E8" w:rsidRPr="00B93401" w14:paraId="5F705090" w14:textId="77777777" w:rsidTr="00901390">
        <w:trPr>
          <w:trHeight w:val="368"/>
        </w:trPr>
        <w:tc>
          <w:tcPr>
            <w:tcW w:w="2127" w:type="dxa"/>
            <w:tcBorders>
              <w:top w:val="nil"/>
              <w:left w:val="nil"/>
              <w:bottom w:val="single" w:sz="12" w:space="0" w:color="1E1545"/>
              <w:right w:val="nil"/>
            </w:tcBorders>
            <w:shd w:val="clear" w:color="000000" w:fill="FFFFFF"/>
            <w:vAlign w:val="center"/>
            <w:hideMark/>
          </w:tcPr>
          <w:p w14:paraId="7E6F948F" w14:textId="1296E84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Depreciation</w:t>
            </w:r>
          </w:p>
        </w:tc>
        <w:tc>
          <w:tcPr>
            <w:tcW w:w="1297" w:type="dxa"/>
            <w:tcBorders>
              <w:top w:val="nil"/>
              <w:left w:val="nil"/>
              <w:bottom w:val="single" w:sz="12" w:space="0" w:color="1E1545"/>
              <w:right w:val="nil"/>
            </w:tcBorders>
            <w:shd w:val="clear" w:color="000000" w:fill="FFFFFF"/>
            <w:noWrap/>
            <w:vAlign w:val="center"/>
            <w:hideMark/>
          </w:tcPr>
          <w:p w14:paraId="19A328C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$1,137.40 </w:t>
            </w:r>
          </w:p>
        </w:tc>
        <w:tc>
          <w:tcPr>
            <w:tcW w:w="1254" w:type="dxa"/>
            <w:tcBorders>
              <w:top w:val="nil"/>
              <w:left w:val="nil"/>
              <w:bottom w:val="single" w:sz="12" w:space="0" w:color="1E1545"/>
              <w:right w:val="nil"/>
            </w:tcBorders>
            <w:shd w:val="clear" w:color="000000" w:fill="FFFFFF"/>
            <w:noWrap/>
            <w:vAlign w:val="center"/>
            <w:hideMark/>
          </w:tcPr>
          <w:p w14:paraId="2360842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$1,245.00 </w:t>
            </w:r>
          </w:p>
        </w:tc>
        <w:tc>
          <w:tcPr>
            <w:tcW w:w="1134" w:type="dxa"/>
            <w:tcBorders>
              <w:top w:val="nil"/>
              <w:left w:val="nil"/>
              <w:bottom w:val="single" w:sz="12" w:space="0" w:color="1E1545"/>
              <w:right w:val="nil"/>
            </w:tcBorders>
            <w:shd w:val="clear" w:color="000000" w:fill="FFFFFF"/>
            <w:noWrap/>
            <w:vAlign w:val="center"/>
            <w:hideMark/>
          </w:tcPr>
          <w:p w14:paraId="48BAC3E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$107.60 </w:t>
            </w:r>
          </w:p>
        </w:tc>
        <w:tc>
          <w:tcPr>
            <w:tcW w:w="1276" w:type="dxa"/>
            <w:tcBorders>
              <w:top w:val="nil"/>
              <w:left w:val="nil"/>
              <w:bottom w:val="single" w:sz="12" w:space="0" w:color="1E1545"/>
              <w:right w:val="nil"/>
            </w:tcBorders>
            <w:shd w:val="clear" w:color="000000" w:fill="FFFFFF"/>
            <w:noWrap/>
            <w:vAlign w:val="center"/>
            <w:hideMark/>
          </w:tcPr>
          <w:p w14:paraId="3FFA58C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$1,269.48 </w:t>
            </w:r>
          </w:p>
        </w:tc>
        <w:tc>
          <w:tcPr>
            <w:tcW w:w="1134" w:type="dxa"/>
            <w:tcBorders>
              <w:top w:val="nil"/>
              <w:left w:val="nil"/>
              <w:bottom w:val="single" w:sz="12" w:space="0" w:color="1E1545"/>
              <w:right w:val="nil"/>
            </w:tcBorders>
            <w:shd w:val="clear" w:color="000000" w:fill="FFFFFF"/>
            <w:noWrap/>
            <w:vAlign w:val="center"/>
            <w:hideMark/>
          </w:tcPr>
          <w:p w14:paraId="022D68D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$24.49 </w:t>
            </w:r>
          </w:p>
        </w:tc>
        <w:tc>
          <w:tcPr>
            <w:tcW w:w="992" w:type="dxa"/>
            <w:tcBorders>
              <w:top w:val="nil"/>
              <w:left w:val="nil"/>
              <w:bottom w:val="single" w:sz="12" w:space="0" w:color="1E1545"/>
              <w:right w:val="nil"/>
            </w:tcBorders>
            <w:shd w:val="clear" w:color="000000" w:fill="FFFFFF"/>
            <w:noWrap/>
            <w:vAlign w:val="center"/>
            <w:hideMark/>
          </w:tcPr>
          <w:p w14:paraId="231B0A8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4.9%</w:t>
            </w:r>
          </w:p>
        </w:tc>
      </w:tr>
      <w:tr w:rsidR="005869E8" w:rsidRPr="00B93401" w14:paraId="2B3DCE9C"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72CF7B87"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Amortisation</w:t>
            </w:r>
          </w:p>
        </w:tc>
        <w:tc>
          <w:tcPr>
            <w:tcW w:w="1297" w:type="dxa"/>
            <w:tcBorders>
              <w:top w:val="nil"/>
              <w:left w:val="nil"/>
              <w:bottom w:val="single" w:sz="12" w:space="0" w:color="1E1545"/>
              <w:right w:val="nil"/>
            </w:tcBorders>
            <w:shd w:val="clear" w:color="000000" w:fill="FFFFFF"/>
            <w:noWrap/>
            <w:vAlign w:val="center"/>
            <w:hideMark/>
          </w:tcPr>
          <w:p w14:paraId="1CC2D45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$34.20 </w:t>
            </w:r>
          </w:p>
        </w:tc>
        <w:tc>
          <w:tcPr>
            <w:tcW w:w="1254" w:type="dxa"/>
            <w:tcBorders>
              <w:top w:val="nil"/>
              <w:left w:val="nil"/>
              <w:bottom w:val="single" w:sz="12" w:space="0" w:color="1E1545"/>
              <w:right w:val="nil"/>
            </w:tcBorders>
            <w:shd w:val="clear" w:color="000000" w:fill="FFFFFF"/>
            <w:noWrap/>
            <w:vAlign w:val="center"/>
            <w:hideMark/>
          </w:tcPr>
          <w:p w14:paraId="7959EA6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$812.90 </w:t>
            </w:r>
          </w:p>
        </w:tc>
        <w:tc>
          <w:tcPr>
            <w:tcW w:w="1134" w:type="dxa"/>
            <w:tcBorders>
              <w:top w:val="nil"/>
              <w:left w:val="nil"/>
              <w:bottom w:val="single" w:sz="12" w:space="0" w:color="1E1545"/>
              <w:right w:val="nil"/>
            </w:tcBorders>
            <w:shd w:val="clear" w:color="000000" w:fill="FFFFFF"/>
            <w:noWrap/>
            <w:vAlign w:val="center"/>
            <w:hideMark/>
          </w:tcPr>
          <w:p w14:paraId="09821324"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$778.80 </w:t>
            </w:r>
          </w:p>
        </w:tc>
        <w:tc>
          <w:tcPr>
            <w:tcW w:w="1276" w:type="dxa"/>
            <w:tcBorders>
              <w:top w:val="nil"/>
              <w:left w:val="nil"/>
              <w:bottom w:val="single" w:sz="12" w:space="0" w:color="1E1545"/>
              <w:right w:val="nil"/>
            </w:tcBorders>
            <w:shd w:val="clear" w:color="000000" w:fill="FFFFFF"/>
            <w:noWrap/>
            <w:vAlign w:val="center"/>
            <w:hideMark/>
          </w:tcPr>
          <w:p w14:paraId="5E24F5A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$883.24 </w:t>
            </w:r>
          </w:p>
        </w:tc>
        <w:tc>
          <w:tcPr>
            <w:tcW w:w="1134" w:type="dxa"/>
            <w:tcBorders>
              <w:top w:val="nil"/>
              <w:left w:val="nil"/>
              <w:bottom w:val="single" w:sz="12" w:space="0" w:color="1E1545"/>
              <w:right w:val="nil"/>
            </w:tcBorders>
            <w:shd w:val="clear" w:color="000000" w:fill="FFFFFF"/>
            <w:noWrap/>
            <w:vAlign w:val="center"/>
            <w:hideMark/>
          </w:tcPr>
          <w:p w14:paraId="4AF14D54"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$70.32 </w:t>
            </w:r>
          </w:p>
        </w:tc>
        <w:tc>
          <w:tcPr>
            <w:tcW w:w="992" w:type="dxa"/>
            <w:tcBorders>
              <w:top w:val="nil"/>
              <w:left w:val="nil"/>
              <w:bottom w:val="single" w:sz="12" w:space="0" w:color="1E1545"/>
              <w:right w:val="nil"/>
            </w:tcBorders>
            <w:shd w:val="clear" w:color="000000" w:fill="FFFFFF"/>
            <w:noWrap/>
            <w:vAlign w:val="center"/>
            <w:hideMark/>
          </w:tcPr>
          <w:p w14:paraId="26306FC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3.4%</w:t>
            </w:r>
          </w:p>
        </w:tc>
      </w:tr>
      <w:tr w:rsidR="005869E8" w:rsidRPr="00B93401" w14:paraId="7D1C04E1" w14:textId="77777777" w:rsidTr="00901390">
        <w:trPr>
          <w:trHeight w:val="368"/>
        </w:trPr>
        <w:tc>
          <w:tcPr>
            <w:tcW w:w="2127" w:type="dxa"/>
            <w:tcBorders>
              <w:top w:val="nil"/>
              <w:left w:val="nil"/>
              <w:bottom w:val="single" w:sz="12" w:space="0" w:color="1E1545"/>
              <w:right w:val="nil"/>
            </w:tcBorders>
            <w:shd w:val="clear" w:color="000000" w:fill="FFFFFF"/>
            <w:vAlign w:val="center"/>
            <w:hideMark/>
          </w:tcPr>
          <w:p w14:paraId="7D2C06EB" w14:textId="128A7F56"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Rent</w:t>
            </w:r>
          </w:p>
        </w:tc>
        <w:tc>
          <w:tcPr>
            <w:tcW w:w="1297" w:type="dxa"/>
            <w:tcBorders>
              <w:top w:val="nil"/>
              <w:left w:val="nil"/>
              <w:bottom w:val="single" w:sz="12" w:space="0" w:color="1E1545"/>
              <w:right w:val="nil"/>
            </w:tcBorders>
            <w:shd w:val="clear" w:color="000000" w:fill="FFFFFF"/>
            <w:noWrap/>
            <w:vAlign w:val="center"/>
            <w:hideMark/>
          </w:tcPr>
          <w:p w14:paraId="1D1253D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$411.60 </w:t>
            </w:r>
          </w:p>
        </w:tc>
        <w:tc>
          <w:tcPr>
            <w:tcW w:w="1254" w:type="dxa"/>
            <w:tcBorders>
              <w:top w:val="nil"/>
              <w:left w:val="nil"/>
              <w:bottom w:val="single" w:sz="12" w:space="0" w:color="1E1545"/>
              <w:right w:val="nil"/>
            </w:tcBorders>
            <w:shd w:val="clear" w:color="000000" w:fill="FFFFFF"/>
            <w:noWrap/>
            <w:vAlign w:val="center"/>
            <w:hideMark/>
          </w:tcPr>
          <w:p w14:paraId="632648D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$407.20 </w:t>
            </w:r>
          </w:p>
        </w:tc>
        <w:tc>
          <w:tcPr>
            <w:tcW w:w="1134" w:type="dxa"/>
            <w:tcBorders>
              <w:top w:val="nil"/>
              <w:left w:val="nil"/>
              <w:bottom w:val="single" w:sz="12" w:space="0" w:color="1E1545"/>
              <w:right w:val="nil"/>
            </w:tcBorders>
            <w:shd w:val="clear" w:color="000000" w:fill="FFFFFF"/>
            <w:noWrap/>
            <w:vAlign w:val="center"/>
            <w:hideMark/>
          </w:tcPr>
          <w:p w14:paraId="4EC68BF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($4.40)</w:t>
            </w:r>
          </w:p>
        </w:tc>
        <w:tc>
          <w:tcPr>
            <w:tcW w:w="1276" w:type="dxa"/>
            <w:tcBorders>
              <w:top w:val="nil"/>
              <w:left w:val="nil"/>
              <w:bottom w:val="single" w:sz="12" w:space="0" w:color="1E1545"/>
              <w:right w:val="nil"/>
            </w:tcBorders>
            <w:shd w:val="clear" w:color="000000" w:fill="FFFFFF"/>
            <w:noWrap/>
            <w:vAlign w:val="center"/>
            <w:hideMark/>
          </w:tcPr>
          <w:p w14:paraId="31F3A33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$515.41 </w:t>
            </w:r>
          </w:p>
        </w:tc>
        <w:tc>
          <w:tcPr>
            <w:tcW w:w="1134" w:type="dxa"/>
            <w:tcBorders>
              <w:top w:val="nil"/>
              <w:left w:val="nil"/>
              <w:bottom w:val="single" w:sz="12" w:space="0" w:color="1E1545"/>
              <w:right w:val="nil"/>
            </w:tcBorders>
            <w:shd w:val="clear" w:color="000000" w:fill="FFFFFF"/>
            <w:noWrap/>
            <w:vAlign w:val="center"/>
            <w:hideMark/>
          </w:tcPr>
          <w:p w14:paraId="6AC89EA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$108.26 </w:t>
            </w:r>
          </w:p>
        </w:tc>
        <w:tc>
          <w:tcPr>
            <w:tcW w:w="992" w:type="dxa"/>
            <w:tcBorders>
              <w:top w:val="nil"/>
              <w:left w:val="nil"/>
              <w:bottom w:val="single" w:sz="12" w:space="0" w:color="1E1545"/>
              <w:right w:val="nil"/>
            </w:tcBorders>
            <w:shd w:val="clear" w:color="000000" w:fill="FFFFFF"/>
            <w:noWrap/>
            <w:vAlign w:val="center"/>
            <w:hideMark/>
          </w:tcPr>
          <w:p w14:paraId="2D7BB00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2.0%</w:t>
            </w:r>
          </w:p>
        </w:tc>
      </w:tr>
      <w:tr w:rsidR="005869E8" w:rsidRPr="00B93401" w14:paraId="37ADF5A3" w14:textId="77777777" w:rsidTr="00901390">
        <w:trPr>
          <w:trHeight w:val="368"/>
        </w:trPr>
        <w:tc>
          <w:tcPr>
            <w:tcW w:w="2127" w:type="dxa"/>
            <w:tcBorders>
              <w:top w:val="nil"/>
              <w:left w:val="nil"/>
              <w:bottom w:val="single" w:sz="12" w:space="0" w:color="1E1545"/>
              <w:right w:val="nil"/>
            </w:tcBorders>
            <w:shd w:val="clear" w:color="000000" w:fill="FFFFFF"/>
            <w:vAlign w:val="center"/>
            <w:hideMark/>
          </w:tcPr>
          <w:p w14:paraId="36F428DF" w14:textId="1AC97CBB"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Financing interest</w:t>
            </w:r>
            <w:r w:rsidR="002B06FD">
              <w:rPr>
                <w:rFonts w:cs="Arial"/>
                <w:bCs w:val="0"/>
                <w:color w:val="1E1545"/>
                <w:sz w:val="20"/>
                <w:szCs w:val="20"/>
                <w:vertAlign w:val="superscript"/>
                <w:lang w:eastAsia="en-AU"/>
              </w:rPr>
              <w:t>1</w:t>
            </w:r>
          </w:p>
        </w:tc>
        <w:tc>
          <w:tcPr>
            <w:tcW w:w="1297" w:type="dxa"/>
            <w:tcBorders>
              <w:top w:val="nil"/>
              <w:left w:val="nil"/>
              <w:bottom w:val="single" w:sz="12" w:space="0" w:color="1E1545"/>
              <w:right w:val="nil"/>
            </w:tcBorders>
            <w:shd w:val="clear" w:color="000000" w:fill="FFFFFF"/>
            <w:noWrap/>
            <w:vAlign w:val="center"/>
            <w:hideMark/>
          </w:tcPr>
          <w:p w14:paraId="4FD0B3A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$96.70 </w:t>
            </w:r>
          </w:p>
        </w:tc>
        <w:tc>
          <w:tcPr>
            <w:tcW w:w="1254" w:type="dxa"/>
            <w:tcBorders>
              <w:top w:val="nil"/>
              <w:left w:val="nil"/>
              <w:bottom w:val="single" w:sz="12" w:space="0" w:color="1E1545"/>
              <w:right w:val="nil"/>
            </w:tcBorders>
            <w:shd w:val="clear" w:color="000000" w:fill="FFFFFF"/>
            <w:noWrap/>
            <w:vAlign w:val="center"/>
            <w:hideMark/>
          </w:tcPr>
          <w:p w14:paraId="1489C45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$89.30 </w:t>
            </w:r>
          </w:p>
        </w:tc>
        <w:tc>
          <w:tcPr>
            <w:tcW w:w="1134" w:type="dxa"/>
            <w:tcBorders>
              <w:top w:val="nil"/>
              <w:left w:val="nil"/>
              <w:bottom w:val="single" w:sz="12" w:space="0" w:color="1E1545"/>
              <w:right w:val="nil"/>
            </w:tcBorders>
            <w:shd w:val="clear" w:color="000000" w:fill="FFFFFF"/>
            <w:noWrap/>
            <w:vAlign w:val="center"/>
            <w:hideMark/>
          </w:tcPr>
          <w:p w14:paraId="043D5AC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($7.40)</w:t>
            </w:r>
          </w:p>
        </w:tc>
        <w:tc>
          <w:tcPr>
            <w:tcW w:w="1276" w:type="dxa"/>
            <w:tcBorders>
              <w:top w:val="nil"/>
              <w:left w:val="nil"/>
              <w:bottom w:val="single" w:sz="12" w:space="0" w:color="1E1545"/>
              <w:right w:val="nil"/>
            </w:tcBorders>
            <w:shd w:val="clear" w:color="000000" w:fill="FFFFFF"/>
            <w:noWrap/>
            <w:vAlign w:val="center"/>
            <w:hideMark/>
          </w:tcPr>
          <w:p w14:paraId="40D047B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$108.18 </w:t>
            </w:r>
          </w:p>
        </w:tc>
        <w:tc>
          <w:tcPr>
            <w:tcW w:w="1134" w:type="dxa"/>
            <w:tcBorders>
              <w:top w:val="nil"/>
              <w:left w:val="nil"/>
              <w:bottom w:val="single" w:sz="12" w:space="0" w:color="1E1545"/>
              <w:right w:val="nil"/>
            </w:tcBorders>
            <w:shd w:val="clear" w:color="000000" w:fill="FFFFFF"/>
            <w:noWrap/>
            <w:vAlign w:val="center"/>
            <w:hideMark/>
          </w:tcPr>
          <w:p w14:paraId="115C96B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$18.89 </w:t>
            </w:r>
          </w:p>
        </w:tc>
        <w:tc>
          <w:tcPr>
            <w:tcW w:w="992" w:type="dxa"/>
            <w:tcBorders>
              <w:top w:val="nil"/>
              <w:left w:val="nil"/>
              <w:bottom w:val="single" w:sz="12" w:space="0" w:color="1E1545"/>
              <w:right w:val="nil"/>
            </w:tcBorders>
            <w:shd w:val="clear" w:color="000000" w:fill="FFFFFF"/>
            <w:noWrap/>
            <w:vAlign w:val="center"/>
            <w:hideMark/>
          </w:tcPr>
          <w:p w14:paraId="280DE24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0.4%</w:t>
            </w:r>
          </w:p>
        </w:tc>
      </w:tr>
      <w:tr w:rsidR="005869E8" w:rsidRPr="00B93401" w14:paraId="64CFC923"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27B54B21"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w:t>
            </w:r>
          </w:p>
        </w:tc>
        <w:tc>
          <w:tcPr>
            <w:tcW w:w="1297" w:type="dxa"/>
            <w:tcBorders>
              <w:top w:val="nil"/>
              <w:left w:val="nil"/>
              <w:bottom w:val="single" w:sz="12" w:space="0" w:color="1E1545"/>
              <w:right w:val="nil"/>
            </w:tcBorders>
            <w:shd w:val="clear" w:color="000000" w:fill="FFFFFF"/>
            <w:noWrap/>
            <w:vAlign w:val="center"/>
            <w:hideMark/>
          </w:tcPr>
          <w:p w14:paraId="710FED74"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$134.30 </w:t>
            </w:r>
          </w:p>
        </w:tc>
        <w:tc>
          <w:tcPr>
            <w:tcW w:w="1254" w:type="dxa"/>
            <w:tcBorders>
              <w:top w:val="nil"/>
              <w:left w:val="nil"/>
              <w:bottom w:val="single" w:sz="12" w:space="0" w:color="1E1545"/>
              <w:right w:val="nil"/>
            </w:tcBorders>
            <w:shd w:val="clear" w:color="000000" w:fill="FFFFFF"/>
            <w:noWrap/>
            <w:vAlign w:val="center"/>
            <w:hideMark/>
          </w:tcPr>
          <w:p w14:paraId="0B156B6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$179.80 </w:t>
            </w:r>
          </w:p>
        </w:tc>
        <w:tc>
          <w:tcPr>
            <w:tcW w:w="1134" w:type="dxa"/>
            <w:tcBorders>
              <w:top w:val="nil"/>
              <w:left w:val="nil"/>
              <w:bottom w:val="single" w:sz="12" w:space="0" w:color="1E1545"/>
              <w:right w:val="nil"/>
            </w:tcBorders>
            <w:shd w:val="clear" w:color="000000" w:fill="FFFFFF"/>
            <w:noWrap/>
            <w:vAlign w:val="center"/>
            <w:hideMark/>
          </w:tcPr>
          <w:p w14:paraId="4FC56C5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$45.50 </w:t>
            </w:r>
          </w:p>
        </w:tc>
        <w:tc>
          <w:tcPr>
            <w:tcW w:w="1276" w:type="dxa"/>
            <w:tcBorders>
              <w:top w:val="nil"/>
              <w:left w:val="nil"/>
              <w:bottom w:val="single" w:sz="12" w:space="0" w:color="1E1545"/>
              <w:right w:val="nil"/>
            </w:tcBorders>
            <w:shd w:val="clear" w:color="000000" w:fill="FFFFFF"/>
            <w:noWrap/>
            <w:vAlign w:val="center"/>
            <w:hideMark/>
          </w:tcPr>
          <w:p w14:paraId="63DA01F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$171.10 </w:t>
            </w:r>
          </w:p>
        </w:tc>
        <w:tc>
          <w:tcPr>
            <w:tcW w:w="1134" w:type="dxa"/>
            <w:tcBorders>
              <w:top w:val="nil"/>
              <w:left w:val="nil"/>
              <w:bottom w:val="single" w:sz="12" w:space="0" w:color="1E1545"/>
              <w:right w:val="nil"/>
            </w:tcBorders>
            <w:shd w:val="clear" w:color="000000" w:fill="FFFFFF"/>
            <w:noWrap/>
            <w:vAlign w:val="center"/>
            <w:hideMark/>
          </w:tcPr>
          <w:p w14:paraId="3D8B7CE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($8.73)</w:t>
            </w:r>
          </w:p>
        </w:tc>
        <w:tc>
          <w:tcPr>
            <w:tcW w:w="992" w:type="dxa"/>
            <w:tcBorders>
              <w:top w:val="nil"/>
              <w:left w:val="nil"/>
              <w:bottom w:val="single" w:sz="12" w:space="0" w:color="1E1545"/>
              <w:right w:val="nil"/>
            </w:tcBorders>
            <w:shd w:val="clear" w:color="000000" w:fill="FFFFFF"/>
            <w:noWrap/>
            <w:vAlign w:val="center"/>
            <w:hideMark/>
          </w:tcPr>
          <w:p w14:paraId="2B43D85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0.7%</w:t>
            </w:r>
          </w:p>
        </w:tc>
      </w:tr>
      <w:tr w:rsidR="005869E8" w:rsidRPr="00B93401" w14:paraId="357F9F24" w14:textId="77777777" w:rsidTr="00901390">
        <w:trPr>
          <w:trHeight w:val="608"/>
        </w:trPr>
        <w:tc>
          <w:tcPr>
            <w:tcW w:w="2127" w:type="dxa"/>
            <w:tcBorders>
              <w:top w:val="nil"/>
              <w:left w:val="nil"/>
              <w:bottom w:val="single" w:sz="12" w:space="0" w:color="1E1545"/>
              <w:right w:val="nil"/>
            </w:tcBorders>
            <w:shd w:val="clear" w:color="000000" w:fill="D8DADA"/>
            <w:vAlign w:val="center"/>
            <w:hideMark/>
          </w:tcPr>
          <w:p w14:paraId="126438C2"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accommodation and financing expenses</w:t>
            </w:r>
          </w:p>
        </w:tc>
        <w:tc>
          <w:tcPr>
            <w:tcW w:w="1297" w:type="dxa"/>
            <w:tcBorders>
              <w:top w:val="nil"/>
              <w:left w:val="nil"/>
              <w:bottom w:val="single" w:sz="12" w:space="0" w:color="1E1545"/>
              <w:right w:val="nil"/>
            </w:tcBorders>
            <w:shd w:val="clear" w:color="000000" w:fill="D8DADA"/>
            <w:noWrap/>
            <w:vAlign w:val="center"/>
            <w:hideMark/>
          </w:tcPr>
          <w:p w14:paraId="29E21350"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$2,620.80 </w:t>
            </w:r>
          </w:p>
        </w:tc>
        <w:tc>
          <w:tcPr>
            <w:tcW w:w="1254" w:type="dxa"/>
            <w:tcBorders>
              <w:top w:val="nil"/>
              <w:left w:val="nil"/>
              <w:bottom w:val="single" w:sz="12" w:space="0" w:color="1E1545"/>
              <w:right w:val="nil"/>
            </w:tcBorders>
            <w:shd w:val="clear" w:color="000000" w:fill="D8DADA"/>
            <w:noWrap/>
            <w:vAlign w:val="center"/>
            <w:hideMark/>
          </w:tcPr>
          <w:p w14:paraId="610BBDA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$3,514.90 </w:t>
            </w:r>
          </w:p>
        </w:tc>
        <w:tc>
          <w:tcPr>
            <w:tcW w:w="1134" w:type="dxa"/>
            <w:tcBorders>
              <w:top w:val="nil"/>
              <w:left w:val="nil"/>
              <w:bottom w:val="single" w:sz="12" w:space="0" w:color="1E1545"/>
              <w:right w:val="nil"/>
            </w:tcBorders>
            <w:shd w:val="clear" w:color="000000" w:fill="D8DADA"/>
            <w:noWrap/>
            <w:vAlign w:val="center"/>
            <w:hideMark/>
          </w:tcPr>
          <w:p w14:paraId="1A7878F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$894.10 </w:t>
            </w:r>
          </w:p>
        </w:tc>
        <w:tc>
          <w:tcPr>
            <w:tcW w:w="1276" w:type="dxa"/>
            <w:tcBorders>
              <w:top w:val="nil"/>
              <w:left w:val="nil"/>
              <w:bottom w:val="single" w:sz="12" w:space="0" w:color="1E1545"/>
              <w:right w:val="nil"/>
            </w:tcBorders>
            <w:shd w:val="clear" w:color="000000" w:fill="D8DADA"/>
            <w:noWrap/>
            <w:vAlign w:val="center"/>
            <w:hideMark/>
          </w:tcPr>
          <w:p w14:paraId="1AC5F493"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$3,784.61 </w:t>
            </w:r>
          </w:p>
        </w:tc>
        <w:tc>
          <w:tcPr>
            <w:tcW w:w="1134" w:type="dxa"/>
            <w:tcBorders>
              <w:top w:val="nil"/>
              <w:left w:val="nil"/>
              <w:bottom w:val="single" w:sz="12" w:space="0" w:color="1E1545"/>
              <w:right w:val="nil"/>
            </w:tcBorders>
            <w:shd w:val="clear" w:color="000000" w:fill="D8DADA"/>
            <w:noWrap/>
            <w:vAlign w:val="center"/>
            <w:hideMark/>
          </w:tcPr>
          <w:p w14:paraId="3744788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$269.69 </w:t>
            </w:r>
          </w:p>
        </w:tc>
        <w:tc>
          <w:tcPr>
            <w:tcW w:w="992" w:type="dxa"/>
            <w:tcBorders>
              <w:top w:val="nil"/>
              <w:left w:val="nil"/>
              <w:bottom w:val="single" w:sz="12" w:space="0" w:color="1E1545"/>
              <w:right w:val="nil"/>
            </w:tcBorders>
            <w:shd w:val="clear" w:color="000000" w:fill="D8DADA"/>
            <w:noWrap/>
            <w:vAlign w:val="center"/>
            <w:hideMark/>
          </w:tcPr>
          <w:p w14:paraId="58CFC32E"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14.6%</w:t>
            </w:r>
          </w:p>
        </w:tc>
      </w:tr>
      <w:tr w:rsidR="005869E8" w:rsidRPr="00B93401" w14:paraId="7B970A40"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7C090356"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Hotel</w:t>
            </w:r>
          </w:p>
        </w:tc>
        <w:tc>
          <w:tcPr>
            <w:tcW w:w="1297" w:type="dxa"/>
            <w:tcBorders>
              <w:top w:val="nil"/>
              <w:left w:val="nil"/>
              <w:bottom w:val="single" w:sz="12" w:space="0" w:color="1E1545"/>
              <w:right w:val="nil"/>
            </w:tcBorders>
            <w:shd w:val="clear" w:color="000000" w:fill="D8DADA"/>
            <w:noWrap/>
            <w:vAlign w:val="center"/>
            <w:hideMark/>
          </w:tcPr>
          <w:p w14:paraId="00D20397"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13E06963"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2337B0E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2A8ADDF5"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2C71D323"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25BDC0B8"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r>
      <w:tr w:rsidR="005869E8" w:rsidRPr="00B93401" w14:paraId="2435DB69"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6C7132AB"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Employee expenses</w:t>
            </w:r>
          </w:p>
        </w:tc>
        <w:tc>
          <w:tcPr>
            <w:tcW w:w="1297" w:type="dxa"/>
            <w:tcBorders>
              <w:top w:val="nil"/>
              <w:left w:val="nil"/>
              <w:bottom w:val="single" w:sz="12" w:space="0" w:color="1E1545"/>
              <w:right w:val="nil"/>
            </w:tcBorders>
            <w:shd w:val="clear" w:color="000000" w:fill="FFFFFF"/>
            <w:noWrap/>
            <w:vAlign w:val="center"/>
            <w:hideMark/>
          </w:tcPr>
          <w:p w14:paraId="4DB1C4A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$1,899.80 </w:t>
            </w:r>
          </w:p>
        </w:tc>
        <w:tc>
          <w:tcPr>
            <w:tcW w:w="1254" w:type="dxa"/>
            <w:tcBorders>
              <w:top w:val="nil"/>
              <w:left w:val="nil"/>
              <w:bottom w:val="single" w:sz="12" w:space="0" w:color="1E1545"/>
              <w:right w:val="nil"/>
            </w:tcBorders>
            <w:shd w:val="clear" w:color="000000" w:fill="FFFFFF"/>
            <w:noWrap/>
            <w:vAlign w:val="center"/>
            <w:hideMark/>
          </w:tcPr>
          <w:p w14:paraId="37D12DB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$1,966.90 </w:t>
            </w:r>
          </w:p>
        </w:tc>
        <w:tc>
          <w:tcPr>
            <w:tcW w:w="1134" w:type="dxa"/>
            <w:tcBorders>
              <w:top w:val="nil"/>
              <w:left w:val="nil"/>
              <w:bottom w:val="single" w:sz="12" w:space="0" w:color="1E1545"/>
              <w:right w:val="nil"/>
            </w:tcBorders>
            <w:shd w:val="clear" w:color="000000" w:fill="FFFFFF"/>
            <w:noWrap/>
            <w:vAlign w:val="center"/>
            <w:hideMark/>
          </w:tcPr>
          <w:p w14:paraId="6ED41F3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$67.20 </w:t>
            </w:r>
          </w:p>
        </w:tc>
        <w:tc>
          <w:tcPr>
            <w:tcW w:w="1276" w:type="dxa"/>
            <w:tcBorders>
              <w:top w:val="nil"/>
              <w:left w:val="nil"/>
              <w:bottom w:val="single" w:sz="12" w:space="0" w:color="1E1545"/>
              <w:right w:val="nil"/>
            </w:tcBorders>
            <w:shd w:val="clear" w:color="000000" w:fill="FFFFFF"/>
            <w:noWrap/>
            <w:vAlign w:val="center"/>
            <w:hideMark/>
          </w:tcPr>
          <w:p w14:paraId="5ABEA1B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$2,074.57 </w:t>
            </w:r>
          </w:p>
        </w:tc>
        <w:tc>
          <w:tcPr>
            <w:tcW w:w="1134" w:type="dxa"/>
            <w:tcBorders>
              <w:top w:val="nil"/>
              <w:left w:val="nil"/>
              <w:bottom w:val="single" w:sz="12" w:space="0" w:color="1E1545"/>
              <w:right w:val="nil"/>
            </w:tcBorders>
            <w:shd w:val="clear" w:color="000000" w:fill="FFFFFF"/>
            <w:noWrap/>
            <w:vAlign w:val="center"/>
            <w:hideMark/>
          </w:tcPr>
          <w:p w14:paraId="5E4E41B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$107.62 </w:t>
            </w:r>
          </w:p>
        </w:tc>
        <w:tc>
          <w:tcPr>
            <w:tcW w:w="992" w:type="dxa"/>
            <w:tcBorders>
              <w:top w:val="nil"/>
              <w:left w:val="nil"/>
              <w:bottom w:val="single" w:sz="12" w:space="0" w:color="1E1545"/>
              <w:right w:val="nil"/>
            </w:tcBorders>
            <w:shd w:val="clear" w:color="000000" w:fill="FFFFFF"/>
            <w:noWrap/>
            <w:vAlign w:val="center"/>
            <w:hideMark/>
          </w:tcPr>
          <w:p w14:paraId="7B3B123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8.0%</w:t>
            </w:r>
          </w:p>
        </w:tc>
      </w:tr>
      <w:tr w:rsidR="005869E8" w:rsidRPr="00B93401" w14:paraId="3561B788"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412F1D7E"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Contracted services</w:t>
            </w:r>
          </w:p>
        </w:tc>
        <w:tc>
          <w:tcPr>
            <w:tcW w:w="1297" w:type="dxa"/>
            <w:tcBorders>
              <w:top w:val="nil"/>
              <w:left w:val="nil"/>
              <w:bottom w:val="single" w:sz="12" w:space="0" w:color="1E1545"/>
              <w:right w:val="nil"/>
            </w:tcBorders>
            <w:shd w:val="clear" w:color="000000" w:fill="FFFFFF"/>
            <w:noWrap/>
            <w:vAlign w:val="center"/>
            <w:hideMark/>
          </w:tcPr>
          <w:p w14:paraId="478B362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$651.00 </w:t>
            </w:r>
          </w:p>
        </w:tc>
        <w:tc>
          <w:tcPr>
            <w:tcW w:w="1254" w:type="dxa"/>
            <w:tcBorders>
              <w:top w:val="nil"/>
              <w:left w:val="nil"/>
              <w:bottom w:val="single" w:sz="12" w:space="0" w:color="1E1545"/>
              <w:right w:val="nil"/>
            </w:tcBorders>
            <w:shd w:val="clear" w:color="000000" w:fill="FFFFFF"/>
            <w:noWrap/>
            <w:vAlign w:val="center"/>
            <w:hideMark/>
          </w:tcPr>
          <w:p w14:paraId="42A945A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$678.10 </w:t>
            </w:r>
          </w:p>
        </w:tc>
        <w:tc>
          <w:tcPr>
            <w:tcW w:w="1134" w:type="dxa"/>
            <w:tcBorders>
              <w:top w:val="nil"/>
              <w:left w:val="nil"/>
              <w:bottom w:val="single" w:sz="12" w:space="0" w:color="1E1545"/>
              <w:right w:val="nil"/>
            </w:tcBorders>
            <w:shd w:val="clear" w:color="000000" w:fill="FFFFFF"/>
            <w:noWrap/>
            <w:vAlign w:val="center"/>
            <w:hideMark/>
          </w:tcPr>
          <w:p w14:paraId="72E2803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$27.10 </w:t>
            </w:r>
          </w:p>
        </w:tc>
        <w:tc>
          <w:tcPr>
            <w:tcW w:w="1276" w:type="dxa"/>
            <w:tcBorders>
              <w:top w:val="nil"/>
              <w:left w:val="nil"/>
              <w:bottom w:val="single" w:sz="12" w:space="0" w:color="1E1545"/>
              <w:right w:val="nil"/>
            </w:tcBorders>
            <w:shd w:val="clear" w:color="000000" w:fill="FFFFFF"/>
            <w:noWrap/>
            <w:vAlign w:val="center"/>
            <w:hideMark/>
          </w:tcPr>
          <w:p w14:paraId="765EC38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$678.68 </w:t>
            </w:r>
          </w:p>
        </w:tc>
        <w:tc>
          <w:tcPr>
            <w:tcW w:w="1134" w:type="dxa"/>
            <w:tcBorders>
              <w:top w:val="nil"/>
              <w:left w:val="nil"/>
              <w:bottom w:val="single" w:sz="12" w:space="0" w:color="1E1545"/>
              <w:right w:val="nil"/>
            </w:tcBorders>
            <w:shd w:val="clear" w:color="000000" w:fill="FFFFFF"/>
            <w:noWrap/>
            <w:vAlign w:val="center"/>
            <w:hideMark/>
          </w:tcPr>
          <w:p w14:paraId="2C801FB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$0.53 </w:t>
            </w:r>
          </w:p>
        </w:tc>
        <w:tc>
          <w:tcPr>
            <w:tcW w:w="992" w:type="dxa"/>
            <w:tcBorders>
              <w:top w:val="nil"/>
              <w:left w:val="nil"/>
              <w:bottom w:val="single" w:sz="12" w:space="0" w:color="1E1545"/>
              <w:right w:val="nil"/>
            </w:tcBorders>
            <w:shd w:val="clear" w:color="000000" w:fill="FFFFFF"/>
            <w:noWrap/>
            <w:vAlign w:val="center"/>
            <w:hideMark/>
          </w:tcPr>
          <w:p w14:paraId="4A4E355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2.6%</w:t>
            </w:r>
          </w:p>
        </w:tc>
      </w:tr>
      <w:tr w:rsidR="005869E8" w:rsidRPr="00B93401" w14:paraId="4789B728" w14:textId="77777777" w:rsidTr="00901390">
        <w:trPr>
          <w:trHeight w:val="368"/>
        </w:trPr>
        <w:tc>
          <w:tcPr>
            <w:tcW w:w="2127" w:type="dxa"/>
            <w:tcBorders>
              <w:top w:val="nil"/>
              <w:left w:val="nil"/>
              <w:bottom w:val="single" w:sz="12" w:space="0" w:color="1E1545"/>
              <w:right w:val="nil"/>
            </w:tcBorders>
            <w:shd w:val="clear" w:color="000000" w:fill="FFFFFF"/>
            <w:vAlign w:val="center"/>
            <w:hideMark/>
          </w:tcPr>
          <w:p w14:paraId="00CA9D39" w14:textId="3E4C4B7E"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Utilities</w:t>
            </w:r>
            <w:r w:rsidR="002B06FD">
              <w:rPr>
                <w:rFonts w:cs="Arial"/>
                <w:bCs w:val="0"/>
                <w:color w:val="313131"/>
                <w:sz w:val="20"/>
                <w:szCs w:val="20"/>
                <w:vertAlign w:val="superscript"/>
                <w:lang w:eastAsia="en-AU"/>
              </w:rPr>
              <w:t>2</w:t>
            </w:r>
          </w:p>
        </w:tc>
        <w:tc>
          <w:tcPr>
            <w:tcW w:w="1297" w:type="dxa"/>
            <w:tcBorders>
              <w:top w:val="nil"/>
              <w:left w:val="nil"/>
              <w:bottom w:val="single" w:sz="12" w:space="0" w:color="1E1545"/>
              <w:right w:val="nil"/>
            </w:tcBorders>
            <w:shd w:val="clear" w:color="000000" w:fill="FFFFFF"/>
            <w:noWrap/>
            <w:vAlign w:val="center"/>
            <w:hideMark/>
          </w:tcPr>
          <w:p w14:paraId="77FE4BC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$459.30 </w:t>
            </w:r>
          </w:p>
        </w:tc>
        <w:tc>
          <w:tcPr>
            <w:tcW w:w="1254" w:type="dxa"/>
            <w:tcBorders>
              <w:top w:val="nil"/>
              <w:left w:val="nil"/>
              <w:bottom w:val="single" w:sz="12" w:space="0" w:color="1E1545"/>
              <w:right w:val="nil"/>
            </w:tcBorders>
            <w:shd w:val="clear" w:color="000000" w:fill="FFFFFF"/>
            <w:noWrap/>
            <w:vAlign w:val="center"/>
            <w:hideMark/>
          </w:tcPr>
          <w:p w14:paraId="71ACFFD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$474.60 </w:t>
            </w:r>
          </w:p>
        </w:tc>
        <w:tc>
          <w:tcPr>
            <w:tcW w:w="1134" w:type="dxa"/>
            <w:tcBorders>
              <w:top w:val="nil"/>
              <w:left w:val="nil"/>
              <w:bottom w:val="single" w:sz="12" w:space="0" w:color="1E1545"/>
              <w:right w:val="nil"/>
            </w:tcBorders>
            <w:shd w:val="clear" w:color="000000" w:fill="FFFFFF"/>
            <w:noWrap/>
            <w:vAlign w:val="center"/>
            <w:hideMark/>
          </w:tcPr>
          <w:p w14:paraId="14E06AB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$15.30 </w:t>
            </w:r>
          </w:p>
        </w:tc>
        <w:tc>
          <w:tcPr>
            <w:tcW w:w="1276" w:type="dxa"/>
            <w:tcBorders>
              <w:top w:val="nil"/>
              <w:left w:val="nil"/>
              <w:bottom w:val="single" w:sz="12" w:space="0" w:color="1E1545"/>
              <w:right w:val="nil"/>
            </w:tcBorders>
            <w:shd w:val="clear" w:color="000000" w:fill="FFFFFF"/>
            <w:noWrap/>
            <w:vAlign w:val="center"/>
            <w:hideMark/>
          </w:tcPr>
          <w:p w14:paraId="006AFFE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$501.33 </w:t>
            </w:r>
          </w:p>
        </w:tc>
        <w:tc>
          <w:tcPr>
            <w:tcW w:w="1134" w:type="dxa"/>
            <w:tcBorders>
              <w:top w:val="nil"/>
              <w:left w:val="nil"/>
              <w:bottom w:val="single" w:sz="12" w:space="0" w:color="1E1545"/>
              <w:right w:val="nil"/>
            </w:tcBorders>
            <w:shd w:val="clear" w:color="000000" w:fill="FFFFFF"/>
            <w:noWrap/>
            <w:vAlign w:val="center"/>
            <w:hideMark/>
          </w:tcPr>
          <w:p w14:paraId="23E8A38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$26.69 </w:t>
            </w:r>
          </w:p>
        </w:tc>
        <w:tc>
          <w:tcPr>
            <w:tcW w:w="992" w:type="dxa"/>
            <w:tcBorders>
              <w:top w:val="nil"/>
              <w:left w:val="nil"/>
              <w:bottom w:val="single" w:sz="12" w:space="0" w:color="1E1545"/>
              <w:right w:val="nil"/>
            </w:tcBorders>
            <w:shd w:val="clear" w:color="000000" w:fill="FFFFFF"/>
            <w:noWrap/>
            <w:vAlign w:val="center"/>
            <w:hideMark/>
          </w:tcPr>
          <w:p w14:paraId="2ED54A2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1.9%</w:t>
            </w:r>
          </w:p>
        </w:tc>
      </w:tr>
      <w:tr w:rsidR="005869E8" w:rsidRPr="00B93401" w14:paraId="47B818A9"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09444F97"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w:t>
            </w:r>
          </w:p>
        </w:tc>
        <w:tc>
          <w:tcPr>
            <w:tcW w:w="1297" w:type="dxa"/>
            <w:tcBorders>
              <w:top w:val="nil"/>
              <w:left w:val="nil"/>
              <w:bottom w:val="single" w:sz="12" w:space="0" w:color="1E1545"/>
              <w:right w:val="nil"/>
            </w:tcBorders>
            <w:shd w:val="clear" w:color="000000" w:fill="FFFFFF"/>
            <w:noWrap/>
            <w:vAlign w:val="center"/>
            <w:hideMark/>
          </w:tcPr>
          <w:p w14:paraId="1CAE0BC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$833.00 </w:t>
            </w:r>
          </w:p>
        </w:tc>
        <w:tc>
          <w:tcPr>
            <w:tcW w:w="1254" w:type="dxa"/>
            <w:tcBorders>
              <w:top w:val="nil"/>
              <w:left w:val="nil"/>
              <w:bottom w:val="single" w:sz="12" w:space="0" w:color="1E1545"/>
              <w:right w:val="nil"/>
            </w:tcBorders>
            <w:shd w:val="clear" w:color="000000" w:fill="FFFFFF"/>
            <w:noWrap/>
            <w:vAlign w:val="center"/>
            <w:hideMark/>
          </w:tcPr>
          <w:p w14:paraId="5C05B1E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$877.00 </w:t>
            </w:r>
          </w:p>
        </w:tc>
        <w:tc>
          <w:tcPr>
            <w:tcW w:w="1134" w:type="dxa"/>
            <w:tcBorders>
              <w:top w:val="nil"/>
              <w:left w:val="nil"/>
              <w:bottom w:val="single" w:sz="12" w:space="0" w:color="1E1545"/>
              <w:right w:val="nil"/>
            </w:tcBorders>
            <w:shd w:val="clear" w:color="000000" w:fill="FFFFFF"/>
            <w:noWrap/>
            <w:vAlign w:val="center"/>
            <w:hideMark/>
          </w:tcPr>
          <w:p w14:paraId="6187772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$44.00 </w:t>
            </w:r>
          </w:p>
        </w:tc>
        <w:tc>
          <w:tcPr>
            <w:tcW w:w="1276" w:type="dxa"/>
            <w:tcBorders>
              <w:top w:val="nil"/>
              <w:left w:val="nil"/>
              <w:bottom w:val="single" w:sz="12" w:space="0" w:color="1E1545"/>
              <w:right w:val="nil"/>
            </w:tcBorders>
            <w:shd w:val="clear" w:color="000000" w:fill="FFFFFF"/>
            <w:noWrap/>
            <w:vAlign w:val="center"/>
            <w:hideMark/>
          </w:tcPr>
          <w:p w14:paraId="24F3443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$990.46 </w:t>
            </w:r>
          </w:p>
        </w:tc>
        <w:tc>
          <w:tcPr>
            <w:tcW w:w="1134" w:type="dxa"/>
            <w:tcBorders>
              <w:top w:val="nil"/>
              <w:left w:val="nil"/>
              <w:bottom w:val="single" w:sz="12" w:space="0" w:color="1E1545"/>
              <w:right w:val="nil"/>
            </w:tcBorders>
            <w:shd w:val="clear" w:color="000000" w:fill="FFFFFF"/>
            <w:noWrap/>
            <w:vAlign w:val="center"/>
            <w:hideMark/>
          </w:tcPr>
          <w:p w14:paraId="238D20D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$113.46 </w:t>
            </w:r>
          </w:p>
        </w:tc>
        <w:tc>
          <w:tcPr>
            <w:tcW w:w="992" w:type="dxa"/>
            <w:tcBorders>
              <w:top w:val="nil"/>
              <w:left w:val="nil"/>
              <w:bottom w:val="single" w:sz="12" w:space="0" w:color="1E1545"/>
              <w:right w:val="nil"/>
            </w:tcBorders>
            <w:shd w:val="clear" w:color="000000" w:fill="FFFFFF"/>
            <w:noWrap/>
            <w:vAlign w:val="center"/>
            <w:hideMark/>
          </w:tcPr>
          <w:p w14:paraId="7832962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3.8%</w:t>
            </w:r>
          </w:p>
        </w:tc>
      </w:tr>
      <w:tr w:rsidR="005869E8" w:rsidRPr="00B93401" w14:paraId="0545C7A6"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7C96DCD7"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hotel expenses</w:t>
            </w:r>
          </w:p>
        </w:tc>
        <w:tc>
          <w:tcPr>
            <w:tcW w:w="1297" w:type="dxa"/>
            <w:tcBorders>
              <w:top w:val="nil"/>
              <w:left w:val="nil"/>
              <w:bottom w:val="single" w:sz="12" w:space="0" w:color="1E1545"/>
              <w:right w:val="nil"/>
            </w:tcBorders>
            <w:shd w:val="clear" w:color="000000" w:fill="D8DADA"/>
            <w:noWrap/>
            <w:vAlign w:val="center"/>
            <w:hideMark/>
          </w:tcPr>
          <w:p w14:paraId="42A30EF4"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$3,843.10 </w:t>
            </w:r>
          </w:p>
        </w:tc>
        <w:tc>
          <w:tcPr>
            <w:tcW w:w="1254" w:type="dxa"/>
            <w:tcBorders>
              <w:top w:val="nil"/>
              <w:left w:val="nil"/>
              <w:bottom w:val="single" w:sz="12" w:space="0" w:color="1E1545"/>
              <w:right w:val="nil"/>
            </w:tcBorders>
            <w:shd w:val="clear" w:color="000000" w:fill="D8DADA"/>
            <w:noWrap/>
            <w:vAlign w:val="center"/>
            <w:hideMark/>
          </w:tcPr>
          <w:p w14:paraId="0481816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$3,996.70 </w:t>
            </w:r>
          </w:p>
        </w:tc>
        <w:tc>
          <w:tcPr>
            <w:tcW w:w="1134" w:type="dxa"/>
            <w:tcBorders>
              <w:top w:val="nil"/>
              <w:left w:val="nil"/>
              <w:bottom w:val="single" w:sz="12" w:space="0" w:color="1E1545"/>
              <w:right w:val="nil"/>
            </w:tcBorders>
            <w:shd w:val="clear" w:color="000000" w:fill="D8DADA"/>
            <w:noWrap/>
            <w:vAlign w:val="center"/>
            <w:hideMark/>
          </w:tcPr>
          <w:p w14:paraId="774D3EC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$153.60 </w:t>
            </w:r>
          </w:p>
        </w:tc>
        <w:tc>
          <w:tcPr>
            <w:tcW w:w="1276" w:type="dxa"/>
            <w:tcBorders>
              <w:top w:val="nil"/>
              <w:left w:val="nil"/>
              <w:bottom w:val="single" w:sz="12" w:space="0" w:color="1E1545"/>
              <w:right w:val="nil"/>
            </w:tcBorders>
            <w:shd w:val="clear" w:color="000000" w:fill="D8DADA"/>
            <w:noWrap/>
            <w:vAlign w:val="center"/>
            <w:hideMark/>
          </w:tcPr>
          <w:p w14:paraId="696F332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$4,245.04 </w:t>
            </w:r>
          </w:p>
        </w:tc>
        <w:tc>
          <w:tcPr>
            <w:tcW w:w="1134" w:type="dxa"/>
            <w:tcBorders>
              <w:top w:val="nil"/>
              <w:left w:val="nil"/>
              <w:bottom w:val="single" w:sz="12" w:space="0" w:color="1E1545"/>
              <w:right w:val="nil"/>
            </w:tcBorders>
            <w:shd w:val="clear" w:color="000000" w:fill="D8DADA"/>
            <w:noWrap/>
            <w:vAlign w:val="center"/>
            <w:hideMark/>
          </w:tcPr>
          <w:p w14:paraId="6A09988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$248.30 </w:t>
            </w:r>
          </w:p>
        </w:tc>
        <w:tc>
          <w:tcPr>
            <w:tcW w:w="992" w:type="dxa"/>
            <w:tcBorders>
              <w:top w:val="nil"/>
              <w:left w:val="nil"/>
              <w:bottom w:val="single" w:sz="12" w:space="0" w:color="1E1545"/>
              <w:right w:val="nil"/>
            </w:tcBorders>
            <w:shd w:val="clear" w:color="000000" w:fill="D8DADA"/>
            <w:noWrap/>
            <w:vAlign w:val="center"/>
            <w:hideMark/>
          </w:tcPr>
          <w:p w14:paraId="0D2CA86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16.3%</w:t>
            </w:r>
          </w:p>
        </w:tc>
      </w:tr>
      <w:tr w:rsidR="005869E8" w:rsidRPr="00B93401" w14:paraId="5681B772"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6108D650"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Administration</w:t>
            </w:r>
          </w:p>
        </w:tc>
        <w:tc>
          <w:tcPr>
            <w:tcW w:w="1297" w:type="dxa"/>
            <w:tcBorders>
              <w:top w:val="nil"/>
              <w:left w:val="nil"/>
              <w:bottom w:val="single" w:sz="12" w:space="0" w:color="1E1545"/>
              <w:right w:val="nil"/>
            </w:tcBorders>
            <w:shd w:val="clear" w:color="000000" w:fill="D8DADA"/>
            <w:noWrap/>
            <w:vAlign w:val="center"/>
            <w:hideMark/>
          </w:tcPr>
          <w:p w14:paraId="2B129EF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04686244"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338E6E98"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7A359748"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74F98BB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24727866"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r>
      <w:tr w:rsidR="005869E8" w:rsidRPr="00B93401" w14:paraId="1F3E3BE5"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49677AD0"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Employee expenses</w:t>
            </w:r>
          </w:p>
        </w:tc>
        <w:tc>
          <w:tcPr>
            <w:tcW w:w="1297" w:type="dxa"/>
            <w:tcBorders>
              <w:top w:val="nil"/>
              <w:left w:val="nil"/>
              <w:bottom w:val="single" w:sz="12" w:space="0" w:color="1E1545"/>
              <w:right w:val="nil"/>
            </w:tcBorders>
            <w:shd w:val="clear" w:color="000000" w:fill="FFFFFF"/>
            <w:noWrap/>
            <w:vAlign w:val="center"/>
            <w:hideMark/>
          </w:tcPr>
          <w:p w14:paraId="21DF54B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$711.40 </w:t>
            </w:r>
          </w:p>
        </w:tc>
        <w:tc>
          <w:tcPr>
            <w:tcW w:w="1254" w:type="dxa"/>
            <w:tcBorders>
              <w:top w:val="nil"/>
              <w:left w:val="nil"/>
              <w:bottom w:val="single" w:sz="12" w:space="0" w:color="1E1545"/>
              <w:right w:val="nil"/>
            </w:tcBorders>
            <w:shd w:val="clear" w:color="000000" w:fill="FFFFFF"/>
            <w:noWrap/>
            <w:vAlign w:val="center"/>
            <w:hideMark/>
          </w:tcPr>
          <w:p w14:paraId="0FC160C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$811.40 </w:t>
            </w:r>
          </w:p>
        </w:tc>
        <w:tc>
          <w:tcPr>
            <w:tcW w:w="1134" w:type="dxa"/>
            <w:tcBorders>
              <w:top w:val="nil"/>
              <w:left w:val="nil"/>
              <w:bottom w:val="single" w:sz="12" w:space="0" w:color="1E1545"/>
              <w:right w:val="nil"/>
            </w:tcBorders>
            <w:shd w:val="clear" w:color="000000" w:fill="FFFFFF"/>
            <w:noWrap/>
            <w:vAlign w:val="center"/>
            <w:hideMark/>
          </w:tcPr>
          <w:p w14:paraId="08A953A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$100.00 </w:t>
            </w:r>
          </w:p>
        </w:tc>
        <w:tc>
          <w:tcPr>
            <w:tcW w:w="1276" w:type="dxa"/>
            <w:tcBorders>
              <w:top w:val="nil"/>
              <w:left w:val="nil"/>
              <w:bottom w:val="single" w:sz="12" w:space="0" w:color="1E1545"/>
              <w:right w:val="nil"/>
            </w:tcBorders>
            <w:shd w:val="clear" w:color="000000" w:fill="FFFFFF"/>
            <w:noWrap/>
            <w:vAlign w:val="center"/>
            <w:hideMark/>
          </w:tcPr>
          <w:p w14:paraId="62FC214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$833.86 </w:t>
            </w:r>
          </w:p>
        </w:tc>
        <w:tc>
          <w:tcPr>
            <w:tcW w:w="1134" w:type="dxa"/>
            <w:tcBorders>
              <w:top w:val="nil"/>
              <w:left w:val="nil"/>
              <w:bottom w:val="single" w:sz="12" w:space="0" w:color="1E1545"/>
              <w:right w:val="nil"/>
            </w:tcBorders>
            <w:shd w:val="clear" w:color="000000" w:fill="FFFFFF"/>
            <w:noWrap/>
            <w:vAlign w:val="center"/>
            <w:hideMark/>
          </w:tcPr>
          <w:p w14:paraId="7D96D18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$22.50 </w:t>
            </w:r>
          </w:p>
        </w:tc>
        <w:tc>
          <w:tcPr>
            <w:tcW w:w="992" w:type="dxa"/>
            <w:tcBorders>
              <w:top w:val="nil"/>
              <w:left w:val="nil"/>
              <w:bottom w:val="single" w:sz="12" w:space="0" w:color="1E1545"/>
              <w:right w:val="nil"/>
            </w:tcBorders>
            <w:shd w:val="clear" w:color="000000" w:fill="FFFFFF"/>
            <w:noWrap/>
            <w:vAlign w:val="center"/>
            <w:hideMark/>
          </w:tcPr>
          <w:p w14:paraId="1DF01AB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3.2%</w:t>
            </w:r>
          </w:p>
        </w:tc>
      </w:tr>
      <w:tr w:rsidR="005869E8" w:rsidRPr="00B93401" w14:paraId="471B24FB" w14:textId="77777777" w:rsidTr="00901390">
        <w:trPr>
          <w:trHeight w:val="368"/>
        </w:trPr>
        <w:tc>
          <w:tcPr>
            <w:tcW w:w="2127" w:type="dxa"/>
            <w:tcBorders>
              <w:top w:val="nil"/>
              <w:left w:val="nil"/>
              <w:bottom w:val="single" w:sz="12" w:space="0" w:color="1E1545"/>
              <w:right w:val="nil"/>
            </w:tcBorders>
            <w:shd w:val="clear" w:color="000000" w:fill="FFFFFF"/>
            <w:vAlign w:val="center"/>
            <w:hideMark/>
          </w:tcPr>
          <w:p w14:paraId="318C905E" w14:textId="1E1C4F33"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Management fees</w:t>
            </w:r>
            <w:r w:rsidR="002B06FD">
              <w:rPr>
                <w:rFonts w:cs="Arial"/>
                <w:bCs w:val="0"/>
                <w:color w:val="1E1545"/>
                <w:sz w:val="20"/>
                <w:szCs w:val="20"/>
                <w:vertAlign w:val="superscript"/>
                <w:lang w:eastAsia="en-AU"/>
              </w:rPr>
              <w:t>3</w:t>
            </w:r>
          </w:p>
        </w:tc>
        <w:tc>
          <w:tcPr>
            <w:tcW w:w="1297" w:type="dxa"/>
            <w:tcBorders>
              <w:top w:val="nil"/>
              <w:left w:val="nil"/>
              <w:bottom w:val="single" w:sz="12" w:space="0" w:color="1E1545"/>
              <w:right w:val="nil"/>
            </w:tcBorders>
            <w:shd w:val="clear" w:color="000000" w:fill="FFFFFF"/>
            <w:noWrap/>
            <w:vAlign w:val="center"/>
            <w:hideMark/>
          </w:tcPr>
          <w:p w14:paraId="788B274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$1,325.50 </w:t>
            </w:r>
          </w:p>
        </w:tc>
        <w:tc>
          <w:tcPr>
            <w:tcW w:w="1254" w:type="dxa"/>
            <w:tcBorders>
              <w:top w:val="nil"/>
              <w:left w:val="nil"/>
              <w:bottom w:val="single" w:sz="12" w:space="0" w:color="1E1545"/>
              <w:right w:val="nil"/>
            </w:tcBorders>
            <w:shd w:val="clear" w:color="000000" w:fill="FFFFFF"/>
            <w:noWrap/>
            <w:vAlign w:val="center"/>
            <w:hideMark/>
          </w:tcPr>
          <w:p w14:paraId="0D6E094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$1,529.60 </w:t>
            </w:r>
          </w:p>
        </w:tc>
        <w:tc>
          <w:tcPr>
            <w:tcW w:w="1134" w:type="dxa"/>
            <w:tcBorders>
              <w:top w:val="nil"/>
              <w:left w:val="nil"/>
              <w:bottom w:val="single" w:sz="12" w:space="0" w:color="1E1545"/>
              <w:right w:val="nil"/>
            </w:tcBorders>
            <w:shd w:val="clear" w:color="000000" w:fill="FFFFFF"/>
            <w:noWrap/>
            <w:vAlign w:val="center"/>
            <w:hideMark/>
          </w:tcPr>
          <w:p w14:paraId="5166139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$204.10 </w:t>
            </w:r>
          </w:p>
        </w:tc>
        <w:tc>
          <w:tcPr>
            <w:tcW w:w="1276" w:type="dxa"/>
            <w:tcBorders>
              <w:top w:val="nil"/>
              <w:left w:val="nil"/>
              <w:bottom w:val="single" w:sz="12" w:space="0" w:color="1E1545"/>
              <w:right w:val="nil"/>
            </w:tcBorders>
            <w:shd w:val="clear" w:color="000000" w:fill="FFFFFF"/>
            <w:noWrap/>
            <w:vAlign w:val="center"/>
            <w:hideMark/>
          </w:tcPr>
          <w:p w14:paraId="540AC0A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$1,629.65 </w:t>
            </w:r>
          </w:p>
        </w:tc>
        <w:tc>
          <w:tcPr>
            <w:tcW w:w="1134" w:type="dxa"/>
            <w:tcBorders>
              <w:top w:val="nil"/>
              <w:left w:val="nil"/>
              <w:bottom w:val="single" w:sz="12" w:space="0" w:color="1E1545"/>
              <w:right w:val="nil"/>
            </w:tcBorders>
            <w:shd w:val="clear" w:color="000000" w:fill="FFFFFF"/>
            <w:noWrap/>
            <w:vAlign w:val="center"/>
            <w:hideMark/>
          </w:tcPr>
          <w:p w14:paraId="3B8CB77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$100.06 </w:t>
            </w:r>
          </w:p>
        </w:tc>
        <w:tc>
          <w:tcPr>
            <w:tcW w:w="992" w:type="dxa"/>
            <w:tcBorders>
              <w:top w:val="nil"/>
              <w:left w:val="nil"/>
              <w:bottom w:val="single" w:sz="12" w:space="0" w:color="1E1545"/>
              <w:right w:val="nil"/>
            </w:tcBorders>
            <w:shd w:val="clear" w:color="000000" w:fill="FFFFFF"/>
            <w:noWrap/>
            <w:vAlign w:val="center"/>
            <w:hideMark/>
          </w:tcPr>
          <w:p w14:paraId="2067BF1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6.3%</w:t>
            </w:r>
          </w:p>
        </w:tc>
      </w:tr>
      <w:tr w:rsidR="005869E8" w:rsidRPr="00B93401" w14:paraId="02E0800B"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77669788"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w:t>
            </w:r>
          </w:p>
        </w:tc>
        <w:tc>
          <w:tcPr>
            <w:tcW w:w="1297" w:type="dxa"/>
            <w:tcBorders>
              <w:top w:val="nil"/>
              <w:left w:val="nil"/>
              <w:bottom w:val="single" w:sz="12" w:space="0" w:color="1E1545"/>
              <w:right w:val="nil"/>
            </w:tcBorders>
            <w:shd w:val="clear" w:color="000000" w:fill="FFFFFF"/>
            <w:noWrap/>
            <w:vAlign w:val="center"/>
            <w:hideMark/>
          </w:tcPr>
          <w:p w14:paraId="35D0414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$600.40 </w:t>
            </w:r>
          </w:p>
        </w:tc>
        <w:tc>
          <w:tcPr>
            <w:tcW w:w="1254" w:type="dxa"/>
            <w:tcBorders>
              <w:top w:val="nil"/>
              <w:left w:val="nil"/>
              <w:bottom w:val="single" w:sz="12" w:space="0" w:color="1E1545"/>
              <w:right w:val="nil"/>
            </w:tcBorders>
            <w:shd w:val="clear" w:color="000000" w:fill="FFFFFF"/>
            <w:noWrap/>
            <w:vAlign w:val="center"/>
            <w:hideMark/>
          </w:tcPr>
          <w:p w14:paraId="1164366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$613.20 </w:t>
            </w:r>
          </w:p>
        </w:tc>
        <w:tc>
          <w:tcPr>
            <w:tcW w:w="1134" w:type="dxa"/>
            <w:tcBorders>
              <w:top w:val="nil"/>
              <w:left w:val="nil"/>
              <w:bottom w:val="single" w:sz="12" w:space="0" w:color="1E1545"/>
              <w:right w:val="nil"/>
            </w:tcBorders>
            <w:shd w:val="clear" w:color="000000" w:fill="FFFFFF"/>
            <w:noWrap/>
            <w:vAlign w:val="center"/>
            <w:hideMark/>
          </w:tcPr>
          <w:p w14:paraId="4C87D47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$12.80 </w:t>
            </w:r>
          </w:p>
        </w:tc>
        <w:tc>
          <w:tcPr>
            <w:tcW w:w="1276" w:type="dxa"/>
            <w:tcBorders>
              <w:top w:val="nil"/>
              <w:left w:val="nil"/>
              <w:bottom w:val="single" w:sz="12" w:space="0" w:color="1E1545"/>
              <w:right w:val="nil"/>
            </w:tcBorders>
            <w:shd w:val="clear" w:color="000000" w:fill="FFFFFF"/>
            <w:noWrap/>
            <w:vAlign w:val="center"/>
            <w:hideMark/>
          </w:tcPr>
          <w:p w14:paraId="11EE211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$665.50 </w:t>
            </w:r>
          </w:p>
        </w:tc>
        <w:tc>
          <w:tcPr>
            <w:tcW w:w="1134" w:type="dxa"/>
            <w:tcBorders>
              <w:top w:val="nil"/>
              <w:left w:val="nil"/>
              <w:bottom w:val="single" w:sz="12" w:space="0" w:color="1E1545"/>
              <w:right w:val="nil"/>
            </w:tcBorders>
            <w:shd w:val="clear" w:color="000000" w:fill="FFFFFF"/>
            <w:noWrap/>
            <w:vAlign w:val="center"/>
            <w:hideMark/>
          </w:tcPr>
          <w:p w14:paraId="7779072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$52.30 </w:t>
            </w:r>
          </w:p>
        </w:tc>
        <w:tc>
          <w:tcPr>
            <w:tcW w:w="992" w:type="dxa"/>
            <w:tcBorders>
              <w:top w:val="nil"/>
              <w:left w:val="nil"/>
              <w:bottom w:val="single" w:sz="12" w:space="0" w:color="1E1545"/>
              <w:right w:val="nil"/>
            </w:tcBorders>
            <w:shd w:val="clear" w:color="000000" w:fill="FFFFFF"/>
            <w:noWrap/>
            <w:vAlign w:val="center"/>
            <w:hideMark/>
          </w:tcPr>
          <w:p w14:paraId="7913ACF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2.6%</w:t>
            </w:r>
          </w:p>
        </w:tc>
      </w:tr>
      <w:tr w:rsidR="005869E8" w:rsidRPr="00B93401" w14:paraId="6A0F36D1" w14:textId="77777777" w:rsidTr="00901390">
        <w:trPr>
          <w:trHeight w:val="608"/>
        </w:trPr>
        <w:tc>
          <w:tcPr>
            <w:tcW w:w="2127" w:type="dxa"/>
            <w:tcBorders>
              <w:top w:val="nil"/>
              <w:left w:val="nil"/>
              <w:bottom w:val="single" w:sz="12" w:space="0" w:color="1E1545"/>
              <w:right w:val="nil"/>
            </w:tcBorders>
            <w:shd w:val="clear" w:color="000000" w:fill="D8DADA"/>
            <w:vAlign w:val="center"/>
            <w:hideMark/>
          </w:tcPr>
          <w:p w14:paraId="799CCB88"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administration expenses</w:t>
            </w:r>
          </w:p>
        </w:tc>
        <w:tc>
          <w:tcPr>
            <w:tcW w:w="1297" w:type="dxa"/>
            <w:tcBorders>
              <w:top w:val="nil"/>
              <w:left w:val="nil"/>
              <w:bottom w:val="single" w:sz="12" w:space="0" w:color="1E1545"/>
              <w:right w:val="nil"/>
            </w:tcBorders>
            <w:shd w:val="clear" w:color="000000" w:fill="D8DADA"/>
            <w:noWrap/>
            <w:vAlign w:val="center"/>
            <w:hideMark/>
          </w:tcPr>
          <w:p w14:paraId="0F3920B0"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$2,637.20 </w:t>
            </w:r>
          </w:p>
        </w:tc>
        <w:tc>
          <w:tcPr>
            <w:tcW w:w="1254" w:type="dxa"/>
            <w:tcBorders>
              <w:top w:val="nil"/>
              <w:left w:val="nil"/>
              <w:bottom w:val="single" w:sz="12" w:space="0" w:color="1E1545"/>
              <w:right w:val="nil"/>
            </w:tcBorders>
            <w:shd w:val="clear" w:color="000000" w:fill="D8DADA"/>
            <w:noWrap/>
            <w:vAlign w:val="center"/>
            <w:hideMark/>
          </w:tcPr>
          <w:p w14:paraId="1DA7C94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$2,954.20 </w:t>
            </w:r>
          </w:p>
        </w:tc>
        <w:tc>
          <w:tcPr>
            <w:tcW w:w="1134" w:type="dxa"/>
            <w:tcBorders>
              <w:top w:val="nil"/>
              <w:left w:val="nil"/>
              <w:bottom w:val="single" w:sz="12" w:space="0" w:color="1E1545"/>
              <w:right w:val="nil"/>
            </w:tcBorders>
            <w:shd w:val="clear" w:color="000000" w:fill="D8DADA"/>
            <w:noWrap/>
            <w:vAlign w:val="center"/>
            <w:hideMark/>
          </w:tcPr>
          <w:p w14:paraId="48E2156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$316.90 </w:t>
            </w:r>
          </w:p>
        </w:tc>
        <w:tc>
          <w:tcPr>
            <w:tcW w:w="1276" w:type="dxa"/>
            <w:tcBorders>
              <w:top w:val="nil"/>
              <w:left w:val="nil"/>
              <w:bottom w:val="single" w:sz="12" w:space="0" w:color="1E1545"/>
              <w:right w:val="nil"/>
            </w:tcBorders>
            <w:shd w:val="clear" w:color="000000" w:fill="D8DADA"/>
            <w:noWrap/>
            <w:vAlign w:val="center"/>
            <w:hideMark/>
          </w:tcPr>
          <w:p w14:paraId="245C752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$3,129.01 </w:t>
            </w:r>
          </w:p>
        </w:tc>
        <w:tc>
          <w:tcPr>
            <w:tcW w:w="1134" w:type="dxa"/>
            <w:tcBorders>
              <w:top w:val="nil"/>
              <w:left w:val="nil"/>
              <w:bottom w:val="single" w:sz="12" w:space="0" w:color="1E1545"/>
              <w:right w:val="nil"/>
            </w:tcBorders>
            <w:shd w:val="clear" w:color="000000" w:fill="D8DADA"/>
            <w:noWrap/>
            <w:vAlign w:val="center"/>
            <w:hideMark/>
          </w:tcPr>
          <w:p w14:paraId="0A0807E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$174.85 </w:t>
            </w:r>
          </w:p>
        </w:tc>
        <w:tc>
          <w:tcPr>
            <w:tcW w:w="992" w:type="dxa"/>
            <w:tcBorders>
              <w:top w:val="nil"/>
              <w:left w:val="nil"/>
              <w:bottom w:val="single" w:sz="12" w:space="0" w:color="1E1545"/>
              <w:right w:val="nil"/>
            </w:tcBorders>
            <w:shd w:val="clear" w:color="000000" w:fill="D8DADA"/>
            <w:noWrap/>
            <w:vAlign w:val="center"/>
            <w:hideMark/>
          </w:tcPr>
          <w:p w14:paraId="712315F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12.0%</w:t>
            </w:r>
          </w:p>
        </w:tc>
      </w:tr>
      <w:tr w:rsidR="005869E8" w:rsidRPr="00B93401" w14:paraId="252838F4"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64B6DAD9"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COVID-19</w:t>
            </w:r>
          </w:p>
        </w:tc>
        <w:tc>
          <w:tcPr>
            <w:tcW w:w="1297" w:type="dxa"/>
            <w:tcBorders>
              <w:top w:val="nil"/>
              <w:left w:val="nil"/>
              <w:bottom w:val="single" w:sz="12" w:space="0" w:color="1E1545"/>
              <w:right w:val="nil"/>
            </w:tcBorders>
            <w:shd w:val="clear" w:color="000000" w:fill="D8DADA"/>
            <w:noWrap/>
            <w:vAlign w:val="center"/>
            <w:hideMark/>
          </w:tcPr>
          <w:p w14:paraId="55F69863"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7040FAD5"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07E3BAAA"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467CB3D8"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390C462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26EB1F9B"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r>
      <w:tr w:rsidR="005869E8" w:rsidRPr="00B93401" w14:paraId="6BD70A5E"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131DB299"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Labour costs</w:t>
            </w:r>
          </w:p>
        </w:tc>
        <w:tc>
          <w:tcPr>
            <w:tcW w:w="1297" w:type="dxa"/>
            <w:tcBorders>
              <w:top w:val="nil"/>
              <w:left w:val="nil"/>
              <w:bottom w:val="single" w:sz="12" w:space="0" w:color="1E1545"/>
              <w:right w:val="nil"/>
            </w:tcBorders>
            <w:shd w:val="clear" w:color="000000" w:fill="FFFFFF"/>
            <w:noWrap/>
            <w:vAlign w:val="center"/>
            <w:hideMark/>
          </w:tcPr>
          <w:p w14:paraId="755955C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$367.80 </w:t>
            </w:r>
          </w:p>
        </w:tc>
        <w:tc>
          <w:tcPr>
            <w:tcW w:w="1254" w:type="dxa"/>
            <w:tcBorders>
              <w:top w:val="nil"/>
              <w:left w:val="nil"/>
              <w:bottom w:val="single" w:sz="12" w:space="0" w:color="1E1545"/>
              <w:right w:val="nil"/>
            </w:tcBorders>
            <w:shd w:val="clear" w:color="000000" w:fill="FFFFFF"/>
            <w:noWrap/>
            <w:vAlign w:val="center"/>
            <w:hideMark/>
          </w:tcPr>
          <w:p w14:paraId="7F3C5DA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$480.80 </w:t>
            </w:r>
          </w:p>
        </w:tc>
        <w:tc>
          <w:tcPr>
            <w:tcW w:w="1134" w:type="dxa"/>
            <w:tcBorders>
              <w:top w:val="nil"/>
              <w:left w:val="nil"/>
              <w:bottom w:val="single" w:sz="12" w:space="0" w:color="1E1545"/>
              <w:right w:val="nil"/>
            </w:tcBorders>
            <w:shd w:val="clear" w:color="000000" w:fill="FFFFFF"/>
            <w:noWrap/>
            <w:vAlign w:val="center"/>
            <w:hideMark/>
          </w:tcPr>
          <w:p w14:paraId="49E0B51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$113.00 </w:t>
            </w:r>
          </w:p>
        </w:tc>
        <w:tc>
          <w:tcPr>
            <w:tcW w:w="1276" w:type="dxa"/>
            <w:tcBorders>
              <w:top w:val="nil"/>
              <w:left w:val="nil"/>
              <w:bottom w:val="single" w:sz="12" w:space="0" w:color="1E1545"/>
              <w:right w:val="nil"/>
            </w:tcBorders>
            <w:shd w:val="clear" w:color="000000" w:fill="FFFFFF"/>
            <w:noWrap/>
            <w:vAlign w:val="center"/>
            <w:hideMark/>
          </w:tcPr>
          <w:p w14:paraId="4C9017D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$331.50 </w:t>
            </w:r>
          </w:p>
        </w:tc>
        <w:tc>
          <w:tcPr>
            <w:tcW w:w="1134" w:type="dxa"/>
            <w:tcBorders>
              <w:top w:val="nil"/>
              <w:left w:val="nil"/>
              <w:bottom w:val="single" w:sz="12" w:space="0" w:color="1E1545"/>
              <w:right w:val="nil"/>
            </w:tcBorders>
            <w:shd w:val="clear" w:color="000000" w:fill="FFFFFF"/>
            <w:noWrap/>
            <w:vAlign w:val="center"/>
            <w:hideMark/>
          </w:tcPr>
          <w:p w14:paraId="4EEF367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($149.28)</w:t>
            </w:r>
          </w:p>
        </w:tc>
        <w:tc>
          <w:tcPr>
            <w:tcW w:w="992" w:type="dxa"/>
            <w:tcBorders>
              <w:top w:val="nil"/>
              <w:left w:val="nil"/>
              <w:bottom w:val="single" w:sz="12" w:space="0" w:color="1E1545"/>
              <w:right w:val="nil"/>
            </w:tcBorders>
            <w:shd w:val="clear" w:color="000000" w:fill="FFFFFF"/>
            <w:noWrap/>
            <w:vAlign w:val="center"/>
            <w:hideMark/>
          </w:tcPr>
          <w:p w14:paraId="4A098F9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1.3%</w:t>
            </w:r>
          </w:p>
        </w:tc>
      </w:tr>
      <w:tr w:rsidR="005869E8" w:rsidRPr="00B93401" w14:paraId="5733ACC8"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33B5A8EB"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Resident support</w:t>
            </w:r>
          </w:p>
        </w:tc>
        <w:tc>
          <w:tcPr>
            <w:tcW w:w="1297" w:type="dxa"/>
            <w:tcBorders>
              <w:top w:val="nil"/>
              <w:left w:val="nil"/>
              <w:bottom w:val="single" w:sz="12" w:space="0" w:color="1E1545"/>
              <w:right w:val="nil"/>
            </w:tcBorders>
            <w:shd w:val="clear" w:color="000000" w:fill="FFFFFF"/>
            <w:noWrap/>
            <w:vAlign w:val="center"/>
            <w:hideMark/>
          </w:tcPr>
          <w:p w14:paraId="5B1E011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$34.90 </w:t>
            </w:r>
          </w:p>
        </w:tc>
        <w:tc>
          <w:tcPr>
            <w:tcW w:w="1254" w:type="dxa"/>
            <w:tcBorders>
              <w:top w:val="nil"/>
              <w:left w:val="nil"/>
              <w:bottom w:val="single" w:sz="12" w:space="0" w:color="1E1545"/>
              <w:right w:val="nil"/>
            </w:tcBorders>
            <w:shd w:val="clear" w:color="000000" w:fill="FFFFFF"/>
            <w:noWrap/>
            <w:vAlign w:val="center"/>
            <w:hideMark/>
          </w:tcPr>
          <w:p w14:paraId="291C67E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$36.20 </w:t>
            </w:r>
          </w:p>
        </w:tc>
        <w:tc>
          <w:tcPr>
            <w:tcW w:w="1134" w:type="dxa"/>
            <w:tcBorders>
              <w:top w:val="nil"/>
              <w:left w:val="nil"/>
              <w:bottom w:val="single" w:sz="12" w:space="0" w:color="1E1545"/>
              <w:right w:val="nil"/>
            </w:tcBorders>
            <w:shd w:val="clear" w:color="000000" w:fill="FFFFFF"/>
            <w:noWrap/>
            <w:vAlign w:val="center"/>
            <w:hideMark/>
          </w:tcPr>
          <w:p w14:paraId="41CC057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$1.40 </w:t>
            </w:r>
          </w:p>
        </w:tc>
        <w:tc>
          <w:tcPr>
            <w:tcW w:w="1276" w:type="dxa"/>
            <w:tcBorders>
              <w:top w:val="nil"/>
              <w:left w:val="nil"/>
              <w:bottom w:val="single" w:sz="12" w:space="0" w:color="1E1545"/>
              <w:right w:val="nil"/>
            </w:tcBorders>
            <w:shd w:val="clear" w:color="000000" w:fill="FFFFFF"/>
            <w:noWrap/>
            <w:vAlign w:val="center"/>
            <w:hideMark/>
          </w:tcPr>
          <w:p w14:paraId="4AFB085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$7.73 </w:t>
            </w:r>
          </w:p>
        </w:tc>
        <w:tc>
          <w:tcPr>
            <w:tcW w:w="1134" w:type="dxa"/>
            <w:tcBorders>
              <w:top w:val="nil"/>
              <w:left w:val="nil"/>
              <w:bottom w:val="single" w:sz="12" w:space="0" w:color="1E1545"/>
              <w:right w:val="nil"/>
            </w:tcBorders>
            <w:shd w:val="clear" w:color="000000" w:fill="FFFFFF"/>
            <w:noWrap/>
            <w:vAlign w:val="center"/>
            <w:hideMark/>
          </w:tcPr>
          <w:p w14:paraId="1B7CB8F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($28.50)</w:t>
            </w:r>
          </w:p>
        </w:tc>
        <w:tc>
          <w:tcPr>
            <w:tcW w:w="992" w:type="dxa"/>
            <w:tcBorders>
              <w:top w:val="nil"/>
              <w:left w:val="nil"/>
              <w:bottom w:val="single" w:sz="12" w:space="0" w:color="1E1545"/>
              <w:right w:val="nil"/>
            </w:tcBorders>
            <w:shd w:val="clear" w:color="000000" w:fill="FFFFFF"/>
            <w:noWrap/>
            <w:vAlign w:val="center"/>
            <w:hideMark/>
          </w:tcPr>
          <w:p w14:paraId="1AD0CC2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0.0%</w:t>
            </w:r>
          </w:p>
        </w:tc>
      </w:tr>
      <w:tr w:rsidR="005869E8" w:rsidRPr="00B93401" w14:paraId="20715AF9"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74786798"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Preventative measures</w:t>
            </w:r>
          </w:p>
        </w:tc>
        <w:tc>
          <w:tcPr>
            <w:tcW w:w="1297" w:type="dxa"/>
            <w:tcBorders>
              <w:top w:val="nil"/>
              <w:left w:val="nil"/>
              <w:bottom w:val="single" w:sz="12" w:space="0" w:color="1E1545"/>
              <w:right w:val="nil"/>
            </w:tcBorders>
            <w:shd w:val="clear" w:color="000000" w:fill="FFFFFF"/>
            <w:noWrap/>
            <w:vAlign w:val="center"/>
            <w:hideMark/>
          </w:tcPr>
          <w:p w14:paraId="4A2B247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$164.80 </w:t>
            </w:r>
          </w:p>
        </w:tc>
        <w:tc>
          <w:tcPr>
            <w:tcW w:w="1254" w:type="dxa"/>
            <w:tcBorders>
              <w:top w:val="nil"/>
              <w:left w:val="nil"/>
              <w:bottom w:val="single" w:sz="12" w:space="0" w:color="1E1545"/>
              <w:right w:val="nil"/>
            </w:tcBorders>
            <w:shd w:val="clear" w:color="000000" w:fill="FFFFFF"/>
            <w:noWrap/>
            <w:vAlign w:val="center"/>
            <w:hideMark/>
          </w:tcPr>
          <w:p w14:paraId="7423830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$208.90 </w:t>
            </w:r>
          </w:p>
        </w:tc>
        <w:tc>
          <w:tcPr>
            <w:tcW w:w="1134" w:type="dxa"/>
            <w:tcBorders>
              <w:top w:val="nil"/>
              <w:left w:val="nil"/>
              <w:bottom w:val="single" w:sz="12" w:space="0" w:color="1E1545"/>
              <w:right w:val="nil"/>
            </w:tcBorders>
            <w:shd w:val="clear" w:color="000000" w:fill="FFFFFF"/>
            <w:noWrap/>
            <w:vAlign w:val="center"/>
            <w:hideMark/>
          </w:tcPr>
          <w:p w14:paraId="1166CFE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$44.10 </w:t>
            </w:r>
          </w:p>
        </w:tc>
        <w:tc>
          <w:tcPr>
            <w:tcW w:w="1276" w:type="dxa"/>
            <w:tcBorders>
              <w:top w:val="nil"/>
              <w:left w:val="nil"/>
              <w:bottom w:val="single" w:sz="12" w:space="0" w:color="1E1545"/>
              <w:right w:val="nil"/>
            </w:tcBorders>
            <w:shd w:val="clear" w:color="000000" w:fill="FFFFFF"/>
            <w:noWrap/>
            <w:vAlign w:val="center"/>
            <w:hideMark/>
          </w:tcPr>
          <w:p w14:paraId="3041BBE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$110.67 </w:t>
            </w:r>
          </w:p>
        </w:tc>
        <w:tc>
          <w:tcPr>
            <w:tcW w:w="1134" w:type="dxa"/>
            <w:tcBorders>
              <w:top w:val="nil"/>
              <w:left w:val="nil"/>
              <w:bottom w:val="single" w:sz="12" w:space="0" w:color="1E1545"/>
              <w:right w:val="nil"/>
            </w:tcBorders>
            <w:shd w:val="clear" w:color="000000" w:fill="FFFFFF"/>
            <w:noWrap/>
            <w:vAlign w:val="center"/>
            <w:hideMark/>
          </w:tcPr>
          <w:p w14:paraId="64D1C27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($98.26)</w:t>
            </w:r>
          </w:p>
        </w:tc>
        <w:tc>
          <w:tcPr>
            <w:tcW w:w="992" w:type="dxa"/>
            <w:tcBorders>
              <w:top w:val="nil"/>
              <w:left w:val="nil"/>
              <w:bottom w:val="single" w:sz="12" w:space="0" w:color="1E1545"/>
              <w:right w:val="nil"/>
            </w:tcBorders>
            <w:shd w:val="clear" w:color="000000" w:fill="FFFFFF"/>
            <w:noWrap/>
            <w:vAlign w:val="center"/>
            <w:hideMark/>
          </w:tcPr>
          <w:p w14:paraId="5E1D2DC2"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0.4%</w:t>
            </w:r>
          </w:p>
        </w:tc>
      </w:tr>
      <w:tr w:rsidR="005869E8" w:rsidRPr="00B93401" w14:paraId="50D1DFAE"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37BBC0B9"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 expenses</w:t>
            </w:r>
          </w:p>
        </w:tc>
        <w:tc>
          <w:tcPr>
            <w:tcW w:w="1297" w:type="dxa"/>
            <w:tcBorders>
              <w:top w:val="nil"/>
              <w:left w:val="nil"/>
              <w:bottom w:val="single" w:sz="12" w:space="0" w:color="1E1545"/>
              <w:right w:val="nil"/>
            </w:tcBorders>
            <w:shd w:val="clear" w:color="000000" w:fill="FFFFFF"/>
            <w:noWrap/>
            <w:vAlign w:val="center"/>
            <w:hideMark/>
          </w:tcPr>
          <w:p w14:paraId="38DD50E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$13.30 </w:t>
            </w:r>
          </w:p>
        </w:tc>
        <w:tc>
          <w:tcPr>
            <w:tcW w:w="1254" w:type="dxa"/>
            <w:tcBorders>
              <w:top w:val="nil"/>
              <w:left w:val="nil"/>
              <w:bottom w:val="single" w:sz="12" w:space="0" w:color="1E1545"/>
              <w:right w:val="nil"/>
            </w:tcBorders>
            <w:shd w:val="clear" w:color="000000" w:fill="FFFFFF"/>
            <w:noWrap/>
            <w:vAlign w:val="center"/>
            <w:hideMark/>
          </w:tcPr>
          <w:p w14:paraId="1D7468C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$17.50 </w:t>
            </w:r>
          </w:p>
        </w:tc>
        <w:tc>
          <w:tcPr>
            <w:tcW w:w="1134" w:type="dxa"/>
            <w:tcBorders>
              <w:top w:val="nil"/>
              <w:left w:val="nil"/>
              <w:bottom w:val="single" w:sz="12" w:space="0" w:color="1E1545"/>
              <w:right w:val="nil"/>
            </w:tcBorders>
            <w:shd w:val="clear" w:color="000000" w:fill="FFFFFF"/>
            <w:noWrap/>
            <w:vAlign w:val="center"/>
            <w:hideMark/>
          </w:tcPr>
          <w:p w14:paraId="15E49E7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$4.20 </w:t>
            </w:r>
          </w:p>
        </w:tc>
        <w:tc>
          <w:tcPr>
            <w:tcW w:w="1276" w:type="dxa"/>
            <w:tcBorders>
              <w:top w:val="nil"/>
              <w:left w:val="nil"/>
              <w:bottom w:val="single" w:sz="12" w:space="0" w:color="1E1545"/>
              <w:right w:val="nil"/>
            </w:tcBorders>
            <w:shd w:val="clear" w:color="000000" w:fill="FFFFFF"/>
            <w:noWrap/>
            <w:vAlign w:val="center"/>
            <w:hideMark/>
          </w:tcPr>
          <w:p w14:paraId="7EA024F3"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$9.09 </w:t>
            </w:r>
          </w:p>
        </w:tc>
        <w:tc>
          <w:tcPr>
            <w:tcW w:w="1134" w:type="dxa"/>
            <w:tcBorders>
              <w:top w:val="nil"/>
              <w:left w:val="nil"/>
              <w:bottom w:val="single" w:sz="12" w:space="0" w:color="1E1545"/>
              <w:right w:val="nil"/>
            </w:tcBorders>
            <w:shd w:val="clear" w:color="000000" w:fill="FFFFFF"/>
            <w:noWrap/>
            <w:vAlign w:val="center"/>
            <w:hideMark/>
          </w:tcPr>
          <w:p w14:paraId="60B689C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($8.45)</w:t>
            </w:r>
          </w:p>
        </w:tc>
        <w:tc>
          <w:tcPr>
            <w:tcW w:w="992" w:type="dxa"/>
            <w:tcBorders>
              <w:top w:val="nil"/>
              <w:left w:val="nil"/>
              <w:bottom w:val="single" w:sz="12" w:space="0" w:color="1E1545"/>
              <w:right w:val="nil"/>
            </w:tcBorders>
            <w:shd w:val="clear" w:color="000000" w:fill="FFFFFF"/>
            <w:noWrap/>
            <w:vAlign w:val="center"/>
            <w:hideMark/>
          </w:tcPr>
          <w:p w14:paraId="55D112F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0.0%</w:t>
            </w:r>
          </w:p>
        </w:tc>
      </w:tr>
      <w:tr w:rsidR="005869E8" w:rsidRPr="00B93401" w14:paraId="2E95052A"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1E7EEE67"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COVID-19 expenses</w:t>
            </w:r>
          </w:p>
        </w:tc>
        <w:tc>
          <w:tcPr>
            <w:tcW w:w="1297" w:type="dxa"/>
            <w:tcBorders>
              <w:top w:val="nil"/>
              <w:left w:val="nil"/>
              <w:bottom w:val="single" w:sz="12" w:space="0" w:color="1E1545"/>
              <w:right w:val="nil"/>
            </w:tcBorders>
            <w:shd w:val="clear" w:color="000000" w:fill="D8DADA"/>
            <w:noWrap/>
            <w:vAlign w:val="center"/>
            <w:hideMark/>
          </w:tcPr>
          <w:p w14:paraId="068CB73E"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$580.80 </w:t>
            </w:r>
          </w:p>
        </w:tc>
        <w:tc>
          <w:tcPr>
            <w:tcW w:w="1254" w:type="dxa"/>
            <w:tcBorders>
              <w:top w:val="nil"/>
              <w:left w:val="nil"/>
              <w:bottom w:val="single" w:sz="12" w:space="0" w:color="1E1545"/>
              <w:right w:val="nil"/>
            </w:tcBorders>
            <w:shd w:val="clear" w:color="000000" w:fill="D8DADA"/>
            <w:noWrap/>
            <w:vAlign w:val="center"/>
            <w:hideMark/>
          </w:tcPr>
          <w:p w14:paraId="5F5E867C"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$743.50 </w:t>
            </w:r>
          </w:p>
        </w:tc>
        <w:tc>
          <w:tcPr>
            <w:tcW w:w="1134" w:type="dxa"/>
            <w:tcBorders>
              <w:top w:val="nil"/>
              <w:left w:val="nil"/>
              <w:bottom w:val="single" w:sz="12" w:space="0" w:color="1E1545"/>
              <w:right w:val="nil"/>
            </w:tcBorders>
            <w:shd w:val="clear" w:color="000000" w:fill="D8DADA"/>
            <w:noWrap/>
            <w:vAlign w:val="center"/>
            <w:hideMark/>
          </w:tcPr>
          <w:p w14:paraId="485A2F65"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$162.60 </w:t>
            </w:r>
          </w:p>
        </w:tc>
        <w:tc>
          <w:tcPr>
            <w:tcW w:w="1276" w:type="dxa"/>
            <w:tcBorders>
              <w:top w:val="nil"/>
              <w:left w:val="nil"/>
              <w:bottom w:val="single" w:sz="12" w:space="0" w:color="1E1545"/>
              <w:right w:val="nil"/>
            </w:tcBorders>
            <w:shd w:val="clear" w:color="000000" w:fill="D8DADA"/>
            <w:noWrap/>
            <w:vAlign w:val="center"/>
            <w:hideMark/>
          </w:tcPr>
          <w:p w14:paraId="46D9023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$458.99 </w:t>
            </w:r>
          </w:p>
        </w:tc>
        <w:tc>
          <w:tcPr>
            <w:tcW w:w="1134" w:type="dxa"/>
            <w:tcBorders>
              <w:top w:val="nil"/>
              <w:left w:val="nil"/>
              <w:bottom w:val="single" w:sz="12" w:space="0" w:color="1E1545"/>
              <w:right w:val="nil"/>
            </w:tcBorders>
            <w:shd w:val="clear" w:color="000000" w:fill="D8DADA"/>
            <w:noWrap/>
            <w:vAlign w:val="center"/>
            <w:hideMark/>
          </w:tcPr>
          <w:p w14:paraId="0E35FD1A"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($284.49)</w:t>
            </w:r>
          </w:p>
        </w:tc>
        <w:tc>
          <w:tcPr>
            <w:tcW w:w="992" w:type="dxa"/>
            <w:tcBorders>
              <w:top w:val="nil"/>
              <w:left w:val="nil"/>
              <w:bottom w:val="single" w:sz="12" w:space="0" w:color="1E1545"/>
              <w:right w:val="nil"/>
            </w:tcBorders>
            <w:shd w:val="clear" w:color="000000" w:fill="D8DADA"/>
            <w:noWrap/>
            <w:vAlign w:val="center"/>
            <w:hideMark/>
          </w:tcPr>
          <w:p w14:paraId="483B861E"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1.8%</w:t>
            </w:r>
          </w:p>
        </w:tc>
      </w:tr>
      <w:tr w:rsidR="005869E8" w:rsidRPr="00B93401" w14:paraId="3442DBB8"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25F3F50D"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Other</w:t>
            </w:r>
          </w:p>
        </w:tc>
        <w:tc>
          <w:tcPr>
            <w:tcW w:w="1297" w:type="dxa"/>
            <w:tcBorders>
              <w:top w:val="nil"/>
              <w:left w:val="nil"/>
              <w:bottom w:val="single" w:sz="12" w:space="0" w:color="1E1545"/>
              <w:right w:val="nil"/>
            </w:tcBorders>
            <w:shd w:val="clear" w:color="000000" w:fill="D8DADA"/>
            <w:noWrap/>
            <w:vAlign w:val="center"/>
            <w:hideMark/>
          </w:tcPr>
          <w:p w14:paraId="1B0CB09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54" w:type="dxa"/>
            <w:tcBorders>
              <w:top w:val="nil"/>
              <w:left w:val="nil"/>
              <w:bottom w:val="single" w:sz="12" w:space="0" w:color="1E1545"/>
              <w:right w:val="nil"/>
            </w:tcBorders>
            <w:shd w:val="clear" w:color="000000" w:fill="D8DADA"/>
            <w:noWrap/>
            <w:vAlign w:val="center"/>
            <w:hideMark/>
          </w:tcPr>
          <w:p w14:paraId="50DE7108"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00A32F4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276" w:type="dxa"/>
            <w:tcBorders>
              <w:top w:val="nil"/>
              <w:left w:val="nil"/>
              <w:bottom w:val="single" w:sz="12" w:space="0" w:color="1E1545"/>
              <w:right w:val="nil"/>
            </w:tcBorders>
            <w:shd w:val="clear" w:color="000000" w:fill="D8DADA"/>
            <w:noWrap/>
            <w:vAlign w:val="center"/>
            <w:hideMark/>
          </w:tcPr>
          <w:p w14:paraId="0F5880F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1134" w:type="dxa"/>
            <w:tcBorders>
              <w:top w:val="nil"/>
              <w:left w:val="nil"/>
              <w:bottom w:val="single" w:sz="12" w:space="0" w:color="1E1545"/>
              <w:right w:val="nil"/>
            </w:tcBorders>
            <w:shd w:val="clear" w:color="000000" w:fill="D8DADA"/>
            <w:noWrap/>
            <w:vAlign w:val="center"/>
            <w:hideMark/>
          </w:tcPr>
          <w:p w14:paraId="51577D76"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c>
          <w:tcPr>
            <w:tcW w:w="992" w:type="dxa"/>
            <w:tcBorders>
              <w:top w:val="nil"/>
              <w:left w:val="nil"/>
              <w:bottom w:val="single" w:sz="12" w:space="0" w:color="1E1545"/>
              <w:right w:val="nil"/>
            </w:tcBorders>
            <w:shd w:val="clear" w:color="000000" w:fill="D8DADA"/>
            <w:noWrap/>
            <w:vAlign w:val="center"/>
            <w:hideMark/>
          </w:tcPr>
          <w:p w14:paraId="2474EA07"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w:t>
            </w:r>
          </w:p>
        </w:tc>
      </w:tr>
      <w:tr w:rsidR="005869E8" w:rsidRPr="00B93401" w14:paraId="52EFE639" w14:textId="77777777" w:rsidTr="00901390">
        <w:trPr>
          <w:trHeight w:val="608"/>
        </w:trPr>
        <w:tc>
          <w:tcPr>
            <w:tcW w:w="2127" w:type="dxa"/>
            <w:tcBorders>
              <w:top w:val="nil"/>
              <w:left w:val="nil"/>
              <w:bottom w:val="single" w:sz="12" w:space="0" w:color="1E1545"/>
              <w:right w:val="nil"/>
            </w:tcBorders>
            <w:shd w:val="clear" w:color="000000" w:fill="FFFFFF"/>
            <w:vAlign w:val="center"/>
            <w:hideMark/>
          </w:tcPr>
          <w:p w14:paraId="03F3FF22"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Revaluation of assets (decrease)/Impairment</w:t>
            </w:r>
          </w:p>
        </w:tc>
        <w:tc>
          <w:tcPr>
            <w:tcW w:w="1297" w:type="dxa"/>
            <w:tcBorders>
              <w:top w:val="nil"/>
              <w:left w:val="nil"/>
              <w:bottom w:val="single" w:sz="12" w:space="0" w:color="1E1545"/>
              <w:right w:val="nil"/>
            </w:tcBorders>
            <w:shd w:val="clear" w:color="000000" w:fill="FFFFFF"/>
            <w:noWrap/>
            <w:vAlign w:val="center"/>
            <w:hideMark/>
          </w:tcPr>
          <w:p w14:paraId="428F744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$383.00 </w:t>
            </w:r>
          </w:p>
        </w:tc>
        <w:tc>
          <w:tcPr>
            <w:tcW w:w="1254" w:type="dxa"/>
            <w:tcBorders>
              <w:top w:val="nil"/>
              <w:left w:val="nil"/>
              <w:bottom w:val="single" w:sz="12" w:space="0" w:color="1E1545"/>
              <w:right w:val="nil"/>
            </w:tcBorders>
            <w:shd w:val="clear" w:color="000000" w:fill="FFFFFF"/>
            <w:noWrap/>
            <w:vAlign w:val="center"/>
            <w:hideMark/>
          </w:tcPr>
          <w:p w14:paraId="146D634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$194.00 </w:t>
            </w:r>
          </w:p>
        </w:tc>
        <w:tc>
          <w:tcPr>
            <w:tcW w:w="1134" w:type="dxa"/>
            <w:tcBorders>
              <w:top w:val="nil"/>
              <w:left w:val="nil"/>
              <w:bottom w:val="single" w:sz="12" w:space="0" w:color="1E1545"/>
              <w:right w:val="nil"/>
            </w:tcBorders>
            <w:shd w:val="clear" w:color="000000" w:fill="FFFFFF"/>
            <w:noWrap/>
            <w:vAlign w:val="center"/>
            <w:hideMark/>
          </w:tcPr>
          <w:p w14:paraId="4385475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($189.00)</w:t>
            </w:r>
          </w:p>
        </w:tc>
        <w:tc>
          <w:tcPr>
            <w:tcW w:w="1276" w:type="dxa"/>
            <w:tcBorders>
              <w:top w:val="nil"/>
              <w:left w:val="nil"/>
              <w:bottom w:val="single" w:sz="12" w:space="0" w:color="1E1545"/>
              <w:right w:val="nil"/>
            </w:tcBorders>
            <w:shd w:val="clear" w:color="000000" w:fill="FFFFFF"/>
            <w:noWrap/>
            <w:vAlign w:val="center"/>
            <w:hideMark/>
          </w:tcPr>
          <w:p w14:paraId="6B0EE48A"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$118.79 </w:t>
            </w:r>
          </w:p>
        </w:tc>
        <w:tc>
          <w:tcPr>
            <w:tcW w:w="1134" w:type="dxa"/>
            <w:tcBorders>
              <w:top w:val="nil"/>
              <w:left w:val="nil"/>
              <w:bottom w:val="single" w:sz="12" w:space="0" w:color="1E1545"/>
              <w:right w:val="nil"/>
            </w:tcBorders>
            <w:shd w:val="clear" w:color="000000" w:fill="FFFFFF"/>
            <w:noWrap/>
            <w:vAlign w:val="center"/>
            <w:hideMark/>
          </w:tcPr>
          <w:p w14:paraId="35627FB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($75.25)</w:t>
            </w:r>
          </w:p>
        </w:tc>
        <w:tc>
          <w:tcPr>
            <w:tcW w:w="992" w:type="dxa"/>
            <w:tcBorders>
              <w:top w:val="nil"/>
              <w:left w:val="nil"/>
              <w:bottom w:val="single" w:sz="12" w:space="0" w:color="1E1545"/>
              <w:right w:val="nil"/>
            </w:tcBorders>
            <w:shd w:val="clear" w:color="000000" w:fill="FFFFFF"/>
            <w:noWrap/>
            <w:vAlign w:val="center"/>
            <w:hideMark/>
          </w:tcPr>
          <w:p w14:paraId="1ECA5371"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0.5%</w:t>
            </w:r>
          </w:p>
        </w:tc>
      </w:tr>
      <w:tr w:rsidR="005869E8" w:rsidRPr="00B93401" w14:paraId="4B6E0E43"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5860002F"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Loss on sale of assets</w:t>
            </w:r>
          </w:p>
        </w:tc>
        <w:tc>
          <w:tcPr>
            <w:tcW w:w="1297" w:type="dxa"/>
            <w:tcBorders>
              <w:top w:val="nil"/>
              <w:left w:val="nil"/>
              <w:bottom w:val="single" w:sz="12" w:space="0" w:color="1E1545"/>
              <w:right w:val="nil"/>
            </w:tcBorders>
            <w:shd w:val="clear" w:color="000000" w:fill="FFFFFF"/>
            <w:noWrap/>
            <w:vAlign w:val="center"/>
            <w:hideMark/>
          </w:tcPr>
          <w:p w14:paraId="75F3DEF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$25.50 </w:t>
            </w:r>
          </w:p>
        </w:tc>
        <w:tc>
          <w:tcPr>
            <w:tcW w:w="1254" w:type="dxa"/>
            <w:tcBorders>
              <w:top w:val="nil"/>
              <w:left w:val="nil"/>
              <w:bottom w:val="single" w:sz="12" w:space="0" w:color="1E1545"/>
              <w:right w:val="nil"/>
            </w:tcBorders>
            <w:shd w:val="clear" w:color="000000" w:fill="FFFFFF"/>
            <w:noWrap/>
            <w:vAlign w:val="center"/>
            <w:hideMark/>
          </w:tcPr>
          <w:p w14:paraId="27BEA0E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$17.20 </w:t>
            </w:r>
          </w:p>
        </w:tc>
        <w:tc>
          <w:tcPr>
            <w:tcW w:w="1134" w:type="dxa"/>
            <w:tcBorders>
              <w:top w:val="nil"/>
              <w:left w:val="nil"/>
              <w:bottom w:val="single" w:sz="12" w:space="0" w:color="1E1545"/>
              <w:right w:val="nil"/>
            </w:tcBorders>
            <w:shd w:val="clear" w:color="000000" w:fill="FFFFFF"/>
            <w:noWrap/>
            <w:vAlign w:val="center"/>
            <w:hideMark/>
          </w:tcPr>
          <w:p w14:paraId="572F5D5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($8.30)</w:t>
            </w:r>
          </w:p>
        </w:tc>
        <w:tc>
          <w:tcPr>
            <w:tcW w:w="1276" w:type="dxa"/>
            <w:tcBorders>
              <w:top w:val="nil"/>
              <w:left w:val="nil"/>
              <w:bottom w:val="single" w:sz="12" w:space="0" w:color="1E1545"/>
              <w:right w:val="nil"/>
            </w:tcBorders>
            <w:shd w:val="clear" w:color="000000" w:fill="FFFFFF"/>
            <w:noWrap/>
            <w:vAlign w:val="center"/>
            <w:hideMark/>
          </w:tcPr>
          <w:p w14:paraId="4F1BA40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$133.24 </w:t>
            </w:r>
          </w:p>
        </w:tc>
        <w:tc>
          <w:tcPr>
            <w:tcW w:w="1134" w:type="dxa"/>
            <w:tcBorders>
              <w:top w:val="nil"/>
              <w:left w:val="nil"/>
              <w:bottom w:val="single" w:sz="12" w:space="0" w:color="1E1545"/>
              <w:right w:val="nil"/>
            </w:tcBorders>
            <w:shd w:val="clear" w:color="000000" w:fill="FFFFFF"/>
            <w:noWrap/>
            <w:vAlign w:val="center"/>
            <w:hideMark/>
          </w:tcPr>
          <w:p w14:paraId="72704B79"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$116.05 </w:t>
            </w:r>
          </w:p>
        </w:tc>
        <w:tc>
          <w:tcPr>
            <w:tcW w:w="992" w:type="dxa"/>
            <w:tcBorders>
              <w:top w:val="nil"/>
              <w:left w:val="nil"/>
              <w:bottom w:val="single" w:sz="12" w:space="0" w:color="1E1545"/>
              <w:right w:val="nil"/>
            </w:tcBorders>
            <w:shd w:val="clear" w:color="000000" w:fill="FFFFFF"/>
            <w:noWrap/>
            <w:vAlign w:val="center"/>
            <w:hideMark/>
          </w:tcPr>
          <w:p w14:paraId="590C643B"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0.5%</w:t>
            </w:r>
          </w:p>
        </w:tc>
      </w:tr>
      <w:tr w:rsidR="005869E8" w:rsidRPr="00B93401" w14:paraId="5F239747" w14:textId="77777777" w:rsidTr="00901390">
        <w:trPr>
          <w:trHeight w:val="608"/>
        </w:trPr>
        <w:tc>
          <w:tcPr>
            <w:tcW w:w="2127" w:type="dxa"/>
            <w:tcBorders>
              <w:top w:val="nil"/>
              <w:left w:val="nil"/>
              <w:bottom w:val="single" w:sz="12" w:space="0" w:color="1E1545"/>
              <w:right w:val="nil"/>
            </w:tcBorders>
            <w:shd w:val="clear" w:color="000000" w:fill="FFFFFF"/>
            <w:vAlign w:val="center"/>
            <w:hideMark/>
          </w:tcPr>
          <w:p w14:paraId="58261095" w14:textId="1266F79F"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Imputed Interest Expenses on RADs - AASB 16 leases</w:t>
            </w:r>
            <w:r w:rsidR="002B06FD">
              <w:rPr>
                <w:rFonts w:cs="Arial"/>
                <w:bCs w:val="0"/>
                <w:color w:val="1E1545"/>
                <w:sz w:val="20"/>
                <w:szCs w:val="20"/>
                <w:vertAlign w:val="superscript"/>
                <w:lang w:eastAsia="en-AU"/>
              </w:rPr>
              <w:t>4</w:t>
            </w:r>
            <w:r w:rsidRPr="00B93401">
              <w:rPr>
                <w:rFonts w:cs="Arial"/>
                <w:bCs w:val="0"/>
                <w:color w:val="1E1545"/>
                <w:sz w:val="20"/>
                <w:szCs w:val="20"/>
                <w:lang w:eastAsia="en-AU"/>
              </w:rPr>
              <w:t xml:space="preserve"> </w:t>
            </w:r>
          </w:p>
        </w:tc>
        <w:tc>
          <w:tcPr>
            <w:tcW w:w="1297" w:type="dxa"/>
            <w:tcBorders>
              <w:top w:val="nil"/>
              <w:left w:val="nil"/>
              <w:bottom w:val="single" w:sz="12" w:space="0" w:color="1E1545"/>
              <w:right w:val="nil"/>
            </w:tcBorders>
            <w:shd w:val="clear" w:color="000000" w:fill="FFFFFF"/>
            <w:noWrap/>
            <w:vAlign w:val="center"/>
            <w:hideMark/>
          </w:tcPr>
          <w:p w14:paraId="475701B7"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$483.80 </w:t>
            </w:r>
          </w:p>
        </w:tc>
        <w:tc>
          <w:tcPr>
            <w:tcW w:w="1254" w:type="dxa"/>
            <w:tcBorders>
              <w:top w:val="nil"/>
              <w:left w:val="nil"/>
              <w:bottom w:val="single" w:sz="12" w:space="0" w:color="1E1545"/>
              <w:right w:val="nil"/>
            </w:tcBorders>
            <w:shd w:val="clear" w:color="000000" w:fill="FFFFFF"/>
            <w:noWrap/>
            <w:vAlign w:val="center"/>
            <w:hideMark/>
          </w:tcPr>
          <w:p w14:paraId="6FE99E4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$550.10 </w:t>
            </w:r>
          </w:p>
        </w:tc>
        <w:tc>
          <w:tcPr>
            <w:tcW w:w="1134" w:type="dxa"/>
            <w:tcBorders>
              <w:top w:val="nil"/>
              <w:left w:val="nil"/>
              <w:bottom w:val="single" w:sz="12" w:space="0" w:color="1E1545"/>
              <w:right w:val="nil"/>
            </w:tcBorders>
            <w:shd w:val="clear" w:color="000000" w:fill="FFFFFF"/>
            <w:noWrap/>
            <w:vAlign w:val="center"/>
            <w:hideMark/>
          </w:tcPr>
          <w:p w14:paraId="706ABB2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$66.30 </w:t>
            </w:r>
          </w:p>
        </w:tc>
        <w:tc>
          <w:tcPr>
            <w:tcW w:w="1276" w:type="dxa"/>
            <w:tcBorders>
              <w:top w:val="nil"/>
              <w:left w:val="nil"/>
              <w:bottom w:val="single" w:sz="12" w:space="0" w:color="1E1545"/>
              <w:right w:val="nil"/>
            </w:tcBorders>
            <w:shd w:val="clear" w:color="000000" w:fill="FFFFFF"/>
            <w:noWrap/>
            <w:vAlign w:val="center"/>
            <w:hideMark/>
          </w:tcPr>
          <w:p w14:paraId="49999BA8"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$804.25 </w:t>
            </w:r>
          </w:p>
        </w:tc>
        <w:tc>
          <w:tcPr>
            <w:tcW w:w="1134" w:type="dxa"/>
            <w:tcBorders>
              <w:top w:val="nil"/>
              <w:left w:val="nil"/>
              <w:bottom w:val="single" w:sz="12" w:space="0" w:color="1E1545"/>
              <w:right w:val="nil"/>
            </w:tcBorders>
            <w:shd w:val="clear" w:color="000000" w:fill="FFFFFF"/>
            <w:noWrap/>
            <w:vAlign w:val="center"/>
            <w:hideMark/>
          </w:tcPr>
          <w:p w14:paraId="24F55E90"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$254.17 </w:t>
            </w:r>
          </w:p>
        </w:tc>
        <w:tc>
          <w:tcPr>
            <w:tcW w:w="992" w:type="dxa"/>
            <w:tcBorders>
              <w:top w:val="nil"/>
              <w:left w:val="nil"/>
              <w:bottom w:val="single" w:sz="12" w:space="0" w:color="1E1545"/>
              <w:right w:val="nil"/>
            </w:tcBorders>
            <w:shd w:val="clear" w:color="000000" w:fill="FFFFFF"/>
            <w:noWrap/>
            <w:vAlign w:val="center"/>
            <w:hideMark/>
          </w:tcPr>
          <w:p w14:paraId="74398EAE"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3.1%</w:t>
            </w:r>
          </w:p>
        </w:tc>
      </w:tr>
      <w:tr w:rsidR="005869E8" w:rsidRPr="00B93401" w14:paraId="601AD257" w14:textId="77777777" w:rsidTr="00901390">
        <w:trPr>
          <w:trHeight w:val="352"/>
        </w:trPr>
        <w:tc>
          <w:tcPr>
            <w:tcW w:w="2127" w:type="dxa"/>
            <w:tcBorders>
              <w:top w:val="nil"/>
              <w:left w:val="nil"/>
              <w:bottom w:val="single" w:sz="12" w:space="0" w:color="1E1545"/>
              <w:right w:val="nil"/>
            </w:tcBorders>
            <w:shd w:val="clear" w:color="000000" w:fill="FFFFFF"/>
            <w:vAlign w:val="center"/>
            <w:hideMark/>
          </w:tcPr>
          <w:p w14:paraId="736F788C" w14:textId="77777777" w:rsidR="005869E8" w:rsidRPr="00B93401" w:rsidRDefault="005869E8" w:rsidP="005869E8">
            <w:pPr>
              <w:spacing w:before="0" w:after="0" w:line="240" w:lineRule="auto"/>
              <w:rPr>
                <w:rFonts w:cs="Arial"/>
                <w:bCs w:val="0"/>
                <w:color w:val="1E1545"/>
                <w:sz w:val="20"/>
                <w:szCs w:val="20"/>
                <w:lang w:eastAsia="en-AU"/>
              </w:rPr>
            </w:pPr>
            <w:r w:rsidRPr="00B93401">
              <w:rPr>
                <w:rFonts w:cs="Arial"/>
                <w:bCs w:val="0"/>
                <w:color w:val="1E1545"/>
                <w:sz w:val="20"/>
                <w:szCs w:val="20"/>
                <w:lang w:eastAsia="en-AU"/>
              </w:rPr>
              <w:t>Other</w:t>
            </w:r>
          </w:p>
        </w:tc>
        <w:tc>
          <w:tcPr>
            <w:tcW w:w="1297" w:type="dxa"/>
            <w:tcBorders>
              <w:top w:val="nil"/>
              <w:left w:val="nil"/>
              <w:bottom w:val="single" w:sz="12" w:space="0" w:color="1E1545"/>
              <w:right w:val="nil"/>
            </w:tcBorders>
            <w:shd w:val="clear" w:color="000000" w:fill="FFFFFF"/>
            <w:noWrap/>
            <w:vAlign w:val="center"/>
            <w:hideMark/>
          </w:tcPr>
          <w:p w14:paraId="1670996F"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$90.70 </w:t>
            </w:r>
          </w:p>
        </w:tc>
        <w:tc>
          <w:tcPr>
            <w:tcW w:w="1254" w:type="dxa"/>
            <w:tcBorders>
              <w:top w:val="nil"/>
              <w:left w:val="nil"/>
              <w:bottom w:val="single" w:sz="12" w:space="0" w:color="1E1545"/>
              <w:right w:val="nil"/>
            </w:tcBorders>
            <w:shd w:val="clear" w:color="000000" w:fill="FFFFFF"/>
            <w:noWrap/>
            <w:vAlign w:val="center"/>
            <w:hideMark/>
          </w:tcPr>
          <w:p w14:paraId="78BAF37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$114.50 </w:t>
            </w:r>
          </w:p>
        </w:tc>
        <w:tc>
          <w:tcPr>
            <w:tcW w:w="1134" w:type="dxa"/>
            <w:tcBorders>
              <w:top w:val="nil"/>
              <w:left w:val="nil"/>
              <w:bottom w:val="single" w:sz="12" w:space="0" w:color="1E1545"/>
              <w:right w:val="nil"/>
            </w:tcBorders>
            <w:shd w:val="clear" w:color="000000" w:fill="FFFFFF"/>
            <w:noWrap/>
            <w:vAlign w:val="center"/>
            <w:hideMark/>
          </w:tcPr>
          <w:p w14:paraId="371BFD25"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$23.80 </w:t>
            </w:r>
          </w:p>
        </w:tc>
        <w:tc>
          <w:tcPr>
            <w:tcW w:w="1276" w:type="dxa"/>
            <w:tcBorders>
              <w:top w:val="nil"/>
              <w:left w:val="nil"/>
              <w:bottom w:val="single" w:sz="12" w:space="0" w:color="1E1545"/>
              <w:right w:val="nil"/>
            </w:tcBorders>
            <w:shd w:val="clear" w:color="000000" w:fill="FFFFFF"/>
            <w:noWrap/>
            <w:vAlign w:val="center"/>
            <w:hideMark/>
          </w:tcPr>
          <w:p w14:paraId="47CB3C4C"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$180.38 </w:t>
            </w:r>
          </w:p>
        </w:tc>
        <w:tc>
          <w:tcPr>
            <w:tcW w:w="1134" w:type="dxa"/>
            <w:tcBorders>
              <w:top w:val="nil"/>
              <w:left w:val="nil"/>
              <w:bottom w:val="single" w:sz="12" w:space="0" w:color="1E1545"/>
              <w:right w:val="nil"/>
            </w:tcBorders>
            <w:shd w:val="clear" w:color="000000" w:fill="FFFFFF"/>
            <w:noWrap/>
            <w:vAlign w:val="center"/>
            <w:hideMark/>
          </w:tcPr>
          <w:p w14:paraId="5AD510DD"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 xml:space="preserve">$65.93 </w:t>
            </w:r>
          </w:p>
        </w:tc>
        <w:tc>
          <w:tcPr>
            <w:tcW w:w="992" w:type="dxa"/>
            <w:tcBorders>
              <w:top w:val="nil"/>
              <w:left w:val="nil"/>
              <w:bottom w:val="single" w:sz="12" w:space="0" w:color="1E1545"/>
              <w:right w:val="nil"/>
            </w:tcBorders>
            <w:shd w:val="clear" w:color="000000" w:fill="FFFFFF"/>
            <w:noWrap/>
            <w:vAlign w:val="center"/>
            <w:hideMark/>
          </w:tcPr>
          <w:p w14:paraId="3AF4E5A6" w14:textId="77777777" w:rsidR="005869E8" w:rsidRPr="00B93401" w:rsidRDefault="005869E8" w:rsidP="005869E8">
            <w:pPr>
              <w:spacing w:before="0" w:after="0" w:line="240" w:lineRule="auto"/>
              <w:jc w:val="right"/>
              <w:rPr>
                <w:rFonts w:cs="Arial"/>
                <w:bCs w:val="0"/>
                <w:color w:val="1E1545"/>
                <w:sz w:val="20"/>
                <w:szCs w:val="20"/>
                <w:lang w:eastAsia="en-AU"/>
              </w:rPr>
            </w:pPr>
            <w:r w:rsidRPr="00B93401">
              <w:rPr>
                <w:rFonts w:cs="Arial"/>
                <w:bCs w:val="0"/>
                <w:color w:val="1E1545"/>
                <w:sz w:val="20"/>
                <w:szCs w:val="20"/>
                <w:lang w:eastAsia="en-AU"/>
              </w:rPr>
              <w:t>0.7%</w:t>
            </w:r>
          </w:p>
        </w:tc>
      </w:tr>
      <w:tr w:rsidR="005869E8" w:rsidRPr="00B93401" w14:paraId="1A5B62E1"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000446ED"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other expenses</w:t>
            </w:r>
          </w:p>
        </w:tc>
        <w:tc>
          <w:tcPr>
            <w:tcW w:w="1297" w:type="dxa"/>
            <w:tcBorders>
              <w:top w:val="nil"/>
              <w:left w:val="nil"/>
              <w:bottom w:val="single" w:sz="12" w:space="0" w:color="1E1545"/>
              <w:right w:val="nil"/>
            </w:tcBorders>
            <w:shd w:val="clear" w:color="000000" w:fill="D8DADA"/>
            <w:noWrap/>
            <w:vAlign w:val="center"/>
            <w:hideMark/>
          </w:tcPr>
          <w:p w14:paraId="3F21941E"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$983.00 </w:t>
            </w:r>
          </w:p>
        </w:tc>
        <w:tc>
          <w:tcPr>
            <w:tcW w:w="1254" w:type="dxa"/>
            <w:tcBorders>
              <w:top w:val="nil"/>
              <w:left w:val="nil"/>
              <w:bottom w:val="single" w:sz="12" w:space="0" w:color="1E1545"/>
              <w:right w:val="nil"/>
            </w:tcBorders>
            <w:shd w:val="clear" w:color="000000" w:fill="D8DADA"/>
            <w:noWrap/>
            <w:vAlign w:val="center"/>
            <w:hideMark/>
          </w:tcPr>
          <w:p w14:paraId="063C0836"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$875.80 </w:t>
            </w:r>
          </w:p>
        </w:tc>
        <w:tc>
          <w:tcPr>
            <w:tcW w:w="1134" w:type="dxa"/>
            <w:tcBorders>
              <w:top w:val="nil"/>
              <w:left w:val="nil"/>
              <w:bottom w:val="single" w:sz="12" w:space="0" w:color="1E1545"/>
              <w:right w:val="nil"/>
            </w:tcBorders>
            <w:shd w:val="clear" w:color="000000" w:fill="D8DADA"/>
            <w:noWrap/>
            <w:vAlign w:val="center"/>
            <w:hideMark/>
          </w:tcPr>
          <w:p w14:paraId="4813C1A1"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($107.20)</w:t>
            </w:r>
          </w:p>
        </w:tc>
        <w:tc>
          <w:tcPr>
            <w:tcW w:w="1276" w:type="dxa"/>
            <w:tcBorders>
              <w:top w:val="nil"/>
              <w:left w:val="nil"/>
              <w:bottom w:val="single" w:sz="12" w:space="0" w:color="1E1545"/>
              <w:right w:val="nil"/>
            </w:tcBorders>
            <w:shd w:val="clear" w:color="000000" w:fill="D8DADA"/>
            <w:noWrap/>
            <w:vAlign w:val="center"/>
            <w:hideMark/>
          </w:tcPr>
          <w:p w14:paraId="38F8184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$1,236.66 </w:t>
            </w:r>
          </w:p>
        </w:tc>
        <w:tc>
          <w:tcPr>
            <w:tcW w:w="1134" w:type="dxa"/>
            <w:tcBorders>
              <w:top w:val="nil"/>
              <w:left w:val="nil"/>
              <w:bottom w:val="single" w:sz="12" w:space="0" w:color="1E1545"/>
              <w:right w:val="nil"/>
            </w:tcBorders>
            <w:shd w:val="clear" w:color="000000" w:fill="D8DADA"/>
            <w:noWrap/>
            <w:vAlign w:val="center"/>
            <w:hideMark/>
          </w:tcPr>
          <w:p w14:paraId="20C92182"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$360.91 </w:t>
            </w:r>
          </w:p>
        </w:tc>
        <w:tc>
          <w:tcPr>
            <w:tcW w:w="992" w:type="dxa"/>
            <w:tcBorders>
              <w:top w:val="nil"/>
              <w:left w:val="nil"/>
              <w:bottom w:val="single" w:sz="12" w:space="0" w:color="1E1545"/>
              <w:right w:val="nil"/>
            </w:tcBorders>
            <w:shd w:val="clear" w:color="000000" w:fill="D8DADA"/>
            <w:noWrap/>
            <w:vAlign w:val="center"/>
            <w:hideMark/>
          </w:tcPr>
          <w:p w14:paraId="5F174267"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4.8%</w:t>
            </w:r>
          </w:p>
        </w:tc>
      </w:tr>
      <w:tr w:rsidR="005869E8" w:rsidRPr="00B93401" w14:paraId="0EB707EB" w14:textId="77777777" w:rsidTr="00901390">
        <w:trPr>
          <w:trHeight w:val="352"/>
        </w:trPr>
        <w:tc>
          <w:tcPr>
            <w:tcW w:w="2127" w:type="dxa"/>
            <w:tcBorders>
              <w:top w:val="nil"/>
              <w:left w:val="nil"/>
              <w:bottom w:val="single" w:sz="12" w:space="0" w:color="1E1545"/>
              <w:right w:val="nil"/>
            </w:tcBorders>
            <w:shd w:val="clear" w:color="000000" w:fill="D8DADA"/>
            <w:vAlign w:val="center"/>
            <w:hideMark/>
          </w:tcPr>
          <w:p w14:paraId="3EED1613" w14:textId="77777777" w:rsidR="005869E8" w:rsidRPr="00B93401" w:rsidRDefault="005869E8" w:rsidP="005869E8">
            <w:pPr>
              <w:spacing w:before="0" w:after="0" w:line="240" w:lineRule="auto"/>
              <w:rPr>
                <w:rFonts w:cs="Arial"/>
                <w:b/>
                <w:color w:val="1E1545"/>
                <w:sz w:val="20"/>
                <w:szCs w:val="20"/>
                <w:lang w:eastAsia="en-AU"/>
              </w:rPr>
            </w:pPr>
            <w:r w:rsidRPr="00B93401">
              <w:rPr>
                <w:rFonts w:cs="Arial"/>
                <w:b/>
                <w:color w:val="1E1545"/>
                <w:sz w:val="20"/>
                <w:szCs w:val="20"/>
                <w:lang w:eastAsia="en-AU"/>
              </w:rPr>
              <w:t>Total expenses</w:t>
            </w:r>
          </w:p>
        </w:tc>
        <w:tc>
          <w:tcPr>
            <w:tcW w:w="1297" w:type="dxa"/>
            <w:tcBorders>
              <w:top w:val="nil"/>
              <w:left w:val="nil"/>
              <w:bottom w:val="single" w:sz="12" w:space="0" w:color="1E1545"/>
              <w:right w:val="nil"/>
            </w:tcBorders>
            <w:shd w:val="clear" w:color="000000" w:fill="D8DADA"/>
            <w:noWrap/>
            <w:vAlign w:val="center"/>
            <w:hideMark/>
          </w:tcPr>
          <w:p w14:paraId="2874A38E"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$22,332.10 </w:t>
            </w:r>
          </w:p>
        </w:tc>
        <w:tc>
          <w:tcPr>
            <w:tcW w:w="1254" w:type="dxa"/>
            <w:tcBorders>
              <w:top w:val="nil"/>
              <w:left w:val="nil"/>
              <w:bottom w:val="single" w:sz="12" w:space="0" w:color="1E1545"/>
              <w:right w:val="nil"/>
            </w:tcBorders>
            <w:shd w:val="clear" w:color="000000" w:fill="D8DADA"/>
            <w:noWrap/>
            <w:vAlign w:val="center"/>
            <w:hideMark/>
          </w:tcPr>
          <w:p w14:paraId="1DB35176"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$24,338.60 </w:t>
            </w:r>
          </w:p>
        </w:tc>
        <w:tc>
          <w:tcPr>
            <w:tcW w:w="1134" w:type="dxa"/>
            <w:tcBorders>
              <w:top w:val="nil"/>
              <w:left w:val="nil"/>
              <w:bottom w:val="single" w:sz="12" w:space="0" w:color="1E1545"/>
              <w:right w:val="nil"/>
            </w:tcBorders>
            <w:shd w:val="clear" w:color="000000" w:fill="D8DADA"/>
            <w:noWrap/>
            <w:vAlign w:val="center"/>
            <w:hideMark/>
          </w:tcPr>
          <w:p w14:paraId="0348CB4D"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$2,006.50 </w:t>
            </w:r>
          </w:p>
        </w:tc>
        <w:tc>
          <w:tcPr>
            <w:tcW w:w="1276" w:type="dxa"/>
            <w:tcBorders>
              <w:top w:val="nil"/>
              <w:left w:val="nil"/>
              <w:bottom w:val="single" w:sz="12" w:space="0" w:color="1E1545"/>
              <w:right w:val="nil"/>
            </w:tcBorders>
            <w:shd w:val="clear" w:color="000000" w:fill="D8DADA"/>
            <w:noWrap/>
            <w:vAlign w:val="center"/>
            <w:hideMark/>
          </w:tcPr>
          <w:p w14:paraId="1AABFBA0"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$25,976.84 </w:t>
            </w:r>
          </w:p>
        </w:tc>
        <w:tc>
          <w:tcPr>
            <w:tcW w:w="1134" w:type="dxa"/>
            <w:tcBorders>
              <w:top w:val="nil"/>
              <w:left w:val="nil"/>
              <w:bottom w:val="single" w:sz="12" w:space="0" w:color="1E1545"/>
              <w:right w:val="nil"/>
            </w:tcBorders>
            <w:shd w:val="clear" w:color="000000" w:fill="D8DADA"/>
            <w:noWrap/>
            <w:vAlign w:val="center"/>
            <w:hideMark/>
          </w:tcPr>
          <w:p w14:paraId="52E0FAE0"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 xml:space="preserve">$1,638.22 </w:t>
            </w:r>
          </w:p>
        </w:tc>
        <w:tc>
          <w:tcPr>
            <w:tcW w:w="992" w:type="dxa"/>
            <w:tcBorders>
              <w:top w:val="nil"/>
              <w:left w:val="nil"/>
              <w:bottom w:val="single" w:sz="12" w:space="0" w:color="1E1545"/>
              <w:right w:val="nil"/>
            </w:tcBorders>
            <w:shd w:val="clear" w:color="000000" w:fill="D8DADA"/>
            <w:noWrap/>
            <w:vAlign w:val="center"/>
            <w:hideMark/>
          </w:tcPr>
          <w:p w14:paraId="1C053460" w14:textId="77777777" w:rsidR="005869E8" w:rsidRPr="00B93401" w:rsidRDefault="005869E8" w:rsidP="005869E8">
            <w:pPr>
              <w:spacing w:before="0" w:after="0" w:line="240" w:lineRule="auto"/>
              <w:jc w:val="right"/>
              <w:rPr>
                <w:rFonts w:cs="Arial"/>
                <w:b/>
                <w:color w:val="1E1545"/>
                <w:sz w:val="20"/>
                <w:szCs w:val="20"/>
                <w:lang w:eastAsia="en-AU"/>
              </w:rPr>
            </w:pPr>
            <w:r w:rsidRPr="00B93401">
              <w:rPr>
                <w:rFonts w:cs="Arial"/>
                <w:b/>
                <w:color w:val="1E1545"/>
                <w:sz w:val="20"/>
                <w:szCs w:val="20"/>
                <w:lang w:eastAsia="en-AU"/>
              </w:rPr>
              <w:t>100.0%</w:t>
            </w:r>
          </w:p>
        </w:tc>
      </w:tr>
    </w:tbl>
    <w:p w14:paraId="35E19633" w14:textId="77777777" w:rsidR="004D4E50" w:rsidRDefault="004D4E50" w:rsidP="004D4E50">
      <w:pPr>
        <w:pStyle w:val="FootnoteText"/>
      </w:pPr>
    </w:p>
    <w:p w14:paraId="0D712596" w14:textId="1B17D52D" w:rsidR="001226A9" w:rsidRPr="00C53C58" w:rsidRDefault="001226A9" w:rsidP="00B93401">
      <w:pPr>
        <w:pStyle w:val="FootnoteText"/>
      </w:pPr>
      <w:r w:rsidRPr="00C53C58">
        <w:t>Notes</w:t>
      </w:r>
      <w:r>
        <w:t>:</w:t>
      </w:r>
    </w:p>
    <w:p w14:paraId="48BBADBB" w14:textId="566CBD7D" w:rsidR="001226A9" w:rsidRPr="00C53C58" w:rsidRDefault="001226A9" w:rsidP="00CD1E1B">
      <w:pPr>
        <w:pStyle w:val="Footnotetextlist"/>
        <w:numPr>
          <w:ilvl w:val="0"/>
          <w:numId w:val="14"/>
        </w:numPr>
      </w:pPr>
      <w:r w:rsidRPr="00C53C58">
        <w:t xml:space="preserve">Financing interest </w:t>
      </w:r>
      <w:r>
        <w:t>was</w:t>
      </w:r>
      <w:r w:rsidRPr="00C53C58">
        <w:t xml:space="preserve"> reclassified to Accommodation &amp; Finance expense in </w:t>
      </w:r>
      <w:r>
        <w:t>2021-22</w:t>
      </w:r>
      <w:r w:rsidRPr="00C53C58">
        <w:t>.</w:t>
      </w:r>
    </w:p>
    <w:p w14:paraId="6304A849" w14:textId="598D5C93" w:rsidR="001226A9" w:rsidRPr="00C53C58" w:rsidRDefault="001226A9" w:rsidP="00CD1E1B">
      <w:pPr>
        <w:pStyle w:val="Footnotetextlist"/>
        <w:numPr>
          <w:ilvl w:val="0"/>
          <w:numId w:val="14"/>
        </w:numPr>
      </w:pPr>
      <w:r w:rsidRPr="00C53C58">
        <w:t xml:space="preserve">Utilities expense </w:t>
      </w:r>
      <w:r>
        <w:t xml:space="preserve">was </w:t>
      </w:r>
      <w:r w:rsidRPr="00C53C58">
        <w:t xml:space="preserve">separately collected &amp; reclassified from Accommodation expense to Hotel expense in </w:t>
      </w:r>
      <w:r>
        <w:t>2020-21</w:t>
      </w:r>
      <w:r w:rsidRPr="00C53C58">
        <w:t>.</w:t>
      </w:r>
    </w:p>
    <w:p w14:paraId="44B8F20E" w14:textId="77777777" w:rsidR="001226A9" w:rsidRPr="00C53C58" w:rsidRDefault="001226A9" w:rsidP="00CD1E1B">
      <w:pPr>
        <w:pStyle w:val="Footnotetextlist"/>
        <w:numPr>
          <w:ilvl w:val="0"/>
          <w:numId w:val="14"/>
        </w:numPr>
      </w:pPr>
      <w:r w:rsidRPr="00C53C58">
        <w:t>Management Fees include</w:t>
      </w:r>
      <w:r>
        <w:t>d</w:t>
      </w:r>
      <w:r w:rsidRPr="00C53C58">
        <w:t xml:space="preserve"> head office </w:t>
      </w:r>
      <w:r>
        <w:t>C</w:t>
      </w:r>
      <w:r w:rsidRPr="00C53C58">
        <w:t>orporate recharge in FY20</w:t>
      </w:r>
      <w:r>
        <w:t>20-21</w:t>
      </w:r>
      <w:r w:rsidRPr="00C53C58">
        <w:t xml:space="preserve"> and FY2021</w:t>
      </w:r>
      <w:r>
        <w:t>-22</w:t>
      </w:r>
    </w:p>
    <w:p w14:paraId="4BD8B07D" w14:textId="0E90BA47" w:rsidR="00EE5C68" w:rsidRDefault="001226A9" w:rsidP="00CD1E1B">
      <w:pPr>
        <w:pStyle w:val="Footnotetextlist"/>
        <w:numPr>
          <w:ilvl w:val="0"/>
          <w:numId w:val="14"/>
        </w:numPr>
      </w:pPr>
      <w:r>
        <w:t>AASB 16 Leases, an accounting standard, requires leases to recognise most rental contracts on their balance sheets as right of use assets and corresponding lease liabilities</w:t>
      </w:r>
    </w:p>
    <w:p w14:paraId="236BEC37" w14:textId="77777777" w:rsidR="006F4F12" w:rsidRDefault="006F4F12" w:rsidP="006F4F12">
      <w:pPr>
        <w:pStyle w:val="ListParagraph"/>
        <w:numPr>
          <w:ilvl w:val="0"/>
          <w:numId w:val="14"/>
        </w:numPr>
        <w:spacing w:before="0" w:after="0" w:line="240" w:lineRule="auto"/>
      </w:pPr>
      <w:bookmarkStart w:id="133" w:name="_Toc149245324"/>
      <w:r>
        <w:br w:type="page"/>
      </w:r>
    </w:p>
    <w:p w14:paraId="394E1C6B" w14:textId="68E0F269" w:rsidR="00CD3B77" w:rsidRPr="009F4CA9" w:rsidRDefault="00CD3B77" w:rsidP="00365853">
      <w:pPr>
        <w:rPr>
          <w:bCs w:val="0"/>
          <w:szCs w:val="28"/>
        </w:rPr>
      </w:pPr>
      <w:r w:rsidRPr="00365853">
        <w:rPr>
          <w:b/>
          <w:sz w:val="28"/>
          <w:szCs w:val="28"/>
        </w:rPr>
        <w:t>Operating performance</w:t>
      </w:r>
      <w:bookmarkEnd w:id="133"/>
    </w:p>
    <w:p w14:paraId="1F8F550C" w14:textId="71454063" w:rsidR="00AC26F0" w:rsidRPr="009D38F1" w:rsidRDefault="00AC26F0" w:rsidP="00AC26F0">
      <w:r w:rsidRPr="009D38F1">
        <w:fldChar w:fldCharType="begin"/>
      </w:r>
      <w:r w:rsidRPr="009D38F1">
        <w:instrText xml:space="preserve"> REF _Ref162512851 \h </w:instrText>
      </w:r>
      <w:r w:rsidR="009D38F1">
        <w:instrText xml:space="preserve"> \* MERGEFORMAT </w:instrText>
      </w:r>
      <w:r w:rsidRPr="009D38F1">
        <w:fldChar w:fldCharType="separate"/>
      </w:r>
      <w:r w:rsidR="001377BE">
        <w:t xml:space="preserve">Chart </w:t>
      </w:r>
      <w:r w:rsidR="001377BE">
        <w:rPr>
          <w:noProof/>
        </w:rPr>
        <w:t>3.7</w:t>
      </w:r>
      <w:r w:rsidRPr="009D38F1">
        <w:fldChar w:fldCharType="end"/>
      </w:r>
      <w:r w:rsidRPr="009D38F1">
        <w:t xml:space="preserve"> shows</w:t>
      </w:r>
      <w:r w:rsidRPr="009D38F1">
        <w:rPr>
          <w:spacing w:val="-11"/>
        </w:rPr>
        <w:t xml:space="preserve"> </w:t>
      </w:r>
      <w:r w:rsidRPr="009D38F1">
        <w:t>the</w:t>
      </w:r>
      <w:r w:rsidRPr="009D38F1">
        <w:rPr>
          <w:spacing w:val="-11"/>
        </w:rPr>
        <w:t xml:space="preserve"> </w:t>
      </w:r>
      <w:r w:rsidRPr="009D38F1">
        <w:t>average</w:t>
      </w:r>
      <w:r w:rsidRPr="009D38F1">
        <w:rPr>
          <w:spacing w:val="-11"/>
        </w:rPr>
        <w:t xml:space="preserve"> </w:t>
      </w:r>
      <w:r w:rsidRPr="009D38F1">
        <w:t>EBITDA per resident per year for all residential care providers since 201</w:t>
      </w:r>
      <w:r w:rsidR="007462BE">
        <w:t>3</w:t>
      </w:r>
      <w:r w:rsidRPr="009D38F1">
        <w:t>-1</w:t>
      </w:r>
      <w:r w:rsidR="007462BE">
        <w:t>4</w:t>
      </w:r>
      <w:r w:rsidRPr="009D38F1">
        <w:t xml:space="preserve">. EBITDA per resident per year </w:t>
      </w:r>
      <w:r w:rsidR="009D38F1">
        <w:t>increased for the first time</w:t>
      </w:r>
      <w:r w:rsidR="00171F30">
        <w:t xml:space="preserve"> since 2017-18</w:t>
      </w:r>
      <w:r w:rsidRPr="009D38F1">
        <w:t xml:space="preserve">, </w:t>
      </w:r>
      <w:r w:rsidR="00171F30">
        <w:t>in</w:t>
      </w:r>
      <w:r w:rsidRPr="009D38F1">
        <w:t>creasing from</w:t>
      </w:r>
      <w:r w:rsidR="00171F30">
        <w:t xml:space="preserve"> negative </w:t>
      </w:r>
      <w:r w:rsidR="00434B20">
        <w:t>$46</w:t>
      </w:r>
      <w:r w:rsidRPr="009D38F1">
        <w:t xml:space="preserve"> in 2021</w:t>
      </w:r>
      <w:r w:rsidR="00434B20">
        <w:t>-22</w:t>
      </w:r>
      <w:r w:rsidRPr="009D38F1">
        <w:t xml:space="preserve"> to $</w:t>
      </w:r>
      <w:r w:rsidR="00434B20">
        <w:t>2,764</w:t>
      </w:r>
      <w:r w:rsidRPr="009D38F1">
        <w:t xml:space="preserve"> in 2022</w:t>
      </w:r>
      <w:r w:rsidR="00434B20">
        <w:t>-23</w:t>
      </w:r>
      <w:r w:rsidRPr="009D38F1">
        <w:t xml:space="preserve">. </w:t>
      </w:r>
    </w:p>
    <w:p w14:paraId="796560E1" w14:textId="56F3AFDD" w:rsidR="00CA7A19" w:rsidRPr="00FF575F" w:rsidRDefault="00CA7A19" w:rsidP="00AC26F0">
      <w:r w:rsidRPr="00EE1922">
        <w:t xml:space="preserve">After </w:t>
      </w:r>
      <w:r w:rsidR="00302A5D">
        <w:t>a</w:t>
      </w:r>
      <w:r w:rsidRPr="00EE1922">
        <w:t xml:space="preserve"> </w:t>
      </w:r>
      <w:r w:rsidR="0087186E" w:rsidRPr="00EE1922">
        <w:t>5</w:t>
      </w:r>
      <w:r w:rsidR="00667E8E" w:rsidRPr="00EE1922">
        <w:t>-year</w:t>
      </w:r>
      <w:r w:rsidR="0087186E" w:rsidRPr="00EE1922">
        <w:t xml:space="preserve"> downward trend, this is the first year there was an increase </w:t>
      </w:r>
      <w:r w:rsidR="008E505D" w:rsidRPr="00EE1922">
        <w:t xml:space="preserve">in the average EBITDA per resident per year for residential care providers. </w:t>
      </w:r>
      <w:r w:rsidR="009F7C17" w:rsidRPr="009F7C17">
        <w:t xml:space="preserve">Although it is an increase on the prior year, the average EBITDA for 2022-23 </w:t>
      </w:r>
      <w:r w:rsidR="00FF575F">
        <w:t xml:space="preserve">is </w:t>
      </w:r>
      <w:r w:rsidR="009F7C17" w:rsidRPr="009F7C17">
        <w:t xml:space="preserve">still lower than </w:t>
      </w:r>
      <w:r w:rsidR="00E34A30">
        <w:t xml:space="preserve">the </w:t>
      </w:r>
      <w:r w:rsidR="009F7C17" w:rsidRPr="009F7C17">
        <w:t>2020-21 result of $3,771 and a peak of $11</w:t>
      </w:r>
      <w:r w:rsidR="0032679E" w:rsidRPr="00FA6395">
        <w:t>,</w:t>
      </w:r>
      <w:r w:rsidR="009F7C17" w:rsidRPr="009F7C17">
        <w:t>481 in 2016-17.</w:t>
      </w:r>
      <w:r w:rsidR="009F7C17" w:rsidRPr="009F7C17">
        <w:rPr>
          <w:color w:val="FF0000"/>
        </w:rPr>
        <w:t xml:space="preserve"> </w:t>
      </w:r>
    </w:p>
    <w:p w14:paraId="58BE64CE" w14:textId="620C31DD" w:rsidR="00AC26F0" w:rsidRDefault="00AC26F0" w:rsidP="00AC26F0">
      <w:pPr>
        <w:rPr>
          <w:b/>
          <w:bCs w:val="0"/>
        </w:rPr>
      </w:pPr>
      <w:r w:rsidRPr="006E12C6">
        <w:t xml:space="preserve">This </w:t>
      </w:r>
      <w:r w:rsidR="00B65CE2" w:rsidRPr="006E12C6">
        <w:t xml:space="preserve">increase </w:t>
      </w:r>
      <w:r w:rsidRPr="006E12C6">
        <w:t>can</w:t>
      </w:r>
      <w:r w:rsidRPr="006E12C6" w:rsidDel="00E41781">
        <w:t xml:space="preserve"> </w:t>
      </w:r>
      <w:r w:rsidRPr="006E12C6">
        <w:t>likely be attributed to increase</w:t>
      </w:r>
      <w:r w:rsidR="00B65CE2" w:rsidRPr="006E12C6">
        <w:t>d funding through AN-ACC</w:t>
      </w:r>
      <w:r w:rsidR="009D34E5" w:rsidRPr="006E12C6">
        <w:t xml:space="preserve"> and</w:t>
      </w:r>
      <w:r w:rsidR="007F041B">
        <w:t xml:space="preserve"> improved COVID-19 results due to decreased expenses and increased funding through COVID-19 grants</w:t>
      </w:r>
      <w:r w:rsidR="69F90AB9">
        <w:t xml:space="preserve"> realisation</w:t>
      </w:r>
      <w:r w:rsidR="007F041B">
        <w:t>.</w:t>
      </w:r>
      <w:r w:rsidRPr="006E12C6" w:rsidDel="00587ADF">
        <w:t xml:space="preserve"> </w:t>
      </w:r>
      <w:r w:rsidRPr="006E12C6">
        <w:t xml:space="preserve">Total expenses for COVID-19 </w:t>
      </w:r>
      <w:r w:rsidR="007F041B" w:rsidRPr="006E12C6">
        <w:t xml:space="preserve">decreased </w:t>
      </w:r>
      <w:r w:rsidRPr="006E12C6">
        <w:t xml:space="preserve">by </w:t>
      </w:r>
      <w:r w:rsidR="001C564B" w:rsidRPr="006E12C6">
        <w:t>38.3</w:t>
      </w:r>
      <w:r w:rsidR="003C48F1" w:rsidRPr="006E12C6">
        <w:t>%</w:t>
      </w:r>
      <w:r w:rsidRPr="006E12C6">
        <w:t xml:space="preserve"> from </w:t>
      </w:r>
      <w:r w:rsidR="001C564B" w:rsidRPr="006E12C6">
        <w:t>2021-22.</w:t>
      </w:r>
      <w:r w:rsidR="00E75D36" w:rsidRPr="006E12C6">
        <w:t xml:space="preserve"> Revenue from COVID-19 grants and subsidies increased</w:t>
      </w:r>
      <w:r w:rsidR="007B727F" w:rsidRPr="006E12C6">
        <w:t xml:space="preserve"> by 40.5%. </w:t>
      </w:r>
      <w:r w:rsidRPr="006E12C6">
        <w:t>Across all categories labour costs have increased</w:t>
      </w:r>
      <w:r w:rsidR="0037623F" w:rsidRPr="006E12C6">
        <w:t xml:space="preserve"> except COVID-19 category</w:t>
      </w:r>
      <w:r w:rsidRPr="006E12C6" w:rsidDel="0037623F">
        <w:t xml:space="preserve">. </w:t>
      </w:r>
      <w:r w:rsidRPr="006E12C6">
        <w:t xml:space="preserve">COVID-19 labour costs </w:t>
      </w:r>
      <w:r w:rsidR="0037623F" w:rsidRPr="006E12C6">
        <w:t xml:space="preserve">decreased </w:t>
      </w:r>
      <w:r w:rsidRPr="006E12C6">
        <w:t xml:space="preserve">by </w:t>
      </w:r>
      <w:r w:rsidR="00A85EAE" w:rsidRPr="006E12C6">
        <w:t>31.1%</w:t>
      </w:r>
      <w:r w:rsidRPr="006E12C6" w:rsidDel="00A85EAE">
        <w:t xml:space="preserve"> </w:t>
      </w:r>
      <w:r w:rsidRPr="006E12C6">
        <w:t>from $</w:t>
      </w:r>
      <w:r w:rsidR="00A85EAE" w:rsidRPr="006E12C6">
        <w:t xml:space="preserve">481 </w:t>
      </w:r>
      <w:r w:rsidRPr="006E12C6">
        <w:t xml:space="preserve">million in </w:t>
      </w:r>
      <w:r w:rsidR="00A85EAE" w:rsidRPr="006E12C6">
        <w:t>2021-22</w:t>
      </w:r>
      <w:r w:rsidRPr="006E12C6">
        <w:t xml:space="preserve"> to $</w:t>
      </w:r>
      <w:r w:rsidR="000E67F1" w:rsidRPr="006E12C6">
        <w:t>331</w:t>
      </w:r>
      <w:r w:rsidRPr="006E12C6">
        <w:t xml:space="preserve"> million in </w:t>
      </w:r>
      <w:r w:rsidR="000E67F1" w:rsidRPr="006E12C6">
        <w:t>2022-23</w:t>
      </w:r>
      <w:r w:rsidRPr="006E12C6">
        <w:t>.</w:t>
      </w:r>
      <w:r w:rsidR="0018485F" w:rsidRPr="006E12C6">
        <w:t xml:space="preserve"> Care revenue </w:t>
      </w:r>
      <w:r w:rsidR="00E603CC" w:rsidRPr="006E12C6">
        <w:t>from ACFI and AN-ACC increased by 11.7%</w:t>
      </w:r>
      <w:r w:rsidR="00B727C8" w:rsidRPr="006E12C6">
        <w:t xml:space="preserve"> meanwhile expenses increased by </w:t>
      </w:r>
      <w:r w:rsidR="00F870F1">
        <w:t>7.1</w:t>
      </w:r>
      <w:r w:rsidR="00B727C8" w:rsidRPr="006E12C6">
        <w:t>%.</w:t>
      </w:r>
      <w:r w:rsidRPr="006E12C6" w:rsidDel="002F5CF8">
        <w:t xml:space="preserve"> </w:t>
      </w:r>
      <w:r w:rsidRPr="006E12C6">
        <w:t xml:space="preserve">The increase in </w:t>
      </w:r>
      <w:r w:rsidR="00492659" w:rsidRPr="006E12C6">
        <w:t>care and COVID-19</w:t>
      </w:r>
      <w:r w:rsidRPr="006E12C6" w:rsidDel="00C4208D">
        <w:t xml:space="preserve"> </w:t>
      </w:r>
      <w:r w:rsidR="00C4208D" w:rsidRPr="006E12C6">
        <w:t>revenue</w:t>
      </w:r>
      <w:r w:rsidR="00C4208D" w:rsidRPr="006E12C6" w:rsidDel="00CA3C6E">
        <w:t xml:space="preserve"> </w:t>
      </w:r>
      <w:r w:rsidRPr="006E12C6">
        <w:t xml:space="preserve">was proportionately greater than </w:t>
      </w:r>
      <w:r w:rsidRPr="006E12C6" w:rsidDel="00764253">
        <w:t xml:space="preserve">increase in </w:t>
      </w:r>
      <w:r w:rsidR="00764253" w:rsidRPr="006E12C6">
        <w:t>expenses</w:t>
      </w:r>
      <w:r w:rsidRPr="006E12C6">
        <w:t xml:space="preserve">, resulting in the </w:t>
      </w:r>
      <w:r w:rsidR="00C4208D" w:rsidRPr="006E12C6">
        <w:t xml:space="preserve">positive </w:t>
      </w:r>
      <w:r w:rsidRPr="006E12C6">
        <w:t xml:space="preserve">EBITDA result for </w:t>
      </w:r>
      <w:r w:rsidR="00B727C8">
        <w:t xml:space="preserve">2022-23. </w:t>
      </w:r>
    </w:p>
    <w:p w14:paraId="71D51148" w14:textId="6E92E161" w:rsidR="00CC79D2" w:rsidRPr="00CC79D2" w:rsidRDefault="00891AF4" w:rsidP="00154918">
      <w:pPr>
        <w:pStyle w:val="Caption"/>
      </w:pPr>
      <w:bookmarkStart w:id="134" w:name="_Ref162512851"/>
      <w:bookmarkStart w:id="135" w:name="_Toc173428924"/>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7</w:t>
      </w:r>
      <w:r w:rsidR="00AE19AA">
        <w:rPr>
          <w:noProof/>
        </w:rPr>
        <w:fldChar w:fldCharType="end"/>
      </w:r>
      <w:bookmarkEnd w:id="134"/>
      <w:r>
        <w:t xml:space="preserve">: </w:t>
      </w:r>
      <w:r w:rsidRPr="00943E8F">
        <w:t xml:space="preserve">Residential care provider average EBITDA per resident per year, </w:t>
      </w:r>
      <w:r w:rsidR="00E45183" w:rsidRPr="00943E8F">
        <w:t>20</w:t>
      </w:r>
      <w:r w:rsidR="00E45183">
        <w:t>13</w:t>
      </w:r>
      <w:r w:rsidRPr="00943E8F">
        <w:t>-1</w:t>
      </w:r>
      <w:r w:rsidR="00E45183">
        <w:t>4</w:t>
      </w:r>
      <w:r w:rsidRPr="00943E8F">
        <w:t xml:space="preserve"> to </w:t>
      </w:r>
      <w:r w:rsidR="00574347" w:rsidRPr="00943E8F">
        <w:t>202</w:t>
      </w:r>
      <w:r w:rsidR="00574347">
        <w:t>2</w:t>
      </w:r>
      <w:r w:rsidRPr="00943E8F">
        <w:t>-2</w:t>
      </w:r>
      <w:r w:rsidR="00574347">
        <w:t>3</w:t>
      </w:r>
      <w:bookmarkEnd w:id="135"/>
    </w:p>
    <w:p w14:paraId="7B9A1871" w14:textId="5025D957" w:rsidR="00272E62" w:rsidRDefault="008173E9" w:rsidP="00CC79D2">
      <w:r>
        <w:rPr>
          <w:noProof/>
        </w:rPr>
        <w:drawing>
          <wp:inline distT="0" distB="0" distL="0" distR="0" wp14:anchorId="026C2293" wp14:editId="04AF6142">
            <wp:extent cx="5898489" cy="3132000"/>
            <wp:effectExtent l="0" t="0" r="7620" b="0"/>
            <wp:docPr id="1271021949" name="Picture 1271021949" descr="Chart 3.7 is a line chart titled Residential care provider average EBITDA per resident per year, 2013-14 to 2022-2023. The average EBITDA has been declining since the peak of $11,481 in 2016-17 until 2021-22. After 5 years of decline, the average EBITDA went up in 2022-23 to $2,764 per resident per year, up from negative $46 in 2021-22.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9" name="Picture 1271021949" descr="Chart 3.7 is a line chart titled Residential care provider average EBITDA per resident per year, 2013-14 to 2022-2023. The average EBITDA has been declining since the peak of $11,481 in 2016-17 until 2021-22. After 5 years of decline, the average EBITDA went up in 2022-23 to $2,764 per resident per year, up from negative $46 in 2021-22. &#10;&#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3004" cy="3145017"/>
                    </a:xfrm>
                    <a:prstGeom prst="rect">
                      <a:avLst/>
                    </a:prstGeom>
                    <a:noFill/>
                  </pic:spPr>
                </pic:pic>
              </a:graphicData>
            </a:graphic>
          </wp:inline>
        </w:drawing>
      </w:r>
    </w:p>
    <w:p w14:paraId="5B46A72F" w14:textId="77777777" w:rsidR="006F4F12" w:rsidRDefault="006F4F12" w:rsidP="006F4F12">
      <w:pPr>
        <w:spacing w:before="0" w:after="0" w:line="240" w:lineRule="auto"/>
      </w:pPr>
      <w:r>
        <w:br w:type="page"/>
      </w:r>
    </w:p>
    <w:p w14:paraId="09357A57" w14:textId="5B8EC63A" w:rsidR="002F6682" w:rsidRPr="004D13FE" w:rsidRDefault="002F6682" w:rsidP="002F6682">
      <w:r w:rsidRPr="004D13FE">
        <w:fldChar w:fldCharType="begin"/>
      </w:r>
      <w:r w:rsidRPr="004D13FE">
        <w:instrText xml:space="preserve"> REF _Ref162512877 \h </w:instrText>
      </w:r>
      <w:r w:rsidR="004D13FE">
        <w:instrText xml:space="preserve"> \* MERGEFORMAT </w:instrText>
      </w:r>
      <w:r w:rsidRPr="004D13FE">
        <w:fldChar w:fldCharType="separate"/>
      </w:r>
      <w:r w:rsidR="001377BE">
        <w:t xml:space="preserve">Chart </w:t>
      </w:r>
      <w:r w:rsidR="001377BE">
        <w:rPr>
          <w:noProof/>
        </w:rPr>
        <w:t>3.8</w:t>
      </w:r>
      <w:r w:rsidRPr="004D13FE">
        <w:fldChar w:fldCharType="end"/>
      </w:r>
      <w:r w:rsidRPr="004D13FE">
        <w:t xml:space="preserve"> presents</w:t>
      </w:r>
      <w:r w:rsidRPr="004D13FE">
        <w:rPr>
          <w:spacing w:val="-11"/>
        </w:rPr>
        <w:t xml:space="preserve"> </w:t>
      </w:r>
      <w:r w:rsidRPr="004D13FE">
        <w:t>the</w:t>
      </w:r>
      <w:r w:rsidRPr="004D13FE">
        <w:rPr>
          <w:spacing w:val="-11"/>
        </w:rPr>
        <w:t xml:space="preserve"> </w:t>
      </w:r>
      <w:r w:rsidRPr="004D13FE">
        <w:t>EBITDA</w:t>
      </w:r>
      <w:r w:rsidRPr="004D13FE">
        <w:rPr>
          <w:spacing w:val="-11"/>
        </w:rPr>
        <w:t xml:space="preserve"> </w:t>
      </w:r>
      <w:r w:rsidRPr="004D13FE">
        <w:t>per</w:t>
      </w:r>
      <w:r w:rsidRPr="004D13FE">
        <w:rPr>
          <w:spacing w:val="-11"/>
        </w:rPr>
        <w:t xml:space="preserve"> </w:t>
      </w:r>
      <w:r w:rsidRPr="004D13FE">
        <w:t>resident</w:t>
      </w:r>
      <w:r w:rsidRPr="004D13FE">
        <w:rPr>
          <w:spacing w:val="-11"/>
        </w:rPr>
        <w:t xml:space="preserve"> </w:t>
      </w:r>
      <w:r w:rsidRPr="004D13FE">
        <w:t>for</w:t>
      </w:r>
      <w:r w:rsidRPr="004D13FE">
        <w:rPr>
          <w:spacing w:val="-11"/>
        </w:rPr>
        <w:t xml:space="preserve"> </w:t>
      </w:r>
      <w:r w:rsidRPr="004D13FE">
        <w:t>2019</w:t>
      </w:r>
      <w:r w:rsidR="00B4789F">
        <w:t>-20</w:t>
      </w:r>
      <w:r w:rsidRPr="004D13FE">
        <w:t xml:space="preserve"> to 2022</w:t>
      </w:r>
      <w:r w:rsidR="00B4789F">
        <w:t>-23</w:t>
      </w:r>
      <w:r w:rsidRPr="004D13FE">
        <w:t xml:space="preserve"> by provider performance quartiles. The average EBITDA per resident per year </w:t>
      </w:r>
      <w:r w:rsidR="00B66A09">
        <w:t>increased</w:t>
      </w:r>
      <w:r w:rsidRPr="004D13FE">
        <w:t xml:space="preserve"> in all quartiles</w:t>
      </w:r>
      <w:r w:rsidR="00B66A09">
        <w:t xml:space="preserve"> except for the bottom </w:t>
      </w:r>
      <w:r w:rsidR="007F3DA9">
        <w:t xml:space="preserve">25% (bottom quartile). </w:t>
      </w:r>
      <w:r w:rsidR="00E42C21">
        <w:t xml:space="preserve">The </w:t>
      </w:r>
      <w:r w:rsidR="00F86C7E">
        <w:t>top 25% of providers (top quartile)</w:t>
      </w:r>
      <w:r w:rsidR="00097650">
        <w:t xml:space="preserve"> reported the highest EBITDA in 2022-23 ($21,654)</w:t>
      </w:r>
      <w:r w:rsidR="00C06C71">
        <w:t xml:space="preserve"> in comparison to the three years prior</w:t>
      </w:r>
      <w:r w:rsidR="006A4ED3">
        <w:t>. This was</w:t>
      </w:r>
      <w:r w:rsidR="00B97167">
        <w:t xml:space="preserve"> a</w:t>
      </w:r>
      <w:r w:rsidR="006A4ED3">
        <w:t xml:space="preserve"> significant</w:t>
      </w:r>
      <w:r w:rsidR="00B97167">
        <w:t xml:space="preserve"> increase of </w:t>
      </w:r>
      <w:r w:rsidR="00457350">
        <w:t>34%</w:t>
      </w:r>
      <w:r w:rsidR="006A4ED3">
        <w:t xml:space="preserve"> on the 2021-22 EBITDA result</w:t>
      </w:r>
      <w:r w:rsidR="00554A78">
        <w:t xml:space="preserve"> and 17% of residents were serviced by providers in the top quartile. </w:t>
      </w:r>
      <w:r w:rsidR="00195D1E">
        <w:t>The next top quartile</w:t>
      </w:r>
      <w:r w:rsidR="00F765A3">
        <w:t xml:space="preserve"> also</w:t>
      </w:r>
      <w:r w:rsidR="00CA4B36">
        <w:t xml:space="preserve"> improved </w:t>
      </w:r>
      <w:r w:rsidR="00F765A3">
        <w:t xml:space="preserve">the </w:t>
      </w:r>
      <w:r w:rsidR="001B3C1E">
        <w:t>EBITDA per resident per year</w:t>
      </w:r>
      <w:r w:rsidR="00F765A3">
        <w:t xml:space="preserve"> result</w:t>
      </w:r>
      <w:r w:rsidR="00CA4B36">
        <w:t xml:space="preserve">, </w:t>
      </w:r>
      <w:r w:rsidR="00AA732E">
        <w:t>up</w:t>
      </w:r>
      <w:r w:rsidR="00EF160B">
        <w:t xml:space="preserve"> from $3,504</w:t>
      </w:r>
      <w:r w:rsidR="00A27826">
        <w:t xml:space="preserve"> in 2021-22 to $8,766 in 2022-23</w:t>
      </w:r>
      <w:r w:rsidR="00D027C9">
        <w:t xml:space="preserve"> and 30% of residents were serviced </w:t>
      </w:r>
      <w:r w:rsidR="0086590E">
        <w:t xml:space="preserve">by providers in </w:t>
      </w:r>
      <w:r w:rsidR="00834ED6">
        <w:t>this</w:t>
      </w:r>
      <w:r w:rsidR="0086590E">
        <w:t xml:space="preserve"> quartile in 2022-23. </w:t>
      </w:r>
      <w:r w:rsidR="00A82368">
        <w:t>The next bottom quartile also re</w:t>
      </w:r>
      <w:r w:rsidR="00D548F6">
        <w:t xml:space="preserve">corded an improved EBITDA result, increasing from negative $3,124 </w:t>
      </w:r>
      <w:r w:rsidR="00186130">
        <w:t xml:space="preserve">in 2021-22 </w:t>
      </w:r>
      <w:r w:rsidR="00D548F6">
        <w:t>to $1,381</w:t>
      </w:r>
      <w:r w:rsidR="00186130">
        <w:t xml:space="preserve"> in 2022-23</w:t>
      </w:r>
      <w:r w:rsidR="004E035F">
        <w:t xml:space="preserve"> and </w:t>
      </w:r>
      <w:r w:rsidR="001C6E94">
        <w:t xml:space="preserve">providers in the next bottom quartile serviced </w:t>
      </w:r>
      <w:r w:rsidR="000E7FC8">
        <w:t xml:space="preserve">the most residents, </w:t>
      </w:r>
      <w:r w:rsidR="000B2930">
        <w:t>34</w:t>
      </w:r>
      <w:r w:rsidR="00A77D81">
        <w:t>%</w:t>
      </w:r>
      <w:r w:rsidR="00FC1032">
        <w:t xml:space="preserve"> of total residents. The bottom quartile </w:t>
      </w:r>
      <w:r w:rsidR="00B9025F">
        <w:t xml:space="preserve">had a </w:t>
      </w:r>
      <w:r w:rsidR="00FC1032">
        <w:t xml:space="preserve">decreased EBITDA result, </w:t>
      </w:r>
      <w:r w:rsidR="00505296">
        <w:t>down from negative $19,553 in 2021-22 to</w:t>
      </w:r>
      <w:r w:rsidR="002C19C6">
        <w:t xml:space="preserve"> negative $21</w:t>
      </w:r>
      <w:r w:rsidR="00E325EA">
        <w:t xml:space="preserve">,359 in 2022-23. Providers in the bottom quartile serviced </w:t>
      </w:r>
      <w:r w:rsidR="00393B38">
        <w:t xml:space="preserve">19% of </w:t>
      </w:r>
      <w:r w:rsidR="00526411">
        <w:t>total residents</w:t>
      </w:r>
      <w:r w:rsidR="00DB1390">
        <w:t xml:space="preserve"> in 2022-23.</w:t>
      </w:r>
    </w:p>
    <w:p w14:paraId="4805E4CB" w14:textId="3188461A" w:rsidR="00744DD9" w:rsidRDefault="00BD0097" w:rsidP="00F91BBB">
      <w:pPr>
        <w:pStyle w:val="Caption"/>
      </w:pPr>
      <w:bookmarkStart w:id="136" w:name="_Ref162512877"/>
      <w:bookmarkStart w:id="137" w:name="_Toc173428925"/>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8</w:t>
      </w:r>
      <w:r w:rsidR="00AE19AA">
        <w:rPr>
          <w:noProof/>
        </w:rPr>
        <w:fldChar w:fldCharType="end"/>
      </w:r>
      <w:bookmarkEnd w:id="136"/>
      <w:r>
        <w:t xml:space="preserve">: </w:t>
      </w:r>
      <w:r w:rsidRPr="002B516E">
        <w:t>Residential care provider comparative EBITDA per resident per year, 2019</w:t>
      </w:r>
      <w:r w:rsidR="001C4A5F">
        <w:t>-20</w:t>
      </w:r>
      <w:r w:rsidRPr="002B516E">
        <w:t xml:space="preserve"> to 202</w:t>
      </w:r>
      <w:r w:rsidR="001C4A5F">
        <w:t>2-23</w:t>
      </w:r>
      <w:r w:rsidRPr="002B516E">
        <w:t>, by quartile</w:t>
      </w:r>
      <w:bookmarkEnd w:id="137"/>
    </w:p>
    <w:p w14:paraId="1E1C7B26" w14:textId="3B1FA4E6" w:rsidR="00BC6B4A" w:rsidRDefault="001C4A5F" w:rsidP="00F91BBB">
      <w:pPr>
        <w:pStyle w:val="Caption"/>
      </w:pPr>
      <w:r>
        <w:rPr>
          <w:noProof/>
        </w:rPr>
        <w:drawing>
          <wp:inline distT="0" distB="0" distL="0" distR="0" wp14:anchorId="7F3046E8" wp14:editId="30FCAF41">
            <wp:extent cx="5813272" cy="3024000"/>
            <wp:effectExtent l="0" t="0" r="0" b="5080"/>
            <wp:docPr id="1465481025" name="Picture 1465481025" descr="Chart 3.8 is a clustered column chart titled Residential care provider comparative EBITDA per resident per year, 2019-20 to 2022-23, by quartile. The average EBITDA per resident per year increased in all quartiles except for the bottom 25% (bottom  quartile). The top 25% of providers (top quartile) reported the highest EBITDA in 2022-23 ($21,654) in comparison to the three years prior. Meanwhile the bottom quartile average EBITDA decreased to negative $21,359, down from negative $19,553 in 2021-22.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5" name="Picture 1465481025" descr="Chart 3.8 is a clustered column chart titled Residential care provider comparative EBITDA per resident per year, 2019-20 to 2022-23, by quartile. The average EBITDA per resident per year increased in all quartiles except for the bottom 25% (bottom  quartile). The top 25% of providers (top quartile) reported the highest EBITDA in 2022-23 ($21,654) in comparison to the three years prior. Meanwhile the bottom quartile average EBITDA decreased to negative $21,359, down from negative $19,553 in 2021-22. &#10;&#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32267" cy="3033881"/>
                    </a:xfrm>
                    <a:prstGeom prst="rect">
                      <a:avLst/>
                    </a:prstGeom>
                    <a:noFill/>
                  </pic:spPr>
                </pic:pic>
              </a:graphicData>
            </a:graphic>
          </wp:inline>
        </w:drawing>
      </w:r>
    </w:p>
    <w:p w14:paraId="1D42DB91" w14:textId="77777777" w:rsidR="006F4F12" w:rsidRDefault="006F4F12" w:rsidP="006F4F12">
      <w:pPr>
        <w:spacing w:before="0" w:after="0" w:line="240" w:lineRule="auto"/>
      </w:pPr>
      <w:r>
        <w:br w:type="page"/>
      </w:r>
    </w:p>
    <w:p w14:paraId="39948A77" w14:textId="7C211C2D" w:rsidR="004315BA" w:rsidRDefault="00BF42A8" w:rsidP="00F43608">
      <w:r w:rsidRPr="00A97E63">
        <w:t xml:space="preserve"> shows the </w:t>
      </w:r>
      <w:r w:rsidR="002D43A6">
        <w:t>EBITDA margins</w:t>
      </w:r>
      <w:r>
        <w:t xml:space="preserve"> </w:t>
      </w:r>
      <w:r w:rsidR="00A66751">
        <w:t>from 2021-22 to 2022-23.</w:t>
      </w:r>
      <w:r>
        <w:t xml:space="preserve"> In 2022</w:t>
      </w:r>
      <w:r w:rsidR="00A97E63">
        <w:t>-23</w:t>
      </w:r>
      <w:r>
        <w:t xml:space="preserve">, the EBITDA margin for </w:t>
      </w:r>
      <w:r w:rsidR="00997101">
        <w:t xml:space="preserve">the sector increased to </w:t>
      </w:r>
      <w:r w:rsidR="00455236">
        <w:t>2.</w:t>
      </w:r>
      <w:r w:rsidR="002D02C6">
        <w:t>1%, up from 0.0%</w:t>
      </w:r>
      <w:r w:rsidR="000B4D9C">
        <w:t xml:space="preserve"> in 2021-22. </w:t>
      </w:r>
      <w:r w:rsidR="465FA058">
        <w:t>N</w:t>
      </w:r>
      <w:r w:rsidRPr="00A97E63">
        <w:t xml:space="preserve">ot-for-profit providers </w:t>
      </w:r>
      <w:r w:rsidR="005C288E">
        <w:t>had the highest</w:t>
      </w:r>
      <w:r w:rsidR="00113628">
        <w:t xml:space="preserve"> EBITDA margin</w:t>
      </w:r>
      <w:r w:rsidR="001A197E">
        <w:t>, reporting</w:t>
      </w:r>
      <w:r w:rsidRPr="00A97E63">
        <w:t xml:space="preserve"> </w:t>
      </w:r>
      <w:r w:rsidR="008D5387">
        <w:t>2</w:t>
      </w:r>
      <w:r w:rsidR="0011258F">
        <w:t>.9</w:t>
      </w:r>
      <w:r w:rsidR="001A197E">
        <w:t>% in 2022-23, up from</w:t>
      </w:r>
      <w:r w:rsidRPr="00A97E63" w:rsidDel="00A51226">
        <w:t xml:space="preserve"> </w:t>
      </w:r>
      <w:r w:rsidR="008E7CFC">
        <w:t xml:space="preserve">negative 1.2% in </w:t>
      </w:r>
      <w:r w:rsidR="0011258F">
        <w:t>2021-22</w:t>
      </w:r>
      <w:r w:rsidR="002A4A59">
        <w:t>.</w:t>
      </w:r>
      <w:r w:rsidRPr="00A97E63">
        <w:t xml:space="preserve"> </w:t>
      </w:r>
      <w:r w:rsidR="001A5D33">
        <w:t xml:space="preserve">The </w:t>
      </w:r>
      <w:r w:rsidR="00250420">
        <w:t>improved</w:t>
      </w:r>
      <w:r w:rsidR="001A5D33">
        <w:t xml:space="preserve"> not-for-profit </w:t>
      </w:r>
      <w:r w:rsidR="00250420">
        <w:t xml:space="preserve">result can be </w:t>
      </w:r>
      <w:r w:rsidR="00D27B54">
        <w:t xml:space="preserve">attributed to </w:t>
      </w:r>
      <w:r w:rsidR="00675ACA">
        <w:t>an increase</w:t>
      </w:r>
      <w:r w:rsidR="00024C68">
        <w:t xml:space="preserve"> </w:t>
      </w:r>
      <w:r w:rsidR="00675ACA">
        <w:t>in the</w:t>
      </w:r>
      <w:r w:rsidR="00024C68">
        <w:t xml:space="preserve"> care result</w:t>
      </w:r>
      <w:r w:rsidR="00CF794A">
        <w:t xml:space="preserve"> </w:t>
      </w:r>
      <w:r w:rsidR="00024C68">
        <w:t>of $</w:t>
      </w:r>
      <w:r w:rsidR="004336D5">
        <w:t>12.54</w:t>
      </w:r>
      <w:r w:rsidR="00024C68">
        <w:t xml:space="preserve"> per resident per day</w:t>
      </w:r>
      <w:r w:rsidR="00E46D4B">
        <w:t xml:space="preserve"> and a</w:t>
      </w:r>
      <w:r w:rsidR="00675ACA">
        <w:t xml:space="preserve"> </w:t>
      </w:r>
      <w:r w:rsidR="00CF794A">
        <w:t>$7</w:t>
      </w:r>
      <w:r w:rsidR="00F72C63">
        <w:t>.0</w:t>
      </w:r>
      <w:r w:rsidR="004336D5">
        <w:t>6</w:t>
      </w:r>
      <w:r w:rsidR="00CF794A">
        <w:t xml:space="preserve"> p</w:t>
      </w:r>
      <w:r w:rsidR="00024C68">
        <w:t>er resident per day</w:t>
      </w:r>
      <w:r w:rsidR="00CF794A">
        <w:t xml:space="preserve"> </w:t>
      </w:r>
      <w:r w:rsidR="00675ACA">
        <w:t>increase in the COVID-19 result</w:t>
      </w:r>
      <w:r w:rsidR="00E46D4B">
        <w:t xml:space="preserve">. </w:t>
      </w:r>
      <w:r w:rsidRPr="00A97E63">
        <w:t xml:space="preserve">For-profit providers </w:t>
      </w:r>
      <w:r w:rsidR="005E29B5">
        <w:t xml:space="preserve">increased their </w:t>
      </w:r>
      <w:r w:rsidRPr="00A97E63">
        <w:t>EBITDA</w:t>
      </w:r>
      <w:r w:rsidRPr="00A97E63">
        <w:rPr>
          <w:spacing w:val="-5"/>
        </w:rPr>
        <w:t xml:space="preserve"> </w:t>
      </w:r>
      <w:r w:rsidRPr="00A97E63">
        <w:t>margin</w:t>
      </w:r>
      <w:r w:rsidR="005E29B5">
        <w:t xml:space="preserve"> </w:t>
      </w:r>
      <w:r w:rsidR="00A51226">
        <w:t>only</w:t>
      </w:r>
      <w:r w:rsidR="005E29B5">
        <w:t xml:space="preserve"> slightly to 2.5%</w:t>
      </w:r>
      <w:r w:rsidRPr="00A97E63">
        <w:t>,</w:t>
      </w:r>
      <w:r w:rsidRPr="00A97E63">
        <w:rPr>
          <w:spacing w:val="-5"/>
        </w:rPr>
        <w:t xml:space="preserve"> </w:t>
      </w:r>
      <w:r w:rsidR="00AB7B6C">
        <w:t>up</w:t>
      </w:r>
      <w:r w:rsidR="005E29B5">
        <w:t xml:space="preserve"> from 2.4%</w:t>
      </w:r>
      <w:r w:rsidR="005E29B5">
        <w:rPr>
          <w:spacing w:val="-9"/>
        </w:rPr>
        <w:t xml:space="preserve"> </w:t>
      </w:r>
      <w:r w:rsidR="004315BA">
        <w:rPr>
          <w:spacing w:val="-9"/>
        </w:rPr>
        <w:t xml:space="preserve">in </w:t>
      </w:r>
      <w:r w:rsidRPr="00A97E63">
        <w:t>202</w:t>
      </w:r>
      <w:r w:rsidR="005E29B5">
        <w:t>1</w:t>
      </w:r>
      <w:r w:rsidRPr="00A97E63">
        <w:t>–2</w:t>
      </w:r>
      <w:r w:rsidR="005E29B5">
        <w:t>2.</w:t>
      </w:r>
    </w:p>
    <w:p w14:paraId="29881957" w14:textId="77777777" w:rsidR="008B1EB8" w:rsidRDefault="6EE8E77D" w:rsidP="00F43608">
      <w:r>
        <w:t>M</w:t>
      </w:r>
      <w:r w:rsidR="003079B4">
        <w:t xml:space="preserve">etropolitan providers </w:t>
      </w:r>
      <w:r w:rsidR="00A42B6D">
        <w:t>had</w:t>
      </w:r>
      <w:r w:rsidR="003079B4">
        <w:t xml:space="preserve"> the highest</w:t>
      </w:r>
      <w:r w:rsidR="00012C13">
        <w:t xml:space="preserve"> EBITDA margin in 2022-23</w:t>
      </w:r>
      <w:r w:rsidR="00A42B6D">
        <w:t>, reporting 3.2%, up from 1.</w:t>
      </w:r>
      <w:r w:rsidR="00074BF4">
        <w:t>4</w:t>
      </w:r>
      <w:r w:rsidR="00A42B6D">
        <w:t>% in 2021-22.</w:t>
      </w:r>
      <w:r w:rsidR="00783F5A">
        <w:t xml:space="preserve"> While regional providers reported </w:t>
      </w:r>
      <w:r w:rsidR="1427EB5E">
        <w:t xml:space="preserve">a </w:t>
      </w:r>
      <w:r w:rsidR="00783F5A">
        <w:t>negative 0.6% EBITDA margin in 2022-23, up from negative 4.5%</w:t>
      </w:r>
      <w:r w:rsidR="00880024">
        <w:t xml:space="preserve">. </w:t>
      </w:r>
    </w:p>
    <w:p w14:paraId="6C4D9811" w14:textId="4B11CB82" w:rsidR="008B1EB8" w:rsidRDefault="20764D9F" w:rsidP="00F43608">
      <w:r>
        <w:t>S</w:t>
      </w:r>
      <w:r w:rsidR="000457C5">
        <w:t>ingle facility providers ha</w:t>
      </w:r>
      <w:r w:rsidR="0007003D">
        <w:t>d</w:t>
      </w:r>
      <w:r w:rsidR="000457C5">
        <w:t xml:space="preserve"> the highest EBITDA margin</w:t>
      </w:r>
      <w:r w:rsidR="00E4453C">
        <w:t>, across all provider types</w:t>
      </w:r>
      <w:r w:rsidR="0007003D">
        <w:t>, reporting an EBITDA margin of 4.3% in 2022-23.</w:t>
      </w:r>
      <w:r w:rsidR="00FC1E19">
        <w:t xml:space="preserve"> This was an increase from the 2021-22 result of 0.6%. </w:t>
      </w:r>
      <w:r w:rsidR="001D7604">
        <w:t xml:space="preserve">Providers with 7 to 19 facilities were the only provider type </w:t>
      </w:r>
      <w:r w:rsidR="7C7BB9B8">
        <w:t>in terms of provider scale</w:t>
      </w:r>
      <w:r w:rsidR="001D7604">
        <w:t xml:space="preserve"> to report a decrease in comparison to the prior year, reporting 0.3% in 2022-23, down from 0.4% in 2021-22.</w:t>
      </w:r>
      <w:bookmarkStart w:id="138" w:name="_Ref162512912"/>
    </w:p>
    <w:p w14:paraId="5F4464AC" w14:textId="0E49EB87" w:rsidR="00BC6B4A" w:rsidRDefault="00183CE2" w:rsidP="00F91BBB">
      <w:pPr>
        <w:pStyle w:val="Caption"/>
      </w:pPr>
      <w:bookmarkStart w:id="139" w:name="_Toc173428926"/>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9</w:t>
      </w:r>
      <w:r w:rsidR="00AE19AA">
        <w:rPr>
          <w:noProof/>
        </w:rPr>
        <w:fldChar w:fldCharType="end"/>
      </w:r>
      <w:bookmarkEnd w:id="138"/>
      <w:r>
        <w:t xml:space="preserve">: </w:t>
      </w:r>
      <w:r w:rsidRPr="00844826">
        <w:t xml:space="preserve">Residential care provider </w:t>
      </w:r>
      <w:r w:rsidR="002D43A6" w:rsidRPr="002D43A6">
        <w:t>EBITDA margin</w:t>
      </w:r>
      <w:r w:rsidRPr="00844826">
        <w:t xml:space="preserve">, by ownership, </w:t>
      </w:r>
      <w:r w:rsidR="002D43A6" w:rsidRPr="002D43A6">
        <w:t xml:space="preserve">location and scale, </w:t>
      </w:r>
      <w:r w:rsidR="002D43A6">
        <w:t>2021-22</w:t>
      </w:r>
      <w:r w:rsidRPr="00844826">
        <w:t xml:space="preserve"> to 2022</w:t>
      </w:r>
      <w:r w:rsidR="00863853">
        <w:t>-23</w:t>
      </w:r>
      <w:bookmarkEnd w:id="139"/>
    </w:p>
    <w:p w14:paraId="3E7428F9" w14:textId="1D22E8A9" w:rsidR="0006267D" w:rsidRPr="0006267D" w:rsidRDefault="0006267D" w:rsidP="00F91BBB">
      <w:pPr>
        <w:pStyle w:val="Caption"/>
        <w:rPr>
          <w:rFonts w:ascii="Times New Roman" w:hAnsi="Times New Roman"/>
          <w:bCs/>
          <w:color w:val="auto"/>
          <w:szCs w:val="24"/>
          <w:lang w:eastAsia="en-AU"/>
        </w:rPr>
      </w:pPr>
      <w:r w:rsidRPr="0006267D">
        <w:rPr>
          <w:noProof/>
        </w:rPr>
        <w:drawing>
          <wp:inline distT="0" distB="0" distL="0" distR="0" wp14:anchorId="0954AE8E" wp14:editId="4AEC1255">
            <wp:extent cx="5803200" cy="2700595"/>
            <wp:effectExtent l="0" t="0" r="7620" b="5080"/>
            <wp:docPr id="1271021942" name="Picture 1271021942" descr="Chart 3.9 is a clustered column chart titled Residential care provider EBITDA margin, by ownership, location and scale, 2021-22 to 2022-23. Not-for-profit providers had the highest EBITDA margin, reporting 2.9% in 2022-23, up from negative 1.2% in 2021-22. For-profit providers increased their EBITDA margin only slightly to 2.5%,  up from 2.4% in 2021–22. Metropolitan providers had the highest EBITDA margin by location in 2022-23 with 3.2%. Regional providers had the lowest EBITDA margin by location of negative 0.6%, an increase from negative 4.5% in 2021-22. Single facility providers reported the highest EBITDA margin by scale of 4.3%. All provider scale types increased their EBITDA margin except providers with 7 to 19 facilities which had the lowest EBITDA margin of 0.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2" name="Picture 1271021942" descr="Chart 3.9 is a clustered column chart titled Residential care provider EBITDA margin, by ownership, location and scale, 2021-22 to 2022-23. Not-for-profit providers had the highest EBITDA margin, reporting 2.9% in 2022-23, up from negative 1.2% in 2021-22. For-profit providers increased their EBITDA margin only slightly to 2.5%,  up from 2.4% in 2021–22. Metropolitan providers had the highest EBITDA margin by location in 2022-23 with 3.2%. Regional providers had the lowest EBITDA margin by location of negative 0.6%, an increase from negative 4.5% in 2021-22. Single facility providers reported the highest EBITDA margin by scale of 4.3%. All provider scale types increased their EBITDA margin except providers with 7 to 19 facilities which had the lowest EBITDA margin of 0.3%.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27689" cy="2711991"/>
                    </a:xfrm>
                    <a:prstGeom prst="rect">
                      <a:avLst/>
                    </a:prstGeom>
                    <a:noFill/>
                    <a:ln>
                      <a:noFill/>
                    </a:ln>
                  </pic:spPr>
                </pic:pic>
              </a:graphicData>
            </a:graphic>
          </wp:inline>
        </w:drawing>
      </w:r>
    </w:p>
    <w:p w14:paraId="52DDCF53" w14:textId="77777777" w:rsidR="00446A79" w:rsidRPr="008D247E" w:rsidRDefault="00446A79" w:rsidP="00DA6C78">
      <w:pPr>
        <w:rPr>
          <w:b/>
          <w:bCs w:val="0"/>
          <w:sz w:val="28"/>
          <w:szCs w:val="28"/>
        </w:rPr>
      </w:pPr>
      <w:r w:rsidRPr="008D247E">
        <w:rPr>
          <w:b/>
          <w:bCs w:val="0"/>
          <w:sz w:val="28"/>
          <w:szCs w:val="28"/>
        </w:rPr>
        <w:t>Ownership type</w:t>
      </w:r>
    </w:p>
    <w:p w14:paraId="5285A5B8" w14:textId="61DEA7AE" w:rsidR="00B46F36" w:rsidRDefault="00B4355C" w:rsidP="00B4355C">
      <w:r w:rsidRPr="00487BA6">
        <w:fldChar w:fldCharType="begin"/>
      </w:r>
      <w:r w:rsidRPr="00487BA6">
        <w:instrText xml:space="preserve"> REF _Ref162512975 \h </w:instrText>
      </w:r>
      <w:r w:rsidR="00487BA6">
        <w:instrText xml:space="preserve"> \* MERGEFORMAT </w:instrText>
      </w:r>
      <w:r w:rsidRPr="00487BA6">
        <w:fldChar w:fldCharType="separate"/>
      </w:r>
      <w:r w:rsidR="001377BE">
        <w:t xml:space="preserve">Chart </w:t>
      </w:r>
      <w:r w:rsidR="001377BE">
        <w:rPr>
          <w:noProof/>
        </w:rPr>
        <w:t>3.10</w:t>
      </w:r>
      <w:r w:rsidRPr="00487BA6">
        <w:fldChar w:fldCharType="end"/>
      </w:r>
      <w:r w:rsidRPr="00487BA6">
        <w:t xml:space="preserve"> shows the average EBITDA per resident per year for the last 4 years, by provider ownership type. The EBITDA per resident </w:t>
      </w:r>
      <w:r w:rsidR="0022089E">
        <w:t>in</w:t>
      </w:r>
      <w:r w:rsidRPr="00487BA6">
        <w:t>creased for not-for-profit and for-profit providers. In 2022</w:t>
      </w:r>
      <w:r w:rsidR="0022089E">
        <w:t>-23</w:t>
      </w:r>
      <w:r w:rsidRPr="00487BA6">
        <w:t>, for-profit providers reported an EBITDA per resident of $</w:t>
      </w:r>
      <w:r w:rsidR="0022089E">
        <w:t>3,268</w:t>
      </w:r>
      <w:r w:rsidRPr="00487BA6">
        <w:t xml:space="preserve">, </w:t>
      </w:r>
      <w:r w:rsidR="0022089E">
        <w:t>up</w:t>
      </w:r>
      <w:r w:rsidRPr="00487BA6">
        <w:t xml:space="preserve"> from $</w:t>
      </w:r>
      <w:r w:rsidR="0022089E">
        <w:t>2,920</w:t>
      </w:r>
      <w:r w:rsidRPr="00487BA6">
        <w:t xml:space="preserve"> in 2021</w:t>
      </w:r>
      <w:r w:rsidR="0022089E">
        <w:t>-22</w:t>
      </w:r>
      <w:r w:rsidRPr="00487BA6">
        <w:t xml:space="preserve"> (</w:t>
      </w:r>
      <w:r w:rsidR="00AC6CF2">
        <w:t>12% inc</w:t>
      </w:r>
      <w:r w:rsidRPr="00487BA6">
        <w:t xml:space="preserve">rease). Not-for-profit providers significantly </w:t>
      </w:r>
      <w:r w:rsidR="00AC6CF2">
        <w:t>increased</w:t>
      </w:r>
      <w:r w:rsidRPr="00487BA6">
        <w:t xml:space="preserve"> their EBITDA result, from</w:t>
      </w:r>
      <w:r w:rsidR="00702BD3">
        <w:t xml:space="preserve"> negative $1,294</w:t>
      </w:r>
      <w:r w:rsidRPr="00487BA6">
        <w:t xml:space="preserve"> </w:t>
      </w:r>
      <w:r w:rsidR="00702BD3">
        <w:t xml:space="preserve">in 2021-22 </w:t>
      </w:r>
      <w:r w:rsidRPr="00487BA6">
        <w:t>to $</w:t>
      </w:r>
      <w:r w:rsidR="006A04EC">
        <w:t>3,620</w:t>
      </w:r>
      <w:r w:rsidRPr="00487BA6">
        <w:t xml:space="preserve"> </w:t>
      </w:r>
      <w:r w:rsidR="003C2C6D">
        <w:t>(380%</w:t>
      </w:r>
      <w:r w:rsidRPr="00487BA6">
        <w:t xml:space="preserve"> </w:t>
      </w:r>
      <w:r w:rsidR="00473F47">
        <w:t>in</w:t>
      </w:r>
      <w:r w:rsidRPr="00487BA6">
        <w:t>crease) in 2022</w:t>
      </w:r>
      <w:r w:rsidR="006A04EC">
        <w:t>-23</w:t>
      </w:r>
      <w:r w:rsidRPr="00487BA6">
        <w:t xml:space="preserve">. </w:t>
      </w:r>
      <w:r w:rsidR="00773D96">
        <w:t xml:space="preserve">This </w:t>
      </w:r>
      <w:r w:rsidR="00473F47">
        <w:t xml:space="preserve">is similar to the </w:t>
      </w:r>
      <w:r w:rsidR="00BA095A">
        <w:t>2020-21</w:t>
      </w:r>
      <w:r w:rsidR="00473F47">
        <w:t xml:space="preserve"> average EBITDA result. </w:t>
      </w:r>
    </w:p>
    <w:p w14:paraId="691B7D33" w14:textId="77777777" w:rsidR="00CF1925" w:rsidRDefault="007A5181" w:rsidP="00B4355C">
      <w:r>
        <w:t xml:space="preserve">While </w:t>
      </w:r>
      <w:r w:rsidR="00B46F36">
        <w:t>the</w:t>
      </w:r>
      <w:r>
        <w:t xml:space="preserve"> EBITDA result </w:t>
      </w:r>
      <w:r w:rsidR="00B46F36">
        <w:t xml:space="preserve">for not-for-profit and for-profit providers </w:t>
      </w:r>
      <w:r>
        <w:t>was very similar</w:t>
      </w:r>
      <w:r w:rsidR="00B46F36">
        <w:t>,</w:t>
      </w:r>
      <w:r w:rsidR="00B46F36" w:rsidDel="00B46F36">
        <w:t xml:space="preserve"> </w:t>
      </w:r>
      <w:r>
        <w:t xml:space="preserve">there was a large variance </w:t>
      </w:r>
      <w:r w:rsidR="00B46F36">
        <w:t xml:space="preserve">between </w:t>
      </w:r>
      <w:r>
        <w:t>the</w:t>
      </w:r>
      <w:r w:rsidR="00B46F36">
        <w:t>ir</w:t>
      </w:r>
      <w:r>
        <w:t xml:space="preserve"> overall NPBT result</w:t>
      </w:r>
      <w:r w:rsidR="00BA0884">
        <w:t>s</w:t>
      </w:r>
      <w:r w:rsidR="009077D4">
        <w:t>. The NPBT result for not-for-profit providers was negative $15</w:t>
      </w:r>
      <w:r w:rsidR="00CF1925">
        <w:t>.60</w:t>
      </w:r>
      <w:r w:rsidR="009077D4">
        <w:t xml:space="preserve"> per resident per day and for-profit providers </w:t>
      </w:r>
      <w:r w:rsidR="006744F6">
        <w:t>report</w:t>
      </w:r>
      <w:r w:rsidR="00CF1925">
        <w:t>ing negative $34.69 per resident per day.</w:t>
      </w:r>
    </w:p>
    <w:p w14:paraId="29C7B44E" w14:textId="24B01F31" w:rsidR="00B4355C" w:rsidRPr="004A04ED" w:rsidRDefault="00EB162B" w:rsidP="00B4355C">
      <w:r>
        <w:rPr>
          <w:spacing w:val="-2"/>
        </w:rPr>
        <w:t>Local, state and territory</w:t>
      </w:r>
      <w:r w:rsidR="00797728">
        <w:rPr>
          <w:spacing w:val="-2"/>
        </w:rPr>
        <w:t xml:space="preserve"> government providers continue to see </w:t>
      </w:r>
      <w:r w:rsidR="005B3FC2">
        <w:rPr>
          <w:spacing w:val="-2"/>
        </w:rPr>
        <w:t xml:space="preserve">a </w:t>
      </w:r>
      <w:r w:rsidR="009158B2">
        <w:rPr>
          <w:spacing w:val="-2"/>
        </w:rPr>
        <w:t xml:space="preserve">declining </w:t>
      </w:r>
      <w:r w:rsidR="0052732B">
        <w:rPr>
          <w:spacing w:val="-2"/>
        </w:rPr>
        <w:t>average EBITDA</w:t>
      </w:r>
      <w:r w:rsidR="00BA095A">
        <w:rPr>
          <w:spacing w:val="-2"/>
        </w:rPr>
        <w:t xml:space="preserve"> </w:t>
      </w:r>
      <w:r w:rsidR="009158B2">
        <w:rPr>
          <w:spacing w:val="-2"/>
        </w:rPr>
        <w:t>trend</w:t>
      </w:r>
      <w:r w:rsidR="0052732B">
        <w:rPr>
          <w:spacing w:val="-2"/>
        </w:rPr>
        <w:t xml:space="preserve">. </w:t>
      </w:r>
      <w:r w:rsidR="0035163E">
        <w:rPr>
          <w:spacing w:val="-2"/>
        </w:rPr>
        <w:t xml:space="preserve">The average EBITDA declined </w:t>
      </w:r>
      <w:r w:rsidR="00B4355C" w:rsidRPr="00487BA6">
        <w:rPr>
          <w:spacing w:val="-2"/>
        </w:rPr>
        <w:t xml:space="preserve">from </w:t>
      </w:r>
      <w:r w:rsidR="00B4355C" w:rsidRPr="00487BA6">
        <w:rPr>
          <w:rFonts w:cs="Arial"/>
          <w:spacing w:val="-2"/>
        </w:rPr>
        <w:t xml:space="preserve">negative </w:t>
      </w:r>
      <w:r w:rsidR="00B4355C" w:rsidRPr="00487BA6">
        <w:rPr>
          <w:spacing w:val="-2"/>
        </w:rPr>
        <w:t>$</w:t>
      </w:r>
      <w:r w:rsidR="0035163E">
        <w:rPr>
          <w:spacing w:val="-2"/>
        </w:rPr>
        <w:t>13</w:t>
      </w:r>
      <w:r w:rsidR="009F1763">
        <w:rPr>
          <w:spacing w:val="-2"/>
        </w:rPr>
        <w:t>,660</w:t>
      </w:r>
      <w:r w:rsidR="00B4355C" w:rsidRPr="00487BA6">
        <w:rPr>
          <w:spacing w:val="-2"/>
        </w:rPr>
        <w:t xml:space="preserve"> </w:t>
      </w:r>
      <w:r w:rsidR="005A4B12">
        <w:rPr>
          <w:spacing w:val="-2"/>
        </w:rPr>
        <w:t xml:space="preserve">per resident per year </w:t>
      </w:r>
      <w:r w:rsidR="00B4355C" w:rsidRPr="00487BA6">
        <w:rPr>
          <w:spacing w:val="-2"/>
        </w:rPr>
        <w:t>in 20</w:t>
      </w:r>
      <w:r w:rsidR="009F1763">
        <w:rPr>
          <w:spacing w:val="-2"/>
        </w:rPr>
        <w:t>21-22</w:t>
      </w:r>
      <w:r w:rsidR="00B4355C" w:rsidRPr="00487BA6">
        <w:rPr>
          <w:spacing w:val="-2"/>
        </w:rPr>
        <w:t xml:space="preserve"> to </w:t>
      </w:r>
      <w:r w:rsidR="00B4355C" w:rsidRPr="00487BA6">
        <w:rPr>
          <w:rFonts w:cs="Arial"/>
          <w:spacing w:val="-2"/>
        </w:rPr>
        <w:t xml:space="preserve">negative </w:t>
      </w:r>
      <w:r w:rsidR="00B4355C" w:rsidRPr="00487BA6">
        <w:rPr>
          <w:spacing w:val="-2"/>
        </w:rPr>
        <w:t>$1</w:t>
      </w:r>
      <w:r w:rsidR="009F1763">
        <w:rPr>
          <w:spacing w:val="-2"/>
        </w:rPr>
        <w:t>6,724</w:t>
      </w:r>
      <w:r w:rsidR="00526CFC">
        <w:rPr>
          <w:spacing w:val="-2"/>
        </w:rPr>
        <w:t xml:space="preserve"> per resident per year</w:t>
      </w:r>
      <w:r w:rsidR="00B4355C" w:rsidRPr="00487BA6">
        <w:rPr>
          <w:spacing w:val="-2"/>
        </w:rPr>
        <w:t xml:space="preserve"> in 2022</w:t>
      </w:r>
      <w:r w:rsidR="009F1763">
        <w:rPr>
          <w:spacing w:val="-2"/>
        </w:rPr>
        <w:t>-23</w:t>
      </w:r>
      <w:r w:rsidR="00B4355C" w:rsidRPr="00487BA6">
        <w:rPr>
          <w:spacing w:val="-2"/>
        </w:rPr>
        <w:t>. Local, state and territory government providers reported high expenditure proportionate to revenue</w:t>
      </w:r>
      <w:r w:rsidR="00F66C25">
        <w:rPr>
          <w:spacing w:val="-2"/>
        </w:rPr>
        <w:t xml:space="preserve"> (resulting in loss of </w:t>
      </w:r>
      <w:r w:rsidR="00C75F96">
        <w:rPr>
          <w:spacing w:val="-2"/>
        </w:rPr>
        <w:t>$76.84 per resident per day)</w:t>
      </w:r>
      <w:r w:rsidR="00B4355C" w:rsidRPr="00487BA6">
        <w:rPr>
          <w:spacing w:val="-2"/>
        </w:rPr>
        <w:t xml:space="preserve"> in comparison </w:t>
      </w:r>
      <w:r w:rsidR="14FC1489" w:rsidRPr="00487BA6">
        <w:rPr>
          <w:spacing w:val="-2"/>
        </w:rPr>
        <w:t>to</w:t>
      </w:r>
      <w:r w:rsidR="00B4355C" w:rsidRPr="00487BA6">
        <w:rPr>
          <w:spacing w:val="-2"/>
        </w:rPr>
        <w:t xml:space="preserve"> for-profit and not-for-profit providers, which contributed to the average EBITDA per resident per year result.</w:t>
      </w:r>
      <w:r w:rsidR="007C56D7">
        <w:rPr>
          <w:spacing w:val="-2"/>
        </w:rPr>
        <w:t xml:space="preserve"> </w:t>
      </w:r>
      <w:r w:rsidR="000C3BA3">
        <w:rPr>
          <w:spacing w:val="-2"/>
        </w:rPr>
        <w:t xml:space="preserve"> </w:t>
      </w:r>
    </w:p>
    <w:p w14:paraId="37171349" w14:textId="7558BF1D" w:rsidR="00B23781" w:rsidRPr="00BC6B4A" w:rsidRDefault="007B17C5" w:rsidP="00BC6B4A">
      <w:pPr>
        <w:pStyle w:val="Caption"/>
      </w:pPr>
      <w:bookmarkStart w:id="140" w:name="_Ref162512975"/>
      <w:bookmarkStart w:id="141" w:name="_Toc173428927"/>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10</w:t>
      </w:r>
      <w:r w:rsidR="00AE19AA">
        <w:rPr>
          <w:noProof/>
        </w:rPr>
        <w:fldChar w:fldCharType="end"/>
      </w:r>
      <w:bookmarkEnd w:id="140"/>
      <w:r>
        <w:t>: EBITDA per resident per year, by ownership type, 2019</w:t>
      </w:r>
      <w:r w:rsidR="00487BA6">
        <w:t>-20</w:t>
      </w:r>
      <w:r>
        <w:t xml:space="preserve"> to 202</w:t>
      </w:r>
      <w:r w:rsidR="00487BA6">
        <w:t>2</w:t>
      </w:r>
      <w:r>
        <w:t>-2</w:t>
      </w:r>
      <w:r w:rsidR="00487BA6">
        <w:t>3</w:t>
      </w:r>
      <w:bookmarkEnd w:id="141"/>
    </w:p>
    <w:p w14:paraId="4EA3DC58" w14:textId="5A7376D7" w:rsidR="0097197C" w:rsidRPr="00B30DB4" w:rsidRDefault="00EE04B7" w:rsidP="00F91BBB">
      <w:pPr>
        <w:pStyle w:val="Caption"/>
      </w:pPr>
      <w:r>
        <w:rPr>
          <w:noProof/>
        </w:rPr>
        <w:drawing>
          <wp:inline distT="0" distB="0" distL="0" distR="0" wp14:anchorId="246E4313" wp14:editId="3D49B3B2">
            <wp:extent cx="5822752" cy="4269600"/>
            <wp:effectExtent l="0" t="0" r="6985" b="0"/>
            <wp:docPr id="1271021939" name="Picture 1271021939" descr="Chart 3.10 is a clustered column chart titled EBITDA per resident per year, by ownership type, 2019-20 to 2022-23. In 2022-23, for-profit providers reported an EBITDA per resident of $3,268, up from $2,920 in 2021-22. Not-for-profit providers significantly increased their EBITDA result, from negative $1,294 in 2021-22 to $3,620 in 2022-23. LST government providers' EBITDA dropped down to negative $16,724 in 2022-23 from negative $13,660 in 2021-2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9" name="Picture 1271021939" descr="Chart 3.10 is a clustered column chart titled EBITDA per resident per year, by ownership type, 2019-20 to 2022-23. In 2022-23, for-profit providers reported an EBITDA per resident of $3,268, up from $2,920 in 2021-22. Not-for-profit providers significantly increased their EBITDA result, from negative $1,294 in 2021-22 to $3,620 in 2022-23. LST government providers' EBITDA dropped down to negative $16,724 in 2022-23 from negative $13,660 in 2021-22.&#10;&#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1596" cy="4283418"/>
                    </a:xfrm>
                    <a:prstGeom prst="rect">
                      <a:avLst/>
                    </a:prstGeom>
                    <a:noFill/>
                  </pic:spPr>
                </pic:pic>
              </a:graphicData>
            </a:graphic>
          </wp:inline>
        </w:drawing>
      </w:r>
    </w:p>
    <w:p w14:paraId="76EAB799" w14:textId="77777777" w:rsidR="006F4F12" w:rsidRDefault="006F4F12" w:rsidP="006F4F12">
      <w:pPr>
        <w:spacing w:before="0" w:after="0" w:line="240" w:lineRule="auto"/>
      </w:pPr>
      <w:r>
        <w:br w:type="page"/>
      </w:r>
    </w:p>
    <w:p w14:paraId="65054367" w14:textId="7CFE6276" w:rsidR="00640A1B" w:rsidRPr="00B30DB4" w:rsidRDefault="00640A1B" w:rsidP="00640A1B">
      <w:r w:rsidRPr="00B30DB4">
        <w:fldChar w:fldCharType="begin"/>
      </w:r>
      <w:r w:rsidRPr="00B30DB4">
        <w:instrText xml:space="preserve"> REF _Ref162512999 \h </w:instrText>
      </w:r>
      <w:r w:rsidR="00B30DB4">
        <w:instrText xml:space="preserve"> \* MERGEFORMAT </w:instrText>
      </w:r>
      <w:r w:rsidRPr="00B30DB4">
        <w:fldChar w:fldCharType="separate"/>
      </w:r>
      <w:r w:rsidR="001377BE">
        <w:t xml:space="preserve">Chart </w:t>
      </w:r>
      <w:r w:rsidR="001377BE">
        <w:rPr>
          <w:noProof/>
        </w:rPr>
        <w:t>3.11</w:t>
      </w:r>
      <w:r w:rsidRPr="00B30DB4">
        <w:fldChar w:fldCharType="end"/>
      </w:r>
      <w:r w:rsidRPr="00B30DB4">
        <w:t xml:space="preserve"> shows the average EBITDA per resident per year for residential care providers by quartile and ownership type. The average EBITDA per resident per year </w:t>
      </w:r>
      <w:r w:rsidR="009C43B1">
        <w:t>for the top 25% of providers (</w:t>
      </w:r>
      <w:r w:rsidRPr="00B30DB4">
        <w:t>top quartile</w:t>
      </w:r>
      <w:r w:rsidR="009C43B1">
        <w:t>)</w:t>
      </w:r>
      <w:r w:rsidRPr="00B30DB4">
        <w:t xml:space="preserve"> was $</w:t>
      </w:r>
      <w:r w:rsidR="009C43B1">
        <w:t>21,654</w:t>
      </w:r>
      <w:r w:rsidRPr="00B30DB4">
        <w:t xml:space="preserve"> while the average in the bottom</w:t>
      </w:r>
      <w:r w:rsidR="009C43B1">
        <w:t xml:space="preserve"> 2</w:t>
      </w:r>
      <w:r w:rsidR="003F207C">
        <w:t>5</w:t>
      </w:r>
      <w:r w:rsidR="009C43B1">
        <w:t>% of providers (bottom quartile)</w:t>
      </w:r>
      <w:r w:rsidRPr="00B30DB4">
        <w:t xml:space="preserve"> was negative $</w:t>
      </w:r>
      <w:r w:rsidR="00BB1B3D">
        <w:t>21,359</w:t>
      </w:r>
      <w:r w:rsidRPr="00B30DB4">
        <w:t xml:space="preserve">. </w:t>
      </w:r>
      <w:r w:rsidR="00A93F51">
        <w:t>For-profit</w:t>
      </w:r>
      <w:r w:rsidRPr="00B30DB4">
        <w:t xml:space="preserve"> providers outperformed </w:t>
      </w:r>
      <w:r w:rsidR="00A93F51">
        <w:t>not-</w:t>
      </w:r>
      <w:r w:rsidRPr="00B30DB4">
        <w:t xml:space="preserve">for-profit providers in the top </w:t>
      </w:r>
      <w:r w:rsidR="00825068">
        <w:t>quartile</w:t>
      </w:r>
      <w:r w:rsidR="00331D08">
        <w:t xml:space="preserve"> and the </w:t>
      </w:r>
      <w:r w:rsidR="00121D8C">
        <w:t>next</w:t>
      </w:r>
      <w:r w:rsidR="00331D08">
        <w:t xml:space="preserve"> bottom quartile</w:t>
      </w:r>
      <w:r w:rsidR="00F47C04">
        <w:t>.</w:t>
      </w:r>
      <w:r w:rsidRPr="00B30DB4">
        <w:t xml:space="preserve"> </w:t>
      </w:r>
    </w:p>
    <w:p w14:paraId="15F7B145" w14:textId="1B0213B7" w:rsidR="00640A1B" w:rsidRDefault="00640A1B" w:rsidP="00640A1B">
      <w:r w:rsidRPr="00B30DB4">
        <w:t xml:space="preserve">Not-for-profit providers had a relatively even proportion of providers in each quartile range with the highest proportion being in the next bottom quartile. For-profit providers’ proportions were </w:t>
      </w:r>
      <w:r w:rsidR="003052AE">
        <w:t>also relatively even across</w:t>
      </w:r>
      <w:r w:rsidRPr="00B30DB4">
        <w:t xml:space="preserve"> the top two quartiles</w:t>
      </w:r>
      <w:r w:rsidR="008B481A">
        <w:t xml:space="preserve"> and the next bottom quartile</w:t>
      </w:r>
      <w:r w:rsidR="00C73AD6">
        <w:t>, and a minority of for-profit providers were in the bottom quartile</w:t>
      </w:r>
      <w:r w:rsidR="00E664BA">
        <w:t xml:space="preserve">. </w:t>
      </w:r>
      <w:r w:rsidRPr="00B30DB4">
        <w:t xml:space="preserve"> Finally, local, state or territory government providers were overwhelmingly in the bottom quartile with approximately 6</w:t>
      </w:r>
      <w:r w:rsidR="00193B15">
        <w:t>9%</w:t>
      </w:r>
      <w:r w:rsidRPr="00B30DB4">
        <w:t xml:space="preserve"> of all local, state or territory government providers in this quartile.</w:t>
      </w:r>
      <w:r>
        <w:t xml:space="preserve"> </w:t>
      </w:r>
    </w:p>
    <w:p w14:paraId="170F6A2D" w14:textId="65E05C0E" w:rsidR="00BC6B4A" w:rsidRDefault="00E065E6" w:rsidP="00F91BBB">
      <w:pPr>
        <w:pStyle w:val="Caption"/>
      </w:pPr>
      <w:bookmarkStart w:id="142" w:name="_Ref162512999"/>
      <w:bookmarkStart w:id="143" w:name="_Toc173428928"/>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11</w:t>
      </w:r>
      <w:r w:rsidR="00AE19AA">
        <w:rPr>
          <w:noProof/>
        </w:rPr>
        <w:fldChar w:fldCharType="end"/>
      </w:r>
      <w:bookmarkEnd w:id="142"/>
      <w:r>
        <w:t xml:space="preserve">: </w:t>
      </w:r>
      <w:r w:rsidRPr="000974B3">
        <w:t>Residential care provider average EBITDA per resident per year, by quartile (number of providers in parentheses), by ownership type, 202</w:t>
      </w:r>
      <w:r w:rsidR="00B8633D">
        <w:t>2-23</w:t>
      </w:r>
      <w:bookmarkEnd w:id="143"/>
    </w:p>
    <w:p w14:paraId="403C5F8F" w14:textId="71A66220" w:rsidR="00B8633D" w:rsidRDefault="004962EF" w:rsidP="00F91BBB">
      <w:pPr>
        <w:pStyle w:val="Caption"/>
      </w:pPr>
      <w:r>
        <w:rPr>
          <w:noProof/>
        </w:rPr>
        <w:drawing>
          <wp:inline distT="0" distB="0" distL="0" distR="0" wp14:anchorId="7DBDB194" wp14:editId="0D6D53FC">
            <wp:extent cx="5940000" cy="2487897"/>
            <wp:effectExtent l="0" t="0" r="3810" b="8255"/>
            <wp:docPr id="1271021943" name="Picture 1271021943" descr="Chart 3.11 is a clustered column chart titled Residential care provider average EBITDA per resident per year, by quartile (number of providers in parentheses), by ownership type, 2022-23. The average EBITDA per resident per year for the top 25% of providers (top quartile) was $21,654 while the average in the bottom 25% of providers (bottom quartile) was negative $21,359. For-profit providers outperformed not-for-profit providers in the top quartile and the next bottom quartile. Not-for-profit providers had higher EBITDA than for-profit providers in the next top quartile and the bottom quartil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3" name="Picture 1271021943" descr="Chart 3.11 is a clustered column chart titled Residential care provider average EBITDA per resident per year, by quartile (number of providers in parentheses), by ownership type, 2022-23. The average EBITDA per resident per year for the top 25% of providers (top quartile) was $21,654 while the average in the bottom 25% of providers (bottom quartile) was negative $21,359. For-profit providers outperformed not-for-profit providers in the top quartile and the next bottom quartile. Not-for-profit providers had higher EBITDA than for-profit providers in the next top quartile and the bottom quartile. &#10;&#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73417" cy="2501893"/>
                    </a:xfrm>
                    <a:prstGeom prst="rect">
                      <a:avLst/>
                    </a:prstGeom>
                    <a:noFill/>
                  </pic:spPr>
                </pic:pic>
              </a:graphicData>
            </a:graphic>
          </wp:inline>
        </w:drawing>
      </w:r>
    </w:p>
    <w:p w14:paraId="67210D56" w14:textId="77777777" w:rsidR="006F4F12" w:rsidRDefault="006F4F12" w:rsidP="006F4F12">
      <w:pPr>
        <w:spacing w:before="0" w:after="0" w:line="240" w:lineRule="auto"/>
      </w:pPr>
      <w:r>
        <w:br w:type="page"/>
      </w:r>
    </w:p>
    <w:p w14:paraId="6F67DBAF" w14:textId="0A7A7122" w:rsidR="00524AA2" w:rsidRDefault="00524AA2" w:rsidP="00524AA2">
      <w:r w:rsidRPr="006A3D06">
        <w:fldChar w:fldCharType="begin"/>
      </w:r>
      <w:r w:rsidRPr="006A3D06">
        <w:instrText xml:space="preserve"> REF _Ref162513032 \h </w:instrText>
      </w:r>
      <w:r w:rsidR="006A3D06">
        <w:instrText xml:space="preserve"> \* MERGEFORMAT </w:instrText>
      </w:r>
      <w:r w:rsidRPr="006A3D06">
        <w:fldChar w:fldCharType="separate"/>
      </w:r>
      <w:r w:rsidR="001377BE">
        <w:t xml:space="preserve">Chart </w:t>
      </w:r>
      <w:r w:rsidR="001377BE">
        <w:rPr>
          <w:noProof/>
        </w:rPr>
        <w:t>3.12</w:t>
      </w:r>
      <w:r w:rsidRPr="006A3D06">
        <w:fldChar w:fldCharType="end"/>
      </w:r>
      <w:r w:rsidRPr="006A3D06">
        <w:t xml:space="preserve"> shows residential care provider EBITDA per</w:t>
      </w:r>
      <w:r w:rsidRPr="006A3D06">
        <w:rPr>
          <w:spacing w:val="-7"/>
        </w:rPr>
        <w:t xml:space="preserve"> </w:t>
      </w:r>
      <w:r w:rsidRPr="006A3D06">
        <w:t>resident</w:t>
      </w:r>
      <w:r w:rsidRPr="006A3D06">
        <w:rPr>
          <w:spacing w:val="-7"/>
        </w:rPr>
        <w:t xml:space="preserve"> </w:t>
      </w:r>
      <w:r w:rsidRPr="006A3D06">
        <w:t>by</w:t>
      </w:r>
      <w:r w:rsidRPr="006A3D06">
        <w:rPr>
          <w:spacing w:val="-7"/>
        </w:rPr>
        <w:t xml:space="preserve"> </w:t>
      </w:r>
      <w:r w:rsidRPr="006A3D06">
        <w:t>provider</w:t>
      </w:r>
      <w:r w:rsidRPr="006A3D06">
        <w:rPr>
          <w:spacing w:val="-7"/>
        </w:rPr>
        <w:t xml:space="preserve"> </w:t>
      </w:r>
      <w:r w:rsidRPr="006A3D06">
        <w:t>location</w:t>
      </w:r>
      <w:r w:rsidRPr="006A3D06">
        <w:rPr>
          <w:spacing w:val="-7"/>
        </w:rPr>
        <w:t xml:space="preserve"> </w:t>
      </w:r>
      <w:r w:rsidRPr="006A3D06">
        <w:t>for</w:t>
      </w:r>
      <w:r w:rsidRPr="006A3D06">
        <w:rPr>
          <w:spacing w:val="-7"/>
        </w:rPr>
        <w:t xml:space="preserve"> </w:t>
      </w:r>
      <w:r w:rsidRPr="006A3D06">
        <w:t>the</w:t>
      </w:r>
      <w:r w:rsidRPr="006A3D06">
        <w:rPr>
          <w:spacing w:val="-7"/>
        </w:rPr>
        <w:t xml:space="preserve"> </w:t>
      </w:r>
      <w:r w:rsidRPr="006A3D06">
        <w:t>last</w:t>
      </w:r>
      <w:r w:rsidRPr="006A3D06">
        <w:rPr>
          <w:spacing w:val="-7"/>
        </w:rPr>
        <w:t xml:space="preserve"> </w:t>
      </w:r>
      <w:r w:rsidRPr="006A3D06">
        <w:t>5</w:t>
      </w:r>
      <w:r w:rsidRPr="006A3D06">
        <w:rPr>
          <w:spacing w:val="-11"/>
        </w:rPr>
        <w:t xml:space="preserve"> </w:t>
      </w:r>
      <w:r w:rsidRPr="006A3D06">
        <w:t xml:space="preserve">years. </w:t>
      </w:r>
      <w:r w:rsidR="00597554">
        <w:rPr>
          <w:spacing w:val="-2"/>
        </w:rPr>
        <w:t xml:space="preserve">The EBITDA per resident per </w:t>
      </w:r>
      <w:r w:rsidR="53E3F033">
        <w:rPr>
          <w:spacing w:val="-2"/>
        </w:rPr>
        <w:t>year</w:t>
      </w:r>
      <w:r w:rsidR="00597554">
        <w:rPr>
          <w:spacing w:val="-2"/>
        </w:rPr>
        <w:t xml:space="preserve"> </w:t>
      </w:r>
      <w:r w:rsidR="00266231">
        <w:t>improved</w:t>
      </w:r>
      <w:r w:rsidR="00597554">
        <w:t xml:space="preserve"> </w:t>
      </w:r>
      <w:r w:rsidR="00597554">
        <w:rPr>
          <w:spacing w:val="-2"/>
        </w:rPr>
        <w:t>for all location types in comparison to 2021-22. The</w:t>
      </w:r>
      <w:r w:rsidR="00364CCF">
        <w:rPr>
          <w:spacing w:val="-2"/>
        </w:rPr>
        <w:t xml:space="preserve"> largest </w:t>
      </w:r>
      <w:r w:rsidR="00597554">
        <w:rPr>
          <w:spacing w:val="-2"/>
        </w:rPr>
        <w:t xml:space="preserve">increase was for </w:t>
      </w:r>
      <w:r w:rsidR="00074205">
        <w:rPr>
          <w:spacing w:val="-2"/>
        </w:rPr>
        <w:t xml:space="preserve">regional </w:t>
      </w:r>
      <w:r w:rsidR="00597554">
        <w:rPr>
          <w:spacing w:val="-2"/>
        </w:rPr>
        <w:t xml:space="preserve">providers, which increased </w:t>
      </w:r>
      <w:r w:rsidR="005969D0">
        <w:rPr>
          <w:spacing w:val="-2"/>
        </w:rPr>
        <w:t xml:space="preserve">to </w:t>
      </w:r>
      <w:r w:rsidR="00074205">
        <w:rPr>
          <w:spacing w:val="-2"/>
        </w:rPr>
        <w:t xml:space="preserve">negative </w:t>
      </w:r>
      <w:r w:rsidR="005969D0">
        <w:rPr>
          <w:spacing w:val="-2"/>
        </w:rPr>
        <w:t>$</w:t>
      </w:r>
      <w:r w:rsidR="00554D68">
        <w:rPr>
          <w:spacing w:val="-2"/>
        </w:rPr>
        <w:t>727</w:t>
      </w:r>
      <w:r w:rsidR="005969D0">
        <w:rPr>
          <w:spacing w:val="-2"/>
        </w:rPr>
        <w:t xml:space="preserve">, up from </w:t>
      </w:r>
      <w:r w:rsidR="009C48D7">
        <w:rPr>
          <w:spacing w:val="-2"/>
        </w:rPr>
        <w:t xml:space="preserve">negative </w:t>
      </w:r>
      <w:r w:rsidR="005969D0">
        <w:rPr>
          <w:spacing w:val="-2"/>
        </w:rPr>
        <w:t>$</w:t>
      </w:r>
      <w:r w:rsidR="009C48D7">
        <w:rPr>
          <w:spacing w:val="-2"/>
        </w:rPr>
        <w:t>5,325</w:t>
      </w:r>
      <w:r w:rsidR="005969D0">
        <w:rPr>
          <w:spacing w:val="-2"/>
        </w:rPr>
        <w:t xml:space="preserve"> in 2021-22. </w:t>
      </w:r>
      <w:r w:rsidRPr="006A3D06">
        <w:t xml:space="preserve">Metropolitan providers once again </w:t>
      </w:r>
      <w:r w:rsidR="734F0D76" w:rsidRPr="006A3D06">
        <w:t>had</w:t>
      </w:r>
      <w:r w:rsidRPr="006A3D06">
        <w:t xml:space="preserve"> significantly </w:t>
      </w:r>
      <w:r w:rsidR="00D8004B">
        <w:t>higher</w:t>
      </w:r>
      <w:r w:rsidRPr="006A3D06">
        <w:t xml:space="preserve"> EBITDA</w:t>
      </w:r>
      <w:r w:rsidRPr="006A3D06">
        <w:rPr>
          <w:spacing w:val="40"/>
        </w:rPr>
        <w:t xml:space="preserve"> </w:t>
      </w:r>
      <w:r w:rsidRPr="006A3D06">
        <w:t>per resident of $</w:t>
      </w:r>
      <w:r w:rsidR="006A3D06">
        <w:t>4,210</w:t>
      </w:r>
      <w:r w:rsidRPr="006A3D06">
        <w:t xml:space="preserve"> in 2022</w:t>
      </w:r>
      <w:r w:rsidR="006A3D06">
        <w:t>-23</w:t>
      </w:r>
      <w:r w:rsidRPr="006A3D06">
        <w:t xml:space="preserve">, compared with </w:t>
      </w:r>
      <w:r w:rsidRPr="006A3D06">
        <w:rPr>
          <w:spacing w:val="-2"/>
        </w:rPr>
        <w:t>negative $</w:t>
      </w:r>
      <w:r w:rsidR="006A3D06">
        <w:rPr>
          <w:spacing w:val="-2"/>
        </w:rPr>
        <w:t>727</w:t>
      </w:r>
      <w:r w:rsidRPr="006A3D06">
        <w:rPr>
          <w:spacing w:val="-2"/>
        </w:rPr>
        <w:t xml:space="preserve"> for regional providers. Since</w:t>
      </w:r>
      <w:r w:rsidRPr="006A3D06">
        <w:rPr>
          <w:spacing w:val="-6"/>
        </w:rPr>
        <w:t xml:space="preserve"> </w:t>
      </w:r>
      <w:r w:rsidRPr="006A3D06">
        <w:rPr>
          <w:spacing w:val="-2"/>
        </w:rPr>
        <w:t>2018</w:t>
      </w:r>
      <w:r w:rsidR="006A3D06">
        <w:rPr>
          <w:spacing w:val="-2"/>
        </w:rPr>
        <w:t>-19</w:t>
      </w:r>
      <w:r w:rsidR="00BC459F">
        <w:rPr>
          <w:spacing w:val="-2"/>
        </w:rPr>
        <w:t xml:space="preserve"> to the 2021-22, the EBITDA ha</w:t>
      </w:r>
      <w:r w:rsidR="00AB1B18">
        <w:rPr>
          <w:spacing w:val="-2"/>
        </w:rPr>
        <w:t>s</w:t>
      </w:r>
      <w:r w:rsidR="00BC459F">
        <w:rPr>
          <w:spacing w:val="-2"/>
        </w:rPr>
        <w:t xml:space="preserve"> been trending downwards, and</w:t>
      </w:r>
      <w:r w:rsidR="00BE1773">
        <w:rPr>
          <w:spacing w:val="-2"/>
        </w:rPr>
        <w:t xml:space="preserve"> in 2022-23</w:t>
      </w:r>
      <w:r w:rsidR="00BC459F">
        <w:rPr>
          <w:spacing w:val="-2"/>
        </w:rPr>
        <w:t xml:space="preserve"> increased for the first time</w:t>
      </w:r>
      <w:r w:rsidR="00AB1B18">
        <w:rPr>
          <w:spacing w:val="-2"/>
        </w:rPr>
        <w:t xml:space="preserve"> </w:t>
      </w:r>
      <w:r w:rsidR="00BE1773">
        <w:rPr>
          <w:spacing w:val="-2"/>
        </w:rPr>
        <w:t xml:space="preserve">since the prior </w:t>
      </w:r>
      <w:r w:rsidR="4F26B215">
        <w:t>4</w:t>
      </w:r>
      <w:r w:rsidR="00BE1773">
        <w:rPr>
          <w:spacing w:val="-2"/>
        </w:rPr>
        <w:t xml:space="preserve"> years. </w:t>
      </w:r>
    </w:p>
    <w:p w14:paraId="40F771D1" w14:textId="532B4624" w:rsidR="00957A85" w:rsidRDefault="00B77C62" w:rsidP="00706D0A">
      <w:pPr>
        <w:pStyle w:val="Caption"/>
      </w:pPr>
      <w:bookmarkStart w:id="144" w:name="_Ref162513032"/>
      <w:bookmarkStart w:id="145" w:name="_Toc173428929"/>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12</w:t>
      </w:r>
      <w:r w:rsidR="00AE19AA">
        <w:rPr>
          <w:noProof/>
        </w:rPr>
        <w:fldChar w:fldCharType="end"/>
      </w:r>
      <w:bookmarkEnd w:id="144"/>
      <w:r>
        <w:t xml:space="preserve">: </w:t>
      </w:r>
      <w:r w:rsidRPr="00235A1A">
        <w:t>Residential care provider EBITDA per resident, by provider location, 201</w:t>
      </w:r>
      <w:r w:rsidR="00BE1773">
        <w:t>8-19</w:t>
      </w:r>
      <w:r w:rsidRPr="00235A1A">
        <w:t xml:space="preserve"> to 202</w:t>
      </w:r>
      <w:r w:rsidR="00BE1773">
        <w:t>2-23</w:t>
      </w:r>
      <w:bookmarkEnd w:id="145"/>
    </w:p>
    <w:p w14:paraId="6A49B9B6" w14:textId="51A31B53" w:rsidR="00C73AD6" w:rsidRDefault="00116B07" w:rsidP="00C73AD6">
      <w:r>
        <w:rPr>
          <w:noProof/>
        </w:rPr>
        <w:drawing>
          <wp:inline distT="0" distB="0" distL="0" distR="0" wp14:anchorId="18015473" wp14:editId="37EC3270">
            <wp:extent cx="5839200" cy="2470203"/>
            <wp:effectExtent l="0" t="0" r="9525" b="6350"/>
            <wp:docPr id="1465481042" name="Picture 1465481042" descr="Chart 3.12 is a clustered column chart titled Residential care provider EBITDA per resident, by provider location, 2018-19 to 2022-23. Metropolitan providers once again had significantly higher EBITDA per resident of $4,210 in 2022-23, compared with negative $727 for regional providers. Providers across metropolitan and regional had an average EBITDA per resident per year of $77 in 2022-23.&#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2" name="Picture 1465481042" descr="Chart 3.12 is a clustered column chart titled Residential care provider EBITDA per resident, by provider location, 2018-19 to 2022-23. Metropolitan providers once again had significantly higher EBITDA per resident of $4,210 in 2022-23, compared with negative $727 for regional providers. Providers across metropolitan and regional had an average EBITDA per resident per year of $77 in 2022-23.&#10;&#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74719" cy="2485229"/>
                    </a:xfrm>
                    <a:prstGeom prst="rect">
                      <a:avLst/>
                    </a:prstGeom>
                    <a:noFill/>
                  </pic:spPr>
                </pic:pic>
              </a:graphicData>
            </a:graphic>
          </wp:inline>
        </w:drawing>
      </w:r>
    </w:p>
    <w:p w14:paraId="01329BEC" w14:textId="77777777" w:rsidR="006F4F12" w:rsidRDefault="006F4F12" w:rsidP="006F4F12">
      <w:pPr>
        <w:spacing w:before="0" w:after="0" w:line="240" w:lineRule="auto"/>
      </w:pPr>
      <w:r>
        <w:br w:type="page"/>
      </w:r>
    </w:p>
    <w:p w14:paraId="072BC317" w14:textId="417458CD" w:rsidR="00E77C6C" w:rsidRPr="00CF188B" w:rsidRDefault="005B6ABC" w:rsidP="00E77C6C">
      <w:pPr>
        <w:pStyle w:val="Caption"/>
        <w:rPr>
          <w:b w:val="0"/>
          <w:bCs/>
          <w:szCs w:val="24"/>
        </w:rPr>
      </w:pPr>
      <w:r w:rsidRPr="00CF188B">
        <w:rPr>
          <w:b w:val="0"/>
          <w:szCs w:val="24"/>
        </w:rPr>
        <w:fldChar w:fldCharType="begin"/>
      </w:r>
      <w:r w:rsidRPr="00CF188B">
        <w:rPr>
          <w:b w:val="0"/>
          <w:szCs w:val="24"/>
        </w:rPr>
        <w:instrText xml:space="preserve"> REF _Ref162513063 \h  \* MERGEFORMAT </w:instrText>
      </w:r>
      <w:r w:rsidRPr="00CF188B">
        <w:rPr>
          <w:b w:val="0"/>
          <w:szCs w:val="24"/>
        </w:rPr>
      </w:r>
      <w:r w:rsidRPr="00CF188B">
        <w:rPr>
          <w:b w:val="0"/>
          <w:szCs w:val="24"/>
        </w:rPr>
        <w:fldChar w:fldCharType="separate"/>
      </w:r>
      <w:r w:rsidR="001377BE" w:rsidRPr="001377BE">
        <w:rPr>
          <w:b w:val="0"/>
        </w:rPr>
        <w:t xml:space="preserve">Chart </w:t>
      </w:r>
      <w:r w:rsidR="001377BE" w:rsidRPr="001377BE">
        <w:rPr>
          <w:b w:val="0"/>
          <w:noProof/>
        </w:rPr>
        <w:t>3.13</w:t>
      </w:r>
      <w:r w:rsidRPr="00CF188B">
        <w:rPr>
          <w:b w:val="0"/>
          <w:szCs w:val="24"/>
        </w:rPr>
        <w:fldChar w:fldCharType="end"/>
      </w:r>
      <w:r w:rsidRPr="00CF188B">
        <w:rPr>
          <w:b w:val="0"/>
          <w:szCs w:val="24"/>
        </w:rPr>
        <w:t xml:space="preserve"> </w:t>
      </w:r>
      <w:r w:rsidR="00E77C6C" w:rsidRPr="00CF188B">
        <w:rPr>
          <w:b w:val="0"/>
          <w:szCs w:val="24"/>
        </w:rPr>
        <w:t>residential care provider EBITDA per resident per year by quartile and location. Regional providers in the top quartile reported an average EBITDA per resident of $</w:t>
      </w:r>
      <w:r w:rsidR="004913AD">
        <w:rPr>
          <w:b w:val="0"/>
          <w:szCs w:val="24"/>
        </w:rPr>
        <w:t>27,450</w:t>
      </w:r>
      <w:r w:rsidR="00E77C6C" w:rsidRPr="00CF188B">
        <w:rPr>
          <w:b w:val="0"/>
          <w:szCs w:val="24"/>
        </w:rPr>
        <w:t xml:space="preserve"> which was higher than metropolitan providers who reported $</w:t>
      </w:r>
      <w:r w:rsidR="004913AD">
        <w:rPr>
          <w:b w:val="0"/>
          <w:szCs w:val="24"/>
        </w:rPr>
        <w:t>20,669</w:t>
      </w:r>
      <w:r w:rsidR="00E77C6C" w:rsidRPr="00CF188B">
        <w:rPr>
          <w:b w:val="0"/>
          <w:szCs w:val="24"/>
        </w:rPr>
        <w:t xml:space="preserve">. </w:t>
      </w:r>
      <w:r w:rsidR="00AA581B">
        <w:rPr>
          <w:b w:val="0"/>
          <w:szCs w:val="24"/>
        </w:rPr>
        <w:t xml:space="preserve">Both regional and metropolitan providers </w:t>
      </w:r>
      <w:r w:rsidR="00652B9C">
        <w:rPr>
          <w:b w:val="0"/>
          <w:szCs w:val="24"/>
        </w:rPr>
        <w:t xml:space="preserve">in the top quartile increased their EBITDA significantly in comparison 2021-22. </w:t>
      </w:r>
      <w:r w:rsidR="00570B41">
        <w:rPr>
          <w:b w:val="0"/>
          <w:szCs w:val="24"/>
        </w:rPr>
        <w:t>Regional providers</w:t>
      </w:r>
      <w:r w:rsidR="000D6AFC">
        <w:rPr>
          <w:b w:val="0"/>
          <w:szCs w:val="24"/>
        </w:rPr>
        <w:t xml:space="preserve"> in the top quartile</w:t>
      </w:r>
      <w:r w:rsidR="00570B41">
        <w:rPr>
          <w:b w:val="0"/>
          <w:szCs w:val="24"/>
        </w:rPr>
        <w:t xml:space="preserve"> increased their EBITDA </w:t>
      </w:r>
      <w:r w:rsidR="0075129D">
        <w:rPr>
          <w:b w:val="0"/>
          <w:szCs w:val="24"/>
        </w:rPr>
        <w:t xml:space="preserve">by </w:t>
      </w:r>
      <w:r w:rsidR="006350C5">
        <w:rPr>
          <w:b w:val="0"/>
          <w:szCs w:val="24"/>
        </w:rPr>
        <w:t xml:space="preserve">43% and metropolitan providers increased their EBITDA </w:t>
      </w:r>
      <w:r w:rsidR="004C167C">
        <w:rPr>
          <w:b w:val="0"/>
          <w:szCs w:val="24"/>
        </w:rPr>
        <w:t xml:space="preserve">by </w:t>
      </w:r>
      <w:r w:rsidR="008B270D">
        <w:rPr>
          <w:b w:val="0"/>
          <w:szCs w:val="24"/>
        </w:rPr>
        <w:t xml:space="preserve">32% in comparison to 2021-22. </w:t>
      </w:r>
      <w:r w:rsidR="003E7744">
        <w:rPr>
          <w:b w:val="0"/>
          <w:szCs w:val="24"/>
        </w:rPr>
        <w:t>R</w:t>
      </w:r>
      <w:r w:rsidR="00E77C6C" w:rsidRPr="00CF188B">
        <w:rPr>
          <w:b w:val="0"/>
          <w:szCs w:val="24"/>
        </w:rPr>
        <w:t>egional providers in the bottom quartile reported an average EBITDA of negative $</w:t>
      </w:r>
      <w:r w:rsidR="00174BD7">
        <w:rPr>
          <w:b w:val="0"/>
          <w:szCs w:val="24"/>
        </w:rPr>
        <w:t>25,876</w:t>
      </w:r>
      <w:r w:rsidR="00485099">
        <w:rPr>
          <w:b w:val="0"/>
          <w:szCs w:val="24"/>
        </w:rPr>
        <w:t xml:space="preserve"> per resident per year</w:t>
      </w:r>
      <w:r w:rsidR="007270CF">
        <w:rPr>
          <w:b w:val="0"/>
          <w:szCs w:val="24"/>
        </w:rPr>
        <w:t xml:space="preserve"> (</w:t>
      </w:r>
      <w:r w:rsidR="003E7744">
        <w:rPr>
          <w:b w:val="0"/>
          <w:szCs w:val="24"/>
        </w:rPr>
        <w:t xml:space="preserve">up </w:t>
      </w:r>
      <w:r w:rsidR="00253791">
        <w:rPr>
          <w:b w:val="0"/>
          <w:szCs w:val="24"/>
        </w:rPr>
        <w:t>12% on 2021-22)</w:t>
      </w:r>
      <w:r w:rsidR="007E3943">
        <w:rPr>
          <w:b w:val="0"/>
          <w:szCs w:val="24"/>
        </w:rPr>
        <w:t xml:space="preserve">, while </w:t>
      </w:r>
      <w:r w:rsidR="00E77C6C" w:rsidRPr="00CF188B">
        <w:rPr>
          <w:b w:val="0"/>
          <w:szCs w:val="24"/>
        </w:rPr>
        <w:t>metropolitan providers reported an average EBITDA of negative $</w:t>
      </w:r>
      <w:r w:rsidR="00174BD7">
        <w:rPr>
          <w:b w:val="0"/>
          <w:szCs w:val="24"/>
        </w:rPr>
        <w:t>27,741</w:t>
      </w:r>
      <w:r w:rsidR="00E77C6C" w:rsidRPr="00CF188B">
        <w:rPr>
          <w:b w:val="0"/>
          <w:szCs w:val="24"/>
        </w:rPr>
        <w:t xml:space="preserve"> per resident per year</w:t>
      </w:r>
      <w:r w:rsidR="007E3943">
        <w:rPr>
          <w:b w:val="0"/>
          <w:szCs w:val="24"/>
        </w:rPr>
        <w:t xml:space="preserve"> (down </w:t>
      </w:r>
      <w:r w:rsidR="00485099">
        <w:rPr>
          <w:b w:val="0"/>
          <w:szCs w:val="24"/>
        </w:rPr>
        <w:t>44% on 2021-22)</w:t>
      </w:r>
      <w:r w:rsidR="00E77C6C" w:rsidRPr="00CF188B">
        <w:rPr>
          <w:b w:val="0"/>
          <w:szCs w:val="24"/>
        </w:rPr>
        <w:t>.</w:t>
      </w:r>
    </w:p>
    <w:p w14:paraId="34E808D2" w14:textId="6DF3DC35" w:rsidR="00E77C6C" w:rsidRDefault="00E77C6C" w:rsidP="00E77C6C">
      <w:r w:rsidRPr="00CF188B">
        <w:t xml:space="preserve">Metropolitan providers had a relatively consistent split between </w:t>
      </w:r>
      <w:r w:rsidR="009A62AF">
        <w:t>the</w:t>
      </w:r>
      <w:r w:rsidR="002622D7">
        <w:t xml:space="preserve"> </w:t>
      </w:r>
      <w:r w:rsidR="009A62AF">
        <w:t xml:space="preserve">four </w:t>
      </w:r>
      <w:r w:rsidR="002622D7">
        <w:t>quartiles</w:t>
      </w:r>
      <w:r w:rsidRPr="00CF188B">
        <w:t xml:space="preserve">, ranging from </w:t>
      </w:r>
      <w:r w:rsidR="00FE4151">
        <w:t>19.</w:t>
      </w:r>
      <w:r w:rsidR="009A62AF">
        <w:t>5%</w:t>
      </w:r>
      <w:r w:rsidRPr="00CF188B">
        <w:t xml:space="preserve"> in the bottom quartile to 27.</w:t>
      </w:r>
      <w:r w:rsidR="009A62AF">
        <w:t>1%</w:t>
      </w:r>
      <w:r w:rsidRPr="00CF188B">
        <w:t xml:space="preserve"> in the top quartile. However, regional providers had a much larger proportion of providers in the bottom quartile with 3</w:t>
      </w:r>
      <w:r w:rsidR="001C013D">
        <w:t>3.0%</w:t>
      </w:r>
      <w:r w:rsidRPr="00CF188B">
        <w:t>. Of the providers who operated across metropolitan and regional areas, 4</w:t>
      </w:r>
      <w:r w:rsidR="002C20B2">
        <w:t>2.4%</w:t>
      </w:r>
      <w:r w:rsidRPr="00CF188B">
        <w:t xml:space="preserve"> of them were in the </w:t>
      </w:r>
      <w:r w:rsidR="002C20B2">
        <w:t xml:space="preserve">next bottom </w:t>
      </w:r>
      <w:r w:rsidRPr="00CF188B">
        <w:t xml:space="preserve">quartile, while </w:t>
      </w:r>
      <w:r w:rsidR="00EB284A">
        <w:t>30.3%</w:t>
      </w:r>
      <w:r w:rsidRPr="00CF188B">
        <w:t xml:space="preserve"> were in the </w:t>
      </w:r>
      <w:r w:rsidR="00EB284A">
        <w:t>next top</w:t>
      </w:r>
      <w:r w:rsidRPr="00CF188B">
        <w:t xml:space="preserve"> quartile.</w:t>
      </w:r>
      <w:r>
        <w:t xml:space="preserve"> </w:t>
      </w:r>
    </w:p>
    <w:p w14:paraId="65314C3B" w14:textId="26442A5D" w:rsidR="00385EE2" w:rsidRDefault="00385EE2" w:rsidP="00706D0A">
      <w:pPr>
        <w:pStyle w:val="Caption"/>
      </w:pPr>
      <w:bookmarkStart w:id="146" w:name="_Ref162513063"/>
      <w:bookmarkStart w:id="147" w:name="_Toc173428930"/>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13</w:t>
      </w:r>
      <w:r w:rsidR="00AE19AA">
        <w:rPr>
          <w:noProof/>
        </w:rPr>
        <w:fldChar w:fldCharType="end"/>
      </w:r>
      <w:bookmarkEnd w:id="146"/>
      <w:r>
        <w:t xml:space="preserve">: </w:t>
      </w:r>
      <w:r w:rsidRPr="004A138D">
        <w:t>Residential care provider average EBITDA per resident per year, by quartile (number of providers in parentheses), by location, 202</w:t>
      </w:r>
      <w:r w:rsidR="00BE1773">
        <w:t>2-23</w:t>
      </w:r>
      <w:bookmarkEnd w:id="147"/>
    </w:p>
    <w:p w14:paraId="5351B91A" w14:textId="61932766" w:rsidR="00BE1773" w:rsidRPr="00BE1773" w:rsidRDefault="000768D5" w:rsidP="00BE1773">
      <w:r>
        <w:rPr>
          <w:noProof/>
        </w:rPr>
        <w:drawing>
          <wp:inline distT="0" distB="0" distL="0" distR="0" wp14:anchorId="38E017A6" wp14:editId="3DED711D">
            <wp:extent cx="5839200" cy="3340240"/>
            <wp:effectExtent l="0" t="0" r="9525" b="0"/>
            <wp:docPr id="1271021944" name="Picture 1271021944" descr="Chart 3.13 is a clustered column chart titled Residential care provider average EBITDA per resident per year, by quartile (number of providers in parentheses), by location, 2022-23. Regional providers in the top quartile reported an average EBITDA per resident of $27,450 which was higher than metropolitan providers who reported $20,669. Regional providers in the bottom quartile reported an average EBITDA of negative $25,876 per resident per year, while metropolitan providers reported an average EBITDA of negative $27,741 per resident per year. Number of for-profit providers are spread evenly in the top three quartiles while there were more not-for-profit providers in the bottom quartiles than any other quartil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4" name="Picture 1271021944" descr="Chart 3.13 is a clustered column chart titled Residential care provider average EBITDA per resident per year, by quartile (number of providers in parentheses), by location, 2022-23. Regional providers in the top quartile reported an average EBITDA per resident of $27,450 which was higher than metropolitan providers who reported $20,669. Regional providers in the bottom quartile reported an average EBITDA of negative $25,876 per resident per year, while metropolitan providers reported an average EBITDA of negative $27,741 per resident per year. Number of for-profit providers are spread evenly in the top three quartiles while there were more not-for-profit providers in the bottom quartiles than any other quartiles.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79558" cy="3363326"/>
                    </a:xfrm>
                    <a:prstGeom prst="rect">
                      <a:avLst/>
                    </a:prstGeom>
                    <a:noFill/>
                  </pic:spPr>
                </pic:pic>
              </a:graphicData>
            </a:graphic>
          </wp:inline>
        </w:drawing>
      </w:r>
    </w:p>
    <w:p w14:paraId="68ACCE54" w14:textId="77777777" w:rsidR="006F4F12" w:rsidRDefault="006F4F12" w:rsidP="006F4F12">
      <w:pPr>
        <w:spacing w:before="0" w:after="0" w:line="240" w:lineRule="auto"/>
      </w:pPr>
      <w:r>
        <w:br w:type="page"/>
      </w:r>
    </w:p>
    <w:p w14:paraId="085DEC1C" w14:textId="75E2B6BE" w:rsidR="009A7936" w:rsidRPr="00EB284A" w:rsidRDefault="009A7936" w:rsidP="009A7936">
      <w:pPr>
        <w:pStyle w:val="Caption"/>
        <w:rPr>
          <w:b w:val="0"/>
          <w:bCs/>
          <w:szCs w:val="24"/>
        </w:rPr>
      </w:pPr>
      <w:r w:rsidRPr="00EB284A">
        <w:rPr>
          <w:b w:val="0"/>
          <w:szCs w:val="24"/>
        </w:rPr>
        <w:fldChar w:fldCharType="begin"/>
      </w:r>
      <w:r w:rsidRPr="00EB284A">
        <w:rPr>
          <w:b w:val="0"/>
          <w:szCs w:val="24"/>
        </w:rPr>
        <w:instrText xml:space="preserve"> REF _Ref162513093 \h  \* MERGEFORMAT </w:instrText>
      </w:r>
      <w:r w:rsidRPr="00EB284A">
        <w:rPr>
          <w:b w:val="0"/>
          <w:szCs w:val="24"/>
        </w:rPr>
      </w:r>
      <w:r w:rsidRPr="00EB284A">
        <w:rPr>
          <w:b w:val="0"/>
          <w:szCs w:val="24"/>
        </w:rPr>
        <w:fldChar w:fldCharType="separate"/>
      </w:r>
      <w:r w:rsidR="001377BE" w:rsidRPr="001377BE">
        <w:rPr>
          <w:b w:val="0"/>
        </w:rPr>
        <w:t xml:space="preserve">Chart </w:t>
      </w:r>
      <w:r w:rsidR="001377BE" w:rsidRPr="001377BE">
        <w:rPr>
          <w:b w:val="0"/>
          <w:noProof/>
        </w:rPr>
        <w:t>3.14</w:t>
      </w:r>
      <w:r w:rsidRPr="00EB284A">
        <w:rPr>
          <w:b w:val="0"/>
          <w:szCs w:val="24"/>
        </w:rPr>
        <w:fldChar w:fldCharType="end"/>
      </w:r>
      <w:r w:rsidRPr="00EB284A">
        <w:rPr>
          <w:b w:val="0"/>
          <w:szCs w:val="24"/>
        </w:rPr>
        <w:t xml:space="preserve"> residential care provider average EBITDA per resident per year by quartile and scale. Providers with </w:t>
      </w:r>
      <w:r w:rsidR="00FE6DF9">
        <w:rPr>
          <w:b w:val="0"/>
          <w:szCs w:val="24"/>
        </w:rPr>
        <w:t xml:space="preserve">a single </w:t>
      </w:r>
      <w:r w:rsidRPr="00EB284A">
        <w:rPr>
          <w:b w:val="0"/>
          <w:szCs w:val="24"/>
        </w:rPr>
        <w:t>facilit</w:t>
      </w:r>
      <w:r w:rsidR="00FE6DF9">
        <w:rPr>
          <w:b w:val="0"/>
          <w:szCs w:val="24"/>
        </w:rPr>
        <w:t>y</w:t>
      </w:r>
      <w:r w:rsidRPr="00EB284A">
        <w:rPr>
          <w:b w:val="0"/>
          <w:szCs w:val="24"/>
        </w:rPr>
        <w:t xml:space="preserve"> in the top quartile reported $</w:t>
      </w:r>
      <w:r w:rsidR="00FE6DF9">
        <w:rPr>
          <w:b w:val="0"/>
          <w:szCs w:val="24"/>
        </w:rPr>
        <w:t>25,175</w:t>
      </w:r>
      <w:r w:rsidRPr="00EB284A">
        <w:rPr>
          <w:b w:val="0"/>
          <w:szCs w:val="24"/>
        </w:rPr>
        <w:t xml:space="preserve"> EBITDA per resident,</w:t>
      </w:r>
      <w:r w:rsidRPr="00EB284A" w:rsidDel="009175FB">
        <w:rPr>
          <w:b w:val="0"/>
          <w:szCs w:val="24"/>
        </w:rPr>
        <w:t xml:space="preserve"> </w:t>
      </w:r>
      <w:r w:rsidRPr="00EB284A">
        <w:rPr>
          <w:b w:val="0"/>
          <w:szCs w:val="24"/>
        </w:rPr>
        <w:t>which was higher than the other providers who were also in the top quartile. Providers with 20 or more facilities in the top quartile reported an average EBITDA per resident of $</w:t>
      </w:r>
      <w:r w:rsidR="00FE6DF9">
        <w:rPr>
          <w:b w:val="0"/>
          <w:szCs w:val="24"/>
        </w:rPr>
        <w:t>15,026</w:t>
      </w:r>
      <w:r w:rsidRPr="00EB284A">
        <w:rPr>
          <w:b w:val="0"/>
          <w:szCs w:val="24"/>
        </w:rPr>
        <w:t>.</w:t>
      </w:r>
    </w:p>
    <w:p w14:paraId="1637B3DC" w14:textId="4FE4FFB1" w:rsidR="009A7936" w:rsidRPr="00185431" w:rsidRDefault="009A7936" w:rsidP="009A7936">
      <w:r w:rsidRPr="00EB284A">
        <w:t>Single facility providers had relatively consistent proportions in each quartile, with a range from 22.</w:t>
      </w:r>
      <w:r w:rsidR="000B29A5">
        <w:t>0%</w:t>
      </w:r>
      <w:r w:rsidRPr="00EB284A">
        <w:t xml:space="preserve"> in the bottom quartile to 2</w:t>
      </w:r>
      <w:r w:rsidR="000B29A5">
        <w:t>9.1%</w:t>
      </w:r>
      <w:r w:rsidRPr="00EB284A">
        <w:t xml:space="preserve"> in the top quartile. Providers operating 2 to 6 facilities had the largest proportion in the bottom quartile with </w:t>
      </w:r>
      <w:r w:rsidR="00766C1A">
        <w:t>3</w:t>
      </w:r>
      <w:r w:rsidR="00FF7C82">
        <w:t>1</w:t>
      </w:r>
      <w:r w:rsidR="00766C1A">
        <w:t>.</w:t>
      </w:r>
      <w:r w:rsidR="00FF7C82">
        <w:t>9</w:t>
      </w:r>
      <w:r w:rsidR="00766C1A">
        <w:t>%</w:t>
      </w:r>
      <w:r w:rsidRPr="00EB284A">
        <w:t xml:space="preserve"> of providers. However, there was also a relatively consistent split across the other quartiles with </w:t>
      </w:r>
      <w:r w:rsidR="0058040C">
        <w:t xml:space="preserve">18.5% </w:t>
      </w:r>
      <w:r w:rsidRPr="00EB284A">
        <w:t xml:space="preserve">operating in the top quartile, </w:t>
      </w:r>
      <w:r w:rsidR="0058040C">
        <w:t>2</w:t>
      </w:r>
      <w:r w:rsidR="00452EC6">
        <w:t>4.0</w:t>
      </w:r>
      <w:r w:rsidR="0058040C">
        <w:t>%</w:t>
      </w:r>
      <w:r w:rsidRPr="00EB284A">
        <w:t xml:space="preserve"> in the next top and 2</w:t>
      </w:r>
      <w:r w:rsidR="0058040C">
        <w:t xml:space="preserve">5.5% </w:t>
      </w:r>
      <w:r w:rsidR="00464CC2">
        <w:t>in the next bottom</w:t>
      </w:r>
      <w:r w:rsidRPr="00EB284A">
        <w:t xml:space="preserve"> quartile. Providers who operate between 7 and 19 facilities had the highest proportions in the bottom </w:t>
      </w:r>
      <w:r w:rsidR="000F29A3">
        <w:t xml:space="preserve">quartile </w:t>
      </w:r>
      <w:r w:rsidRPr="00EB284A">
        <w:t xml:space="preserve">with </w:t>
      </w:r>
      <w:r w:rsidR="00693303">
        <w:t>28.3%</w:t>
      </w:r>
      <w:r w:rsidRPr="00EB284A">
        <w:t xml:space="preserve"> and the </w:t>
      </w:r>
      <w:r w:rsidR="004426AC">
        <w:t>next bottom</w:t>
      </w:r>
      <w:r w:rsidRPr="00EB284A">
        <w:t xml:space="preserve"> quartile with </w:t>
      </w:r>
      <w:r w:rsidR="00693303">
        <w:t>26.4%</w:t>
      </w:r>
      <w:r w:rsidRPr="00EB284A">
        <w:t xml:space="preserve">. Finally, providers with 20 or more facilities had the highest proportions in </w:t>
      </w:r>
      <w:r w:rsidR="00950F63">
        <w:t>the next bottom q</w:t>
      </w:r>
      <w:r w:rsidRPr="00EB284A">
        <w:t>uartile</w:t>
      </w:r>
      <w:r w:rsidR="00D67FF0">
        <w:t xml:space="preserve"> with</w:t>
      </w:r>
      <w:r w:rsidR="00AE3422">
        <w:t xml:space="preserve"> </w:t>
      </w:r>
      <w:r w:rsidR="005F6875">
        <w:t>54.5%</w:t>
      </w:r>
      <w:r w:rsidR="002C31CA">
        <w:t>.</w:t>
      </w:r>
      <w:r>
        <w:t xml:space="preserve"> </w:t>
      </w:r>
    </w:p>
    <w:p w14:paraId="1D6B31E8" w14:textId="6B062E58" w:rsidR="004233BF" w:rsidRDefault="004233BF" w:rsidP="00706D0A">
      <w:pPr>
        <w:pStyle w:val="Caption"/>
      </w:pPr>
      <w:bookmarkStart w:id="148" w:name="_Ref162513093"/>
      <w:bookmarkStart w:id="149" w:name="_Toc173428931"/>
      <w:r>
        <w:t xml:space="preserve">Chart </w:t>
      </w:r>
      <w:r w:rsidR="00AE19AA">
        <w:fldChar w:fldCharType="begin"/>
      </w:r>
      <w:r w:rsidR="00AE19AA">
        <w:instrText xml:space="preserve"> STYLEREF 1 \s </w:instrText>
      </w:r>
      <w:r w:rsidR="00AE19AA">
        <w:fldChar w:fldCharType="separate"/>
      </w:r>
      <w:r w:rsidR="001377BE">
        <w:rPr>
          <w:noProof/>
        </w:rPr>
        <w:t>3</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14</w:t>
      </w:r>
      <w:r w:rsidR="00AE19AA">
        <w:rPr>
          <w:noProof/>
        </w:rPr>
        <w:fldChar w:fldCharType="end"/>
      </w:r>
      <w:bookmarkEnd w:id="148"/>
      <w:r>
        <w:t xml:space="preserve">: </w:t>
      </w:r>
      <w:r w:rsidRPr="000F10FD">
        <w:t>Residential care provider average EBITDA per resident per year, by quartile (number of providers in parentheses), by provider scale, 202</w:t>
      </w:r>
      <w:r w:rsidR="00231169">
        <w:t>2-23</w:t>
      </w:r>
      <w:bookmarkEnd w:id="149"/>
    </w:p>
    <w:p w14:paraId="0525848B" w14:textId="77777777" w:rsidR="00BC6B4A" w:rsidRDefault="00231169" w:rsidP="00EC731F">
      <w:r>
        <w:rPr>
          <w:noProof/>
        </w:rPr>
        <w:drawing>
          <wp:inline distT="0" distB="0" distL="0" distR="0" wp14:anchorId="4B6804D2" wp14:editId="18E2ECB5">
            <wp:extent cx="5731200" cy="2240725"/>
            <wp:effectExtent l="0" t="0" r="3175" b="7620"/>
            <wp:docPr id="1271021945" name="Picture 1271021945" descr="Chart 3.15 is a clustered column chart titled Residential care provider EBITDA per resident per year, by provider scale (number of providers in parentheses), 2019-20 to 2022-23. In 2022-23, providers with single facilities were the best performing, reporting an average EBITDA of $5,526 per resident per year. Providers with 20 or more facilities were the next best with EBITDA per resident of $4,068. Providers with 7 to 19 facilities reported the lowest EBITDA of $378 for 2022-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5" name="Picture 1271021945" descr="Chart 3.15 is a clustered column chart titled Residential care provider EBITDA per resident per year, by provider scale (number of providers in parentheses), 2019-20 to 2022-23. In 2022-23, providers with single facilities were the best performing, reporting an average EBITDA of $5,526 per resident per year. Providers with 20 or more facilities were the next best with EBITDA per resident of $4,068. Providers with 7 to 19 facilities reported the lowest EBITDA of $378 for 2022-23.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6683" cy="2250688"/>
                    </a:xfrm>
                    <a:prstGeom prst="rect">
                      <a:avLst/>
                    </a:prstGeom>
                    <a:noFill/>
                  </pic:spPr>
                </pic:pic>
              </a:graphicData>
            </a:graphic>
          </wp:inline>
        </w:drawing>
      </w:r>
    </w:p>
    <w:p w14:paraId="4C825D29" w14:textId="77777777" w:rsidR="006F4F12" w:rsidRDefault="006F4F12" w:rsidP="006F4F12">
      <w:pPr>
        <w:spacing w:before="0" w:after="0" w:line="240" w:lineRule="auto"/>
      </w:pPr>
      <w:r>
        <w:br w:type="page"/>
      </w:r>
    </w:p>
    <w:p w14:paraId="133C5E3D" w14:textId="12FD139E" w:rsidR="00D30A40" w:rsidRDefault="006C4B44" w:rsidP="00EC731F">
      <w:pPr>
        <w:rPr>
          <w:b/>
          <w:bCs w:val="0"/>
        </w:rPr>
      </w:pPr>
      <w:r>
        <w:fldChar w:fldCharType="begin"/>
      </w:r>
      <w:r>
        <w:instrText xml:space="preserve"> REF _Ref172018993 \h </w:instrText>
      </w:r>
      <w:r>
        <w:fldChar w:fldCharType="separate"/>
      </w:r>
      <w:r w:rsidR="001377BE" w:rsidRPr="006C4B44">
        <w:t xml:space="preserve">Chart </w:t>
      </w:r>
      <w:r w:rsidR="001377BE">
        <w:rPr>
          <w:noProof/>
        </w:rPr>
        <w:t>3</w:t>
      </w:r>
      <w:r w:rsidR="001377BE" w:rsidRPr="006C4B44">
        <w:t>.</w:t>
      </w:r>
      <w:r w:rsidR="001377BE">
        <w:rPr>
          <w:noProof/>
        </w:rPr>
        <w:t>15</w:t>
      </w:r>
      <w:r>
        <w:fldChar w:fldCharType="end"/>
      </w:r>
      <w:r>
        <w:t xml:space="preserve"> </w:t>
      </w:r>
      <w:r w:rsidR="00F60F84" w:rsidRPr="002C31CA">
        <w:t>shows residential care provider EBITDA per resident per year by provider scale for the last 4 years. In 2022</w:t>
      </w:r>
      <w:r w:rsidR="002C31CA">
        <w:t>-23</w:t>
      </w:r>
      <w:r w:rsidR="00F60F84" w:rsidRPr="002C31CA">
        <w:t>, providers with single</w:t>
      </w:r>
      <w:r w:rsidR="00F60F84" w:rsidRPr="002C31CA">
        <w:rPr>
          <w:spacing w:val="-7"/>
        </w:rPr>
        <w:t xml:space="preserve"> </w:t>
      </w:r>
      <w:r w:rsidR="00F60F84" w:rsidRPr="002C31CA">
        <w:t>facilities</w:t>
      </w:r>
      <w:r w:rsidR="00F60F84" w:rsidRPr="002C31CA">
        <w:rPr>
          <w:spacing w:val="-7"/>
        </w:rPr>
        <w:t xml:space="preserve"> </w:t>
      </w:r>
      <w:r w:rsidR="00F60F84" w:rsidRPr="002C31CA">
        <w:t>were</w:t>
      </w:r>
      <w:r w:rsidR="00F60F84" w:rsidRPr="002C31CA">
        <w:rPr>
          <w:spacing w:val="-7"/>
        </w:rPr>
        <w:t xml:space="preserve"> </w:t>
      </w:r>
      <w:r w:rsidR="00F60F84" w:rsidRPr="002C31CA">
        <w:t>the</w:t>
      </w:r>
      <w:r w:rsidR="00F60F84" w:rsidRPr="002C31CA">
        <w:rPr>
          <w:spacing w:val="-7"/>
        </w:rPr>
        <w:t xml:space="preserve"> </w:t>
      </w:r>
      <w:r w:rsidR="00F60F84" w:rsidRPr="002C31CA">
        <w:t>best</w:t>
      </w:r>
      <w:r w:rsidR="00F60F84" w:rsidRPr="002C31CA">
        <w:rPr>
          <w:spacing w:val="-7"/>
        </w:rPr>
        <w:t xml:space="preserve"> </w:t>
      </w:r>
      <w:r w:rsidR="00F60F84" w:rsidRPr="002C31CA">
        <w:t>performing,</w:t>
      </w:r>
      <w:r w:rsidR="00F60F84" w:rsidRPr="002C31CA">
        <w:rPr>
          <w:spacing w:val="-7"/>
        </w:rPr>
        <w:t xml:space="preserve"> </w:t>
      </w:r>
      <w:r w:rsidR="00F60F84" w:rsidRPr="002C31CA">
        <w:t>reporting an</w:t>
      </w:r>
      <w:r w:rsidR="00F60F84" w:rsidRPr="002C31CA">
        <w:rPr>
          <w:spacing w:val="-3"/>
        </w:rPr>
        <w:t xml:space="preserve"> </w:t>
      </w:r>
      <w:r w:rsidR="00F60F84" w:rsidRPr="002C31CA">
        <w:t>average</w:t>
      </w:r>
      <w:r w:rsidR="00F60F84" w:rsidRPr="002C31CA">
        <w:rPr>
          <w:spacing w:val="-3"/>
        </w:rPr>
        <w:t xml:space="preserve"> </w:t>
      </w:r>
      <w:r w:rsidR="00F60F84" w:rsidRPr="002C31CA">
        <w:t>EBITDA</w:t>
      </w:r>
      <w:r w:rsidR="00F60F84" w:rsidRPr="002C31CA">
        <w:rPr>
          <w:spacing w:val="-3"/>
        </w:rPr>
        <w:t xml:space="preserve"> </w:t>
      </w:r>
      <w:r w:rsidR="00F60F84" w:rsidRPr="002C31CA">
        <w:t>of</w:t>
      </w:r>
      <w:r w:rsidR="00F60F84" w:rsidRPr="002C31CA">
        <w:rPr>
          <w:spacing w:val="-3"/>
        </w:rPr>
        <w:t xml:space="preserve"> </w:t>
      </w:r>
      <w:r w:rsidR="00F60F84" w:rsidRPr="002C31CA">
        <w:t>$</w:t>
      </w:r>
      <w:r w:rsidR="00B66AEC">
        <w:t>5,526</w:t>
      </w:r>
      <w:r w:rsidR="00F60F84" w:rsidRPr="002C31CA">
        <w:t xml:space="preserve"> per resident per year.</w:t>
      </w:r>
      <w:r w:rsidR="00F60F84" w:rsidRPr="002C31CA">
        <w:rPr>
          <w:spacing w:val="-3"/>
        </w:rPr>
        <w:t xml:space="preserve"> Providers with </w:t>
      </w:r>
      <w:r w:rsidR="00B66AEC">
        <w:rPr>
          <w:spacing w:val="-3"/>
        </w:rPr>
        <w:t>20 or more</w:t>
      </w:r>
      <w:r w:rsidR="00F60F84" w:rsidRPr="002C31CA">
        <w:rPr>
          <w:spacing w:val="-3"/>
        </w:rPr>
        <w:t xml:space="preserve"> facilities </w:t>
      </w:r>
      <w:r w:rsidR="00F60F84" w:rsidRPr="002C31CA">
        <w:t>were</w:t>
      </w:r>
      <w:r w:rsidR="00F60F84" w:rsidRPr="002C31CA">
        <w:rPr>
          <w:spacing w:val="-8"/>
        </w:rPr>
        <w:t xml:space="preserve"> </w:t>
      </w:r>
      <w:r w:rsidR="00F60F84" w:rsidRPr="002C31CA">
        <w:t>the</w:t>
      </w:r>
      <w:r w:rsidR="00F60F84" w:rsidRPr="002C31CA">
        <w:rPr>
          <w:spacing w:val="-8"/>
        </w:rPr>
        <w:t xml:space="preserve"> </w:t>
      </w:r>
      <w:r w:rsidR="00F60F84" w:rsidRPr="002C31CA">
        <w:t>next</w:t>
      </w:r>
      <w:r w:rsidR="00F60F84" w:rsidRPr="002C31CA">
        <w:rPr>
          <w:spacing w:val="-8"/>
        </w:rPr>
        <w:t xml:space="preserve"> </w:t>
      </w:r>
      <w:r w:rsidR="00F60F84" w:rsidRPr="002C31CA">
        <w:t>best</w:t>
      </w:r>
      <w:r w:rsidR="00F60F84" w:rsidRPr="002C31CA">
        <w:rPr>
          <w:spacing w:val="-8"/>
        </w:rPr>
        <w:t xml:space="preserve"> </w:t>
      </w:r>
      <w:r w:rsidR="00F60F84" w:rsidRPr="002C31CA">
        <w:t>with</w:t>
      </w:r>
      <w:r w:rsidR="00F60F84" w:rsidRPr="002C31CA">
        <w:rPr>
          <w:spacing w:val="-8"/>
        </w:rPr>
        <w:t xml:space="preserve"> </w:t>
      </w:r>
      <w:r w:rsidR="00F60F84" w:rsidRPr="002C31CA">
        <w:t>EBITDA</w:t>
      </w:r>
      <w:r w:rsidR="00F60F84" w:rsidRPr="002C31CA">
        <w:rPr>
          <w:spacing w:val="-8"/>
        </w:rPr>
        <w:t xml:space="preserve"> </w:t>
      </w:r>
      <w:r w:rsidR="00F60F84" w:rsidRPr="002C31CA">
        <w:t>per</w:t>
      </w:r>
      <w:r w:rsidR="00F60F84" w:rsidRPr="002C31CA">
        <w:rPr>
          <w:spacing w:val="-8"/>
        </w:rPr>
        <w:t xml:space="preserve"> </w:t>
      </w:r>
      <w:r w:rsidR="00F60F84" w:rsidRPr="002C31CA">
        <w:t>resident</w:t>
      </w:r>
      <w:r w:rsidR="00F60F84" w:rsidRPr="002C31CA">
        <w:rPr>
          <w:spacing w:val="-8"/>
        </w:rPr>
        <w:t xml:space="preserve"> </w:t>
      </w:r>
      <w:r w:rsidR="00F60F84" w:rsidRPr="002C31CA">
        <w:t>of</w:t>
      </w:r>
      <w:r w:rsidR="00F60F84" w:rsidRPr="002C31CA">
        <w:rPr>
          <w:spacing w:val="-8"/>
        </w:rPr>
        <w:t xml:space="preserve"> </w:t>
      </w:r>
      <w:r w:rsidR="00F60F84" w:rsidRPr="002C31CA">
        <w:t>$</w:t>
      </w:r>
      <w:r w:rsidR="00B66AEC">
        <w:t>4,068</w:t>
      </w:r>
      <w:r w:rsidR="00F60F84" w:rsidRPr="002C31CA">
        <w:t xml:space="preserve">. Providers with </w:t>
      </w:r>
      <w:r w:rsidR="00B66AEC">
        <w:t>7 to 19 facilities</w:t>
      </w:r>
      <w:r w:rsidR="00F60F84" w:rsidRPr="002C31CA">
        <w:t xml:space="preserve"> reported the lowest EBITDA </w:t>
      </w:r>
      <w:r w:rsidR="008F49D5">
        <w:t xml:space="preserve">of $378 </w:t>
      </w:r>
      <w:r w:rsidR="00F60F84" w:rsidRPr="002C31CA">
        <w:t>for 202</w:t>
      </w:r>
      <w:r w:rsidR="00B66AEC">
        <w:t xml:space="preserve">2-23. </w:t>
      </w:r>
      <w:r w:rsidR="0082726D">
        <w:t>All</w:t>
      </w:r>
      <w:r w:rsidR="00D43540">
        <w:t xml:space="preserve"> provider scale types increased their EBITDA per resident per year in comparison to 2021-22, </w:t>
      </w:r>
      <w:r w:rsidR="00642280">
        <w:t xml:space="preserve">except providers with 7 to 19 facilities. </w:t>
      </w:r>
      <w:bookmarkStart w:id="150" w:name="_Ref162513118"/>
    </w:p>
    <w:p w14:paraId="632E5882" w14:textId="0873E650" w:rsidR="00BC6B4A" w:rsidRPr="006C4B44" w:rsidRDefault="00507249" w:rsidP="00B255DC">
      <w:pPr>
        <w:pStyle w:val="Caption"/>
      </w:pPr>
      <w:bookmarkStart w:id="151" w:name="_Ref172018993"/>
      <w:bookmarkStart w:id="152" w:name="_Toc173428932"/>
      <w:r w:rsidRPr="006C4B44">
        <w:t xml:space="preserve">Chart </w:t>
      </w:r>
      <w:r w:rsidR="00744DD9" w:rsidRPr="006C4B44">
        <w:fldChar w:fldCharType="begin"/>
      </w:r>
      <w:r w:rsidR="00744DD9" w:rsidRPr="006C4B44">
        <w:instrText xml:space="preserve"> STYLEREF 1 \s </w:instrText>
      </w:r>
      <w:r w:rsidR="00744DD9" w:rsidRPr="006C4B44">
        <w:fldChar w:fldCharType="separate"/>
      </w:r>
      <w:r w:rsidR="001377BE">
        <w:rPr>
          <w:noProof/>
        </w:rPr>
        <w:t>3</w:t>
      </w:r>
      <w:r w:rsidR="00744DD9" w:rsidRPr="006C4B44">
        <w:fldChar w:fldCharType="end"/>
      </w:r>
      <w:r w:rsidR="00744DD9" w:rsidRPr="006C4B44">
        <w:t>.</w:t>
      </w:r>
      <w:r w:rsidR="00744DD9" w:rsidRPr="006C4B44">
        <w:fldChar w:fldCharType="begin"/>
      </w:r>
      <w:r w:rsidR="00744DD9" w:rsidRPr="006C4B44">
        <w:instrText xml:space="preserve"> SEQ Chart \* ARABIC \s 1 </w:instrText>
      </w:r>
      <w:r w:rsidR="00744DD9" w:rsidRPr="006C4B44">
        <w:fldChar w:fldCharType="separate"/>
      </w:r>
      <w:r w:rsidR="001377BE">
        <w:rPr>
          <w:noProof/>
        </w:rPr>
        <w:t>15</w:t>
      </w:r>
      <w:r w:rsidR="00744DD9" w:rsidRPr="006C4B44">
        <w:fldChar w:fldCharType="end"/>
      </w:r>
      <w:bookmarkEnd w:id="150"/>
      <w:bookmarkEnd w:id="151"/>
      <w:r w:rsidRPr="006C4B44">
        <w:t>: Residential care provider EBITDA per resident per year, by provider scale (number of providers in parentheses), 2019</w:t>
      </w:r>
      <w:r w:rsidR="00642280" w:rsidRPr="006C4B44">
        <w:t>-20</w:t>
      </w:r>
      <w:r w:rsidRPr="006C4B44">
        <w:t xml:space="preserve"> to 202</w:t>
      </w:r>
      <w:r w:rsidR="00642280" w:rsidRPr="006C4B44">
        <w:t>2</w:t>
      </w:r>
      <w:r w:rsidRPr="006C4B44">
        <w:t>-2</w:t>
      </w:r>
      <w:r w:rsidR="00642280" w:rsidRPr="006C4B44">
        <w:t>3</w:t>
      </w:r>
      <w:bookmarkEnd w:id="152"/>
    </w:p>
    <w:p w14:paraId="5FC764F9" w14:textId="1F49898B" w:rsidR="00507249" w:rsidRDefault="00FE6DF9" w:rsidP="00EC731F">
      <w:r>
        <w:rPr>
          <w:noProof/>
        </w:rPr>
        <w:drawing>
          <wp:inline distT="0" distB="0" distL="0" distR="0" wp14:anchorId="57C0CDD5" wp14:editId="2FF0A08F">
            <wp:extent cx="5853600" cy="3647679"/>
            <wp:effectExtent l="0" t="0" r="0" b="0"/>
            <wp:docPr id="1465481045" name="Picture 1465481045" descr="Chart 3.15 is a clustered column chart titled Residential care provider EBITDA per resident per year, by provider scale (number of providers in parentheses), 2019-20 to 2022-23. In 2022-23, providers with single facilities were the best performing, reporting an average EBITDA of $5,526 per resident per year. Providers with 20 or more facilities were the next best with EBITDA per resident of $4,068. Providers with 7 to 19 facilities reported the lowest EBITDA of $378 for 2022-23.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5" name="Picture 1465481045" descr="Chart 3.15 is a clustered column chart titled Residential care provider EBITDA per resident per year, by provider scale (number of providers in parentheses), 2019-20 to 2022-23. In 2022-23, providers with single facilities were the best performing, reporting an average EBITDA of $5,526 per resident per year. Providers with 20 or more facilities were the next best with EBITDA per resident of $4,068. Providers with 7 to 19 facilities reported the lowest EBITDA of $378 for 2022-23. &#10;&#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62162" cy="3653014"/>
                    </a:xfrm>
                    <a:prstGeom prst="rect">
                      <a:avLst/>
                    </a:prstGeom>
                    <a:noFill/>
                  </pic:spPr>
                </pic:pic>
              </a:graphicData>
            </a:graphic>
          </wp:inline>
        </w:drawing>
      </w:r>
    </w:p>
    <w:p w14:paraId="0D3824C2" w14:textId="77777777" w:rsidR="0023614F" w:rsidRDefault="0023614F" w:rsidP="00706D0A">
      <w:pPr>
        <w:pStyle w:val="Caption"/>
        <w:sectPr w:rsidR="0023614F" w:rsidSect="006B7D78">
          <w:headerReference w:type="even" r:id="rId86"/>
          <w:headerReference w:type="default" r:id="rId87"/>
          <w:footerReference w:type="default" r:id="rId88"/>
          <w:headerReference w:type="first" r:id="rId89"/>
          <w:type w:val="continuous"/>
          <w:pgSz w:w="11906" w:h="16838"/>
          <w:pgMar w:top="1701" w:right="1418" w:bottom="1418" w:left="1418" w:header="709" w:footer="709" w:gutter="0"/>
          <w:cols w:space="708"/>
          <w:docGrid w:linePitch="360"/>
        </w:sectPr>
      </w:pPr>
    </w:p>
    <w:p w14:paraId="7B5E42D2" w14:textId="78E9B829" w:rsidR="00FE6DF9" w:rsidRDefault="009B4C22" w:rsidP="00706D0A">
      <w:pPr>
        <w:pStyle w:val="Caption"/>
      </w:pPr>
      <w:r>
        <w:rPr>
          <w:noProof/>
        </w:rPr>
        <w:drawing>
          <wp:anchor distT="0" distB="0" distL="114300" distR="114300" simplePos="0" relativeHeight="251658248" behindDoc="0" locked="0" layoutInCell="1" allowOverlap="1" wp14:anchorId="394AFEE5" wp14:editId="2E921426">
            <wp:simplePos x="0" y="0"/>
            <wp:positionH relativeFrom="column">
              <wp:posOffset>-906780</wp:posOffset>
            </wp:positionH>
            <wp:positionV relativeFrom="page">
              <wp:posOffset>0</wp:posOffset>
            </wp:positionV>
            <wp:extent cx="7579995" cy="9861550"/>
            <wp:effectExtent l="0" t="0" r="1905" b="6350"/>
            <wp:wrapTopAndBottom/>
            <wp:docPr id="1322519798" name="Picture 1322519798" descr="The infographic at the beginning of Chapter 4 titled residential care: balance sheet, shows a summary of the balance sheet in residential care for 2022-23. The residential care provider net worth/equity was $5.87 billion, a reduction on 2021-22 by 29.2%. The average value of RADs was $366,000, an increase of $16,000 on 2021-22. There was a total pool of accommodation deposits held totalling $37.5 billion, an increase of 7.2% on 2021-22. The current ratio was 0.34, a decrease of 0.06. The average debt ratio 0.90, an increase of 0.05 on 2021-22. The net worth percentage of total assets was 10.2%, 4.4 percentage points down on 2021-22. The EBITDA to total assets was 0.9%,an increase of 0.9 percentage points on the previous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98" name="Picture 1322519798" descr="The infographic at the beginning of Chapter 4 titled residential care: balance sheet, shows a summary of the balance sheet in residential care for 2022-23. The residential care provider net worth/equity was $5.87 billion, a reduction on 2021-22 by 29.2%. The average value of RADs was $366,000, an increase of $16,000 on 2021-22. There was a total pool of accommodation deposits held totalling $37.5 billion, an increase of 7.2% on 2021-22. The current ratio was 0.34, a decrease of 0.06. The average debt ratio 0.90, an increase of 0.05 on 2021-22. The net worth percentage of total assets was 10.2%, 4.4 percentage points down on 2021-22. The EBITDA to total assets was 0.9%,an increase of 0.9 percentage points on the previous year. "/>
                    <pic:cNvPicPr/>
                  </pic:nvPicPr>
                  <pic:blipFill rotWithShape="1">
                    <a:blip r:embed="rId90" cstate="print">
                      <a:extLst>
                        <a:ext uri="{28A0092B-C50C-407E-A947-70E740481C1C}">
                          <a14:useLocalDpi xmlns:a14="http://schemas.microsoft.com/office/drawing/2010/main" val="0"/>
                        </a:ext>
                      </a:extLst>
                    </a:blip>
                    <a:srcRect b="8021"/>
                    <a:stretch/>
                  </pic:blipFill>
                  <pic:spPr bwMode="auto">
                    <a:xfrm>
                      <a:off x="0" y="0"/>
                      <a:ext cx="7579995" cy="986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115F40" w14:textId="77777777" w:rsidR="005A004D" w:rsidRPr="00754912" w:rsidRDefault="005A004D" w:rsidP="005A004D">
      <w:pPr>
        <w:pStyle w:val="Heading1"/>
      </w:pPr>
      <w:bookmarkStart w:id="153" w:name="_Toc149245325"/>
      <w:bookmarkStart w:id="154" w:name="_Toc173428608"/>
      <w:r>
        <w:t>Residential care: balance sheet</w:t>
      </w:r>
      <w:bookmarkEnd w:id="153"/>
      <w:bookmarkEnd w:id="154"/>
    </w:p>
    <w:p w14:paraId="70F6C34E" w14:textId="77777777" w:rsidR="0042492D" w:rsidRPr="0088555F" w:rsidRDefault="0042492D" w:rsidP="00706D0A">
      <w:bookmarkStart w:id="155" w:name="_Hlk160785489"/>
      <w:r w:rsidRPr="0088555F">
        <w:t>Capital for residential care providers is comprised of:</w:t>
      </w:r>
    </w:p>
    <w:bookmarkEnd w:id="155"/>
    <w:p w14:paraId="45AF7927" w14:textId="77777777" w:rsidR="0042492D" w:rsidRPr="0088555F" w:rsidRDefault="0042492D" w:rsidP="00CD1E1B">
      <w:pPr>
        <w:pStyle w:val="ListBullet"/>
        <w:numPr>
          <w:ilvl w:val="0"/>
          <w:numId w:val="21"/>
        </w:numPr>
      </w:pPr>
      <w:r w:rsidRPr="0088555F">
        <w:t>equity, including retained earnings</w:t>
      </w:r>
    </w:p>
    <w:p w14:paraId="77C7A3B5" w14:textId="77777777" w:rsidR="0042492D" w:rsidRPr="0088555F" w:rsidRDefault="0042492D" w:rsidP="00CD1E1B">
      <w:pPr>
        <w:pStyle w:val="ListBullet"/>
        <w:numPr>
          <w:ilvl w:val="0"/>
          <w:numId w:val="21"/>
        </w:numPr>
      </w:pPr>
      <w:r w:rsidRPr="0088555F">
        <w:t>loans from financial or other institutions</w:t>
      </w:r>
    </w:p>
    <w:p w14:paraId="40E04F17" w14:textId="6EB308C3" w:rsidR="0042492D" w:rsidRPr="0088555F" w:rsidRDefault="0042492D" w:rsidP="00CD1E1B">
      <w:pPr>
        <w:pStyle w:val="ListBullet"/>
        <w:numPr>
          <w:ilvl w:val="0"/>
          <w:numId w:val="21"/>
        </w:numPr>
      </w:pPr>
      <w:r w:rsidRPr="0088555F">
        <w:t xml:space="preserve">interest free loans from residents in the form of lump sum Refundable Accommodation Deposits (RADs) (bonds </w:t>
      </w:r>
      <w:r w:rsidR="002229F4" w:rsidRPr="0088555F">
        <w:t>pre</w:t>
      </w:r>
      <w:r w:rsidR="002229F4">
        <w:t xml:space="preserve"> </w:t>
      </w:r>
      <w:r w:rsidR="002229F4" w:rsidRPr="0088555F">
        <w:t>1 July 2014</w:t>
      </w:r>
      <w:r w:rsidRPr="0088555F">
        <w:t>)</w:t>
      </w:r>
    </w:p>
    <w:p w14:paraId="7846F467" w14:textId="77777777" w:rsidR="0042492D" w:rsidRPr="0088555F" w:rsidRDefault="0042492D" w:rsidP="00CD1E1B">
      <w:pPr>
        <w:pStyle w:val="ListBullet"/>
        <w:numPr>
          <w:ilvl w:val="0"/>
          <w:numId w:val="21"/>
        </w:numPr>
      </w:pPr>
      <w:r w:rsidRPr="0088555F">
        <w:t>capital investment support from the Australian Government by way of capital grants for eligible projects and</w:t>
      </w:r>
    </w:p>
    <w:p w14:paraId="551B0575" w14:textId="77777777" w:rsidR="0042492D" w:rsidRPr="0088555F" w:rsidRDefault="0042492D" w:rsidP="00CD1E1B">
      <w:pPr>
        <w:pStyle w:val="ListBullet"/>
        <w:numPr>
          <w:ilvl w:val="0"/>
          <w:numId w:val="21"/>
        </w:numPr>
      </w:pPr>
      <w:r w:rsidRPr="0088555F">
        <w:t>capital endowments.</w:t>
      </w:r>
    </w:p>
    <w:p w14:paraId="08AD4508" w14:textId="421D1E0E" w:rsidR="0042492D" w:rsidRPr="0088555F" w:rsidRDefault="0042492D" w:rsidP="00706D0A">
      <w:r w:rsidRPr="0088555F">
        <w:t>Lump sum RADs paid by residents, which act as interest free loans to providers, were a significant source of funding for capital investment in residential care</w:t>
      </w:r>
      <w:r w:rsidR="000D7C0C">
        <w:t xml:space="preserve"> in 2022-23</w:t>
      </w:r>
      <w:r w:rsidRPr="0088555F">
        <w:t>.</w:t>
      </w:r>
    </w:p>
    <w:p w14:paraId="7A3DEA1E" w14:textId="77777777" w:rsidR="0042492D" w:rsidRPr="0088555F" w:rsidRDefault="0042492D" w:rsidP="00706D0A">
      <w:r w:rsidRPr="0088555F">
        <w:t>The investment of accommodation deposits held by providers was a source of interest income, included in the accommodation and finance income reported by providers in their operating statement.</w:t>
      </w:r>
    </w:p>
    <w:p w14:paraId="344B732A" w14:textId="77777777" w:rsidR="0042492D" w:rsidRPr="00CA7FEF" w:rsidRDefault="0042492D" w:rsidP="00706D0A">
      <w:r w:rsidRPr="00FA2403">
        <w:t>As an alternative to RADs, residents can choose to pay a Daily Accommodation Payment (DAP) or a combination of a RAD and DAP. Partially supported residents contribute towards their accommodation costs through a Refundable Accommodation Contribution (RAC) or Daily Accommodation Contribution (DAC). Fully supported residents cannot be asked to contribute towards their accommodation costs. In this report, references to RADs also include RACs and references to DAPs include DACs.</w:t>
      </w:r>
    </w:p>
    <w:p w14:paraId="2F1E66C1" w14:textId="77777777" w:rsidR="006F4F12" w:rsidRDefault="006F4F12" w:rsidP="006F4F12">
      <w:pPr>
        <w:spacing w:before="0" w:after="0" w:line="240" w:lineRule="auto"/>
      </w:pPr>
      <w:bookmarkStart w:id="156" w:name="_Toc149245326"/>
      <w:bookmarkStart w:id="157" w:name="_Toc173428609"/>
      <w:r>
        <w:br w:type="page"/>
      </w:r>
    </w:p>
    <w:p w14:paraId="7C4A2779" w14:textId="77777777" w:rsidR="00B759F5" w:rsidRDefault="00B759F5" w:rsidP="00B759F5">
      <w:pPr>
        <w:pStyle w:val="Heading2"/>
      </w:pPr>
      <w:r>
        <w:t>Balance sheet</w:t>
      </w:r>
      <w:bookmarkEnd w:id="156"/>
      <w:bookmarkEnd w:id="157"/>
    </w:p>
    <w:p w14:paraId="2A1175AE" w14:textId="7D88E6C6" w:rsidR="00E03C32" w:rsidRPr="00E03C32" w:rsidRDefault="00BB5BB2" w:rsidP="00E03C32">
      <w:pPr>
        <w:rPr>
          <w:highlight w:val="yellow"/>
        </w:rPr>
      </w:pPr>
      <w:r>
        <w:fldChar w:fldCharType="begin"/>
      </w:r>
      <w:r>
        <w:instrText xml:space="preserve"> REF _Ref162515632 \h </w:instrText>
      </w:r>
      <w:r>
        <w:fldChar w:fldCharType="separate"/>
      </w:r>
      <w:r w:rsidR="001377BE">
        <w:t xml:space="preserve">Table </w:t>
      </w:r>
      <w:r w:rsidR="001377BE">
        <w:rPr>
          <w:noProof/>
        </w:rPr>
        <w:t>4</w:t>
      </w:r>
      <w:r w:rsidR="001377BE">
        <w:t>.</w:t>
      </w:r>
      <w:r w:rsidR="001377BE">
        <w:rPr>
          <w:noProof/>
        </w:rPr>
        <w:t>1</w:t>
      </w:r>
      <w:r>
        <w:fldChar w:fldCharType="end"/>
      </w:r>
      <w:r w:rsidR="008D247E">
        <w:t xml:space="preserve"> </w:t>
      </w:r>
      <w:r w:rsidR="00E03C32" w:rsidRPr="008D247E">
        <w:t>shows</w:t>
      </w:r>
      <w:r w:rsidR="00E03C32" w:rsidRPr="005B24DA">
        <w:rPr>
          <w:spacing w:val="-11"/>
        </w:rPr>
        <w:t xml:space="preserve"> </w:t>
      </w:r>
      <w:r w:rsidR="00E03C32" w:rsidRPr="005B24DA">
        <w:t>a</w:t>
      </w:r>
      <w:r w:rsidR="00E03C32" w:rsidRPr="005B24DA">
        <w:rPr>
          <w:spacing w:val="-11"/>
        </w:rPr>
        <w:t xml:space="preserve"> </w:t>
      </w:r>
      <w:r w:rsidR="00E03C32" w:rsidRPr="005B24DA">
        <w:t>high</w:t>
      </w:r>
      <w:r w:rsidR="00E03C32" w:rsidRPr="005B24DA">
        <w:rPr>
          <w:spacing w:val="-11"/>
        </w:rPr>
        <w:t xml:space="preserve">-level </w:t>
      </w:r>
      <w:r w:rsidR="00E03C32" w:rsidRPr="005B24DA">
        <w:t>balance</w:t>
      </w:r>
      <w:r w:rsidR="00E03C32" w:rsidRPr="005B24DA">
        <w:rPr>
          <w:spacing w:val="-11"/>
        </w:rPr>
        <w:t xml:space="preserve"> </w:t>
      </w:r>
      <w:r w:rsidR="00E03C32" w:rsidRPr="005B24DA">
        <w:t>sheet</w:t>
      </w:r>
      <w:r w:rsidR="00E03C32" w:rsidRPr="005B24DA">
        <w:rPr>
          <w:spacing w:val="-10"/>
        </w:rPr>
        <w:t xml:space="preserve"> </w:t>
      </w:r>
      <w:r w:rsidR="00E03C32" w:rsidRPr="005B24DA">
        <w:t>summary for residential care providers for the last 5</w:t>
      </w:r>
      <w:r w:rsidR="00E03C32" w:rsidRPr="005B24DA">
        <w:rPr>
          <w:spacing w:val="-2"/>
        </w:rPr>
        <w:t xml:space="preserve"> </w:t>
      </w:r>
      <w:r w:rsidR="00E03C32" w:rsidRPr="005B24DA">
        <w:t>years. At 30</w:t>
      </w:r>
      <w:r w:rsidR="00E03C32" w:rsidRPr="005B24DA">
        <w:rPr>
          <w:spacing w:val="-8"/>
        </w:rPr>
        <w:t xml:space="preserve"> </w:t>
      </w:r>
      <w:r w:rsidR="00E03C32" w:rsidRPr="005B24DA">
        <w:t>June</w:t>
      </w:r>
      <w:r w:rsidR="00E03C32" w:rsidRPr="005B24DA">
        <w:rPr>
          <w:spacing w:val="-8"/>
        </w:rPr>
        <w:t xml:space="preserve"> </w:t>
      </w:r>
      <w:r w:rsidR="00E03C32" w:rsidRPr="005B24DA">
        <w:t>202</w:t>
      </w:r>
      <w:r w:rsidR="00423C8A" w:rsidRPr="005B24DA">
        <w:t>3</w:t>
      </w:r>
      <w:r w:rsidR="00E03C32" w:rsidRPr="005B24DA">
        <w:t>,</w:t>
      </w:r>
      <w:r w:rsidR="00E03C32" w:rsidRPr="005B24DA">
        <w:rPr>
          <w:spacing w:val="-3"/>
        </w:rPr>
        <w:t xml:space="preserve"> </w:t>
      </w:r>
      <w:r w:rsidR="00E03C32" w:rsidRPr="005B24DA">
        <w:t>the</w:t>
      </w:r>
      <w:r w:rsidR="00E03C32" w:rsidRPr="005B24DA">
        <w:rPr>
          <w:spacing w:val="-3"/>
        </w:rPr>
        <w:t xml:space="preserve"> </w:t>
      </w:r>
      <w:r w:rsidR="00E03C32" w:rsidRPr="005B24DA">
        <w:t>sector</w:t>
      </w:r>
      <w:r w:rsidR="00E03C32" w:rsidRPr="005B24DA">
        <w:rPr>
          <w:spacing w:val="-4"/>
        </w:rPr>
        <w:t xml:space="preserve"> </w:t>
      </w:r>
      <w:r w:rsidR="00E03C32" w:rsidRPr="005B24DA">
        <w:t>had</w:t>
      </w:r>
      <w:r w:rsidR="00E03C32" w:rsidRPr="005B24DA">
        <w:rPr>
          <w:spacing w:val="-3"/>
        </w:rPr>
        <w:t xml:space="preserve"> </w:t>
      </w:r>
      <w:r w:rsidR="00E03C32" w:rsidRPr="005B24DA">
        <w:t>total</w:t>
      </w:r>
      <w:r w:rsidR="00E03C32" w:rsidRPr="005B24DA">
        <w:rPr>
          <w:spacing w:val="-3"/>
        </w:rPr>
        <w:t xml:space="preserve"> </w:t>
      </w:r>
      <w:r w:rsidR="00E03C32" w:rsidRPr="005B24DA">
        <w:t>assets</w:t>
      </w:r>
      <w:r w:rsidR="00E03C32" w:rsidRPr="005B24DA">
        <w:rPr>
          <w:spacing w:val="-3"/>
        </w:rPr>
        <w:t xml:space="preserve"> </w:t>
      </w:r>
      <w:r w:rsidR="00E03C32" w:rsidRPr="005B24DA">
        <w:rPr>
          <w:spacing w:val="-7"/>
        </w:rPr>
        <w:t>of</w:t>
      </w:r>
      <w:r w:rsidR="00E03C32" w:rsidRPr="005B24DA">
        <w:t xml:space="preserve"> $5</w:t>
      </w:r>
      <w:r w:rsidR="009421B7" w:rsidRPr="005B24DA">
        <w:t>7</w:t>
      </w:r>
      <w:r w:rsidR="00E03C32" w:rsidRPr="005B24DA">
        <w:t>.</w:t>
      </w:r>
      <w:r w:rsidR="009421B7" w:rsidRPr="005B24DA">
        <w:t>4</w:t>
      </w:r>
      <w:r w:rsidR="00E03C32" w:rsidRPr="005B24DA">
        <w:rPr>
          <w:spacing w:val="-11"/>
        </w:rPr>
        <w:t xml:space="preserve"> </w:t>
      </w:r>
      <w:r w:rsidR="00E03C32" w:rsidRPr="005B24DA">
        <w:t xml:space="preserve">billion, </w:t>
      </w:r>
      <w:r w:rsidR="009041F6" w:rsidRPr="005B24DA">
        <w:t>an increase</w:t>
      </w:r>
      <w:r w:rsidR="009041F6">
        <w:t xml:space="preserve"> </w:t>
      </w:r>
      <w:r w:rsidR="00357D7D">
        <w:t xml:space="preserve">of </w:t>
      </w:r>
      <w:r w:rsidR="00F8535D">
        <w:t>$</w:t>
      </w:r>
      <w:r w:rsidR="00305DF1">
        <w:t>817</w:t>
      </w:r>
      <w:r w:rsidR="00F8535D">
        <w:t xml:space="preserve"> </w:t>
      </w:r>
      <w:r w:rsidR="00305DF1">
        <w:t>m</w:t>
      </w:r>
      <w:r w:rsidR="00F8535D">
        <w:t>illion</w:t>
      </w:r>
      <w:r w:rsidR="009041F6" w:rsidRPr="005B24DA">
        <w:t xml:space="preserve"> </w:t>
      </w:r>
      <w:r w:rsidR="005B24DA" w:rsidRPr="005B24DA">
        <w:t>on the total assets at 30 June 2022.</w:t>
      </w:r>
      <w:r w:rsidR="00E03C32" w:rsidRPr="005B24DA">
        <w:t xml:space="preserve"> </w:t>
      </w:r>
      <w:r w:rsidR="00E03C32" w:rsidRPr="00C312F9">
        <w:t>Financial</w:t>
      </w:r>
      <w:r w:rsidR="00E03C32" w:rsidRPr="00C312F9">
        <w:rPr>
          <w:spacing w:val="-11"/>
        </w:rPr>
        <w:t xml:space="preserve"> </w:t>
      </w:r>
      <w:r w:rsidR="00E03C32" w:rsidRPr="00C312F9">
        <w:t>assets</w:t>
      </w:r>
      <w:r w:rsidR="00E03C32" w:rsidRPr="00C312F9">
        <w:rPr>
          <w:spacing w:val="-11"/>
        </w:rPr>
        <w:t xml:space="preserve"> </w:t>
      </w:r>
      <w:r w:rsidR="00E03C32" w:rsidRPr="00C312F9">
        <w:t>were</w:t>
      </w:r>
      <w:r w:rsidR="00E03C32" w:rsidRPr="00C312F9">
        <w:rPr>
          <w:spacing w:val="-11"/>
        </w:rPr>
        <w:t xml:space="preserve"> </w:t>
      </w:r>
      <w:r w:rsidR="00E03C32" w:rsidRPr="00C312F9">
        <w:t>$</w:t>
      </w:r>
      <w:r w:rsidR="00C312F9" w:rsidRPr="00C312F9">
        <w:t>6.</w:t>
      </w:r>
      <w:r w:rsidR="00E03C32" w:rsidRPr="00C312F9">
        <w:t>7</w:t>
      </w:r>
      <w:r w:rsidR="00E03C32" w:rsidRPr="00C312F9">
        <w:rPr>
          <w:spacing w:val="-11"/>
        </w:rPr>
        <w:t xml:space="preserve"> </w:t>
      </w:r>
      <w:r w:rsidR="00E03C32" w:rsidRPr="00C312F9">
        <w:t>billion,</w:t>
      </w:r>
      <w:r w:rsidR="00E03C32" w:rsidRPr="00C312F9">
        <w:rPr>
          <w:spacing w:val="-11"/>
        </w:rPr>
        <w:t xml:space="preserve"> </w:t>
      </w:r>
      <w:r w:rsidR="00E03C32" w:rsidRPr="00C312F9">
        <w:t>down from $</w:t>
      </w:r>
      <w:r w:rsidR="00C312F9" w:rsidRPr="00C312F9">
        <w:t>7</w:t>
      </w:r>
      <w:r w:rsidR="00E03C32" w:rsidRPr="00C312F9">
        <w:t xml:space="preserve"> billion in 202</w:t>
      </w:r>
      <w:r w:rsidR="00C312F9" w:rsidRPr="00C312F9">
        <w:t>1</w:t>
      </w:r>
      <w:r w:rsidR="00E03C32" w:rsidRPr="00C312F9">
        <w:t>-2</w:t>
      </w:r>
      <w:r w:rsidR="00C312F9" w:rsidRPr="00C312F9">
        <w:t>2</w:t>
      </w:r>
      <w:r w:rsidR="00E03C32" w:rsidRPr="00C312F9">
        <w:t>.</w:t>
      </w:r>
    </w:p>
    <w:p w14:paraId="7ADC608F" w14:textId="61C99CFD" w:rsidR="00E03C32" w:rsidRPr="00E03C32" w:rsidRDefault="00E03C32" w:rsidP="00E03C32">
      <w:pPr>
        <w:rPr>
          <w:highlight w:val="yellow"/>
        </w:rPr>
      </w:pPr>
      <w:r w:rsidRPr="00BC6635">
        <w:t>RADs held in the sector</w:t>
      </w:r>
      <w:r w:rsidRPr="00BC6635">
        <w:rPr>
          <w:spacing w:val="-1"/>
        </w:rPr>
        <w:t xml:space="preserve"> </w:t>
      </w:r>
      <w:r w:rsidRPr="00BC6635">
        <w:t>increased</w:t>
      </w:r>
      <w:r w:rsidRPr="00BC6635">
        <w:rPr>
          <w:spacing w:val="-5"/>
        </w:rPr>
        <w:t xml:space="preserve"> </w:t>
      </w:r>
      <w:r w:rsidR="00B147CA">
        <w:rPr>
          <w:spacing w:val="-5"/>
        </w:rPr>
        <w:t>by $2.6 billion to $38.1 billion</w:t>
      </w:r>
      <w:r w:rsidR="003E3C03">
        <w:t>.</w:t>
      </w:r>
      <w:r w:rsidRPr="00BC6635">
        <w:t xml:space="preserve"> In</w:t>
      </w:r>
      <w:r w:rsidRPr="00BC6635">
        <w:rPr>
          <w:spacing w:val="-2"/>
        </w:rPr>
        <w:t xml:space="preserve"> </w:t>
      </w:r>
      <w:r w:rsidRPr="00BC6635">
        <w:t>202</w:t>
      </w:r>
      <w:r w:rsidR="001D47CB" w:rsidRPr="00BC6635">
        <w:t>2</w:t>
      </w:r>
      <w:r w:rsidRPr="00BC6635">
        <w:t>-2</w:t>
      </w:r>
      <w:r w:rsidR="001D47CB" w:rsidRPr="00BC6635">
        <w:t>3</w:t>
      </w:r>
      <w:r w:rsidRPr="00BC6635">
        <w:t xml:space="preserve"> the $3</w:t>
      </w:r>
      <w:r w:rsidR="001D47CB" w:rsidRPr="00BC6635">
        <w:t>8</w:t>
      </w:r>
      <w:r w:rsidRPr="00BC6635">
        <w:t>.</w:t>
      </w:r>
      <w:r w:rsidR="001D47CB" w:rsidRPr="00BC6635">
        <w:t>1</w:t>
      </w:r>
      <w:r w:rsidRPr="00BC6635">
        <w:rPr>
          <w:spacing w:val="-2"/>
        </w:rPr>
        <w:t xml:space="preserve"> </w:t>
      </w:r>
      <w:r w:rsidRPr="00BC6635">
        <w:t>billion in total RADs includes RAD receivables of $9</w:t>
      </w:r>
      <w:r w:rsidR="00305DF1" w:rsidRPr="00BC6635">
        <w:t>77</w:t>
      </w:r>
      <w:r w:rsidRPr="00BC6635">
        <w:t xml:space="preserve"> million, RADs which were expected in 202</w:t>
      </w:r>
      <w:r w:rsidR="002F1172" w:rsidRPr="00BC6635">
        <w:t>2</w:t>
      </w:r>
      <w:r w:rsidRPr="00BC6635">
        <w:t>-2</w:t>
      </w:r>
      <w:r w:rsidR="002F1172" w:rsidRPr="00BC6635">
        <w:t>3</w:t>
      </w:r>
      <w:r w:rsidRPr="00BC6635">
        <w:t xml:space="preserve"> but were not received. </w:t>
      </w:r>
    </w:p>
    <w:p w14:paraId="737151AC" w14:textId="564CD610" w:rsidR="00E03C32" w:rsidRPr="00EA0C7D" w:rsidRDefault="00E03C32" w:rsidP="00E03C32">
      <w:r w:rsidRPr="00EA0C7D">
        <w:t xml:space="preserve">This net balance of RADs varies from the amount reported in </w:t>
      </w:r>
      <w:r w:rsidR="00134D69">
        <w:t>2022-23</w:t>
      </w:r>
      <w:r w:rsidR="00FE127C">
        <w:t xml:space="preserve"> </w:t>
      </w:r>
      <w:r w:rsidRPr="00EA0C7D">
        <w:t>($</w:t>
      </w:r>
      <w:r w:rsidRPr="00EA0C7D">
        <w:rPr>
          <w:spacing w:val="-11"/>
        </w:rPr>
        <w:t>3</w:t>
      </w:r>
      <w:r w:rsidR="00A25168" w:rsidRPr="00EA0C7D">
        <w:rPr>
          <w:spacing w:val="-11"/>
        </w:rPr>
        <w:t>7.5</w:t>
      </w:r>
      <w:r w:rsidRPr="00EA0C7D" w:rsidDel="00A84204">
        <w:rPr>
          <w:spacing w:val="-11"/>
        </w:rPr>
        <w:t xml:space="preserve"> </w:t>
      </w:r>
      <w:r w:rsidRPr="00EA0C7D">
        <w:t>billion),</w:t>
      </w:r>
      <w:r w:rsidRPr="00EA0C7D">
        <w:rPr>
          <w:spacing w:val="-9"/>
        </w:rPr>
        <w:t xml:space="preserve"> </w:t>
      </w:r>
      <w:r w:rsidRPr="00EA0C7D">
        <w:t>as</w:t>
      </w:r>
      <w:r w:rsidRPr="00EA0C7D">
        <w:rPr>
          <w:spacing w:val="-9"/>
        </w:rPr>
        <w:t xml:space="preserve"> </w:t>
      </w:r>
      <w:r w:rsidRPr="00EA0C7D">
        <w:t>$</w:t>
      </w:r>
      <w:r w:rsidR="00EA0C7D" w:rsidRPr="00EA0C7D">
        <w:t>38.1</w:t>
      </w:r>
      <w:r w:rsidRPr="00EA0C7D">
        <w:t xml:space="preserve"> billion</w:t>
      </w:r>
      <w:r w:rsidRPr="00EA0C7D">
        <w:rPr>
          <w:spacing w:val="-9"/>
        </w:rPr>
        <w:t xml:space="preserve"> </w:t>
      </w:r>
      <w:r w:rsidRPr="00EA0C7D">
        <w:t>is the</w:t>
      </w:r>
      <w:r w:rsidRPr="00EA0C7D">
        <w:rPr>
          <w:spacing w:val="-7"/>
        </w:rPr>
        <w:t xml:space="preserve"> </w:t>
      </w:r>
      <w:r w:rsidRPr="00EA0C7D">
        <w:t>amount</w:t>
      </w:r>
      <w:r w:rsidRPr="00EA0C7D">
        <w:rPr>
          <w:spacing w:val="-7"/>
        </w:rPr>
        <w:t xml:space="preserve"> </w:t>
      </w:r>
      <w:r w:rsidRPr="00EA0C7D">
        <w:t>reported</w:t>
      </w:r>
      <w:r w:rsidRPr="00EA0C7D">
        <w:rPr>
          <w:spacing w:val="-7"/>
        </w:rPr>
        <w:t xml:space="preserve"> </w:t>
      </w:r>
      <w:r w:rsidRPr="00EA0C7D">
        <w:t>in</w:t>
      </w:r>
      <w:r w:rsidRPr="00EA0C7D">
        <w:rPr>
          <w:spacing w:val="-7"/>
        </w:rPr>
        <w:t xml:space="preserve"> </w:t>
      </w:r>
      <w:r w:rsidRPr="00EA0C7D">
        <w:t>providers’</w:t>
      </w:r>
      <w:r w:rsidRPr="00EA0C7D">
        <w:rPr>
          <w:spacing w:val="-7"/>
        </w:rPr>
        <w:t xml:space="preserve"> </w:t>
      </w:r>
      <w:r w:rsidRPr="00EA0C7D">
        <w:t>balance</w:t>
      </w:r>
      <w:r w:rsidRPr="00EA0C7D">
        <w:rPr>
          <w:spacing w:val="-7"/>
        </w:rPr>
        <w:t xml:space="preserve"> </w:t>
      </w:r>
      <w:r w:rsidRPr="00EA0C7D">
        <w:t>sheets</w:t>
      </w:r>
      <w:r w:rsidRPr="00EA0C7D">
        <w:rPr>
          <w:spacing w:val="-7"/>
        </w:rPr>
        <w:t xml:space="preserve"> </w:t>
      </w:r>
      <w:r w:rsidRPr="00EA0C7D">
        <w:t>and includes accounting adjustments and accruals.</w:t>
      </w:r>
    </w:p>
    <w:p w14:paraId="34AD9A92" w14:textId="3BCD58DE" w:rsidR="00E03C32" w:rsidRPr="00E03C32" w:rsidRDefault="00E03C32" w:rsidP="00E03C32">
      <w:r w:rsidRPr="00BB5BB2">
        <w:t>Net</w:t>
      </w:r>
      <w:r w:rsidRPr="00BB5BB2">
        <w:rPr>
          <w:spacing w:val="-13"/>
        </w:rPr>
        <w:t xml:space="preserve"> </w:t>
      </w:r>
      <w:r w:rsidRPr="00BB5BB2">
        <w:t>worth/equity</w:t>
      </w:r>
      <w:r w:rsidRPr="00BB5BB2">
        <w:rPr>
          <w:spacing w:val="-9"/>
        </w:rPr>
        <w:t xml:space="preserve"> </w:t>
      </w:r>
      <w:r w:rsidRPr="00BB5BB2">
        <w:t>was</w:t>
      </w:r>
      <w:r w:rsidRPr="00BB5BB2">
        <w:rPr>
          <w:spacing w:val="-8"/>
        </w:rPr>
        <w:t xml:space="preserve"> </w:t>
      </w:r>
      <w:r w:rsidRPr="00BB5BB2">
        <w:t>$</w:t>
      </w:r>
      <w:r w:rsidR="00AD3589" w:rsidRPr="00BB5BB2">
        <w:t>5.9</w:t>
      </w:r>
      <w:r w:rsidRPr="00BB5BB2">
        <w:rPr>
          <w:spacing w:val="-11"/>
        </w:rPr>
        <w:t xml:space="preserve"> </w:t>
      </w:r>
      <w:r w:rsidRPr="00BB5BB2">
        <w:t>billion,</w:t>
      </w:r>
      <w:r w:rsidRPr="00BB5BB2">
        <w:rPr>
          <w:spacing w:val="-9"/>
        </w:rPr>
        <w:t xml:space="preserve"> </w:t>
      </w:r>
      <w:r w:rsidRPr="00BB5BB2">
        <w:t>down</w:t>
      </w:r>
      <w:r w:rsidRPr="00BB5BB2">
        <w:rPr>
          <w:spacing w:val="-8"/>
        </w:rPr>
        <w:t xml:space="preserve"> </w:t>
      </w:r>
      <w:r w:rsidRPr="00BB5BB2">
        <w:rPr>
          <w:spacing w:val="-4"/>
        </w:rPr>
        <w:t>from</w:t>
      </w:r>
      <w:r w:rsidRPr="00BB5BB2">
        <w:t xml:space="preserve"> $</w:t>
      </w:r>
      <w:r w:rsidR="00AD3589" w:rsidRPr="00BB5BB2">
        <w:t>8.3</w:t>
      </w:r>
      <w:r w:rsidRPr="00BB5BB2">
        <w:rPr>
          <w:spacing w:val="-11"/>
        </w:rPr>
        <w:t xml:space="preserve"> </w:t>
      </w:r>
      <w:r w:rsidRPr="00BB5BB2">
        <w:t>billion</w:t>
      </w:r>
      <w:r w:rsidRPr="00BB5BB2">
        <w:rPr>
          <w:spacing w:val="-11"/>
        </w:rPr>
        <w:t xml:space="preserve"> </w:t>
      </w:r>
      <w:r w:rsidRPr="00BB5BB2">
        <w:t>in</w:t>
      </w:r>
      <w:r w:rsidRPr="00BB5BB2">
        <w:rPr>
          <w:spacing w:val="-11"/>
        </w:rPr>
        <w:t xml:space="preserve"> </w:t>
      </w:r>
      <w:r w:rsidR="00895820" w:rsidRPr="00BB5BB2">
        <w:t>202</w:t>
      </w:r>
      <w:r w:rsidR="00895820">
        <w:t>1</w:t>
      </w:r>
      <w:r w:rsidRPr="00BB5BB2">
        <w:t>-</w:t>
      </w:r>
      <w:r w:rsidR="00895820" w:rsidRPr="00BB5BB2">
        <w:t>2</w:t>
      </w:r>
      <w:r w:rsidR="00895820">
        <w:t>2</w:t>
      </w:r>
      <w:r w:rsidRPr="00BB5BB2">
        <w:rPr>
          <w:spacing w:val="-11"/>
        </w:rPr>
        <w:t xml:space="preserve">, </w:t>
      </w:r>
      <w:r w:rsidRPr="00BB5BB2">
        <w:t>which</w:t>
      </w:r>
      <w:r w:rsidRPr="00BB5BB2">
        <w:rPr>
          <w:spacing w:val="-11"/>
        </w:rPr>
        <w:t xml:space="preserve"> </w:t>
      </w:r>
      <w:r w:rsidRPr="00BB5BB2">
        <w:t>is</w:t>
      </w:r>
      <w:r w:rsidRPr="00BB5BB2">
        <w:rPr>
          <w:spacing w:val="-11"/>
        </w:rPr>
        <w:t xml:space="preserve"> </w:t>
      </w:r>
      <w:r w:rsidRPr="00BB5BB2">
        <w:t>primarily</w:t>
      </w:r>
      <w:r w:rsidRPr="00BB5BB2">
        <w:rPr>
          <w:spacing w:val="-11"/>
        </w:rPr>
        <w:t xml:space="preserve"> </w:t>
      </w:r>
      <w:r w:rsidRPr="00BB5BB2">
        <w:t xml:space="preserve">because of </w:t>
      </w:r>
      <w:r w:rsidR="00B9339B">
        <w:t xml:space="preserve">the </w:t>
      </w:r>
      <w:r w:rsidR="004F6DEF">
        <w:t xml:space="preserve">increase in RADs </w:t>
      </w:r>
      <w:r w:rsidR="00B0713F">
        <w:t xml:space="preserve">by </w:t>
      </w:r>
      <w:r w:rsidR="00B9339B">
        <w:t xml:space="preserve">$2.6 billion. </w:t>
      </w:r>
    </w:p>
    <w:p w14:paraId="56F9A2D2" w14:textId="5DC09458" w:rsidR="003C467E" w:rsidRDefault="00AB0EFB" w:rsidP="00706D0A">
      <w:pPr>
        <w:pStyle w:val="Caption"/>
      </w:pPr>
      <w:bookmarkStart w:id="158" w:name="_Ref162515632"/>
      <w:bookmarkStart w:id="159" w:name="_Toc173428894"/>
      <w:r>
        <w:t xml:space="preserve">Table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w:t>
      </w:r>
      <w:r w:rsidR="00AE19AA">
        <w:rPr>
          <w:noProof/>
        </w:rPr>
        <w:fldChar w:fldCharType="end"/>
      </w:r>
      <w:bookmarkEnd w:id="158"/>
      <w:r>
        <w:t xml:space="preserve">: </w:t>
      </w:r>
      <w:r w:rsidRPr="0043023D">
        <w:t>Balance sheet of residential care providers, 201</w:t>
      </w:r>
      <w:r w:rsidR="00082EF3">
        <w:t>8</w:t>
      </w:r>
      <w:r w:rsidRPr="0043023D">
        <w:t>-1</w:t>
      </w:r>
      <w:r w:rsidR="00082EF3">
        <w:t>9</w:t>
      </w:r>
      <w:r w:rsidRPr="0043023D">
        <w:t xml:space="preserve"> to 202</w:t>
      </w:r>
      <w:r w:rsidR="00082EF3">
        <w:t>2</w:t>
      </w:r>
      <w:r w:rsidRPr="0043023D">
        <w:t>-2</w:t>
      </w:r>
      <w:r w:rsidR="00082EF3">
        <w:t>3</w:t>
      </w:r>
      <w:bookmarkEnd w:id="159"/>
    </w:p>
    <w:tbl>
      <w:tblPr>
        <w:tblW w:w="9099" w:type="dxa"/>
        <w:tblLayout w:type="fixed"/>
        <w:tblLook w:val="04A0" w:firstRow="1" w:lastRow="0" w:firstColumn="1" w:lastColumn="0" w:noHBand="0" w:noVBand="1"/>
      </w:tblPr>
      <w:tblGrid>
        <w:gridCol w:w="3003"/>
        <w:gridCol w:w="1219"/>
        <w:gridCol w:w="1219"/>
        <w:gridCol w:w="1219"/>
        <w:gridCol w:w="1219"/>
        <w:gridCol w:w="1220"/>
      </w:tblGrid>
      <w:tr w:rsidR="00261272" w:rsidRPr="00261272" w14:paraId="3DCB9867" w14:textId="77777777" w:rsidTr="00296309">
        <w:trPr>
          <w:trHeight w:val="527"/>
        </w:trPr>
        <w:tc>
          <w:tcPr>
            <w:tcW w:w="3003" w:type="dxa"/>
            <w:tcBorders>
              <w:top w:val="nil"/>
              <w:left w:val="nil"/>
              <w:bottom w:val="nil"/>
              <w:right w:val="nil"/>
            </w:tcBorders>
            <w:shd w:val="clear" w:color="000000" w:fill="1E1545"/>
            <w:vAlign w:val="center"/>
            <w:hideMark/>
          </w:tcPr>
          <w:p w14:paraId="2F862D50"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Assets/liabilities</w:t>
            </w:r>
          </w:p>
        </w:tc>
        <w:tc>
          <w:tcPr>
            <w:tcW w:w="1219" w:type="dxa"/>
            <w:tcBorders>
              <w:top w:val="nil"/>
              <w:left w:val="nil"/>
              <w:bottom w:val="nil"/>
              <w:right w:val="nil"/>
            </w:tcBorders>
            <w:shd w:val="clear" w:color="000000" w:fill="1E1545"/>
            <w:vAlign w:val="center"/>
            <w:hideMark/>
          </w:tcPr>
          <w:p w14:paraId="49851B72"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2018-19 ($m)</w:t>
            </w:r>
          </w:p>
        </w:tc>
        <w:tc>
          <w:tcPr>
            <w:tcW w:w="1219" w:type="dxa"/>
            <w:tcBorders>
              <w:top w:val="nil"/>
              <w:left w:val="nil"/>
              <w:bottom w:val="nil"/>
              <w:right w:val="nil"/>
            </w:tcBorders>
            <w:shd w:val="clear" w:color="000000" w:fill="1E1545"/>
            <w:vAlign w:val="center"/>
            <w:hideMark/>
          </w:tcPr>
          <w:p w14:paraId="127AC5E6"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2019-20 ($m)</w:t>
            </w:r>
          </w:p>
        </w:tc>
        <w:tc>
          <w:tcPr>
            <w:tcW w:w="1219" w:type="dxa"/>
            <w:tcBorders>
              <w:top w:val="nil"/>
              <w:left w:val="nil"/>
              <w:bottom w:val="nil"/>
              <w:right w:val="nil"/>
            </w:tcBorders>
            <w:shd w:val="clear" w:color="000000" w:fill="1E1545"/>
            <w:vAlign w:val="center"/>
            <w:hideMark/>
          </w:tcPr>
          <w:p w14:paraId="0B06C819"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2020-21 ($m)</w:t>
            </w:r>
          </w:p>
        </w:tc>
        <w:tc>
          <w:tcPr>
            <w:tcW w:w="1219" w:type="dxa"/>
            <w:tcBorders>
              <w:top w:val="nil"/>
              <w:left w:val="nil"/>
              <w:bottom w:val="nil"/>
              <w:right w:val="nil"/>
            </w:tcBorders>
            <w:shd w:val="clear" w:color="000000" w:fill="1E1545"/>
            <w:vAlign w:val="center"/>
            <w:hideMark/>
          </w:tcPr>
          <w:p w14:paraId="1E371BC2"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2021-22 ($m)</w:t>
            </w:r>
          </w:p>
        </w:tc>
        <w:tc>
          <w:tcPr>
            <w:tcW w:w="1220" w:type="dxa"/>
            <w:tcBorders>
              <w:top w:val="nil"/>
              <w:left w:val="nil"/>
              <w:bottom w:val="nil"/>
              <w:right w:val="nil"/>
            </w:tcBorders>
            <w:shd w:val="clear" w:color="000000" w:fill="1E1545"/>
            <w:vAlign w:val="center"/>
            <w:hideMark/>
          </w:tcPr>
          <w:p w14:paraId="4330AF8D" w14:textId="77777777" w:rsidR="00261272" w:rsidRPr="00261272" w:rsidRDefault="00261272" w:rsidP="00261272">
            <w:pPr>
              <w:spacing w:before="0" w:after="0" w:line="240" w:lineRule="auto"/>
              <w:rPr>
                <w:rFonts w:cs="Arial"/>
                <w:b/>
                <w:color w:val="F1F2F2"/>
                <w:sz w:val="21"/>
                <w:szCs w:val="21"/>
                <w:lang w:eastAsia="en-AU"/>
              </w:rPr>
            </w:pPr>
            <w:r w:rsidRPr="00261272">
              <w:rPr>
                <w:rFonts w:cs="Arial"/>
                <w:b/>
                <w:color w:val="F1F2F2"/>
                <w:sz w:val="21"/>
                <w:szCs w:val="21"/>
                <w:lang w:eastAsia="en-AU"/>
              </w:rPr>
              <w:t>2022-23 ($m)</w:t>
            </w:r>
          </w:p>
        </w:tc>
      </w:tr>
      <w:tr w:rsidR="00261272" w:rsidRPr="00261272" w14:paraId="4AECFC1B"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46A27BA3"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Financial assets</w:t>
            </w:r>
          </w:p>
        </w:tc>
        <w:tc>
          <w:tcPr>
            <w:tcW w:w="1219" w:type="dxa"/>
            <w:tcBorders>
              <w:top w:val="nil"/>
              <w:left w:val="nil"/>
              <w:bottom w:val="single" w:sz="8" w:space="0" w:color="auto"/>
              <w:right w:val="nil"/>
            </w:tcBorders>
            <w:shd w:val="clear" w:color="000000" w:fill="FFFFFF"/>
            <w:noWrap/>
            <w:vAlign w:val="center"/>
            <w:hideMark/>
          </w:tcPr>
          <w:p w14:paraId="626DFC59"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$9,248 </w:t>
            </w:r>
          </w:p>
        </w:tc>
        <w:tc>
          <w:tcPr>
            <w:tcW w:w="1219" w:type="dxa"/>
            <w:tcBorders>
              <w:top w:val="nil"/>
              <w:left w:val="nil"/>
              <w:bottom w:val="single" w:sz="8" w:space="0" w:color="auto"/>
              <w:right w:val="nil"/>
            </w:tcBorders>
            <w:shd w:val="clear" w:color="000000" w:fill="FFFFFF"/>
            <w:noWrap/>
            <w:vAlign w:val="center"/>
            <w:hideMark/>
          </w:tcPr>
          <w:p w14:paraId="3076BDE5"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$8,931 </w:t>
            </w:r>
          </w:p>
        </w:tc>
        <w:tc>
          <w:tcPr>
            <w:tcW w:w="1219" w:type="dxa"/>
            <w:tcBorders>
              <w:top w:val="nil"/>
              <w:left w:val="nil"/>
              <w:bottom w:val="single" w:sz="8" w:space="0" w:color="auto"/>
              <w:right w:val="nil"/>
            </w:tcBorders>
            <w:shd w:val="clear" w:color="000000" w:fill="FFFFFF"/>
            <w:noWrap/>
            <w:vAlign w:val="center"/>
            <w:hideMark/>
          </w:tcPr>
          <w:p w14:paraId="565FD2AE"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$8,274</w:t>
            </w:r>
          </w:p>
        </w:tc>
        <w:tc>
          <w:tcPr>
            <w:tcW w:w="1219" w:type="dxa"/>
            <w:tcBorders>
              <w:top w:val="nil"/>
              <w:left w:val="nil"/>
              <w:bottom w:val="single" w:sz="8" w:space="0" w:color="auto"/>
              <w:right w:val="nil"/>
            </w:tcBorders>
            <w:shd w:val="clear" w:color="000000" w:fill="FFFFFF"/>
            <w:noWrap/>
            <w:vAlign w:val="center"/>
            <w:hideMark/>
          </w:tcPr>
          <w:p w14:paraId="35224AE8"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$7,012</w:t>
            </w:r>
          </w:p>
        </w:tc>
        <w:tc>
          <w:tcPr>
            <w:tcW w:w="1220" w:type="dxa"/>
            <w:tcBorders>
              <w:top w:val="nil"/>
              <w:left w:val="nil"/>
              <w:bottom w:val="single" w:sz="8" w:space="0" w:color="auto"/>
              <w:right w:val="nil"/>
            </w:tcBorders>
            <w:shd w:val="clear" w:color="000000" w:fill="FFFFFF"/>
            <w:noWrap/>
            <w:vAlign w:val="center"/>
            <w:hideMark/>
          </w:tcPr>
          <w:p w14:paraId="7FA07D1F"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$6,660</w:t>
            </w:r>
          </w:p>
        </w:tc>
      </w:tr>
      <w:tr w:rsidR="00261272" w:rsidRPr="00261272" w14:paraId="0A1E0758"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00907CBE"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Fixed assets</w:t>
            </w:r>
          </w:p>
        </w:tc>
        <w:tc>
          <w:tcPr>
            <w:tcW w:w="1219" w:type="dxa"/>
            <w:tcBorders>
              <w:top w:val="nil"/>
              <w:left w:val="nil"/>
              <w:bottom w:val="single" w:sz="8" w:space="0" w:color="auto"/>
              <w:right w:val="nil"/>
            </w:tcBorders>
            <w:shd w:val="clear" w:color="000000" w:fill="FFFFFF"/>
            <w:noWrap/>
            <w:vAlign w:val="center"/>
            <w:hideMark/>
          </w:tcPr>
          <w:p w14:paraId="420E2BD6"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$27,997 </w:t>
            </w:r>
          </w:p>
        </w:tc>
        <w:tc>
          <w:tcPr>
            <w:tcW w:w="1219" w:type="dxa"/>
            <w:tcBorders>
              <w:top w:val="nil"/>
              <w:left w:val="nil"/>
              <w:bottom w:val="single" w:sz="8" w:space="0" w:color="auto"/>
              <w:right w:val="nil"/>
            </w:tcBorders>
            <w:shd w:val="clear" w:color="000000" w:fill="FFFFFF"/>
            <w:noWrap/>
            <w:vAlign w:val="center"/>
            <w:hideMark/>
          </w:tcPr>
          <w:p w14:paraId="34B48E08"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$27,675 </w:t>
            </w:r>
          </w:p>
        </w:tc>
        <w:tc>
          <w:tcPr>
            <w:tcW w:w="1219" w:type="dxa"/>
            <w:tcBorders>
              <w:top w:val="nil"/>
              <w:left w:val="nil"/>
              <w:bottom w:val="single" w:sz="8" w:space="0" w:color="auto"/>
              <w:right w:val="nil"/>
            </w:tcBorders>
            <w:shd w:val="clear" w:color="000000" w:fill="FFFFFF"/>
            <w:noWrap/>
            <w:vAlign w:val="center"/>
            <w:hideMark/>
          </w:tcPr>
          <w:p w14:paraId="0DB98D52"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$28,241</w:t>
            </w:r>
          </w:p>
        </w:tc>
        <w:tc>
          <w:tcPr>
            <w:tcW w:w="1219" w:type="dxa"/>
            <w:tcBorders>
              <w:top w:val="nil"/>
              <w:left w:val="nil"/>
              <w:bottom w:val="single" w:sz="8" w:space="0" w:color="auto"/>
              <w:right w:val="nil"/>
            </w:tcBorders>
            <w:shd w:val="clear" w:color="000000" w:fill="FFFFFF"/>
            <w:noWrap/>
            <w:vAlign w:val="center"/>
            <w:hideMark/>
          </w:tcPr>
          <w:p w14:paraId="226F300C"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$29,995</w:t>
            </w:r>
          </w:p>
        </w:tc>
        <w:tc>
          <w:tcPr>
            <w:tcW w:w="1220" w:type="dxa"/>
            <w:tcBorders>
              <w:top w:val="nil"/>
              <w:left w:val="nil"/>
              <w:bottom w:val="single" w:sz="8" w:space="0" w:color="auto"/>
              <w:right w:val="nil"/>
            </w:tcBorders>
            <w:shd w:val="clear" w:color="000000" w:fill="FFFFFF"/>
            <w:noWrap/>
            <w:vAlign w:val="center"/>
            <w:hideMark/>
          </w:tcPr>
          <w:p w14:paraId="1E930B1D"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$30,958</w:t>
            </w:r>
          </w:p>
        </w:tc>
      </w:tr>
      <w:tr w:rsidR="00261272" w:rsidRPr="00261272" w14:paraId="124CE86C"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3D0C6A19"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Right of use assets</w:t>
            </w:r>
          </w:p>
        </w:tc>
        <w:tc>
          <w:tcPr>
            <w:tcW w:w="1219" w:type="dxa"/>
            <w:tcBorders>
              <w:top w:val="nil"/>
              <w:left w:val="nil"/>
              <w:bottom w:val="single" w:sz="8" w:space="0" w:color="auto"/>
              <w:right w:val="nil"/>
            </w:tcBorders>
            <w:shd w:val="clear" w:color="000000" w:fill="FFFFFF"/>
            <w:noWrap/>
            <w:vAlign w:val="center"/>
            <w:hideMark/>
          </w:tcPr>
          <w:p w14:paraId="204F2497" w14:textId="4941ADAB"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            </w:t>
            </w:r>
            <w:r w:rsidR="00296309">
              <w:rPr>
                <w:rFonts w:cs="Arial"/>
                <w:bCs w:val="0"/>
                <w:color w:val="1E1545"/>
                <w:sz w:val="21"/>
                <w:szCs w:val="21"/>
                <w:lang w:eastAsia="en-AU"/>
              </w:rPr>
              <w:t>-</w:t>
            </w:r>
          </w:p>
        </w:tc>
        <w:tc>
          <w:tcPr>
            <w:tcW w:w="1219" w:type="dxa"/>
            <w:tcBorders>
              <w:top w:val="nil"/>
              <w:left w:val="nil"/>
              <w:bottom w:val="single" w:sz="8" w:space="0" w:color="auto"/>
              <w:right w:val="nil"/>
            </w:tcBorders>
            <w:shd w:val="clear" w:color="000000" w:fill="FFFFFF"/>
            <w:noWrap/>
            <w:vAlign w:val="center"/>
            <w:hideMark/>
          </w:tcPr>
          <w:p w14:paraId="173B70BA"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$2,933 </w:t>
            </w:r>
          </w:p>
        </w:tc>
        <w:tc>
          <w:tcPr>
            <w:tcW w:w="1219" w:type="dxa"/>
            <w:tcBorders>
              <w:top w:val="nil"/>
              <w:left w:val="nil"/>
              <w:bottom w:val="single" w:sz="8" w:space="0" w:color="auto"/>
              <w:right w:val="nil"/>
            </w:tcBorders>
            <w:shd w:val="clear" w:color="000000" w:fill="FFFFFF"/>
            <w:noWrap/>
            <w:vAlign w:val="center"/>
            <w:hideMark/>
          </w:tcPr>
          <w:p w14:paraId="5E604811"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$2,694</w:t>
            </w:r>
          </w:p>
        </w:tc>
        <w:tc>
          <w:tcPr>
            <w:tcW w:w="1219" w:type="dxa"/>
            <w:tcBorders>
              <w:top w:val="nil"/>
              <w:left w:val="nil"/>
              <w:bottom w:val="single" w:sz="8" w:space="0" w:color="auto"/>
              <w:right w:val="nil"/>
            </w:tcBorders>
            <w:shd w:val="clear" w:color="000000" w:fill="FFFFFF"/>
            <w:noWrap/>
            <w:vAlign w:val="center"/>
            <w:hideMark/>
          </w:tcPr>
          <w:p w14:paraId="2EB98C5E"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$2,757</w:t>
            </w:r>
          </w:p>
        </w:tc>
        <w:tc>
          <w:tcPr>
            <w:tcW w:w="1220" w:type="dxa"/>
            <w:tcBorders>
              <w:top w:val="nil"/>
              <w:left w:val="nil"/>
              <w:bottom w:val="single" w:sz="8" w:space="0" w:color="auto"/>
              <w:right w:val="nil"/>
            </w:tcBorders>
            <w:shd w:val="clear" w:color="000000" w:fill="FFFFFF"/>
            <w:noWrap/>
            <w:vAlign w:val="center"/>
            <w:hideMark/>
          </w:tcPr>
          <w:p w14:paraId="1F4AC3F9"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$3,100</w:t>
            </w:r>
          </w:p>
        </w:tc>
      </w:tr>
      <w:tr w:rsidR="00261272" w:rsidRPr="00261272" w14:paraId="17537A2C"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2B7D3D38"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Other assets</w:t>
            </w:r>
          </w:p>
        </w:tc>
        <w:tc>
          <w:tcPr>
            <w:tcW w:w="1219" w:type="dxa"/>
            <w:tcBorders>
              <w:top w:val="nil"/>
              <w:left w:val="nil"/>
              <w:bottom w:val="single" w:sz="8" w:space="0" w:color="auto"/>
              <w:right w:val="nil"/>
            </w:tcBorders>
            <w:shd w:val="clear" w:color="000000" w:fill="FFFFFF"/>
            <w:noWrap/>
            <w:vAlign w:val="center"/>
            <w:hideMark/>
          </w:tcPr>
          <w:p w14:paraId="7EA259D8"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$15,323 </w:t>
            </w:r>
          </w:p>
        </w:tc>
        <w:tc>
          <w:tcPr>
            <w:tcW w:w="1219" w:type="dxa"/>
            <w:tcBorders>
              <w:top w:val="nil"/>
              <w:left w:val="nil"/>
              <w:bottom w:val="single" w:sz="8" w:space="0" w:color="auto"/>
              <w:right w:val="nil"/>
            </w:tcBorders>
            <w:shd w:val="clear" w:color="000000" w:fill="FFFFFF"/>
            <w:noWrap/>
            <w:vAlign w:val="center"/>
            <w:hideMark/>
          </w:tcPr>
          <w:p w14:paraId="355D9EC4"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$16,862 </w:t>
            </w:r>
          </w:p>
        </w:tc>
        <w:tc>
          <w:tcPr>
            <w:tcW w:w="1219" w:type="dxa"/>
            <w:tcBorders>
              <w:top w:val="nil"/>
              <w:left w:val="nil"/>
              <w:bottom w:val="single" w:sz="8" w:space="0" w:color="auto"/>
              <w:right w:val="nil"/>
            </w:tcBorders>
            <w:shd w:val="clear" w:color="000000" w:fill="FFFFFF"/>
            <w:noWrap/>
            <w:vAlign w:val="center"/>
            <w:hideMark/>
          </w:tcPr>
          <w:p w14:paraId="63A0A33C"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$18,114</w:t>
            </w:r>
          </w:p>
        </w:tc>
        <w:tc>
          <w:tcPr>
            <w:tcW w:w="1219" w:type="dxa"/>
            <w:tcBorders>
              <w:top w:val="nil"/>
              <w:left w:val="nil"/>
              <w:bottom w:val="single" w:sz="8" w:space="0" w:color="auto"/>
              <w:right w:val="nil"/>
            </w:tcBorders>
            <w:shd w:val="clear" w:color="000000" w:fill="FFFFFF"/>
            <w:noWrap/>
            <w:vAlign w:val="center"/>
            <w:hideMark/>
          </w:tcPr>
          <w:p w14:paraId="24A3336D"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$16,867</w:t>
            </w:r>
          </w:p>
        </w:tc>
        <w:tc>
          <w:tcPr>
            <w:tcW w:w="1220" w:type="dxa"/>
            <w:tcBorders>
              <w:top w:val="nil"/>
              <w:left w:val="nil"/>
              <w:bottom w:val="single" w:sz="8" w:space="0" w:color="auto"/>
              <w:right w:val="nil"/>
            </w:tcBorders>
            <w:shd w:val="clear" w:color="000000" w:fill="FFFFFF"/>
            <w:noWrap/>
            <w:vAlign w:val="center"/>
            <w:hideMark/>
          </w:tcPr>
          <w:p w14:paraId="23F8B564"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$16,730</w:t>
            </w:r>
          </w:p>
        </w:tc>
      </w:tr>
      <w:tr w:rsidR="00261272" w:rsidRPr="00261272" w14:paraId="1C811E6F" w14:textId="77777777" w:rsidTr="00296309">
        <w:trPr>
          <w:trHeight w:val="307"/>
        </w:trPr>
        <w:tc>
          <w:tcPr>
            <w:tcW w:w="3003" w:type="dxa"/>
            <w:tcBorders>
              <w:top w:val="nil"/>
              <w:left w:val="nil"/>
              <w:bottom w:val="single" w:sz="8" w:space="0" w:color="auto"/>
              <w:right w:val="nil"/>
            </w:tcBorders>
            <w:shd w:val="clear" w:color="000000" w:fill="D8DADA"/>
            <w:vAlign w:val="center"/>
            <w:hideMark/>
          </w:tcPr>
          <w:p w14:paraId="7882B057"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Total assets</w:t>
            </w:r>
          </w:p>
        </w:tc>
        <w:tc>
          <w:tcPr>
            <w:tcW w:w="1219" w:type="dxa"/>
            <w:tcBorders>
              <w:top w:val="nil"/>
              <w:left w:val="nil"/>
              <w:bottom w:val="single" w:sz="8" w:space="0" w:color="auto"/>
              <w:right w:val="nil"/>
            </w:tcBorders>
            <w:shd w:val="clear" w:color="000000" w:fill="D8DADA"/>
            <w:noWrap/>
            <w:vAlign w:val="center"/>
            <w:hideMark/>
          </w:tcPr>
          <w:p w14:paraId="48B3E8F3"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$52,568 </w:t>
            </w:r>
          </w:p>
        </w:tc>
        <w:tc>
          <w:tcPr>
            <w:tcW w:w="1219" w:type="dxa"/>
            <w:tcBorders>
              <w:top w:val="nil"/>
              <w:left w:val="nil"/>
              <w:bottom w:val="single" w:sz="8" w:space="0" w:color="auto"/>
              <w:right w:val="nil"/>
            </w:tcBorders>
            <w:shd w:val="clear" w:color="000000" w:fill="D8DADA"/>
            <w:noWrap/>
            <w:vAlign w:val="center"/>
            <w:hideMark/>
          </w:tcPr>
          <w:p w14:paraId="38FC891F"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$56,401 </w:t>
            </w:r>
          </w:p>
        </w:tc>
        <w:tc>
          <w:tcPr>
            <w:tcW w:w="1219" w:type="dxa"/>
            <w:tcBorders>
              <w:top w:val="nil"/>
              <w:left w:val="nil"/>
              <w:bottom w:val="single" w:sz="8" w:space="0" w:color="auto"/>
              <w:right w:val="nil"/>
            </w:tcBorders>
            <w:shd w:val="clear" w:color="000000" w:fill="D8DADA"/>
            <w:noWrap/>
            <w:vAlign w:val="center"/>
            <w:hideMark/>
          </w:tcPr>
          <w:p w14:paraId="4B2531BE"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$57,323</w:t>
            </w:r>
          </w:p>
        </w:tc>
        <w:tc>
          <w:tcPr>
            <w:tcW w:w="1219" w:type="dxa"/>
            <w:tcBorders>
              <w:top w:val="nil"/>
              <w:left w:val="nil"/>
              <w:bottom w:val="single" w:sz="8" w:space="0" w:color="auto"/>
              <w:right w:val="nil"/>
            </w:tcBorders>
            <w:shd w:val="clear" w:color="000000" w:fill="D8DADA"/>
            <w:noWrap/>
            <w:vAlign w:val="center"/>
            <w:hideMark/>
          </w:tcPr>
          <w:p w14:paraId="6CF22ACD"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$56,631</w:t>
            </w:r>
          </w:p>
        </w:tc>
        <w:tc>
          <w:tcPr>
            <w:tcW w:w="1220" w:type="dxa"/>
            <w:tcBorders>
              <w:top w:val="nil"/>
              <w:left w:val="nil"/>
              <w:bottom w:val="single" w:sz="8" w:space="0" w:color="auto"/>
              <w:right w:val="nil"/>
            </w:tcBorders>
            <w:shd w:val="clear" w:color="000000" w:fill="D8DADA"/>
            <w:noWrap/>
            <w:vAlign w:val="center"/>
            <w:hideMark/>
          </w:tcPr>
          <w:p w14:paraId="2160E014"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$57,448</w:t>
            </w:r>
          </w:p>
        </w:tc>
      </w:tr>
      <w:tr w:rsidR="00261272" w:rsidRPr="00261272" w14:paraId="0FDCB900" w14:textId="77777777" w:rsidTr="00296309">
        <w:trPr>
          <w:trHeight w:val="541"/>
        </w:trPr>
        <w:tc>
          <w:tcPr>
            <w:tcW w:w="3003" w:type="dxa"/>
            <w:tcBorders>
              <w:top w:val="nil"/>
              <w:left w:val="nil"/>
              <w:bottom w:val="single" w:sz="8" w:space="0" w:color="auto"/>
              <w:right w:val="nil"/>
            </w:tcBorders>
            <w:shd w:val="clear" w:color="000000" w:fill="FFFFFF"/>
            <w:vAlign w:val="center"/>
            <w:hideMark/>
          </w:tcPr>
          <w:p w14:paraId="20794086"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Refundable accommodation deposits</w:t>
            </w:r>
          </w:p>
        </w:tc>
        <w:tc>
          <w:tcPr>
            <w:tcW w:w="1219" w:type="dxa"/>
            <w:tcBorders>
              <w:top w:val="nil"/>
              <w:left w:val="nil"/>
              <w:bottom w:val="single" w:sz="8" w:space="0" w:color="auto"/>
              <w:right w:val="nil"/>
            </w:tcBorders>
            <w:shd w:val="clear" w:color="000000" w:fill="FFFFFF"/>
            <w:noWrap/>
            <w:vAlign w:val="center"/>
            <w:hideMark/>
          </w:tcPr>
          <w:p w14:paraId="66AD10FF"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$30,183 </w:t>
            </w:r>
          </w:p>
        </w:tc>
        <w:tc>
          <w:tcPr>
            <w:tcW w:w="1219" w:type="dxa"/>
            <w:tcBorders>
              <w:top w:val="nil"/>
              <w:left w:val="nil"/>
              <w:bottom w:val="single" w:sz="8" w:space="0" w:color="auto"/>
              <w:right w:val="nil"/>
            </w:tcBorders>
            <w:shd w:val="clear" w:color="000000" w:fill="FFFFFF"/>
            <w:noWrap/>
            <w:vAlign w:val="center"/>
            <w:hideMark/>
          </w:tcPr>
          <w:p w14:paraId="1871E8F2"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$32,205 </w:t>
            </w:r>
          </w:p>
        </w:tc>
        <w:tc>
          <w:tcPr>
            <w:tcW w:w="1219" w:type="dxa"/>
            <w:tcBorders>
              <w:top w:val="nil"/>
              <w:left w:val="nil"/>
              <w:bottom w:val="single" w:sz="8" w:space="0" w:color="auto"/>
              <w:right w:val="nil"/>
            </w:tcBorders>
            <w:shd w:val="clear" w:color="000000" w:fill="FFFFFF"/>
            <w:noWrap/>
            <w:vAlign w:val="center"/>
            <w:hideMark/>
          </w:tcPr>
          <w:p w14:paraId="65024B60"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$34,231</w:t>
            </w:r>
          </w:p>
        </w:tc>
        <w:tc>
          <w:tcPr>
            <w:tcW w:w="1219" w:type="dxa"/>
            <w:tcBorders>
              <w:top w:val="nil"/>
              <w:left w:val="nil"/>
              <w:bottom w:val="single" w:sz="8" w:space="0" w:color="auto"/>
              <w:right w:val="nil"/>
            </w:tcBorders>
            <w:shd w:val="clear" w:color="000000" w:fill="FFFFFF"/>
            <w:noWrap/>
            <w:vAlign w:val="center"/>
            <w:hideMark/>
          </w:tcPr>
          <w:p w14:paraId="24129C4F"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$35,507</w:t>
            </w:r>
          </w:p>
        </w:tc>
        <w:tc>
          <w:tcPr>
            <w:tcW w:w="1220" w:type="dxa"/>
            <w:tcBorders>
              <w:top w:val="nil"/>
              <w:left w:val="nil"/>
              <w:bottom w:val="single" w:sz="8" w:space="0" w:color="auto"/>
              <w:right w:val="nil"/>
            </w:tcBorders>
            <w:shd w:val="clear" w:color="000000" w:fill="FFFFFF"/>
            <w:noWrap/>
            <w:vAlign w:val="center"/>
            <w:hideMark/>
          </w:tcPr>
          <w:p w14:paraId="790354E4" w14:textId="29D238CA"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$38,148</w:t>
            </w:r>
          </w:p>
        </w:tc>
      </w:tr>
      <w:tr w:rsidR="00261272" w:rsidRPr="00261272" w14:paraId="0C35B7B6"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21B1E661"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Lease liabilities</w:t>
            </w:r>
          </w:p>
        </w:tc>
        <w:tc>
          <w:tcPr>
            <w:tcW w:w="1219" w:type="dxa"/>
            <w:tcBorders>
              <w:top w:val="nil"/>
              <w:left w:val="nil"/>
              <w:bottom w:val="single" w:sz="8" w:space="0" w:color="auto"/>
              <w:right w:val="nil"/>
            </w:tcBorders>
            <w:shd w:val="clear" w:color="000000" w:fill="FFFFFF"/>
            <w:noWrap/>
            <w:vAlign w:val="center"/>
            <w:hideMark/>
          </w:tcPr>
          <w:p w14:paraId="40DFE59D" w14:textId="3700F1C4"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            </w:t>
            </w:r>
            <w:r w:rsidR="00296309">
              <w:rPr>
                <w:rFonts w:cs="Arial"/>
                <w:bCs w:val="0"/>
                <w:color w:val="1E1545"/>
                <w:sz w:val="21"/>
                <w:szCs w:val="21"/>
                <w:lang w:eastAsia="en-AU"/>
              </w:rPr>
              <w:t>-</w:t>
            </w:r>
          </w:p>
        </w:tc>
        <w:tc>
          <w:tcPr>
            <w:tcW w:w="1219" w:type="dxa"/>
            <w:tcBorders>
              <w:top w:val="nil"/>
              <w:left w:val="nil"/>
              <w:bottom w:val="single" w:sz="8" w:space="0" w:color="auto"/>
              <w:right w:val="nil"/>
            </w:tcBorders>
            <w:shd w:val="clear" w:color="000000" w:fill="FFFFFF"/>
            <w:noWrap/>
            <w:vAlign w:val="center"/>
            <w:hideMark/>
          </w:tcPr>
          <w:p w14:paraId="687891B9"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$2,976 </w:t>
            </w:r>
          </w:p>
        </w:tc>
        <w:tc>
          <w:tcPr>
            <w:tcW w:w="1219" w:type="dxa"/>
            <w:tcBorders>
              <w:top w:val="nil"/>
              <w:left w:val="nil"/>
              <w:bottom w:val="single" w:sz="8" w:space="0" w:color="auto"/>
              <w:right w:val="nil"/>
            </w:tcBorders>
            <w:shd w:val="clear" w:color="000000" w:fill="FFFFFF"/>
            <w:noWrap/>
            <w:vAlign w:val="center"/>
            <w:hideMark/>
          </w:tcPr>
          <w:p w14:paraId="747B504D"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$2,790</w:t>
            </w:r>
          </w:p>
        </w:tc>
        <w:tc>
          <w:tcPr>
            <w:tcW w:w="1219" w:type="dxa"/>
            <w:tcBorders>
              <w:top w:val="nil"/>
              <w:left w:val="nil"/>
              <w:bottom w:val="single" w:sz="8" w:space="0" w:color="auto"/>
              <w:right w:val="nil"/>
            </w:tcBorders>
            <w:shd w:val="clear" w:color="000000" w:fill="FFFFFF"/>
            <w:noWrap/>
            <w:vAlign w:val="center"/>
            <w:hideMark/>
          </w:tcPr>
          <w:p w14:paraId="39C4A1F8"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$2,768</w:t>
            </w:r>
          </w:p>
        </w:tc>
        <w:tc>
          <w:tcPr>
            <w:tcW w:w="1220" w:type="dxa"/>
            <w:tcBorders>
              <w:top w:val="nil"/>
              <w:left w:val="nil"/>
              <w:bottom w:val="single" w:sz="8" w:space="0" w:color="auto"/>
              <w:right w:val="nil"/>
            </w:tcBorders>
            <w:shd w:val="clear" w:color="000000" w:fill="FFFFFF"/>
            <w:noWrap/>
            <w:vAlign w:val="center"/>
            <w:hideMark/>
          </w:tcPr>
          <w:p w14:paraId="478674A5"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$3,235</w:t>
            </w:r>
          </w:p>
        </w:tc>
      </w:tr>
      <w:tr w:rsidR="00261272" w:rsidRPr="00261272" w14:paraId="0EFF4BE4" w14:textId="77777777" w:rsidTr="00296309">
        <w:trPr>
          <w:trHeight w:val="307"/>
        </w:trPr>
        <w:tc>
          <w:tcPr>
            <w:tcW w:w="3003" w:type="dxa"/>
            <w:tcBorders>
              <w:top w:val="nil"/>
              <w:left w:val="nil"/>
              <w:bottom w:val="single" w:sz="8" w:space="0" w:color="auto"/>
              <w:right w:val="nil"/>
            </w:tcBorders>
            <w:shd w:val="clear" w:color="000000" w:fill="FFFFFF"/>
            <w:vAlign w:val="center"/>
            <w:hideMark/>
          </w:tcPr>
          <w:p w14:paraId="03D56576"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Other liabilities</w:t>
            </w:r>
          </w:p>
        </w:tc>
        <w:tc>
          <w:tcPr>
            <w:tcW w:w="1219" w:type="dxa"/>
            <w:tcBorders>
              <w:top w:val="nil"/>
              <w:left w:val="nil"/>
              <w:bottom w:val="single" w:sz="8" w:space="0" w:color="auto"/>
              <w:right w:val="nil"/>
            </w:tcBorders>
            <w:shd w:val="clear" w:color="000000" w:fill="FFFFFF"/>
            <w:noWrap/>
            <w:vAlign w:val="center"/>
            <w:hideMark/>
          </w:tcPr>
          <w:p w14:paraId="2CA21704"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$9,703 </w:t>
            </w:r>
          </w:p>
        </w:tc>
        <w:tc>
          <w:tcPr>
            <w:tcW w:w="1219" w:type="dxa"/>
            <w:tcBorders>
              <w:top w:val="nil"/>
              <w:left w:val="nil"/>
              <w:bottom w:val="single" w:sz="8" w:space="0" w:color="auto"/>
              <w:right w:val="nil"/>
            </w:tcBorders>
            <w:shd w:val="clear" w:color="000000" w:fill="FFFFFF"/>
            <w:noWrap/>
            <w:vAlign w:val="center"/>
            <w:hideMark/>
          </w:tcPr>
          <w:p w14:paraId="6159C24D"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 xml:space="preserve">$9,663 </w:t>
            </w:r>
          </w:p>
        </w:tc>
        <w:tc>
          <w:tcPr>
            <w:tcW w:w="1219" w:type="dxa"/>
            <w:tcBorders>
              <w:top w:val="nil"/>
              <w:left w:val="nil"/>
              <w:bottom w:val="single" w:sz="8" w:space="0" w:color="auto"/>
              <w:right w:val="nil"/>
            </w:tcBorders>
            <w:shd w:val="clear" w:color="000000" w:fill="FFFFFF"/>
            <w:noWrap/>
            <w:vAlign w:val="center"/>
            <w:hideMark/>
          </w:tcPr>
          <w:p w14:paraId="4B7FF99C"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$9,941</w:t>
            </w:r>
          </w:p>
        </w:tc>
        <w:tc>
          <w:tcPr>
            <w:tcW w:w="1219" w:type="dxa"/>
            <w:tcBorders>
              <w:top w:val="nil"/>
              <w:left w:val="nil"/>
              <w:bottom w:val="single" w:sz="8" w:space="0" w:color="auto"/>
              <w:right w:val="nil"/>
            </w:tcBorders>
            <w:shd w:val="clear" w:color="000000" w:fill="FFFFFF"/>
            <w:noWrap/>
            <w:vAlign w:val="center"/>
            <w:hideMark/>
          </w:tcPr>
          <w:p w14:paraId="0797B642"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$10,063</w:t>
            </w:r>
          </w:p>
        </w:tc>
        <w:tc>
          <w:tcPr>
            <w:tcW w:w="1220" w:type="dxa"/>
            <w:tcBorders>
              <w:top w:val="nil"/>
              <w:left w:val="nil"/>
              <w:bottom w:val="single" w:sz="8" w:space="0" w:color="auto"/>
              <w:right w:val="nil"/>
            </w:tcBorders>
            <w:shd w:val="clear" w:color="000000" w:fill="FFFFFF"/>
            <w:noWrap/>
            <w:vAlign w:val="center"/>
            <w:hideMark/>
          </w:tcPr>
          <w:p w14:paraId="6237BA9F" w14:textId="77777777" w:rsidR="00261272" w:rsidRPr="00261272" w:rsidRDefault="00261272" w:rsidP="00261272">
            <w:pPr>
              <w:spacing w:before="0" w:after="0" w:line="240" w:lineRule="auto"/>
              <w:rPr>
                <w:rFonts w:cs="Arial"/>
                <w:bCs w:val="0"/>
                <w:color w:val="1E1545"/>
                <w:sz w:val="21"/>
                <w:szCs w:val="21"/>
                <w:lang w:eastAsia="en-AU"/>
              </w:rPr>
            </w:pPr>
            <w:r w:rsidRPr="00261272">
              <w:rPr>
                <w:rFonts w:cs="Arial"/>
                <w:bCs w:val="0"/>
                <w:color w:val="1E1545"/>
                <w:sz w:val="21"/>
                <w:szCs w:val="21"/>
                <w:lang w:eastAsia="en-AU"/>
              </w:rPr>
              <w:t>$10,194</w:t>
            </w:r>
          </w:p>
        </w:tc>
      </w:tr>
      <w:tr w:rsidR="00261272" w:rsidRPr="00261272" w14:paraId="6D2C9542" w14:textId="77777777" w:rsidTr="00296309">
        <w:trPr>
          <w:trHeight w:val="307"/>
        </w:trPr>
        <w:tc>
          <w:tcPr>
            <w:tcW w:w="3003" w:type="dxa"/>
            <w:tcBorders>
              <w:top w:val="nil"/>
              <w:left w:val="nil"/>
              <w:bottom w:val="single" w:sz="8" w:space="0" w:color="auto"/>
              <w:right w:val="nil"/>
            </w:tcBorders>
            <w:shd w:val="clear" w:color="000000" w:fill="D8DADA"/>
            <w:vAlign w:val="center"/>
            <w:hideMark/>
          </w:tcPr>
          <w:p w14:paraId="730F3368"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Total liabilities</w:t>
            </w:r>
          </w:p>
        </w:tc>
        <w:tc>
          <w:tcPr>
            <w:tcW w:w="1219" w:type="dxa"/>
            <w:tcBorders>
              <w:top w:val="nil"/>
              <w:left w:val="nil"/>
              <w:bottom w:val="single" w:sz="8" w:space="0" w:color="auto"/>
              <w:right w:val="nil"/>
            </w:tcBorders>
            <w:shd w:val="clear" w:color="000000" w:fill="D8DADA"/>
            <w:noWrap/>
            <w:vAlign w:val="center"/>
            <w:hideMark/>
          </w:tcPr>
          <w:p w14:paraId="293404DC"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$39,886 </w:t>
            </w:r>
          </w:p>
        </w:tc>
        <w:tc>
          <w:tcPr>
            <w:tcW w:w="1219" w:type="dxa"/>
            <w:tcBorders>
              <w:top w:val="nil"/>
              <w:left w:val="nil"/>
              <w:bottom w:val="single" w:sz="8" w:space="0" w:color="auto"/>
              <w:right w:val="nil"/>
            </w:tcBorders>
            <w:shd w:val="clear" w:color="000000" w:fill="D8DADA"/>
            <w:noWrap/>
            <w:vAlign w:val="center"/>
            <w:hideMark/>
          </w:tcPr>
          <w:p w14:paraId="4BAB2AF0"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$44,844 </w:t>
            </w:r>
          </w:p>
        </w:tc>
        <w:tc>
          <w:tcPr>
            <w:tcW w:w="1219" w:type="dxa"/>
            <w:tcBorders>
              <w:top w:val="nil"/>
              <w:left w:val="nil"/>
              <w:bottom w:val="single" w:sz="8" w:space="0" w:color="auto"/>
              <w:right w:val="nil"/>
            </w:tcBorders>
            <w:shd w:val="clear" w:color="000000" w:fill="D8DADA"/>
            <w:noWrap/>
            <w:vAlign w:val="center"/>
            <w:hideMark/>
          </w:tcPr>
          <w:p w14:paraId="009B09D1"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$46,962</w:t>
            </w:r>
          </w:p>
        </w:tc>
        <w:tc>
          <w:tcPr>
            <w:tcW w:w="1219" w:type="dxa"/>
            <w:tcBorders>
              <w:top w:val="nil"/>
              <w:left w:val="nil"/>
              <w:bottom w:val="single" w:sz="8" w:space="0" w:color="auto"/>
              <w:right w:val="nil"/>
            </w:tcBorders>
            <w:shd w:val="clear" w:color="000000" w:fill="D8DADA"/>
            <w:noWrap/>
            <w:vAlign w:val="center"/>
            <w:hideMark/>
          </w:tcPr>
          <w:p w14:paraId="56D4351F"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$48,338</w:t>
            </w:r>
          </w:p>
        </w:tc>
        <w:tc>
          <w:tcPr>
            <w:tcW w:w="1220" w:type="dxa"/>
            <w:tcBorders>
              <w:top w:val="nil"/>
              <w:left w:val="nil"/>
              <w:bottom w:val="single" w:sz="8" w:space="0" w:color="auto"/>
              <w:right w:val="nil"/>
            </w:tcBorders>
            <w:shd w:val="clear" w:color="000000" w:fill="D8DADA"/>
            <w:noWrap/>
            <w:vAlign w:val="center"/>
            <w:hideMark/>
          </w:tcPr>
          <w:p w14:paraId="2606C7D2"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$51,578</w:t>
            </w:r>
          </w:p>
        </w:tc>
      </w:tr>
      <w:tr w:rsidR="00261272" w:rsidRPr="00261272" w14:paraId="6B8E9617" w14:textId="77777777" w:rsidTr="00296309">
        <w:trPr>
          <w:trHeight w:val="307"/>
        </w:trPr>
        <w:tc>
          <w:tcPr>
            <w:tcW w:w="3003" w:type="dxa"/>
            <w:tcBorders>
              <w:top w:val="nil"/>
              <w:left w:val="nil"/>
              <w:bottom w:val="single" w:sz="12" w:space="0" w:color="auto"/>
              <w:right w:val="nil"/>
            </w:tcBorders>
            <w:shd w:val="clear" w:color="000000" w:fill="D8DADA"/>
            <w:vAlign w:val="center"/>
            <w:hideMark/>
          </w:tcPr>
          <w:p w14:paraId="6266FA3D"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Net worth/equity</w:t>
            </w:r>
          </w:p>
        </w:tc>
        <w:tc>
          <w:tcPr>
            <w:tcW w:w="1219" w:type="dxa"/>
            <w:tcBorders>
              <w:top w:val="nil"/>
              <w:left w:val="nil"/>
              <w:bottom w:val="single" w:sz="12" w:space="0" w:color="auto"/>
              <w:right w:val="nil"/>
            </w:tcBorders>
            <w:shd w:val="clear" w:color="000000" w:fill="D8DADA"/>
            <w:noWrap/>
            <w:vAlign w:val="center"/>
            <w:hideMark/>
          </w:tcPr>
          <w:p w14:paraId="239ADA57"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$12,682 </w:t>
            </w:r>
          </w:p>
        </w:tc>
        <w:tc>
          <w:tcPr>
            <w:tcW w:w="1219" w:type="dxa"/>
            <w:tcBorders>
              <w:top w:val="nil"/>
              <w:left w:val="nil"/>
              <w:bottom w:val="single" w:sz="12" w:space="0" w:color="auto"/>
              <w:right w:val="nil"/>
            </w:tcBorders>
            <w:shd w:val="clear" w:color="000000" w:fill="D8DADA"/>
            <w:noWrap/>
            <w:vAlign w:val="center"/>
            <w:hideMark/>
          </w:tcPr>
          <w:p w14:paraId="06B70FD4"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 xml:space="preserve">$11,557 </w:t>
            </w:r>
          </w:p>
        </w:tc>
        <w:tc>
          <w:tcPr>
            <w:tcW w:w="1219" w:type="dxa"/>
            <w:tcBorders>
              <w:top w:val="nil"/>
              <w:left w:val="nil"/>
              <w:bottom w:val="single" w:sz="12" w:space="0" w:color="auto"/>
              <w:right w:val="nil"/>
            </w:tcBorders>
            <w:shd w:val="clear" w:color="000000" w:fill="D8DADA"/>
            <w:noWrap/>
            <w:vAlign w:val="center"/>
            <w:hideMark/>
          </w:tcPr>
          <w:p w14:paraId="37E6F1C9"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$10,361</w:t>
            </w:r>
          </w:p>
        </w:tc>
        <w:tc>
          <w:tcPr>
            <w:tcW w:w="1219" w:type="dxa"/>
            <w:tcBorders>
              <w:top w:val="nil"/>
              <w:left w:val="nil"/>
              <w:bottom w:val="single" w:sz="12" w:space="0" w:color="auto"/>
              <w:right w:val="nil"/>
            </w:tcBorders>
            <w:shd w:val="clear" w:color="000000" w:fill="D8DADA"/>
            <w:noWrap/>
            <w:vAlign w:val="center"/>
            <w:hideMark/>
          </w:tcPr>
          <w:p w14:paraId="31D68795"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$8,292</w:t>
            </w:r>
          </w:p>
        </w:tc>
        <w:tc>
          <w:tcPr>
            <w:tcW w:w="1220" w:type="dxa"/>
            <w:tcBorders>
              <w:top w:val="nil"/>
              <w:left w:val="nil"/>
              <w:bottom w:val="single" w:sz="12" w:space="0" w:color="auto"/>
              <w:right w:val="nil"/>
            </w:tcBorders>
            <w:shd w:val="clear" w:color="000000" w:fill="D8DADA"/>
            <w:noWrap/>
            <w:vAlign w:val="center"/>
            <w:hideMark/>
          </w:tcPr>
          <w:p w14:paraId="0E1C379F" w14:textId="77777777" w:rsidR="00261272" w:rsidRPr="00261272" w:rsidRDefault="00261272" w:rsidP="00261272">
            <w:pPr>
              <w:spacing w:before="0" w:after="0" w:line="240" w:lineRule="auto"/>
              <w:rPr>
                <w:rFonts w:cs="Arial"/>
                <w:b/>
                <w:color w:val="1E1545"/>
                <w:sz w:val="21"/>
                <w:szCs w:val="21"/>
                <w:lang w:eastAsia="en-AU"/>
              </w:rPr>
            </w:pPr>
            <w:r w:rsidRPr="00261272">
              <w:rPr>
                <w:rFonts w:cs="Arial"/>
                <w:b/>
                <w:color w:val="1E1545"/>
                <w:sz w:val="21"/>
                <w:szCs w:val="21"/>
                <w:lang w:eastAsia="en-AU"/>
              </w:rPr>
              <w:t>$5,870</w:t>
            </w:r>
          </w:p>
        </w:tc>
      </w:tr>
    </w:tbl>
    <w:p w14:paraId="410302EC" w14:textId="77777777" w:rsidR="0054105B" w:rsidRDefault="0054105B" w:rsidP="008844E9">
      <w:pPr>
        <w:pStyle w:val="FootnoteText"/>
      </w:pPr>
    </w:p>
    <w:p w14:paraId="4FF156CB" w14:textId="41DC71B5" w:rsidR="000B088D" w:rsidRPr="00191D26" w:rsidRDefault="000B088D" w:rsidP="008844E9">
      <w:pPr>
        <w:pStyle w:val="FootnoteText"/>
      </w:pPr>
      <w:r w:rsidRPr="00191D26">
        <w:t xml:space="preserve">Note: </w:t>
      </w:r>
    </w:p>
    <w:p w14:paraId="789B7F29" w14:textId="77777777" w:rsidR="000B088D" w:rsidRPr="00B27E30" w:rsidRDefault="000B088D" w:rsidP="0054105B">
      <w:pPr>
        <w:pStyle w:val="FootnoteText"/>
        <w:numPr>
          <w:ilvl w:val="0"/>
          <w:numId w:val="42"/>
        </w:numPr>
      </w:pPr>
      <w:r w:rsidRPr="00B27E30">
        <w:t>AASB 16 Leases, a new accounting standard now requires providers to recognise most rental contracts on their balance sheets as right of use assets and corresponding lease liabilities.</w:t>
      </w:r>
    </w:p>
    <w:p w14:paraId="006A4ACC" w14:textId="77777777" w:rsidR="000B088D" w:rsidRPr="00B27E30" w:rsidRDefault="000B088D" w:rsidP="0054105B">
      <w:pPr>
        <w:pStyle w:val="FootnoteText"/>
        <w:numPr>
          <w:ilvl w:val="0"/>
          <w:numId w:val="42"/>
        </w:numPr>
      </w:pPr>
      <w:r w:rsidRPr="00B27E30">
        <w:t>Short-term leases and low value leases are exempt and can still be shown as rent expense (similar to previous years).</w:t>
      </w:r>
    </w:p>
    <w:p w14:paraId="08C4342D" w14:textId="35E4C7C2" w:rsidR="000B088D" w:rsidRPr="00B27E30" w:rsidRDefault="000B088D" w:rsidP="0054105B">
      <w:pPr>
        <w:pStyle w:val="FootnoteText"/>
        <w:numPr>
          <w:ilvl w:val="0"/>
          <w:numId w:val="42"/>
        </w:numPr>
      </w:pPr>
      <w:r w:rsidRPr="00B27E30">
        <w:t>The $</w:t>
      </w:r>
      <w:r w:rsidR="00FF06B6">
        <w:t>38.1</w:t>
      </w:r>
      <w:r w:rsidRPr="00B27E30">
        <w:t xml:space="preserve"> billion in RADs held at the sector level in 202</w:t>
      </w:r>
      <w:r w:rsidR="00B647B5">
        <w:t>2</w:t>
      </w:r>
      <w:r w:rsidRPr="00B27E30">
        <w:t>-2</w:t>
      </w:r>
      <w:r w:rsidR="00B647B5">
        <w:t>3</w:t>
      </w:r>
      <w:r w:rsidRPr="00B27E30">
        <w:t xml:space="preserve"> does not include </w:t>
      </w:r>
      <w:r w:rsidR="00BF05B4">
        <w:t>$57.3</w:t>
      </w:r>
      <w:r w:rsidRPr="00B27E30">
        <w:t xml:space="preserve"> million of RADs held by Multi-Purpose Services.</w:t>
      </w:r>
    </w:p>
    <w:p w14:paraId="78321852" w14:textId="77777777" w:rsidR="006F4F12" w:rsidRDefault="006F4F12" w:rsidP="006F4F12">
      <w:pPr>
        <w:pStyle w:val="ListParagraph"/>
        <w:numPr>
          <w:ilvl w:val="0"/>
          <w:numId w:val="42"/>
        </w:numPr>
        <w:spacing w:before="0" w:after="0" w:line="240" w:lineRule="auto"/>
      </w:pPr>
      <w:r>
        <w:br w:type="page"/>
      </w:r>
    </w:p>
    <w:p w14:paraId="49236780" w14:textId="77777777" w:rsidR="0031621C" w:rsidRPr="0031621C" w:rsidRDefault="007E7EBF" w:rsidP="00E970D7">
      <w:pPr>
        <w:rPr>
          <w:b/>
          <w:sz w:val="28"/>
          <w:szCs w:val="28"/>
        </w:rPr>
      </w:pPr>
      <w:r w:rsidRPr="0031621C">
        <w:rPr>
          <w:b/>
          <w:sz w:val="28"/>
          <w:szCs w:val="28"/>
        </w:rPr>
        <w:t>Ownership type</w:t>
      </w:r>
    </w:p>
    <w:p w14:paraId="033106EE" w14:textId="298CE38A" w:rsidR="00E970D7" w:rsidRPr="000A20DD" w:rsidRDefault="00E970D7" w:rsidP="00E970D7">
      <w:r w:rsidRPr="000A20DD">
        <w:fldChar w:fldCharType="begin"/>
      </w:r>
      <w:r w:rsidRPr="000A20DD">
        <w:instrText xml:space="preserve"> REF _Ref162515716 \h </w:instrText>
      </w:r>
      <w:r w:rsidR="000A20DD">
        <w:instrText xml:space="preserve"> \* MERGEFORMAT </w:instrText>
      </w:r>
      <w:r w:rsidRPr="000A20DD">
        <w:fldChar w:fldCharType="separate"/>
      </w:r>
      <w:r w:rsidR="001377BE">
        <w:t xml:space="preserve">Table </w:t>
      </w:r>
      <w:r w:rsidR="001377BE">
        <w:rPr>
          <w:noProof/>
        </w:rPr>
        <w:t>4.2</w:t>
      </w:r>
      <w:r w:rsidRPr="000A20DD">
        <w:fldChar w:fldCharType="end"/>
      </w:r>
      <w:r w:rsidRPr="000A20DD">
        <w:t xml:space="preserve"> shows liabilities and net worth/equity as a proportion of total assets by ownership type. At 30 June 202</w:t>
      </w:r>
      <w:r w:rsidR="0028273C" w:rsidRPr="000A20DD">
        <w:t>3</w:t>
      </w:r>
      <w:r w:rsidRPr="000A20DD">
        <w:t xml:space="preserve">, RADs accounted for approximately </w:t>
      </w:r>
      <w:r w:rsidR="0028273C" w:rsidRPr="000A20DD">
        <w:t>68%</w:t>
      </w:r>
      <w:r w:rsidRPr="000A20DD">
        <w:t xml:space="preserve"> of for-profit</w:t>
      </w:r>
      <w:r w:rsidRPr="000A20DD" w:rsidDel="00034951">
        <w:t xml:space="preserve"> </w:t>
      </w:r>
      <w:r w:rsidR="000A20DD" w:rsidRPr="000A20DD">
        <w:t xml:space="preserve">total assets </w:t>
      </w:r>
      <w:r w:rsidRPr="000A20DD">
        <w:t xml:space="preserve">and </w:t>
      </w:r>
      <w:r w:rsidR="00113CF9" w:rsidRPr="000A20DD">
        <w:t>69</w:t>
      </w:r>
      <w:r w:rsidR="00A025D3" w:rsidRPr="000A20DD">
        <w:t>% of</w:t>
      </w:r>
      <w:r w:rsidRPr="000A20DD">
        <w:t xml:space="preserve"> not-for-profit total assets.</w:t>
      </w:r>
    </w:p>
    <w:p w14:paraId="0AE379A8" w14:textId="39283CDB" w:rsidR="00E970D7" w:rsidRDefault="00E970D7" w:rsidP="00E970D7">
      <w:r w:rsidRPr="00423C8A">
        <w:t xml:space="preserve">For-profit providers had </w:t>
      </w:r>
      <w:r w:rsidR="004A4BC3" w:rsidRPr="00423C8A">
        <w:t xml:space="preserve">more </w:t>
      </w:r>
      <w:r w:rsidR="008801E9" w:rsidRPr="00423C8A">
        <w:t>debts</w:t>
      </w:r>
      <w:r w:rsidR="00135F8B" w:rsidRPr="00423C8A">
        <w:t xml:space="preserve"> than assets</w:t>
      </w:r>
      <w:r w:rsidRPr="00423C8A">
        <w:t xml:space="preserve">, with their total liabilities being </w:t>
      </w:r>
      <w:r w:rsidR="00135F8B" w:rsidRPr="00423C8A">
        <w:t>101%</w:t>
      </w:r>
      <w:r w:rsidRPr="00423C8A">
        <w:t xml:space="preserve"> of total assets, compared with not-for-profit providers with </w:t>
      </w:r>
      <w:r w:rsidR="00423C8A" w:rsidRPr="00423C8A">
        <w:t>84%</w:t>
      </w:r>
      <w:r w:rsidRPr="00423C8A">
        <w:t>.</w:t>
      </w:r>
    </w:p>
    <w:p w14:paraId="31CD0666" w14:textId="2B7715EE" w:rsidR="00053DC9" w:rsidRDefault="0043111F" w:rsidP="00E970D7">
      <w:r>
        <w:t xml:space="preserve">A combination of reduced assets and increased liabilities resulted in negative net worth/equity for for-profit providers. </w:t>
      </w:r>
      <w:r w:rsidR="00971057">
        <w:t xml:space="preserve">For-profit providers </w:t>
      </w:r>
      <w:r w:rsidR="006112CC">
        <w:t xml:space="preserve">reported increased </w:t>
      </w:r>
      <w:r w:rsidR="006C0317">
        <w:t xml:space="preserve">current liabilities including </w:t>
      </w:r>
      <w:r w:rsidR="00BA092F">
        <w:t xml:space="preserve">increase in </w:t>
      </w:r>
      <w:r w:rsidR="006C0317">
        <w:t>bank borrowings</w:t>
      </w:r>
      <w:r w:rsidR="004A22FF">
        <w:t xml:space="preserve">, related party loans, lease liabilities </w:t>
      </w:r>
      <w:r w:rsidR="00BA092F">
        <w:t>and employee provisions</w:t>
      </w:r>
      <w:r w:rsidR="00C303C3">
        <w:t xml:space="preserve"> while </w:t>
      </w:r>
      <w:r w:rsidR="00004D94">
        <w:t xml:space="preserve">their </w:t>
      </w:r>
      <w:r w:rsidR="00205D52">
        <w:t xml:space="preserve">total assets reported decreased by </w:t>
      </w:r>
      <w:r w:rsidR="00004D94">
        <w:t>$4</w:t>
      </w:r>
      <w:r w:rsidR="003E40EC">
        <w:t>60</w:t>
      </w:r>
      <w:r w:rsidR="00004D94">
        <w:t xml:space="preserve"> million (see </w:t>
      </w:r>
      <w:r w:rsidR="00004D94">
        <w:fldChar w:fldCharType="begin"/>
      </w:r>
      <w:r w:rsidR="00004D94">
        <w:instrText xml:space="preserve"> REF _Ref162515768 \h </w:instrText>
      </w:r>
      <w:r w:rsidR="00004D94">
        <w:fldChar w:fldCharType="separate"/>
      </w:r>
      <w:r w:rsidR="001377BE">
        <w:t xml:space="preserve">Table </w:t>
      </w:r>
      <w:r w:rsidR="001377BE">
        <w:rPr>
          <w:noProof/>
        </w:rPr>
        <w:t>4</w:t>
      </w:r>
      <w:r w:rsidR="001377BE">
        <w:t>.</w:t>
      </w:r>
      <w:r w:rsidR="001377BE">
        <w:rPr>
          <w:noProof/>
        </w:rPr>
        <w:t>3</w:t>
      </w:r>
      <w:r w:rsidR="00004D94">
        <w:fldChar w:fldCharType="end"/>
      </w:r>
      <w:r w:rsidR="00004D94">
        <w:t>). Additionally,</w:t>
      </w:r>
      <w:r w:rsidR="008C1018">
        <w:t xml:space="preserve"> for-profit providers reported </w:t>
      </w:r>
      <w:r w:rsidR="00282DD8">
        <w:t>total expense</w:t>
      </w:r>
      <w:r w:rsidR="00A31456">
        <w:t>s</w:t>
      </w:r>
      <w:r w:rsidR="00282DD8">
        <w:t xml:space="preserve"> of </w:t>
      </w:r>
      <w:r w:rsidR="008C7A91">
        <w:t xml:space="preserve">$565 million in bed license amortisation </w:t>
      </w:r>
      <w:r w:rsidR="00C85CFC">
        <w:t>which</w:t>
      </w:r>
      <w:r w:rsidR="008E2B75">
        <w:t xml:space="preserve"> decreased their non-current assets reported. </w:t>
      </w:r>
    </w:p>
    <w:p w14:paraId="30BF862F" w14:textId="1882AB69" w:rsidR="0043111F" w:rsidRDefault="00E75856" w:rsidP="00E970D7">
      <w:r>
        <w:t>For-prof</w:t>
      </w:r>
      <w:r w:rsidR="00271268">
        <w:t xml:space="preserve">it providers have </w:t>
      </w:r>
      <w:r w:rsidR="00903322">
        <w:t xml:space="preserve">an </w:t>
      </w:r>
      <w:r w:rsidR="00271268">
        <w:t>additional $790 million as intangible assets in bed licenses</w:t>
      </w:r>
      <w:r w:rsidR="005E7D49">
        <w:t xml:space="preserve">. </w:t>
      </w:r>
      <w:r w:rsidR="00937347">
        <w:t>T</w:t>
      </w:r>
      <w:r w:rsidR="00271268">
        <w:t>his</w:t>
      </w:r>
      <w:r w:rsidR="00937347">
        <w:t xml:space="preserve"> amount</w:t>
      </w:r>
      <w:r w:rsidR="00271268">
        <w:t xml:space="preserve"> will be amortised </w:t>
      </w:r>
      <w:r w:rsidR="00BA0B68">
        <w:t xml:space="preserve">in the next financial year which will likely decrease </w:t>
      </w:r>
      <w:r w:rsidR="00BB2D51">
        <w:t>the</w:t>
      </w:r>
      <w:r w:rsidR="00937347">
        <w:t xml:space="preserve">ir </w:t>
      </w:r>
      <w:r w:rsidR="00BB2D51">
        <w:t>total assets</w:t>
      </w:r>
      <w:r w:rsidR="00C215D5">
        <w:t xml:space="preserve"> and </w:t>
      </w:r>
      <w:r w:rsidR="00BB2D51">
        <w:t xml:space="preserve">result in </w:t>
      </w:r>
      <w:r w:rsidR="00903322">
        <w:t xml:space="preserve">a </w:t>
      </w:r>
      <w:r w:rsidR="00BB2D51">
        <w:t xml:space="preserve">further </w:t>
      </w:r>
      <w:r w:rsidR="00C215D5">
        <w:t xml:space="preserve">decrease in net worth/equity. </w:t>
      </w:r>
    </w:p>
    <w:p w14:paraId="7747BBB1" w14:textId="582FA9C5" w:rsidR="00A55F40" w:rsidRDefault="00262691" w:rsidP="00706D0A">
      <w:pPr>
        <w:pStyle w:val="Caption"/>
      </w:pPr>
      <w:bookmarkStart w:id="160" w:name="_Ref162515716"/>
      <w:bookmarkStart w:id="161" w:name="_Toc173428895"/>
      <w:r>
        <w:t xml:space="preserve">Table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2</w:t>
      </w:r>
      <w:r w:rsidR="00AE19AA">
        <w:rPr>
          <w:noProof/>
        </w:rPr>
        <w:fldChar w:fldCharType="end"/>
      </w:r>
      <w:bookmarkEnd w:id="160"/>
      <w:r>
        <w:t xml:space="preserve">: </w:t>
      </w:r>
      <w:r w:rsidRPr="0083566C">
        <w:t>Balance sheet, by ownership type, at 30 June 202</w:t>
      </w:r>
      <w:r w:rsidR="0061120D">
        <w:t>3</w:t>
      </w:r>
      <w:r w:rsidRPr="0083566C">
        <w:t xml:space="preserve"> ($m)</w:t>
      </w:r>
      <w:bookmarkEnd w:id="161"/>
    </w:p>
    <w:tbl>
      <w:tblPr>
        <w:tblW w:w="9214" w:type="dxa"/>
        <w:tblLayout w:type="fixed"/>
        <w:tblLook w:val="04A0" w:firstRow="1" w:lastRow="0" w:firstColumn="1" w:lastColumn="0" w:noHBand="0" w:noVBand="1"/>
      </w:tblPr>
      <w:tblGrid>
        <w:gridCol w:w="3082"/>
        <w:gridCol w:w="1533"/>
        <w:gridCol w:w="1533"/>
        <w:gridCol w:w="1533"/>
        <w:gridCol w:w="1533"/>
      </w:tblGrid>
      <w:tr w:rsidR="0061120D" w:rsidRPr="0061120D" w14:paraId="29ACDA01" w14:textId="77777777" w:rsidTr="00296309">
        <w:trPr>
          <w:trHeight w:val="810"/>
        </w:trPr>
        <w:tc>
          <w:tcPr>
            <w:tcW w:w="3082" w:type="dxa"/>
            <w:tcBorders>
              <w:top w:val="nil"/>
              <w:left w:val="nil"/>
              <w:bottom w:val="nil"/>
              <w:right w:val="nil"/>
            </w:tcBorders>
            <w:shd w:val="clear" w:color="000000" w:fill="1E1545"/>
            <w:vAlign w:val="bottom"/>
            <w:hideMark/>
          </w:tcPr>
          <w:p w14:paraId="6C05B0CB" w14:textId="77777777" w:rsidR="0061120D" w:rsidRPr="0061120D" w:rsidRDefault="0061120D" w:rsidP="0061120D">
            <w:pPr>
              <w:spacing w:before="0" w:after="0" w:line="240" w:lineRule="auto"/>
              <w:rPr>
                <w:rFonts w:cs="Arial"/>
                <w:bCs w:val="0"/>
                <w:color w:val="F1F2F2"/>
                <w:sz w:val="21"/>
                <w:szCs w:val="21"/>
                <w:lang w:eastAsia="en-AU"/>
              </w:rPr>
            </w:pPr>
            <w:r w:rsidRPr="0061120D">
              <w:rPr>
                <w:rFonts w:cs="Arial"/>
                <w:bCs w:val="0"/>
                <w:color w:val="F1F2F2"/>
                <w:sz w:val="21"/>
                <w:szCs w:val="21"/>
                <w:lang w:eastAsia="en-AU"/>
              </w:rPr>
              <w:t> </w:t>
            </w:r>
          </w:p>
        </w:tc>
        <w:tc>
          <w:tcPr>
            <w:tcW w:w="1533" w:type="dxa"/>
            <w:tcBorders>
              <w:top w:val="nil"/>
              <w:left w:val="nil"/>
              <w:bottom w:val="nil"/>
              <w:right w:val="nil"/>
            </w:tcBorders>
            <w:shd w:val="clear" w:color="000000" w:fill="1E1545"/>
            <w:vAlign w:val="center"/>
            <w:hideMark/>
          </w:tcPr>
          <w:p w14:paraId="315C5E46" w14:textId="77777777" w:rsidR="0061120D" w:rsidRPr="0061120D" w:rsidRDefault="0061120D" w:rsidP="004F571D">
            <w:pPr>
              <w:spacing w:before="0" w:after="0" w:line="240" w:lineRule="auto"/>
              <w:jc w:val="right"/>
              <w:rPr>
                <w:rFonts w:cs="Arial"/>
                <w:b/>
                <w:color w:val="F1F2F2"/>
                <w:sz w:val="21"/>
                <w:szCs w:val="21"/>
                <w:lang w:eastAsia="en-AU"/>
              </w:rPr>
            </w:pPr>
            <w:r w:rsidRPr="0061120D">
              <w:rPr>
                <w:rFonts w:cs="Arial"/>
                <w:b/>
                <w:color w:val="F1F2F2"/>
                <w:sz w:val="21"/>
                <w:szCs w:val="21"/>
                <w:lang w:eastAsia="en-AU"/>
              </w:rPr>
              <w:t>For-profit ($m)</w:t>
            </w:r>
          </w:p>
        </w:tc>
        <w:tc>
          <w:tcPr>
            <w:tcW w:w="1533" w:type="dxa"/>
            <w:tcBorders>
              <w:top w:val="nil"/>
              <w:left w:val="nil"/>
              <w:bottom w:val="nil"/>
              <w:right w:val="nil"/>
            </w:tcBorders>
            <w:shd w:val="clear" w:color="000000" w:fill="1E1545"/>
            <w:vAlign w:val="center"/>
            <w:hideMark/>
          </w:tcPr>
          <w:p w14:paraId="3F996717" w14:textId="77777777" w:rsidR="0061120D" w:rsidRPr="0061120D" w:rsidRDefault="0061120D" w:rsidP="004F571D">
            <w:pPr>
              <w:spacing w:before="0" w:after="0" w:line="240" w:lineRule="auto"/>
              <w:jc w:val="right"/>
              <w:rPr>
                <w:rFonts w:cs="Arial"/>
                <w:b/>
                <w:color w:val="F1F2F2"/>
                <w:sz w:val="21"/>
                <w:szCs w:val="21"/>
                <w:lang w:eastAsia="en-AU"/>
              </w:rPr>
            </w:pPr>
            <w:r w:rsidRPr="0061120D">
              <w:rPr>
                <w:rFonts w:cs="Arial"/>
                <w:b/>
                <w:color w:val="F1F2F2"/>
                <w:sz w:val="21"/>
                <w:szCs w:val="21"/>
                <w:lang w:eastAsia="en-AU"/>
              </w:rPr>
              <w:t>Not-for-profit ($m)</w:t>
            </w:r>
          </w:p>
        </w:tc>
        <w:tc>
          <w:tcPr>
            <w:tcW w:w="1533" w:type="dxa"/>
            <w:tcBorders>
              <w:top w:val="nil"/>
              <w:left w:val="nil"/>
              <w:bottom w:val="nil"/>
              <w:right w:val="nil"/>
            </w:tcBorders>
            <w:shd w:val="clear" w:color="000000" w:fill="1E1545"/>
            <w:vAlign w:val="center"/>
            <w:hideMark/>
          </w:tcPr>
          <w:p w14:paraId="7B14B804" w14:textId="77777777" w:rsidR="0061120D" w:rsidRPr="0061120D" w:rsidRDefault="0061120D" w:rsidP="004F571D">
            <w:pPr>
              <w:spacing w:before="0" w:after="0" w:line="240" w:lineRule="auto"/>
              <w:jc w:val="right"/>
              <w:rPr>
                <w:rFonts w:cs="Arial"/>
                <w:b/>
                <w:color w:val="F1F2F2"/>
                <w:sz w:val="21"/>
                <w:szCs w:val="21"/>
                <w:lang w:eastAsia="en-AU"/>
              </w:rPr>
            </w:pPr>
            <w:r w:rsidRPr="0061120D">
              <w:rPr>
                <w:rFonts w:cs="Arial"/>
                <w:b/>
                <w:color w:val="F1F2F2"/>
                <w:sz w:val="21"/>
                <w:szCs w:val="21"/>
                <w:lang w:eastAsia="en-AU"/>
              </w:rPr>
              <w:t>LST government ($m)</w:t>
            </w:r>
          </w:p>
        </w:tc>
        <w:tc>
          <w:tcPr>
            <w:tcW w:w="1533" w:type="dxa"/>
            <w:tcBorders>
              <w:top w:val="nil"/>
              <w:left w:val="nil"/>
              <w:bottom w:val="nil"/>
              <w:right w:val="nil"/>
            </w:tcBorders>
            <w:shd w:val="clear" w:color="000000" w:fill="1E1545"/>
            <w:vAlign w:val="center"/>
            <w:hideMark/>
          </w:tcPr>
          <w:p w14:paraId="64E46969" w14:textId="77777777" w:rsidR="0061120D" w:rsidRPr="0061120D" w:rsidRDefault="0061120D" w:rsidP="004F571D">
            <w:pPr>
              <w:spacing w:before="0" w:after="0" w:line="240" w:lineRule="auto"/>
              <w:jc w:val="right"/>
              <w:rPr>
                <w:rFonts w:cs="Arial"/>
                <w:b/>
                <w:color w:val="F1F2F2"/>
                <w:sz w:val="21"/>
                <w:szCs w:val="21"/>
                <w:lang w:eastAsia="en-AU"/>
              </w:rPr>
            </w:pPr>
            <w:r w:rsidRPr="0061120D">
              <w:rPr>
                <w:rFonts w:cs="Arial"/>
                <w:b/>
                <w:color w:val="F1F2F2"/>
                <w:sz w:val="21"/>
                <w:szCs w:val="21"/>
                <w:lang w:eastAsia="en-AU"/>
              </w:rPr>
              <w:t>Total sector ($m)</w:t>
            </w:r>
          </w:p>
        </w:tc>
      </w:tr>
      <w:tr w:rsidR="0061120D" w:rsidRPr="0061120D" w14:paraId="1618CACE" w14:textId="77777777" w:rsidTr="00296309">
        <w:trPr>
          <w:trHeight w:val="315"/>
        </w:trPr>
        <w:tc>
          <w:tcPr>
            <w:tcW w:w="3082" w:type="dxa"/>
            <w:tcBorders>
              <w:top w:val="nil"/>
              <w:left w:val="nil"/>
              <w:bottom w:val="single" w:sz="8" w:space="0" w:color="auto"/>
              <w:right w:val="nil"/>
            </w:tcBorders>
            <w:shd w:val="clear" w:color="000000" w:fill="D8DADA"/>
            <w:vAlign w:val="center"/>
            <w:hideMark/>
          </w:tcPr>
          <w:p w14:paraId="673431AD"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Total assets funded by:</w:t>
            </w:r>
          </w:p>
        </w:tc>
        <w:tc>
          <w:tcPr>
            <w:tcW w:w="1533" w:type="dxa"/>
            <w:tcBorders>
              <w:top w:val="nil"/>
              <w:left w:val="nil"/>
              <w:bottom w:val="single" w:sz="8" w:space="0" w:color="auto"/>
              <w:right w:val="nil"/>
            </w:tcBorders>
            <w:shd w:val="clear" w:color="000000" w:fill="D8DADA"/>
            <w:noWrap/>
            <w:vAlign w:val="center"/>
            <w:hideMark/>
          </w:tcPr>
          <w:p w14:paraId="5862A777"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$25,859</w:t>
            </w:r>
          </w:p>
        </w:tc>
        <w:tc>
          <w:tcPr>
            <w:tcW w:w="1533" w:type="dxa"/>
            <w:tcBorders>
              <w:top w:val="nil"/>
              <w:left w:val="nil"/>
              <w:bottom w:val="single" w:sz="8" w:space="0" w:color="auto"/>
              <w:right w:val="nil"/>
            </w:tcBorders>
            <w:shd w:val="clear" w:color="000000" w:fill="D8DADA"/>
            <w:noWrap/>
            <w:vAlign w:val="center"/>
            <w:hideMark/>
          </w:tcPr>
          <w:p w14:paraId="5BBF7677"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$28,891</w:t>
            </w:r>
          </w:p>
        </w:tc>
        <w:tc>
          <w:tcPr>
            <w:tcW w:w="1533" w:type="dxa"/>
            <w:tcBorders>
              <w:top w:val="nil"/>
              <w:left w:val="nil"/>
              <w:bottom w:val="single" w:sz="8" w:space="0" w:color="auto"/>
              <w:right w:val="nil"/>
            </w:tcBorders>
            <w:shd w:val="clear" w:color="000000" w:fill="D8DADA"/>
            <w:noWrap/>
            <w:vAlign w:val="center"/>
            <w:hideMark/>
          </w:tcPr>
          <w:p w14:paraId="5B30A532"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$2,698</w:t>
            </w:r>
          </w:p>
        </w:tc>
        <w:tc>
          <w:tcPr>
            <w:tcW w:w="1533" w:type="dxa"/>
            <w:tcBorders>
              <w:top w:val="nil"/>
              <w:left w:val="nil"/>
              <w:bottom w:val="single" w:sz="8" w:space="0" w:color="auto"/>
              <w:right w:val="nil"/>
            </w:tcBorders>
            <w:shd w:val="clear" w:color="000000" w:fill="D8DADA"/>
            <w:noWrap/>
            <w:vAlign w:val="center"/>
            <w:hideMark/>
          </w:tcPr>
          <w:p w14:paraId="743E5391"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$57,448</w:t>
            </w:r>
          </w:p>
        </w:tc>
      </w:tr>
      <w:tr w:rsidR="0061120D" w:rsidRPr="0061120D" w14:paraId="651BFAA0" w14:textId="77777777" w:rsidTr="00296309">
        <w:trPr>
          <w:trHeight w:val="555"/>
        </w:trPr>
        <w:tc>
          <w:tcPr>
            <w:tcW w:w="3082" w:type="dxa"/>
            <w:tcBorders>
              <w:top w:val="nil"/>
              <w:left w:val="nil"/>
              <w:bottom w:val="single" w:sz="8" w:space="0" w:color="auto"/>
              <w:right w:val="nil"/>
            </w:tcBorders>
            <w:shd w:val="clear" w:color="auto" w:fill="auto"/>
            <w:vAlign w:val="center"/>
            <w:hideMark/>
          </w:tcPr>
          <w:p w14:paraId="5028EE51" w14:textId="77777777" w:rsidR="0061120D" w:rsidRPr="0061120D" w:rsidRDefault="0061120D" w:rsidP="0061120D">
            <w:pPr>
              <w:spacing w:before="0" w:after="0" w:line="240" w:lineRule="auto"/>
              <w:rPr>
                <w:rFonts w:cs="Arial"/>
                <w:bCs w:val="0"/>
                <w:color w:val="1E1545"/>
                <w:sz w:val="21"/>
                <w:szCs w:val="21"/>
                <w:lang w:eastAsia="en-AU"/>
              </w:rPr>
            </w:pPr>
            <w:r w:rsidRPr="0061120D">
              <w:rPr>
                <w:rFonts w:cs="Arial"/>
                <w:bCs w:val="0"/>
                <w:color w:val="1E1545"/>
                <w:sz w:val="21"/>
                <w:szCs w:val="21"/>
                <w:lang w:eastAsia="en-AU"/>
              </w:rPr>
              <w:t>Refundable accommodation deposits</w:t>
            </w:r>
          </w:p>
        </w:tc>
        <w:tc>
          <w:tcPr>
            <w:tcW w:w="1533" w:type="dxa"/>
            <w:tcBorders>
              <w:top w:val="nil"/>
              <w:left w:val="nil"/>
              <w:bottom w:val="single" w:sz="8" w:space="0" w:color="auto"/>
              <w:right w:val="nil"/>
            </w:tcBorders>
            <w:shd w:val="clear" w:color="000000" w:fill="FFFFFF"/>
            <w:noWrap/>
            <w:vAlign w:val="center"/>
            <w:hideMark/>
          </w:tcPr>
          <w:p w14:paraId="4D4B7D14"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$17,468</w:t>
            </w:r>
          </w:p>
        </w:tc>
        <w:tc>
          <w:tcPr>
            <w:tcW w:w="1533" w:type="dxa"/>
            <w:tcBorders>
              <w:top w:val="nil"/>
              <w:left w:val="nil"/>
              <w:bottom w:val="single" w:sz="8" w:space="0" w:color="auto"/>
              <w:right w:val="nil"/>
            </w:tcBorders>
            <w:shd w:val="clear" w:color="000000" w:fill="FFFFFF"/>
            <w:noWrap/>
            <w:vAlign w:val="center"/>
            <w:hideMark/>
          </w:tcPr>
          <w:p w14:paraId="640A586E"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$19,975</w:t>
            </w:r>
          </w:p>
        </w:tc>
        <w:tc>
          <w:tcPr>
            <w:tcW w:w="1533" w:type="dxa"/>
            <w:tcBorders>
              <w:top w:val="nil"/>
              <w:left w:val="nil"/>
              <w:bottom w:val="single" w:sz="8" w:space="0" w:color="auto"/>
              <w:right w:val="nil"/>
            </w:tcBorders>
            <w:shd w:val="clear" w:color="000000" w:fill="FFFFFF"/>
            <w:noWrap/>
            <w:vAlign w:val="center"/>
            <w:hideMark/>
          </w:tcPr>
          <w:p w14:paraId="7BEF70F0"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$706</w:t>
            </w:r>
          </w:p>
        </w:tc>
        <w:tc>
          <w:tcPr>
            <w:tcW w:w="1533" w:type="dxa"/>
            <w:tcBorders>
              <w:top w:val="nil"/>
              <w:left w:val="nil"/>
              <w:bottom w:val="single" w:sz="8" w:space="0" w:color="auto"/>
              <w:right w:val="nil"/>
            </w:tcBorders>
            <w:shd w:val="clear" w:color="000000" w:fill="FFFFFF"/>
            <w:noWrap/>
            <w:vAlign w:val="center"/>
            <w:hideMark/>
          </w:tcPr>
          <w:p w14:paraId="2BCCA67E"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$38,148</w:t>
            </w:r>
          </w:p>
        </w:tc>
      </w:tr>
      <w:tr w:rsidR="0061120D" w:rsidRPr="0061120D" w14:paraId="4C7C120F" w14:textId="77777777" w:rsidTr="00296309">
        <w:trPr>
          <w:trHeight w:val="315"/>
        </w:trPr>
        <w:tc>
          <w:tcPr>
            <w:tcW w:w="3082" w:type="dxa"/>
            <w:tcBorders>
              <w:top w:val="nil"/>
              <w:left w:val="nil"/>
              <w:bottom w:val="single" w:sz="8" w:space="0" w:color="auto"/>
              <w:right w:val="nil"/>
            </w:tcBorders>
            <w:shd w:val="clear" w:color="auto" w:fill="auto"/>
            <w:vAlign w:val="center"/>
            <w:hideMark/>
          </w:tcPr>
          <w:p w14:paraId="7D6AB792" w14:textId="2E8C2F5C" w:rsidR="0061120D" w:rsidRPr="0061120D" w:rsidRDefault="0061120D" w:rsidP="0061120D">
            <w:pPr>
              <w:spacing w:before="0" w:after="0" w:line="240" w:lineRule="auto"/>
              <w:rPr>
                <w:rFonts w:cs="Arial"/>
                <w:bCs w:val="0"/>
                <w:color w:val="1E1545"/>
                <w:sz w:val="21"/>
                <w:szCs w:val="21"/>
                <w:lang w:eastAsia="en-AU"/>
              </w:rPr>
            </w:pPr>
            <w:r w:rsidRPr="0061120D">
              <w:rPr>
                <w:rFonts w:cs="Arial"/>
                <w:bCs w:val="0"/>
                <w:color w:val="1E1545"/>
                <w:sz w:val="21"/>
                <w:szCs w:val="21"/>
                <w:lang w:eastAsia="en-AU"/>
              </w:rPr>
              <w:t>Other liabilities</w:t>
            </w:r>
            <w:r w:rsidR="00E60D52">
              <w:rPr>
                <w:rFonts w:cs="Arial"/>
                <w:bCs w:val="0"/>
                <w:color w:val="1E1545"/>
                <w:sz w:val="21"/>
                <w:szCs w:val="21"/>
                <w:lang w:eastAsia="en-AU"/>
              </w:rPr>
              <w:t xml:space="preserve"> </w:t>
            </w:r>
            <w:r w:rsidR="00F513BF">
              <w:rPr>
                <w:rFonts w:cs="Arial"/>
                <w:bCs w:val="0"/>
                <w:color w:val="1E1545"/>
                <w:sz w:val="21"/>
                <w:szCs w:val="21"/>
                <w:lang w:eastAsia="en-AU"/>
              </w:rPr>
              <w:t>(</w:t>
            </w:r>
            <w:proofErr w:type="spellStart"/>
            <w:r w:rsidR="00F513BF">
              <w:rPr>
                <w:rFonts w:cs="Arial"/>
                <w:bCs w:val="0"/>
                <w:color w:val="1E1545"/>
                <w:sz w:val="21"/>
                <w:szCs w:val="21"/>
                <w:lang w:eastAsia="en-AU"/>
              </w:rPr>
              <w:t>i</w:t>
            </w:r>
            <w:proofErr w:type="spellEnd"/>
            <w:r w:rsidR="00F513BF">
              <w:rPr>
                <w:rFonts w:cs="Arial"/>
                <w:bCs w:val="0"/>
                <w:color w:val="1E1545"/>
                <w:sz w:val="21"/>
                <w:szCs w:val="21"/>
                <w:lang w:eastAsia="en-AU"/>
              </w:rPr>
              <w:t>)</w:t>
            </w:r>
          </w:p>
        </w:tc>
        <w:tc>
          <w:tcPr>
            <w:tcW w:w="1533" w:type="dxa"/>
            <w:tcBorders>
              <w:top w:val="nil"/>
              <w:left w:val="nil"/>
              <w:bottom w:val="single" w:sz="8" w:space="0" w:color="auto"/>
              <w:right w:val="nil"/>
            </w:tcBorders>
            <w:shd w:val="clear" w:color="000000" w:fill="FFFFFF"/>
            <w:noWrap/>
            <w:vAlign w:val="center"/>
            <w:hideMark/>
          </w:tcPr>
          <w:p w14:paraId="02114804"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$8,769</w:t>
            </w:r>
          </w:p>
        </w:tc>
        <w:tc>
          <w:tcPr>
            <w:tcW w:w="1533" w:type="dxa"/>
            <w:tcBorders>
              <w:top w:val="nil"/>
              <w:left w:val="nil"/>
              <w:bottom w:val="single" w:sz="8" w:space="0" w:color="auto"/>
              <w:right w:val="nil"/>
            </w:tcBorders>
            <w:shd w:val="clear" w:color="000000" w:fill="FFFFFF"/>
            <w:noWrap/>
            <w:vAlign w:val="center"/>
            <w:hideMark/>
          </w:tcPr>
          <w:p w14:paraId="6C046B30"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$4,216</w:t>
            </w:r>
          </w:p>
        </w:tc>
        <w:tc>
          <w:tcPr>
            <w:tcW w:w="1533" w:type="dxa"/>
            <w:tcBorders>
              <w:top w:val="nil"/>
              <w:left w:val="nil"/>
              <w:bottom w:val="single" w:sz="8" w:space="0" w:color="auto"/>
              <w:right w:val="nil"/>
            </w:tcBorders>
            <w:shd w:val="clear" w:color="000000" w:fill="FFFFFF"/>
            <w:noWrap/>
            <w:vAlign w:val="center"/>
            <w:hideMark/>
          </w:tcPr>
          <w:p w14:paraId="0090F0F4"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$445</w:t>
            </w:r>
          </w:p>
        </w:tc>
        <w:tc>
          <w:tcPr>
            <w:tcW w:w="1533" w:type="dxa"/>
            <w:tcBorders>
              <w:top w:val="nil"/>
              <w:left w:val="nil"/>
              <w:bottom w:val="single" w:sz="8" w:space="0" w:color="auto"/>
              <w:right w:val="nil"/>
            </w:tcBorders>
            <w:shd w:val="clear" w:color="000000" w:fill="FFFFFF"/>
            <w:noWrap/>
            <w:vAlign w:val="center"/>
            <w:hideMark/>
          </w:tcPr>
          <w:p w14:paraId="53786308"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$13,429</w:t>
            </w:r>
          </w:p>
        </w:tc>
      </w:tr>
      <w:tr w:rsidR="0061120D" w:rsidRPr="0061120D" w14:paraId="26CEF016" w14:textId="77777777" w:rsidTr="00296309">
        <w:trPr>
          <w:trHeight w:val="315"/>
        </w:trPr>
        <w:tc>
          <w:tcPr>
            <w:tcW w:w="3082" w:type="dxa"/>
            <w:tcBorders>
              <w:top w:val="nil"/>
              <w:left w:val="nil"/>
              <w:bottom w:val="single" w:sz="8" w:space="0" w:color="auto"/>
              <w:right w:val="nil"/>
            </w:tcBorders>
            <w:shd w:val="clear" w:color="auto" w:fill="auto"/>
            <w:vAlign w:val="center"/>
            <w:hideMark/>
          </w:tcPr>
          <w:p w14:paraId="4ECD9AD2"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Total liabilities</w:t>
            </w:r>
          </w:p>
        </w:tc>
        <w:tc>
          <w:tcPr>
            <w:tcW w:w="1533" w:type="dxa"/>
            <w:tcBorders>
              <w:top w:val="nil"/>
              <w:left w:val="nil"/>
              <w:bottom w:val="single" w:sz="8" w:space="0" w:color="auto"/>
              <w:right w:val="nil"/>
            </w:tcBorders>
            <w:shd w:val="clear" w:color="000000" w:fill="FFFFFF"/>
            <w:noWrap/>
            <w:vAlign w:val="center"/>
            <w:hideMark/>
          </w:tcPr>
          <w:p w14:paraId="40B94E2B"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$26,236</w:t>
            </w:r>
          </w:p>
        </w:tc>
        <w:tc>
          <w:tcPr>
            <w:tcW w:w="1533" w:type="dxa"/>
            <w:tcBorders>
              <w:top w:val="nil"/>
              <w:left w:val="nil"/>
              <w:bottom w:val="single" w:sz="8" w:space="0" w:color="auto"/>
              <w:right w:val="nil"/>
            </w:tcBorders>
            <w:shd w:val="clear" w:color="000000" w:fill="FFFFFF"/>
            <w:noWrap/>
            <w:vAlign w:val="center"/>
            <w:hideMark/>
          </w:tcPr>
          <w:p w14:paraId="1FF8A655"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$24,190</w:t>
            </w:r>
          </w:p>
        </w:tc>
        <w:tc>
          <w:tcPr>
            <w:tcW w:w="1533" w:type="dxa"/>
            <w:tcBorders>
              <w:top w:val="nil"/>
              <w:left w:val="nil"/>
              <w:bottom w:val="single" w:sz="8" w:space="0" w:color="auto"/>
              <w:right w:val="nil"/>
            </w:tcBorders>
            <w:shd w:val="clear" w:color="000000" w:fill="FFFFFF"/>
            <w:noWrap/>
            <w:vAlign w:val="center"/>
            <w:hideMark/>
          </w:tcPr>
          <w:p w14:paraId="2111D523"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$1,151</w:t>
            </w:r>
          </w:p>
        </w:tc>
        <w:tc>
          <w:tcPr>
            <w:tcW w:w="1533" w:type="dxa"/>
            <w:tcBorders>
              <w:top w:val="nil"/>
              <w:left w:val="nil"/>
              <w:bottom w:val="single" w:sz="8" w:space="0" w:color="auto"/>
              <w:right w:val="nil"/>
            </w:tcBorders>
            <w:shd w:val="clear" w:color="000000" w:fill="FFFFFF"/>
            <w:noWrap/>
            <w:vAlign w:val="center"/>
            <w:hideMark/>
          </w:tcPr>
          <w:p w14:paraId="442A536A"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$51,578</w:t>
            </w:r>
          </w:p>
        </w:tc>
      </w:tr>
      <w:tr w:rsidR="0061120D" w:rsidRPr="0061120D" w14:paraId="57163623" w14:textId="77777777" w:rsidTr="00296309">
        <w:trPr>
          <w:trHeight w:val="315"/>
        </w:trPr>
        <w:tc>
          <w:tcPr>
            <w:tcW w:w="3082" w:type="dxa"/>
            <w:tcBorders>
              <w:top w:val="nil"/>
              <w:left w:val="nil"/>
              <w:bottom w:val="single" w:sz="8" w:space="0" w:color="auto"/>
              <w:right w:val="nil"/>
            </w:tcBorders>
            <w:shd w:val="clear" w:color="auto" w:fill="auto"/>
            <w:vAlign w:val="center"/>
            <w:hideMark/>
          </w:tcPr>
          <w:p w14:paraId="6BDD4904"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Net worth/equity</w:t>
            </w:r>
          </w:p>
        </w:tc>
        <w:tc>
          <w:tcPr>
            <w:tcW w:w="1533" w:type="dxa"/>
            <w:tcBorders>
              <w:top w:val="nil"/>
              <w:left w:val="nil"/>
              <w:bottom w:val="single" w:sz="8" w:space="0" w:color="auto"/>
              <w:right w:val="nil"/>
            </w:tcBorders>
            <w:shd w:val="clear" w:color="000000" w:fill="FFFFFF"/>
            <w:noWrap/>
            <w:vAlign w:val="center"/>
            <w:hideMark/>
          </w:tcPr>
          <w:p w14:paraId="2347142B"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($377)</w:t>
            </w:r>
          </w:p>
        </w:tc>
        <w:tc>
          <w:tcPr>
            <w:tcW w:w="1533" w:type="dxa"/>
            <w:tcBorders>
              <w:top w:val="nil"/>
              <w:left w:val="nil"/>
              <w:bottom w:val="single" w:sz="8" w:space="0" w:color="auto"/>
              <w:right w:val="nil"/>
            </w:tcBorders>
            <w:shd w:val="clear" w:color="000000" w:fill="FFFFFF"/>
            <w:noWrap/>
            <w:vAlign w:val="center"/>
            <w:hideMark/>
          </w:tcPr>
          <w:p w14:paraId="78DD76E1"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$4,701</w:t>
            </w:r>
          </w:p>
        </w:tc>
        <w:tc>
          <w:tcPr>
            <w:tcW w:w="1533" w:type="dxa"/>
            <w:tcBorders>
              <w:top w:val="nil"/>
              <w:left w:val="nil"/>
              <w:bottom w:val="single" w:sz="8" w:space="0" w:color="auto"/>
              <w:right w:val="nil"/>
            </w:tcBorders>
            <w:shd w:val="clear" w:color="000000" w:fill="FFFFFF"/>
            <w:noWrap/>
            <w:vAlign w:val="center"/>
            <w:hideMark/>
          </w:tcPr>
          <w:p w14:paraId="63269DF5"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$1,547</w:t>
            </w:r>
          </w:p>
        </w:tc>
        <w:tc>
          <w:tcPr>
            <w:tcW w:w="1533" w:type="dxa"/>
            <w:tcBorders>
              <w:top w:val="nil"/>
              <w:left w:val="nil"/>
              <w:bottom w:val="single" w:sz="8" w:space="0" w:color="auto"/>
              <w:right w:val="nil"/>
            </w:tcBorders>
            <w:shd w:val="clear" w:color="000000" w:fill="FFFFFF"/>
            <w:noWrap/>
            <w:vAlign w:val="center"/>
            <w:hideMark/>
          </w:tcPr>
          <w:p w14:paraId="5B86A289"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$5,870</w:t>
            </w:r>
          </w:p>
        </w:tc>
      </w:tr>
      <w:tr w:rsidR="0061120D" w:rsidRPr="0061120D" w14:paraId="6C8ECF34" w14:textId="77777777" w:rsidTr="00296309">
        <w:trPr>
          <w:trHeight w:val="315"/>
        </w:trPr>
        <w:tc>
          <w:tcPr>
            <w:tcW w:w="3082" w:type="dxa"/>
            <w:tcBorders>
              <w:top w:val="nil"/>
              <w:left w:val="nil"/>
              <w:bottom w:val="single" w:sz="8" w:space="0" w:color="auto"/>
              <w:right w:val="nil"/>
            </w:tcBorders>
            <w:shd w:val="clear" w:color="000000" w:fill="D8DADA"/>
            <w:vAlign w:val="center"/>
            <w:hideMark/>
          </w:tcPr>
          <w:p w14:paraId="0A27CACA"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As a % of total assets</w:t>
            </w:r>
          </w:p>
        </w:tc>
        <w:tc>
          <w:tcPr>
            <w:tcW w:w="1533" w:type="dxa"/>
            <w:tcBorders>
              <w:top w:val="nil"/>
              <w:left w:val="nil"/>
              <w:bottom w:val="single" w:sz="8" w:space="0" w:color="auto"/>
              <w:right w:val="nil"/>
            </w:tcBorders>
            <w:shd w:val="clear" w:color="000000" w:fill="D8DADA"/>
            <w:noWrap/>
            <w:hideMark/>
          </w:tcPr>
          <w:p w14:paraId="339B5457"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 </w:t>
            </w:r>
          </w:p>
        </w:tc>
        <w:tc>
          <w:tcPr>
            <w:tcW w:w="1533" w:type="dxa"/>
            <w:tcBorders>
              <w:top w:val="nil"/>
              <w:left w:val="nil"/>
              <w:bottom w:val="single" w:sz="8" w:space="0" w:color="auto"/>
              <w:right w:val="nil"/>
            </w:tcBorders>
            <w:shd w:val="clear" w:color="000000" w:fill="D8DADA"/>
            <w:noWrap/>
            <w:hideMark/>
          </w:tcPr>
          <w:p w14:paraId="68FF66D8"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 </w:t>
            </w:r>
          </w:p>
        </w:tc>
        <w:tc>
          <w:tcPr>
            <w:tcW w:w="1533" w:type="dxa"/>
            <w:tcBorders>
              <w:top w:val="nil"/>
              <w:left w:val="nil"/>
              <w:bottom w:val="single" w:sz="8" w:space="0" w:color="auto"/>
              <w:right w:val="nil"/>
            </w:tcBorders>
            <w:shd w:val="clear" w:color="000000" w:fill="D8DADA"/>
            <w:noWrap/>
            <w:hideMark/>
          </w:tcPr>
          <w:p w14:paraId="2919531F"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 </w:t>
            </w:r>
          </w:p>
        </w:tc>
        <w:tc>
          <w:tcPr>
            <w:tcW w:w="1533" w:type="dxa"/>
            <w:tcBorders>
              <w:top w:val="nil"/>
              <w:left w:val="nil"/>
              <w:bottom w:val="single" w:sz="8" w:space="0" w:color="auto"/>
              <w:right w:val="nil"/>
            </w:tcBorders>
            <w:shd w:val="clear" w:color="000000" w:fill="D8DADA"/>
            <w:noWrap/>
            <w:hideMark/>
          </w:tcPr>
          <w:p w14:paraId="4B96A042"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 </w:t>
            </w:r>
          </w:p>
        </w:tc>
      </w:tr>
      <w:tr w:rsidR="0061120D" w:rsidRPr="0061120D" w14:paraId="6967FAE7" w14:textId="77777777" w:rsidTr="00296309">
        <w:trPr>
          <w:trHeight w:val="555"/>
        </w:trPr>
        <w:tc>
          <w:tcPr>
            <w:tcW w:w="3082" w:type="dxa"/>
            <w:tcBorders>
              <w:top w:val="nil"/>
              <w:left w:val="nil"/>
              <w:bottom w:val="single" w:sz="8" w:space="0" w:color="auto"/>
              <w:right w:val="nil"/>
            </w:tcBorders>
            <w:shd w:val="clear" w:color="auto" w:fill="auto"/>
            <w:vAlign w:val="center"/>
            <w:hideMark/>
          </w:tcPr>
          <w:p w14:paraId="3DAFE5D1" w14:textId="77777777" w:rsidR="0061120D" w:rsidRPr="0061120D" w:rsidRDefault="0061120D" w:rsidP="0061120D">
            <w:pPr>
              <w:spacing w:before="0" w:after="0" w:line="240" w:lineRule="auto"/>
              <w:rPr>
                <w:rFonts w:cs="Arial"/>
                <w:bCs w:val="0"/>
                <w:color w:val="1E1545"/>
                <w:sz w:val="21"/>
                <w:szCs w:val="21"/>
                <w:lang w:eastAsia="en-AU"/>
              </w:rPr>
            </w:pPr>
            <w:r w:rsidRPr="0061120D">
              <w:rPr>
                <w:rFonts w:cs="Arial"/>
                <w:bCs w:val="0"/>
                <w:color w:val="1E1545"/>
                <w:sz w:val="21"/>
                <w:szCs w:val="21"/>
                <w:lang w:eastAsia="en-AU"/>
              </w:rPr>
              <w:t>Refundable accommodation deposits</w:t>
            </w:r>
          </w:p>
        </w:tc>
        <w:tc>
          <w:tcPr>
            <w:tcW w:w="1533" w:type="dxa"/>
            <w:tcBorders>
              <w:top w:val="nil"/>
              <w:left w:val="nil"/>
              <w:bottom w:val="single" w:sz="8" w:space="0" w:color="auto"/>
              <w:right w:val="nil"/>
            </w:tcBorders>
            <w:shd w:val="clear" w:color="000000" w:fill="FFFFFF"/>
            <w:noWrap/>
            <w:vAlign w:val="center"/>
            <w:hideMark/>
          </w:tcPr>
          <w:p w14:paraId="20105A5F"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67.55%</w:t>
            </w:r>
          </w:p>
        </w:tc>
        <w:tc>
          <w:tcPr>
            <w:tcW w:w="1533" w:type="dxa"/>
            <w:tcBorders>
              <w:top w:val="nil"/>
              <w:left w:val="nil"/>
              <w:bottom w:val="single" w:sz="8" w:space="0" w:color="auto"/>
              <w:right w:val="nil"/>
            </w:tcBorders>
            <w:shd w:val="clear" w:color="000000" w:fill="FFFFFF"/>
            <w:noWrap/>
            <w:vAlign w:val="center"/>
            <w:hideMark/>
          </w:tcPr>
          <w:p w14:paraId="2E67A104"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69.14%</w:t>
            </w:r>
          </w:p>
        </w:tc>
        <w:tc>
          <w:tcPr>
            <w:tcW w:w="1533" w:type="dxa"/>
            <w:tcBorders>
              <w:top w:val="nil"/>
              <w:left w:val="nil"/>
              <w:bottom w:val="single" w:sz="8" w:space="0" w:color="auto"/>
              <w:right w:val="nil"/>
            </w:tcBorders>
            <w:shd w:val="clear" w:color="000000" w:fill="FFFFFF"/>
            <w:noWrap/>
            <w:vAlign w:val="center"/>
            <w:hideMark/>
          </w:tcPr>
          <w:p w14:paraId="5898DA43"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26.17%</w:t>
            </w:r>
          </w:p>
        </w:tc>
        <w:tc>
          <w:tcPr>
            <w:tcW w:w="1533" w:type="dxa"/>
            <w:tcBorders>
              <w:top w:val="nil"/>
              <w:left w:val="nil"/>
              <w:bottom w:val="single" w:sz="8" w:space="0" w:color="auto"/>
              <w:right w:val="nil"/>
            </w:tcBorders>
            <w:shd w:val="clear" w:color="000000" w:fill="FFFFFF"/>
            <w:noWrap/>
            <w:vAlign w:val="center"/>
            <w:hideMark/>
          </w:tcPr>
          <w:p w14:paraId="7AFA24F0"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66.40%</w:t>
            </w:r>
          </w:p>
        </w:tc>
      </w:tr>
      <w:tr w:rsidR="0061120D" w:rsidRPr="0061120D" w14:paraId="1DC285F1" w14:textId="77777777" w:rsidTr="00296309">
        <w:trPr>
          <w:trHeight w:val="315"/>
        </w:trPr>
        <w:tc>
          <w:tcPr>
            <w:tcW w:w="3082" w:type="dxa"/>
            <w:tcBorders>
              <w:top w:val="nil"/>
              <w:left w:val="nil"/>
              <w:bottom w:val="single" w:sz="8" w:space="0" w:color="auto"/>
              <w:right w:val="nil"/>
            </w:tcBorders>
            <w:shd w:val="clear" w:color="auto" w:fill="auto"/>
            <w:vAlign w:val="center"/>
            <w:hideMark/>
          </w:tcPr>
          <w:p w14:paraId="55116987" w14:textId="77777777" w:rsidR="0061120D" w:rsidRPr="0061120D" w:rsidRDefault="0061120D" w:rsidP="0061120D">
            <w:pPr>
              <w:spacing w:before="0" w:after="0" w:line="240" w:lineRule="auto"/>
              <w:rPr>
                <w:rFonts w:cs="Arial"/>
                <w:bCs w:val="0"/>
                <w:color w:val="1E1545"/>
                <w:sz w:val="21"/>
                <w:szCs w:val="21"/>
                <w:lang w:eastAsia="en-AU"/>
              </w:rPr>
            </w:pPr>
            <w:r w:rsidRPr="0061120D">
              <w:rPr>
                <w:rFonts w:cs="Arial"/>
                <w:bCs w:val="0"/>
                <w:color w:val="1E1545"/>
                <w:sz w:val="21"/>
                <w:szCs w:val="21"/>
                <w:lang w:eastAsia="en-AU"/>
              </w:rPr>
              <w:t>Other liabilities</w:t>
            </w:r>
          </w:p>
        </w:tc>
        <w:tc>
          <w:tcPr>
            <w:tcW w:w="1533" w:type="dxa"/>
            <w:tcBorders>
              <w:top w:val="nil"/>
              <w:left w:val="nil"/>
              <w:bottom w:val="single" w:sz="8" w:space="0" w:color="auto"/>
              <w:right w:val="nil"/>
            </w:tcBorders>
            <w:shd w:val="clear" w:color="000000" w:fill="FFFFFF"/>
            <w:noWrap/>
            <w:vAlign w:val="center"/>
            <w:hideMark/>
          </w:tcPr>
          <w:p w14:paraId="180A3251"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33.91%</w:t>
            </w:r>
          </w:p>
        </w:tc>
        <w:tc>
          <w:tcPr>
            <w:tcW w:w="1533" w:type="dxa"/>
            <w:tcBorders>
              <w:top w:val="nil"/>
              <w:left w:val="nil"/>
              <w:bottom w:val="single" w:sz="8" w:space="0" w:color="auto"/>
              <w:right w:val="nil"/>
            </w:tcBorders>
            <w:shd w:val="clear" w:color="000000" w:fill="FFFFFF"/>
            <w:noWrap/>
            <w:vAlign w:val="center"/>
            <w:hideMark/>
          </w:tcPr>
          <w:p w14:paraId="5A3911D6"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14.59%</w:t>
            </w:r>
          </w:p>
        </w:tc>
        <w:tc>
          <w:tcPr>
            <w:tcW w:w="1533" w:type="dxa"/>
            <w:tcBorders>
              <w:top w:val="nil"/>
              <w:left w:val="nil"/>
              <w:bottom w:val="single" w:sz="8" w:space="0" w:color="auto"/>
              <w:right w:val="nil"/>
            </w:tcBorders>
            <w:shd w:val="clear" w:color="000000" w:fill="FFFFFF"/>
            <w:noWrap/>
            <w:vAlign w:val="center"/>
            <w:hideMark/>
          </w:tcPr>
          <w:p w14:paraId="5A6E125C"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16.50%</w:t>
            </w:r>
          </w:p>
        </w:tc>
        <w:tc>
          <w:tcPr>
            <w:tcW w:w="1533" w:type="dxa"/>
            <w:tcBorders>
              <w:top w:val="nil"/>
              <w:left w:val="nil"/>
              <w:bottom w:val="single" w:sz="8" w:space="0" w:color="auto"/>
              <w:right w:val="nil"/>
            </w:tcBorders>
            <w:shd w:val="clear" w:color="000000" w:fill="FFFFFF"/>
            <w:noWrap/>
            <w:vAlign w:val="center"/>
            <w:hideMark/>
          </w:tcPr>
          <w:p w14:paraId="4BC34889" w14:textId="77777777" w:rsidR="0061120D" w:rsidRPr="0061120D" w:rsidRDefault="0061120D" w:rsidP="004F571D">
            <w:pPr>
              <w:spacing w:before="0" w:after="0" w:line="240" w:lineRule="auto"/>
              <w:jc w:val="right"/>
              <w:rPr>
                <w:rFonts w:cs="Arial"/>
                <w:bCs w:val="0"/>
                <w:color w:val="1E1545"/>
                <w:sz w:val="21"/>
                <w:szCs w:val="21"/>
                <w:lang w:eastAsia="en-AU"/>
              </w:rPr>
            </w:pPr>
            <w:r w:rsidRPr="0061120D">
              <w:rPr>
                <w:rFonts w:cs="Arial"/>
                <w:bCs w:val="0"/>
                <w:color w:val="1E1545"/>
                <w:sz w:val="21"/>
                <w:szCs w:val="21"/>
                <w:lang w:eastAsia="en-AU"/>
              </w:rPr>
              <w:t>23.38%</w:t>
            </w:r>
          </w:p>
        </w:tc>
      </w:tr>
      <w:tr w:rsidR="0061120D" w:rsidRPr="0061120D" w14:paraId="50FAE64E" w14:textId="77777777" w:rsidTr="00296309">
        <w:trPr>
          <w:trHeight w:val="315"/>
        </w:trPr>
        <w:tc>
          <w:tcPr>
            <w:tcW w:w="3082" w:type="dxa"/>
            <w:tcBorders>
              <w:top w:val="nil"/>
              <w:left w:val="nil"/>
              <w:bottom w:val="single" w:sz="8" w:space="0" w:color="auto"/>
              <w:right w:val="nil"/>
            </w:tcBorders>
            <w:shd w:val="clear" w:color="000000" w:fill="D8DADA"/>
            <w:vAlign w:val="center"/>
            <w:hideMark/>
          </w:tcPr>
          <w:p w14:paraId="4A991DAE"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Total liabilities</w:t>
            </w:r>
          </w:p>
        </w:tc>
        <w:tc>
          <w:tcPr>
            <w:tcW w:w="1533" w:type="dxa"/>
            <w:tcBorders>
              <w:top w:val="nil"/>
              <w:left w:val="nil"/>
              <w:bottom w:val="single" w:sz="8" w:space="0" w:color="auto"/>
              <w:right w:val="nil"/>
            </w:tcBorders>
            <w:shd w:val="clear" w:color="000000" w:fill="D8DADA"/>
            <w:noWrap/>
            <w:vAlign w:val="center"/>
            <w:hideMark/>
          </w:tcPr>
          <w:p w14:paraId="6F147FB7"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101.46%</w:t>
            </w:r>
          </w:p>
        </w:tc>
        <w:tc>
          <w:tcPr>
            <w:tcW w:w="1533" w:type="dxa"/>
            <w:tcBorders>
              <w:top w:val="nil"/>
              <w:left w:val="nil"/>
              <w:bottom w:val="single" w:sz="8" w:space="0" w:color="auto"/>
              <w:right w:val="nil"/>
            </w:tcBorders>
            <w:shd w:val="clear" w:color="000000" w:fill="D8DADA"/>
            <w:noWrap/>
            <w:vAlign w:val="center"/>
            <w:hideMark/>
          </w:tcPr>
          <w:p w14:paraId="007471B7"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83.73%</w:t>
            </w:r>
          </w:p>
        </w:tc>
        <w:tc>
          <w:tcPr>
            <w:tcW w:w="1533" w:type="dxa"/>
            <w:tcBorders>
              <w:top w:val="nil"/>
              <w:left w:val="nil"/>
              <w:bottom w:val="single" w:sz="8" w:space="0" w:color="auto"/>
              <w:right w:val="nil"/>
            </w:tcBorders>
            <w:shd w:val="clear" w:color="000000" w:fill="D8DADA"/>
            <w:noWrap/>
            <w:vAlign w:val="center"/>
            <w:hideMark/>
          </w:tcPr>
          <w:p w14:paraId="0E3B320E"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42.67%</w:t>
            </w:r>
          </w:p>
        </w:tc>
        <w:tc>
          <w:tcPr>
            <w:tcW w:w="1533" w:type="dxa"/>
            <w:tcBorders>
              <w:top w:val="nil"/>
              <w:left w:val="nil"/>
              <w:bottom w:val="single" w:sz="8" w:space="0" w:color="auto"/>
              <w:right w:val="nil"/>
            </w:tcBorders>
            <w:shd w:val="clear" w:color="000000" w:fill="D8DADA"/>
            <w:noWrap/>
            <w:vAlign w:val="center"/>
            <w:hideMark/>
          </w:tcPr>
          <w:p w14:paraId="0FFBFBE3"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89.78%</w:t>
            </w:r>
          </w:p>
        </w:tc>
      </w:tr>
      <w:tr w:rsidR="0061120D" w:rsidRPr="0061120D" w14:paraId="5F6364FF" w14:textId="77777777" w:rsidTr="00296309">
        <w:trPr>
          <w:trHeight w:val="315"/>
        </w:trPr>
        <w:tc>
          <w:tcPr>
            <w:tcW w:w="3082" w:type="dxa"/>
            <w:tcBorders>
              <w:top w:val="nil"/>
              <w:left w:val="nil"/>
              <w:bottom w:val="single" w:sz="12" w:space="0" w:color="auto"/>
              <w:right w:val="nil"/>
            </w:tcBorders>
            <w:shd w:val="clear" w:color="000000" w:fill="D8DADA"/>
            <w:vAlign w:val="center"/>
            <w:hideMark/>
          </w:tcPr>
          <w:p w14:paraId="44620E52" w14:textId="77777777" w:rsidR="0061120D" w:rsidRPr="0061120D" w:rsidRDefault="0061120D" w:rsidP="0061120D">
            <w:pPr>
              <w:spacing w:before="0" w:after="0" w:line="240" w:lineRule="auto"/>
              <w:rPr>
                <w:rFonts w:cs="Arial"/>
                <w:b/>
                <w:color w:val="1E1545"/>
                <w:sz w:val="21"/>
                <w:szCs w:val="21"/>
                <w:lang w:eastAsia="en-AU"/>
              </w:rPr>
            </w:pPr>
            <w:r w:rsidRPr="0061120D">
              <w:rPr>
                <w:rFonts w:cs="Arial"/>
                <w:b/>
                <w:color w:val="1E1545"/>
                <w:sz w:val="21"/>
                <w:szCs w:val="21"/>
                <w:lang w:eastAsia="en-AU"/>
              </w:rPr>
              <w:t>Net worth/equity</w:t>
            </w:r>
          </w:p>
        </w:tc>
        <w:tc>
          <w:tcPr>
            <w:tcW w:w="1533" w:type="dxa"/>
            <w:tcBorders>
              <w:top w:val="nil"/>
              <w:left w:val="nil"/>
              <w:bottom w:val="single" w:sz="12" w:space="0" w:color="auto"/>
              <w:right w:val="nil"/>
            </w:tcBorders>
            <w:shd w:val="clear" w:color="000000" w:fill="D8DADA"/>
            <w:noWrap/>
            <w:vAlign w:val="center"/>
            <w:hideMark/>
          </w:tcPr>
          <w:p w14:paraId="00CC48FE"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-1.46%</w:t>
            </w:r>
          </w:p>
        </w:tc>
        <w:tc>
          <w:tcPr>
            <w:tcW w:w="1533" w:type="dxa"/>
            <w:tcBorders>
              <w:top w:val="nil"/>
              <w:left w:val="nil"/>
              <w:bottom w:val="single" w:sz="12" w:space="0" w:color="auto"/>
              <w:right w:val="nil"/>
            </w:tcBorders>
            <w:shd w:val="clear" w:color="000000" w:fill="D8DADA"/>
            <w:noWrap/>
            <w:vAlign w:val="center"/>
            <w:hideMark/>
          </w:tcPr>
          <w:p w14:paraId="3818ECA6"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16.27%</w:t>
            </w:r>
          </w:p>
        </w:tc>
        <w:tc>
          <w:tcPr>
            <w:tcW w:w="1533" w:type="dxa"/>
            <w:tcBorders>
              <w:top w:val="nil"/>
              <w:left w:val="nil"/>
              <w:bottom w:val="single" w:sz="12" w:space="0" w:color="auto"/>
              <w:right w:val="nil"/>
            </w:tcBorders>
            <w:shd w:val="clear" w:color="000000" w:fill="D8DADA"/>
            <w:noWrap/>
            <w:vAlign w:val="center"/>
            <w:hideMark/>
          </w:tcPr>
          <w:p w14:paraId="2F3B74DF"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57.33%</w:t>
            </w:r>
          </w:p>
        </w:tc>
        <w:tc>
          <w:tcPr>
            <w:tcW w:w="1533" w:type="dxa"/>
            <w:tcBorders>
              <w:top w:val="nil"/>
              <w:left w:val="nil"/>
              <w:bottom w:val="single" w:sz="12" w:space="0" w:color="auto"/>
              <w:right w:val="nil"/>
            </w:tcBorders>
            <w:shd w:val="clear" w:color="000000" w:fill="D8DADA"/>
            <w:noWrap/>
            <w:vAlign w:val="center"/>
            <w:hideMark/>
          </w:tcPr>
          <w:p w14:paraId="16FF68C7" w14:textId="77777777" w:rsidR="0061120D" w:rsidRPr="0061120D" w:rsidRDefault="0061120D" w:rsidP="004F571D">
            <w:pPr>
              <w:spacing w:before="0" w:after="0" w:line="240" w:lineRule="auto"/>
              <w:jc w:val="right"/>
              <w:rPr>
                <w:rFonts w:cs="Arial"/>
                <w:b/>
                <w:color w:val="1E1545"/>
                <w:sz w:val="21"/>
                <w:szCs w:val="21"/>
                <w:lang w:eastAsia="en-AU"/>
              </w:rPr>
            </w:pPr>
            <w:r w:rsidRPr="0061120D">
              <w:rPr>
                <w:rFonts w:cs="Arial"/>
                <w:b/>
                <w:color w:val="1E1545"/>
                <w:sz w:val="21"/>
                <w:szCs w:val="21"/>
                <w:lang w:eastAsia="en-AU"/>
              </w:rPr>
              <w:t>10.22%</w:t>
            </w:r>
          </w:p>
        </w:tc>
      </w:tr>
    </w:tbl>
    <w:p w14:paraId="68FD8C6D" w14:textId="77777777" w:rsidR="0054105B" w:rsidRDefault="0054105B" w:rsidP="0054105B">
      <w:pPr>
        <w:pStyle w:val="FootnoteText"/>
      </w:pPr>
    </w:p>
    <w:p w14:paraId="77285120" w14:textId="4A6C622C" w:rsidR="005E4487" w:rsidRPr="00301FC5" w:rsidRDefault="005E4487" w:rsidP="0054105B">
      <w:pPr>
        <w:pStyle w:val="FootnoteText"/>
      </w:pPr>
      <w:r w:rsidRPr="0054105B">
        <w:t>Note:</w:t>
      </w:r>
      <w:r w:rsidR="00065672" w:rsidRPr="0054105B">
        <w:t xml:space="preserve"> </w:t>
      </w:r>
      <w:r w:rsidRPr="00301FC5">
        <w:t xml:space="preserve">Other liabilities refers to the current and non-current liabilities listed in </w:t>
      </w:r>
      <w:r w:rsidR="00065672" w:rsidRPr="0054105B">
        <w:fldChar w:fldCharType="begin"/>
      </w:r>
      <w:r w:rsidR="00065672" w:rsidRPr="0054105B">
        <w:instrText xml:space="preserve"> REF _Ref162515716 \h </w:instrText>
      </w:r>
      <w:r w:rsidR="0054105B">
        <w:instrText xml:space="preserve"> \* MERGEFORMAT </w:instrText>
      </w:r>
      <w:r w:rsidR="00065672" w:rsidRPr="0054105B">
        <w:fldChar w:fldCharType="separate"/>
      </w:r>
      <w:r w:rsidR="001377BE">
        <w:t>Table 4.2</w:t>
      </w:r>
      <w:r w:rsidR="00065672" w:rsidRPr="0054105B">
        <w:fldChar w:fldCharType="end"/>
      </w:r>
      <w:r w:rsidRPr="00301FC5">
        <w:t xml:space="preserve"> including, accommodation deposits, bank borrowings, related party loans, employee provisions, lease liabilities and other liabilities</w:t>
      </w:r>
    </w:p>
    <w:p w14:paraId="0C9440B3" w14:textId="77777777" w:rsidR="005E4487" w:rsidRPr="005E4487" w:rsidRDefault="005E4487" w:rsidP="005E4487"/>
    <w:p w14:paraId="7719EF1C" w14:textId="05F7FBED" w:rsidR="00B92B4E" w:rsidRDefault="00B92B4E" w:rsidP="00706D0A">
      <w:pPr>
        <w:rPr>
          <w:b/>
        </w:rPr>
      </w:pPr>
      <w:r>
        <w:br w:type="page"/>
      </w:r>
    </w:p>
    <w:p w14:paraId="0D718ECF" w14:textId="60C613FD" w:rsidR="009462F3" w:rsidRPr="009462F3" w:rsidRDefault="009462F3" w:rsidP="009462F3">
      <w:pPr>
        <w:rPr>
          <w:highlight w:val="yellow"/>
        </w:rPr>
      </w:pPr>
      <w:r>
        <w:fldChar w:fldCharType="begin"/>
      </w:r>
      <w:r>
        <w:instrText xml:space="preserve"> REF _Ref162515768 \h </w:instrText>
      </w:r>
      <w:r>
        <w:fldChar w:fldCharType="separate"/>
      </w:r>
      <w:r w:rsidR="001377BE">
        <w:t xml:space="preserve">Table </w:t>
      </w:r>
      <w:r w:rsidR="001377BE">
        <w:rPr>
          <w:noProof/>
        </w:rPr>
        <w:t>4</w:t>
      </w:r>
      <w:r w:rsidR="001377BE">
        <w:t>.</w:t>
      </w:r>
      <w:r w:rsidR="001377BE">
        <w:rPr>
          <w:noProof/>
        </w:rPr>
        <w:t>3</w:t>
      </w:r>
      <w:r>
        <w:fldChar w:fldCharType="end"/>
      </w:r>
      <w:r>
        <w:t xml:space="preserve"> </w:t>
      </w:r>
      <w:r w:rsidRPr="00CB2771">
        <w:t>presents</w:t>
      </w:r>
      <w:r w:rsidRPr="00CB2771">
        <w:rPr>
          <w:spacing w:val="-11"/>
        </w:rPr>
        <w:t xml:space="preserve"> </w:t>
      </w:r>
      <w:r w:rsidRPr="00CB2771">
        <w:t>the</w:t>
      </w:r>
      <w:r w:rsidRPr="00CB2771">
        <w:rPr>
          <w:spacing w:val="-11"/>
        </w:rPr>
        <w:t xml:space="preserve"> </w:t>
      </w:r>
      <w:r w:rsidRPr="00CB2771">
        <w:t>consolidated</w:t>
      </w:r>
      <w:r w:rsidRPr="00CB2771">
        <w:rPr>
          <w:spacing w:val="-11"/>
        </w:rPr>
        <w:t xml:space="preserve"> </w:t>
      </w:r>
      <w:r w:rsidRPr="00CB2771">
        <w:t>balance</w:t>
      </w:r>
      <w:r w:rsidRPr="00CB2771">
        <w:rPr>
          <w:spacing w:val="-11"/>
        </w:rPr>
        <w:t xml:space="preserve"> </w:t>
      </w:r>
      <w:r w:rsidRPr="00CB2771">
        <w:t xml:space="preserve">sheet </w:t>
      </w:r>
      <w:r w:rsidR="00FE42A5">
        <w:t>by</w:t>
      </w:r>
      <w:r w:rsidR="00FE42A5" w:rsidRPr="00CB2771">
        <w:t xml:space="preserve"> </w:t>
      </w:r>
      <w:r w:rsidRPr="00CB2771">
        <w:t>segment and</w:t>
      </w:r>
      <w:r w:rsidR="00191455">
        <w:t xml:space="preserve"> </w:t>
      </w:r>
      <w:r w:rsidR="000C00C8">
        <w:t>ownership type</w:t>
      </w:r>
      <w:r w:rsidRPr="00CB2771">
        <w:t xml:space="preserve"> for 202</w:t>
      </w:r>
      <w:r w:rsidR="00CB2771" w:rsidRPr="00CB2771">
        <w:t>2</w:t>
      </w:r>
      <w:r w:rsidRPr="00CB2771">
        <w:t>-2</w:t>
      </w:r>
      <w:r w:rsidR="00CB2771" w:rsidRPr="00CB2771">
        <w:t>3</w:t>
      </w:r>
      <w:r w:rsidRPr="00CB2771">
        <w:t>.</w:t>
      </w:r>
    </w:p>
    <w:p w14:paraId="588058F0" w14:textId="475ED569" w:rsidR="009462F3" w:rsidRPr="009462F3" w:rsidRDefault="009462F3" w:rsidP="009462F3">
      <w:pPr>
        <w:rPr>
          <w:highlight w:val="yellow"/>
        </w:rPr>
      </w:pPr>
      <w:r w:rsidRPr="000109AB">
        <w:t>Fixed assets (predominantly residential aged care facilities) were the single largest asset category held</w:t>
      </w:r>
      <w:r w:rsidRPr="000109AB">
        <w:rPr>
          <w:spacing w:val="-6"/>
        </w:rPr>
        <w:t xml:space="preserve"> </w:t>
      </w:r>
      <w:r w:rsidRPr="000109AB">
        <w:t>by</w:t>
      </w:r>
      <w:r w:rsidRPr="000109AB">
        <w:rPr>
          <w:spacing w:val="-6"/>
        </w:rPr>
        <w:t xml:space="preserve"> </w:t>
      </w:r>
      <w:r w:rsidRPr="000109AB">
        <w:t>providers</w:t>
      </w:r>
      <w:r w:rsidRPr="000109AB">
        <w:rPr>
          <w:spacing w:val="-6"/>
        </w:rPr>
        <w:t xml:space="preserve"> </w:t>
      </w:r>
      <w:r w:rsidRPr="000109AB">
        <w:t>($3</w:t>
      </w:r>
      <w:r w:rsidR="00177B5F" w:rsidRPr="000109AB">
        <w:t>1</w:t>
      </w:r>
      <w:r w:rsidRPr="000109AB">
        <w:rPr>
          <w:spacing w:val="-11"/>
        </w:rPr>
        <w:t xml:space="preserve"> </w:t>
      </w:r>
      <w:r w:rsidRPr="000109AB">
        <w:t>billion</w:t>
      </w:r>
      <w:r w:rsidRPr="000109AB">
        <w:rPr>
          <w:spacing w:val="-6"/>
        </w:rPr>
        <w:t xml:space="preserve"> </w:t>
      </w:r>
      <w:r w:rsidRPr="000109AB">
        <w:t>or</w:t>
      </w:r>
      <w:r w:rsidRPr="000109AB">
        <w:rPr>
          <w:spacing w:val="-6"/>
        </w:rPr>
        <w:t xml:space="preserve"> </w:t>
      </w:r>
      <w:r w:rsidRPr="000109AB">
        <w:t>5</w:t>
      </w:r>
      <w:r w:rsidR="00451362" w:rsidRPr="000109AB">
        <w:t>4</w:t>
      </w:r>
      <w:r w:rsidR="00451362" w:rsidRPr="000109AB">
        <w:rPr>
          <w:spacing w:val="-11"/>
        </w:rPr>
        <w:t>%</w:t>
      </w:r>
      <w:r w:rsidRPr="000109AB">
        <w:rPr>
          <w:spacing w:val="-11"/>
        </w:rPr>
        <w:t xml:space="preserve"> </w:t>
      </w:r>
      <w:r w:rsidRPr="000109AB">
        <w:t>of</w:t>
      </w:r>
      <w:r w:rsidRPr="000109AB">
        <w:rPr>
          <w:spacing w:val="-6"/>
        </w:rPr>
        <w:t xml:space="preserve"> </w:t>
      </w:r>
      <w:r w:rsidRPr="000109AB">
        <w:t>total assets).</w:t>
      </w:r>
      <w:r w:rsidRPr="000109AB">
        <w:rPr>
          <w:spacing w:val="-7"/>
        </w:rPr>
        <w:t xml:space="preserve"> </w:t>
      </w:r>
      <w:r w:rsidRPr="00ED4885">
        <w:t>Fixed assets represented 6</w:t>
      </w:r>
      <w:r w:rsidR="00C54297" w:rsidRPr="00ED4885">
        <w:t>7%</w:t>
      </w:r>
      <w:r w:rsidRPr="00ED4885">
        <w:t xml:space="preserve"> of total assets for not-for-profit providers and 3</w:t>
      </w:r>
      <w:r w:rsidR="00ED4885" w:rsidRPr="00ED4885">
        <w:t>7%</w:t>
      </w:r>
      <w:r w:rsidR="003E2E21">
        <w:t xml:space="preserve"> of total assets</w:t>
      </w:r>
      <w:r w:rsidRPr="00ED4885">
        <w:t xml:space="preserve"> for for-profit providers.</w:t>
      </w:r>
    </w:p>
    <w:p w14:paraId="4EE0E2CD" w14:textId="7C8BF6F6" w:rsidR="009462F3" w:rsidRPr="009462F3" w:rsidRDefault="009462F3" w:rsidP="009462F3">
      <w:pPr>
        <w:rPr>
          <w:highlight w:val="yellow"/>
        </w:rPr>
      </w:pPr>
      <w:r w:rsidRPr="001B28EE">
        <w:t>For</w:t>
      </w:r>
      <w:r w:rsidRPr="001B28EE">
        <w:rPr>
          <w:spacing w:val="-11"/>
        </w:rPr>
        <w:t xml:space="preserve"> </w:t>
      </w:r>
      <w:r w:rsidRPr="001B28EE">
        <w:t>the</w:t>
      </w:r>
      <w:r w:rsidRPr="001B28EE">
        <w:rPr>
          <w:spacing w:val="-11"/>
        </w:rPr>
        <w:t xml:space="preserve"> </w:t>
      </w:r>
      <w:r w:rsidRPr="001B28EE">
        <w:t>sector,</w:t>
      </w:r>
      <w:r w:rsidRPr="001B28EE">
        <w:rPr>
          <w:spacing w:val="-11"/>
        </w:rPr>
        <w:t xml:space="preserve"> </w:t>
      </w:r>
      <w:r w:rsidRPr="001B28EE">
        <w:t>cash</w:t>
      </w:r>
      <w:r w:rsidRPr="001B28EE">
        <w:rPr>
          <w:spacing w:val="-11"/>
        </w:rPr>
        <w:t xml:space="preserve"> </w:t>
      </w:r>
      <w:r w:rsidRPr="001B28EE">
        <w:t>($</w:t>
      </w:r>
      <w:r w:rsidR="006429D0" w:rsidRPr="001B28EE">
        <w:t>3.7</w:t>
      </w:r>
      <w:r w:rsidRPr="001B28EE">
        <w:rPr>
          <w:spacing w:val="-11"/>
        </w:rPr>
        <w:t xml:space="preserve"> </w:t>
      </w:r>
      <w:r w:rsidRPr="001B28EE">
        <w:t>billion)</w:t>
      </w:r>
      <w:r w:rsidRPr="001B28EE">
        <w:rPr>
          <w:spacing w:val="-11"/>
        </w:rPr>
        <w:t xml:space="preserve"> </w:t>
      </w:r>
      <w:r w:rsidRPr="001B28EE">
        <w:t>and</w:t>
      </w:r>
      <w:r w:rsidRPr="001B28EE">
        <w:rPr>
          <w:spacing w:val="-11"/>
        </w:rPr>
        <w:t xml:space="preserve"> </w:t>
      </w:r>
      <w:r w:rsidRPr="001B28EE">
        <w:t>current financial</w:t>
      </w:r>
      <w:r w:rsidRPr="001B28EE">
        <w:rPr>
          <w:spacing w:val="-11"/>
        </w:rPr>
        <w:t xml:space="preserve"> </w:t>
      </w:r>
      <w:r w:rsidRPr="001B28EE">
        <w:t>assets ($2 billion) represent 1</w:t>
      </w:r>
      <w:r w:rsidR="001B28EE" w:rsidRPr="001B28EE">
        <w:t>0%</w:t>
      </w:r>
      <w:r w:rsidRPr="001B28EE">
        <w:t xml:space="preserve"> of total assets </w:t>
      </w:r>
      <w:r w:rsidRPr="00EF163B">
        <w:t>(1</w:t>
      </w:r>
      <w:r w:rsidR="001B28EE" w:rsidRPr="00EF163B">
        <w:t>1%</w:t>
      </w:r>
      <w:r w:rsidRPr="00EF163B">
        <w:t xml:space="preserve"> in 202</w:t>
      </w:r>
      <w:r w:rsidR="001B28EE" w:rsidRPr="00EF163B">
        <w:t>1</w:t>
      </w:r>
      <w:r w:rsidRPr="00EF163B">
        <w:t>-2</w:t>
      </w:r>
      <w:r w:rsidR="001B28EE" w:rsidRPr="00EF163B">
        <w:t>2</w:t>
      </w:r>
      <w:r w:rsidRPr="00EF163B">
        <w:t>) and 5</w:t>
      </w:r>
      <w:r w:rsidR="00BE5CA8">
        <w:t>4</w:t>
      </w:r>
      <w:r w:rsidR="00EF163B" w:rsidRPr="00EF163B">
        <w:t>%</w:t>
      </w:r>
      <w:r w:rsidRPr="00EF163B">
        <w:t xml:space="preserve"> of current assets.</w:t>
      </w:r>
      <w:r w:rsidRPr="00EF163B">
        <w:rPr>
          <w:spacing w:val="-8"/>
        </w:rPr>
        <w:t xml:space="preserve"> </w:t>
      </w:r>
      <w:r w:rsidRPr="00415B70">
        <w:t>Again,</w:t>
      </w:r>
      <w:r w:rsidRPr="00415B70">
        <w:rPr>
          <w:spacing w:val="-8"/>
        </w:rPr>
        <w:t xml:space="preserve"> </w:t>
      </w:r>
      <w:r w:rsidRPr="00415B70">
        <w:t>there</w:t>
      </w:r>
      <w:r w:rsidRPr="00415B70">
        <w:rPr>
          <w:spacing w:val="-8"/>
        </w:rPr>
        <w:t xml:space="preserve"> </w:t>
      </w:r>
      <w:r w:rsidRPr="00415B70">
        <w:t>are</w:t>
      </w:r>
      <w:r w:rsidRPr="00415B70">
        <w:rPr>
          <w:spacing w:val="-8"/>
        </w:rPr>
        <w:t xml:space="preserve"> </w:t>
      </w:r>
      <w:r w:rsidRPr="00415B70">
        <w:t>differences</w:t>
      </w:r>
      <w:r w:rsidRPr="00415B70">
        <w:rPr>
          <w:spacing w:val="-8"/>
        </w:rPr>
        <w:t xml:space="preserve"> </w:t>
      </w:r>
      <w:r w:rsidRPr="00415B70">
        <w:t>between</w:t>
      </w:r>
      <w:r w:rsidRPr="00415B70">
        <w:rPr>
          <w:spacing w:val="-8"/>
        </w:rPr>
        <w:t xml:space="preserve"> </w:t>
      </w:r>
      <w:r w:rsidRPr="00415B70">
        <w:t xml:space="preserve">ownership types, with not-for-profit providers holding </w:t>
      </w:r>
      <w:r w:rsidR="00DC5BAE" w:rsidRPr="00415B70">
        <w:t>69</w:t>
      </w:r>
      <w:r w:rsidR="00DC5BAE" w:rsidRPr="00415B70">
        <w:rPr>
          <w:spacing w:val="-8"/>
        </w:rPr>
        <w:t>%</w:t>
      </w:r>
      <w:r w:rsidRPr="00415B70">
        <w:rPr>
          <w:spacing w:val="-8"/>
        </w:rPr>
        <w:t xml:space="preserve"> </w:t>
      </w:r>
      <w:r w:rsidRPr="00415B70">
        <w:t>of</w:t>
      </w:r>
      <w:r w:rsidRPr="00415B70">
        <w:rPr>
          <w:spacing w:val="-3"/>
        </w:rPr>
        <w:t xml:space="preserve"> </w:t>
      </w:r>
      <w:r w:rsidRPr="00415B70">
        <w:t>current</w:t>
      </w:r>
      <w:r w:rsidRPr="00415B70">
        <w:rPr>
          <w:spacing w:val="-3"/>
        </w:rPr>
        <w:t xml:space="preserve"> </w:t>
      </w:r>
      <w:r w:rsidRPr="00415B70">
        <w:t>assets</w:t>
      </w:r>
      <w:r w:rsidRPr="00415B70">
        <w:rPr>
          <w:spacing w:val="-3"/>
        </w:rPr>
        <w:t xml:space="preserve"> </w:t>
      </w:r>
      <w:r w:rsidRPr="00415B70">
        <w:t>in</w:t>
      </w:r>
      <w:r w:rsidRPr="00415B70">
        <w:rPr>
          <w:spacing w:val="-3"/>
        </w:rPr>
        <w:t xml:space="preserve"> </w:t>
      </w:r>
      <w:r w:rsidRPr="00415B70">
        <w:t>cash</w:t>
      </w:r>
      <w:r w:rsidRPr="00415B70">
        <w:rPr>
          <w:spacing w:val="-3"/>
        </w:rPr>
        <w:t xml:space="preserve"> </w:t>
      </w:r>
      <w:r w:rsidRPr="00415B70">
        <w:t>and</w:t>
      </w:r>
      <w:r w:rsidRPr="00415B70">
        <w:rPr>
          <w:spacing w:val="-3"/>
        </w:rPr>
        <w:t xml:space="preserve"> </w:t>
      </w:r>
      <w:r w:rsidRPr="00415B70">
        <w:rPr>
          <w:spacing w:val="-2"/>
        </w:rPr>
        <w:t xml:space="preserve">financial </w:t>
      </w:r>
      <w:r w:rsidRPr="00415B70">
        <w:t>assets,</w:t>
      </w:r>
      <w:r w:rsidRPr="00415B70">
        <w:rPr>
          <w:spacing w:val="-10"/>
        </w:rPr>
        <w:t xml:space="preserve"> </w:t>
      </w:r>
      <w:r w:rsidRPr="00415B70">
        <w:t>while</w:t>
      </w:r>
      <w:r w:rsidRPr="00415B70">
        <w:rPr>
          <w:spacing w:val="-8"/>
        </w:rPr>
        <w:t xml:space="preserve"> </w:t>
      </w:r>
      <w:r w:rsidRPr="00415B70">
        <w:t>for-profit</w:t>
      </w:r>
      <w:r w:rsidRPr="00415B70">
        <w:rPr>
          <w:spacing w:val="-8"/>
        </w:rPr>
        <w:t xml:space="preserve"> </w:t>
      </w:r>
      <w:r w:rsidRPr="00415B70">
        <w:t>providers</w:t>
      </w:r>
      <w:r w:rsidRPr="00415B70">
        <w:rPr>
          <w:spacing w:val="-8"/>
        </w:rPr>
        <w:t xml:space="preserve"> </w:t>
      </w:r>
      <w:r w:rsidRPr="00415B70">
        <w:t>hold</w:t>
      </w:r>
      <w:r w:rsidRPr="00415B70">
        <w:rPr>
          <w:spacing w:val="-8"/>
        </w:rPr>
        <w:t xml:space="preserve"> </w:t>
      </w:r>
      <w:r w:rsidRPr="00415B70">
        <w:t>only</w:t>
      </w:r>
      <w:r w:rsidRPr="00415B70">
        <w:rPr>
          <w:spacing w:val="-8"/>
        </w:rPr>
        <w:t xml:space="preserve"> </w:t>
      </w:r>
      <w:r w:rsidRPr="00415B70">
        <w:t>3</w:t>
      </w:r>
      <w:r w:rsidR="00415B70" w:rsidRPr="00415B70">
        <w:t>4%</w:t>
      </w:r>
      <w:r w:rsidRPr="00415B70">
        <w:t xml:space="preserve">. </w:t>
      </w:r>
      <w:r w:rsidRPr="00A018B5">
        <w:t>For-profit providers are more active in placing their funds in other categories of assets, including loans to related party entities.</w:t>
      </w:r>
      <w:r w:rsidR="007A1E3E">
        <w:t xml:space="preserve"> </w:t>
      </w:r>
    </w:p>
    <w:p w14:paraId="15886D52" w14:textId="487D2902" w:rsidR="00A55F40" w:rsidRDefault="009462F3" w:rsidP="009462F3">
      <w:r w:rsidRPr="009B2A93">
        <w:t>Intangible</w:t>
      </w:r>
      <w:r w:rsidRPr="009B2A93">
        <w:rPr>
          <w:spacing w:val="-7"/>
        </w:rPr>
        <w:t xml:space="preserve"> </w:t>
      </w:r>
      <w:r w:rsidRPr="009B2A93">
        <w:t>assets</w:t>
      </w:r>
      <w:r w:rsidRPr="009B2A93">
        <w:rPr>
          <w:spacing w:val="-7"/>
        </w:rPr>
        <w:t xml:space="preserve"> </w:t>
      </w:r>
      <w:r w:rsidRPr="009B2A93">
        <w:t>make</w:t>
      </w:r>
      <w:r w:rsidRPr="009B2A93">
        <w:rPr>
          <w:spacing w:val="-7"/>
        </w:rPr>
        <w:t xml:space="preserve"> </w:t>
      </w:r>
      <w:r w:rsidRPr="009B2A93">
        <w:t>up</w:t>
      </w:r>
      <w:r w:rsidRPr="009B2A93">
        <w:rPr>
          <w:spacing w:val="-7"/>
        </w:rPr>
        <w:t xml:space="preserve"> </w:t>
      </w:r>
      <w:r w:rsidR="009B2A93" w:rsidRPr="009B2A93">
        <w:t>7%</w:t>
      </w:r>
      <w:r w:rsidRPr="009B2A93">
        <w:rPr>
          <w:spacing w:val="-7"/>
        </w:rPr>
        <w:t xml:space="preserve"> </w:t>
      </w:r>
      <w:r w:rsidRPr="009B2A93">
        <w:t>or</w:t>
      </w:r>
      <w:r w:rsidRPr="009B2A93">
        <w:rPr>
          <w:spacing w:val="-7"/>
        </w:rPr>
        <w:t xml:space="preserve"> </w:t>
      </w:r>
      <w:r w:rsidRPr="009B2A93">
        <w:t>$4.</w:t>
      </w:r>
      <w:r w:rsidR="000C4460" w:rsidRPr="009B2A93">
        <w:t>1</w:t>
      </w:r>
      <w:r w:rsidRPr="009B2A93">
        <w:rPr>
          <w:spacing w:val="-11"/>
        </w:rPr>
        <w:t xml:space="preserve"> </w:t>
      </w:r>
      <w:r w:rsidRPr="009B2A93">
        <w:t>billion of total sector assets. Of this, bed licences make up $</w:t>
      </w:r>
      <w:r w:rsidR="009B2A93" w:rsidRPr="009B2A93">
        <w:t>997 million</w:t>
      </w:r>
      <w:r w:rsidRPr="009B2A93">
        <w:t xml:space="preserve">. </w:t>
      </w:r>
      <w:r w:rsidR="001B10C2">
        <w:t>As part of the new Aged Care Act</w:t>
      </w:r>
      <w:r w:rsidRPr="009B2A93">
        <w:t>, residential care places will be assigned directly to people rather than to providers. This reform, to remove the allocation of places</w:t>
      </w:r>
      <w:r w:rsidRPr="009B2A93">
        <w:rPr>
          <w:spacing w:val="-8"/>
        </w:rPr>
        <w:t xml:space="preserve"> </w:t>
      </w:r>
      <w:r w:rsidRPr="009B2A93">
        <w:t>to</w:t>
      </w:r>
      <w:r w:rsidRPr="009B2A93">
        <w:rPr>
          <w:spacing w:val="-8"/>
        </w:rPr>
        <w:t xml:space="preserve"> </w:t>
      </w:r>
      <w:r w:rsidRPr="009B2A93">
        <w:t>providers,</w:t>
      </w:r>
      <w:r w:rsidRPr="009B2A93">
        <w:rPr>
          <w:spacing w:val="-8"/>
        </w:rPr>
        <w:t xml:space="preserve"> </w:t>
      </w:r>
      <w:r w:rsidRPr="009B2A93">
        <w:t>will</w:t>
      </w:r>
      <w:r w:rsidRPr="009B2A93">
        <w:rPr>
          <w:spacing w:val="-8"/>
        </w:rPr>
        <w:t xml:space="preserve"> </w:t>
      </w:r>
      <w:r w:rsidRPr="009B2A93">
        <w:t>affect</w:t>
      </w:r>
      <w:r w:rsidRPr="009B2A93">
        <w:rPr>
          <w:spacing w:val="-8"/>
        </w:rPr>
        <w:t xml:space="preserve"> </w:t>
      </w:r>
      <w:r w:rsidRPr="009B2A93">
        <w:t>the</w:t>
      </w:r>
      <w:r w:rsidRPr="009B2A93">
        <w:rPr>
          <w:spacing w:val="-8"/>
        </w:rPr>
        <w:t xml:space="preserve"> </w:t>
      </w:r>
      <w:r w:rsidRPr="009B2A93">
        <w:t>intangible</w:t>
      </w:r>
      <w:r w:rsidRPr="009B2A93">
        <w:rPr>
          <w:spacing w:val="-8"/>
        </w:rPr>
        <w:t xml:space="preserve"> </w:t>
      </w:r>
      <w:r w:rsidRPr="009B2A93">
        <w:t>assets</w:t>
      </w:r>
      <w:r w:rsidRPr="009B2A93">
        <w:rPr>
          <w:spacing w:val="-8"/>
        </w:rPr>
        <w:t xml:space="preserve"> </w:t>
      </w:r>
      <w:r w:rsidRPr="009B2A93">
        <w:t xml:space="preserve">of those providers who currently recognise the value of their bed licences. </w:t>
      </w:r>
      <w:r w:rsidRPr="007940DB">
        <w:t>Bed licences decreased from $2 billion at 30 June 202</w:t>
      </w:r>
      <w:r w:rsidR="009B2A93" w:rsidRPr="007940DB">
        <w:t>2</w:t>
      </w:r>
      <w:r w:rsidRPr="007940DB">
        <w:t xml:space="preserve"> to $</w:t>
      </w:r>
      <w:r w:rsidR="009B2A93" w:rsidRPr="007940DB">
        <w:t>997</w:t>
      </w:r>
      <w:r w:rsidRPr="007940DB">
        <w:t xml:space="preserve"> </w:t>
      </w:r>
      <w:r w:rsidR="00990A23" w:rsidRPr="007940DB">
        <w:t>m</w:t>
      </w:r>
      <w:r w:rsidRPr="007940DB">
        <w:t>illion at 30 June 202</w:t>
      </w:r>
      <w:r w:rsidR="007940DB" w:rsidRPr="007940DB">
        <w:t>3</w:t>
      </w:r>
      <w:r w:rsidRPr="007940DB">
        <w:t>, as providers commenced the process of accounting for this change.</w:t>
      </w:r>
      <w:r w:rsidRPr="007940DB" w:rsidDel="001F2A11">
        <w:t xml:space="preserve"> </w:t>
      </w:r>
      <w:r w:rsidRPr="007940DB">
        <w:t>Providers will write off the remaining $</w:t>
      </w:r>
      <w:r w:rsidR="007940DB" w:rsidRPr="007940DB">
        <w:t>997 million</w:t>
      </w:r>
      <w:r w:rsidRPr="007940DB">
        <w:t xml:space="preserve"> in bed licences through their operating statement over the</w:t>
      </w:r>
      <w:r>
        <w:t xml:space="preserve"> next </w:t>
      </w:r>
      <w:r w:rsidR="007940DB">
        <w:t>year</w:t>
      </w:r>
      <w:r w:rsidRPr="007940DB">
        <w:t>. However, this $</w:t>
      </w:r>
      <w:r w:rsidR="007940DB" w:rsidRPr="007940DB">
        <w:t>997</w:t>
      </w:r>
      <w:r w:rsidRPr="007940DB">
        <w:t xml:space="preserve"> </w:t>
      </w:r>
      <w:r w:rsidR="007940DB" w:rsidRPr="007940DB">
        <w:t>m</w:t>
      </w:r>
      <w:r w:rsidRPr="007940DB">
        <w:t>illion write off of bed licences will not impact the sector’s cash balance as there is no cash outflow.</w:t>
      </w:r>
    </w:p>
    <w:p w14:paraId="2C912A29" w14:textId="028CD855" w:rsidR="0016612A" w:rsidRDefault="00A55F40" w:rsidP="00706D0A">
      <w:pPr>
        <w:pStyle w:val="Caption"/>
      </w:pPr>
      <w:bookmarkStart w:id="162" w:name="_Ref162515768"/>
      <w:bookmarkStart w:id="163" w:name="_Toc173428896"/>
      <w:r>
        <w:t xml:space="preserve">Table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3</w:t>
      </w:r>
      <w:r w:rsidR="00AE19AA">
        <w:rPr>
          <w:noProof/>
        </w:rPr>
        <w:fldChar w:fldCharType="end"/>
      </w:r>
      <w:bookmarkEnd w:id="162"/>
      <w:r>
        <w:t xml:space="preserve">: </w:t>
      </w:r>
      <w:r w:rsidRPr="00140C87">
        <w:t>Disaggregated balance sheet by provider ownership type, at 30 June 202</w:t>
      </w:r>
      <w:r w:rsidR="00C64B01">
        <w:t>3</w:t>
      </w:r>
      <w:r w:rsidRPr="00140C87">
        <w:t xml:space="preserve"> ($m)</w:t>
      </w:r>
      <w:bookmarkEnd w:id="163"/>
    </w:p>
    <w:tbl>
      <w:tblPr>
        <w:tblW w:w="8992" w:type="dxa"/>
        <w:tblLook w:val="04A0" w:firstRow="1" w:lastRow="0" w:firstColumn="1" w:lastColumn="0" w:noHBand="0" w:noVBand="1"/>
      </w:tblPr>
      <w:tblGrid>
        <w:gridCol w:w="3280"/>
        <w:gridCol w:w="1380"/>
        <w:gridCol w:w="1534"/>
        <w:gridCol w:w="1418"/>
        <w:gridCol w:w="1380"/>
      </w:tblGrid>
      <w:tr w:rsidR="00560E98" w:rsidRPr="00560E98" w14:paraId="1AC1A6C3" w14:textId="77777777" w:rsidTr="0045338E">
        <w:trPr>
          <w:trHeight w:val="815"/>
        </w:trPr>
        <w:tc>
          <w:tcPr>
            <w:tcW w:w="3323" w:type="dxa"/>
            <w:tcBorders>
              <w:top w:val="nil"/>
              <w:left w:val="nil"/>
              <w:bottom w:val="nil"/>
              <w:right w:val="nil"/>
            </w:tcBorders>
            <w:shd w:val="clear" w:color="000000" w:fill="1E1545"/>
            <w:vAlign w:val="bottom"/>
            <w:hideMark/>
          </w:tcPr>
          <w:p w14:paraId="494972F2" w14:textId="77777777" w:rsidR="00560E98" w:rsidRPr="00560E98" w:rsidRDefault="00560E98" w:rsidP="00560E98">
            <w:pPr>
              <w:spacing w:before="0" w:after="0" w:line="240" w:lineRule="auto"/>
              <w:rPr>
                <w:rFonts w:cs="Arial"/>
                <w:bCs w:val="0"/>
                <w:color w:val="F1F2F2"/>
                <w:sz w:val="21"/>
                <w:szCs w:val="21"/>
                <w:lang w:eastAsia="en-AU"/>
              </w:rPr>
            </w:pPr>
            <w:r w:rsidRPr="00560E98">
              <w:rPr>
                <w:rFonts w:cs="Arial"/>
                <w:bCs w:val="0"/>
                <w:color w:val="F1F2F2"/>
                <w:sz w:val="21"/>
                <w:szCs w:val="21"/>
                <w:lang w:eastAsia="en-AU"/>
              </w:rPr>
              <w:t> </w:t>
            </w:r>
          </w:p>
        </w:tc>
        <w:tc>
          <w:tcPr>
            <w:tcW w:w="1380" w:type="dxa"/>
            <w:tcBorders>
              <w:top w:val="nil"/>
              <w:left w:val="nil"/>
              <w:bottom w:val="nil"/>
              <w:right w:val="nil"/>
            </w:tcBorders>
            <w:shd w:val="clear" w:color="000000" w:fill="1E1545"/>
            <w:vAlign w:val="center"/>
            <w:hideMark/>
          </w:tcPr>
          <w:p w14:paraId="21CB994A" w14:textId="77777777" w:rsidR="00560E98" w:rsidRPr="00560E98" w:rsidRDefault="00560E98" w:rsidP="00F625C4">
            <w:pPr>
              <w:spacing w:before="0" w:after="0" w:line="240" w:lineRule="auto"/>
              <w:jc w:val="right"/>
              <w:rPr>
                <w:rFonts w:cs="Arial"/>
                <w:b/>
                <w:color w:val="F1F2F2"/>
                <w:sz w:val="21"/>
                <w:szCs w:val="21"/>
                <w:lang w:eastAsia="en-AU"/>
              </w:rPr>
            </w:pPr>
            <w:r w:rsidRPr="00560E98">
              <w:rPr>
                <w:rFonts w:cs="Arial"/>
                <w:b/>
                <w:color w:val="F1F2F2"/>
                <w:sz w:val="21"/>
                <w:szCs w:val="21"/>
                <w:lang w:eastAsia="en-AU"/>
              </w:rPr>
              <w:t>For-profit ($m)</w:t>
            </w:r>
          </w:p>
        </w:tc>
        <w:tc>
          <w:tcPr>
            <w:tcW w:w="1534" w:type="dxa"/>
            <w:tcBorders>
              <w:top w:val="nil"/>
              <w:left w:val="nil"/>
              <w:bottom w:val="nil"/>
              <w:right w:val="nil"/>
            </w:tcBorders>
            <w:shd w:val="clear" w:color="000000" w:fill="1E1545"/>
            <w:vAlign w:val="center"/>
            <w:hideMark/>
          </w:tcPr>
          <w:p w14:paraId="1AC46A87" w14:textId="77777777" w:rsidR="00560E98" w:rsidRPr="00560E98" w:rsidRDefault="00560E98" w:rsidP="00F625C4">
            <w:pPr>
              <w:spacing w:before="0" w:after="0" w:line="240" w:lineRule="auto"/>
              <w:jc w:val="right"/>
              <w:rPr>
                <w:rFonts w:cs="Arial"/>
                <w:b/>
                <w:color w:val="F1F2F2"/>
                <w:sz w:val="21"/>
                <w:szCs w:val="21"/>
                <w:lang w:eastAsia="en-AU"/>
              </w:rPr>
            </w:pPr>
            <w:r w:rsidRPr="00560E98">
              <w:rPr>
                <w:rFonts w:cs="Arial"/>
                <w:b/>
                <w:color w:val="F1F2F2"/>
                <w:sz w:val="21"/>
                <w:szCs w:val="21"/>
                <w:lang w:eastAsia="en-AU"/>
              </w:rPr>
              <w:t>Not-for-profit ($m)</w:t>
            </w:r>
          </w:p>
        </w:tc>
        <w:tc>
          <w:tcPr>
            <w:tcW w:w="1375" w:type="dxa"/>
            <w:tcBorders>
              <w:top w:val="nil"/>
              <w:left w:val="nil"/>
              <w:bottom w:val="nil"/>
              <w:right w:val="nil"/>
            </w:tcBorders>
            <w:shd w:val="clear" w:color="000000" w:fill="1E1545"/>
            <w:vAlign w:val="center"/>
            <w:hideMark/>
          </w:tcPr>
          <w:p w14:paraId="7C376AD2" w14:textId="77777777" w:rsidR="00560E98" w:rsidRPr="00560E98" w:rsidRDefault="00560E98" w:rsidP="00F625C4">
            <w:pPr>
              <w:spacing w:before="0" w:after="0" w:line="240" w:lineRule="auto"/>
              <w:jc w:val="right"/>
              <w:rPr>
                <w:rFonts w:cs="Arial"/>
                <w:b/>
                <w:color w:val="F1F2F2"/>
                <w:sz w:val="21"/>
                <w:szCs w:val="21"/>
                <w:lang w:eastAsia="en-AU"/>
              </w:rPr>
            </w:pPr>
            <w:r w:rsidRPr="00560E98">
              <w:rPr>
                <w:rFonts w:cs="Arial"/>
                <w:b/>
                <w:color w:val="F1F2F2"/>
                <w:sz w:val="21"/>
                <w:szCs w:val="21"/>
                <w:lang w:eastAsia="en-AU"/>
              </w:rPr>
              <w:t>LST government ($m)</w:t>
            </w:r>
          </w:p>
        </w:tc>
        <w:tc>
          <w:tcPr>
            <w:tcW w:w="1380" w:type="dxa"/>
            <w:tcBorders>
              <w:top w:val="nil"/>
              <w:left w:val="nil"/>
              <w:bottom w:val="nil"/>
              <w:right w:val="nil"/>
            </w:tcBorders>
            <w:shd w:val="clear" w:color="000000" w:fill="1E1545"/>
            <w:vAlign w:val="center"/>
            <w:hideMark/>
          </w:tcPr>
          <w:p w14:paraId="7509F9D0" w14:textId="77777777" w:rsidR="00560E98" w:rsidRPr="00560E98" w:rsidRDefault="00560E98" w:rsidP="00F625C4">
            <w:pPr>
              <w:spacing w:before="0" w:after="0" w:line="240" w:lineRule="auto"/>
              <w:jc w:val="right"/>
              <w:rPr>
                <w:rFonts w:cs="Arial"/>
                <w:b/>
                <w:color w:val="F1F2F2"/>
                <w:sz w:val="21"/>
                <w:szCs w:val="21"/>
                <w:lang w:eastAsia="en-AU"/>
              </w:rPr>
            </w:pPr>
            <w:r w:rsidRPr="00560E98">
              <w:rPr>
                <w:rFonts w:cs="Arial"/>
                <w:b/>
                <w:color w:val="F1F2F2"/>
                <w:sz w:val="21"/>
                <w:szCs w:val="21"/>
                <w:lang w:eastAsia="en-AU"/>
              </w:rPr>
              <w:t>All providers ($m)</w:t>
            </w:r>
          </w:p>
        </w:tc>
      </w:tr>
      <w:tr w:rsidR="00560E98" w:rsidRPr="00560E98" w14:paraId="10114AA7"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1227469B"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Assets</w:t>
            </w:r>
          </w:p>
        </w:tc>
        <w:tc>
          <w:tcPr>
            <w:tcW w:w="1380" w:type="dxa"/>
            <w:tcBorders>
              <w:top w:val="nil"/>
              <w:left w:val="nil"/>
              <w:bottom w:val="single" w:sz="8" w:space="0" w:color="auto"/>
              <w:right w:val="nil"/>
            </w:tcBorders>
            <w:shd w:val="clear" w:color="000000" w:fill="D8DADA"/>
            <w:noWrap/>
            <w:hideMark/>
          </w:tcPr>
          <w:p w14:paraId="07CC71E4"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4939F98A"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5027086F"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047B7A59"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23894886"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0269A37E"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Current assets</w:t>
            </w:r>
          </w:p>
        </w:tc>
        <w:tc>
          <w:tcPr>
            <w:tcW w:w="1380" w:type="dxa"/>
            <w:tcBorders>
              <w:top w:val="nil"/>
              <w:left w:val="nil"/>
              <w:bottom w:val="single" w:sz="8" w:space="0" w:color="auto"/>
              <w:right w:val="nil"/>
            </w:tcBorders>
            <w:shd w:val="clear" w:color="000000" w:fill="D8DADA"/>
            <w:noWrap/>
            <w:hideMark/>
          </w:tcPr>
          <w:p w14:paraId="29B1BC71"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22970037"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15EFFB33"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3284965D"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2988E8AC"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4B0153E"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Cash</w:t>
            </w:r>
          </w:p>
        </w:tc>
        <w:tc>
          <w:tcPr>
            <w:tcW w:w="1380" w:type="dxa"/>
            <w:tcBorders>
              <w:top w:val="nil"/>
              <w:left w:val="nil"/>
              <w:bottom w:val="single" w:sz="8" w:space="0" w:color="auto"/>
              <w:right w:val="nil"/>
            </w:tcBorders>
            <w:shd w:val="clear" w:color="000000" w:fill="FFFFFF"/>
            <w:noWrap/>
            <w:vAlign w:val="center"/>
            <w:hideMark/>
          </w:tcPr>
          <w:p w14:paraId="522BE03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$1,373</w:t>
            </w:r>
          </w:p>
        </w:tc>
        <w:tc>
          <w:tcPr>
            <w:tcW w:w="1534" w:type="dxa"/>
            <w:tcBorders>
              <w:top w:val="nil"/>
              <w:left w:val="nil"/>
              <w:bottom w:val="single" w:sz="8" w:space="0" w:color="auto"/>
              <w:right w:val="nil"/>
            </w:tcBorders>
            <w:shd w:val="clear" w:color="000000" w:fill="FFFFFF"/>
            <w:noWrap/>
            <w:vAlign w:val="center"/>
            <w:hideMark/>
          </w:tcPr>
          <w:p w14:paraId="78446428"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$2,150</w:t>
            </w:r>
          </w:p>
        </w:tc>
        <w:tc>
          <w:tcPr>
            <w:tcW w:w="1375" w:type="dxa"/>
            <w:tcBorders>
              <w:top w:val="nil"/>
              <w:left w:val="nil"/>
              <w:bottom w:val="single" w:sz="8" w:space="0" w:color="auto"/>
              <w:right w:val="nil"/>
            </w:tcBorders>
            <w:shd w:val="clear" w:color="000000" w:fill="FFFFFF"/>
            <w:noWrap/>
            <w:vAlign w:val="center"/>
            <w:hideMark/>
          </w:tcPr>
          <w:p w14:paraId="72C340B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$225</w:t>
            </w:r>
          </w:p>
        </w:tc>
        <w:tc>
          <w:tcPr>
            <w:tcW w:w="1380" w:type="dxa"/>
            <w:tcBorders>
              <w:top w:val="nil"/>
              <w:left w:val="nil"/>
              <w:bottom w:val="single" w:sz="8" w:space="0" w:color="auto"/>
              <w:right w:val="nil"/>
            </w:tcBorders>
            <w:shd w:val="clear" w:color="000000" w:fill="FFFFFF"/>
            <w:noWrap/>
            <w:vAlign w:val="center"/>
            <w:hideMark/>
          </w:tcPr>
          <w:p w14:paraId="4797E71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$3,748</w:t>
            </w:r>
          </w:p>
        </w:tc>
      </w:tr>
      <w:tr w:rsidR="00560E98" w:rsidRPr="00560E98" w14:paraId="5F196A41"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0452D260"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Financial assets</w:t>
            </w:r>
          </w:p>
        </w:tc>
        <w:tc>
          <w:tcPr>
            <w:tcW w:w="1380" w:type="dxa"/>
            <w:tcBorders>
              <w:top w:val="nil"/>
              <w:left w:val="nil"/>
              <w:bottom w:val="single" w:sz="8" w:space="0" w:color="auto"/>
              <w:right w:val="nil"/>
            </w:tcBorders>
            <w:shd w:val="clear" w:color="000000" w:fill="FFFFFF"/>
            <w:noWrap/>
            <w:vAlign w:val="center"/>
            <w:hideMark/>
          </w:tcPr>
          <w:p w14:paraId="785D4FB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$193</w:t>
            </w:r>
          </w:p>
        </w:tc>
        <w:tc>
          <w:tcPr>
            <w:tcW w:w="1534" w:type="dxa"/>
            <w:tcBorders>
              <w:top w:val="nil"/>
              <w:left w:val="nil"/>
              <w:bottom w:val="single" w:sz="8" w:space="0" w:color="auto"/>
              <w:right w:val="nil"/>
            </w:tcBorders>
            <w:shd w:val="clear" w:color="000000" w:fill="FFFFFF"/>
            <w:noWrap/>
            <w:vAlign w:val="center"/>
            <w:hideMark/>
          </w:tcPr>
          <w:p w14:paraId="2EC80B1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$1,627</w:t>
            </w:r>
          </w:p>
        </w:tc>
        <w:tc>
          <w:tcPr>
            <w:tcW w:w="1375" w:type="dxa"/>
            <w:tcBorders>
              <w:top w:val="nil"/>
              <w:left w:val="nil"/>
              <w:bottom w:val="single" w:sz="8" w:space="0" w:color="auto"/>
              <w:right w:val="nil"/>
            </w:tcBorders>
            <w:shd w:val="clear" w:color="000000" w:fill="FFFFFF"/>
            <w:noWrap/>
            <w:vAlign w:val="center"/>
            <w:hideMark/>
          </w:tcPr>
          <w:p w14:paraId="4B5DD1C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$170</w:t>
            </w:r>
          </w:p>
        </w:tc>
        <w:tc>
          <w:tcPr>
            <w:tcW w:w="1380" w:type="dxa"/>
            <w:tcBorders>
              <w:top w:val="nil"/>
              <w:left w:val="nil"/>
              <w:bottom w:val="single" w:sz="8" w:space="0" w:color="auto"/>
              <w:right w:val="nil"/>
            </w:tcBorders>
            <w:shd w:val="clear" w:color="000000" w:fill="FFFFFF"/>
            <w:noWrap/>
            <w:vAlign w:val="center"/>
            <w:hideMark/>
          </w:tcPr>
          <w:p w14:paraId="6946E05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$1,990</w:t>
            </w:r>
          </w:p>
        </w:tc>
      </w:tr>
      <w:tr w:rsidR="00560E98" w:rsidRPr="00560E98" w14:paraId="6D9A5E96"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D0E3B18"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Trade receivables</w:t>
            </w:r>
          </w:p>
        </w:tc>
        <w:tc>
          <w:tcPr>
            <w:tcW w:w="1380" w:type="dxa"/>
            <w:tcBorders>
              <w:top w:val="nil"/>
              <w:left w:val="nil"/>
              <w:bottom w:val="single" w:sz="8" w:space="0" w:color="auto"/>
              <w:right w:val="nil"/>
            </w:tcBorders>
            <w:shd w:val="clear" w:color="000000" w:fill="FFFFFF"/>
            <w:noWrap/>
            <w:vAlign w:val="center"/>
            <w:hideMark/>
          </w:tcPr>
          <w:p w14:paraId="55FDEEB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$137</w:t>
            </w:r>
          </w:p>
        </w:tc>
        <w:tc>
          <w:tcPr>
            <w:tcW w:w="1534" w:type="dxa"/>
            <w:tcBorders>
              <w:top w:val="nil"/>
              <w:left w:val="nil"/>
              <w:bottom w:val="single" w:sz="8" w:space="0" w:color="auto"/>
              <w:right w:val="nil"/>
            </w:tcBorders>
            <w:shd w:val="clear" w:color="000000" w:fill="FFFFFF"/>
            <w:noWrap/>
            <w:vAlign w:val="center"/>
            <w:hideMark/>
          </w:tcPr>
          <w:p w14:paraId="09BCE5F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$269</w:t>
            </w:r>
          </w:p>
        </w:tc>
        <w:tc>
          <w:tcPr>
            <w:tcW w:w="1375" w:type="dxa"/>
            <w:tcBorders>
              <w:top w:val="nil"/>
              <w:left w:val="nil"/>
              <w:bottom w:val="single" w:sz="8" w:space="0" w:color="auto"/>
              <w:right w:val="nil"/>
            </w:tcBorders>
            <w:shd w:val="clear" w:color="000000" w:fill="FFFFFF"/>
            <w:noWrap/>
            <w:vAlign w:val="center"/>
            <w:hideMark/>
          </w:tcPr>
          <w:p w14:paraId="2ECDE5C8"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$28</w:t>
            </w:r>
          </w:p>
        </w:tc>
        <w:tc>
          <w:tcPr>
            <w:tcW w:w="1380" w:type="dxa"/>
            <w:tcBorders>
              <w:top w:val="nil"/>
              <w:left w:val="nil"/>
              <w:bottom w:val="single" w:sz="8" w:space="0" w:color="auto"/>
              <w:right w:val="nil"/>
            </w:tcBorders>
            <w:shd w:val="clear" w:color="000000" w:fill="FFFFFF"/>
            <w:noWrap/>
            <w:vAlign w:val="center"/>
            <w:hideMark/>
          </w:tcPr>
          <w:p w14:paraId="2BF4E8F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$434</w:t>
            </w:r>
          </w:p>
        </w:tc>
      </w:tr>
      <w:tr w:rsidR="00560E98" w:rsidRPr="00560E98" w14:paraId="6291606A"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562BA14B"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RADs &amp; RACs receivable</w:t>
            </w:r>
          </w:p>
        </w:tc>
        <w:tc>
          <w:tcPr>
            <w:tcW w:w="1380" w:type="dxa"/>
            <w:tcBorders>
              <w:top w:val="nil"/>
              <w:left w:val="nil"/>
              <w:bottom w:val="single" w:sz="8" w:space="0" w:color="auto"/>
              <w:right w:val="nil"/>
            </w:tcBorders>
            <w:shd w:val="clear" w:color="000000" w:fill="FFFFFF"/>
            <w:noWrap/>
            <w:vAlign w:val="center"/>
            <w:hideMark/>
          </w:tcPr>
          <w:p w14:paraId="62D79D6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$549</w:t>
            </w:r>
          </w:p>
        </w:tc>
        <w:tc>
          <w:tcPr>
            <w:tcW w:w="1534" w:type="dxa"/>
            <w:tcBorders>
              <w:top w:val="nil"/>
              <w:left w:val="nil"/>
              <w:bottom w:val="single" w:sz="8" w:space="0" w:color="auto"/>
              <w:right w:val="nil"/>
            </w:tcBorders>
            <w:shd w:val="clear" w:color="000000" w:fill="FFFFFF"/>
            <w:noWrap/>
            <w:vAlign w:val="center"/>
            <w:hideMark/>
          </w:tcPr>
          <w:p w14:paraId="04BD51A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$335</w:t>
            </w:r>
          </w:p>
        </w:tc>
        <w:tc>
          <w:tcPr>
            <w:tcW w:w="1375" w:type="dxa"/>
            <w:tcBorders>
              <w:top w:val="nil"/>
              <w:left w:val="nil"/>
              <w:bottom w:val="single" w:sz="8" w:space="0" w:color="auto"/>
              <w:right w:val="nil"/>
            </w:tcBorders>
            <w:shd w:val="clear" w:color="000000" w:fill="FFFFFF"/>
            <w:noWrap/>
            <w:vAlign w:val="center"/>
            <w:hideMark/>
          </w:tcPr>
          <w:p w14:paraId="6DF15A9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$94</w:t>
            </w:r>
          </w:p>
        </w:tc>
        <w:tc>
          <w:tcPr>
            <w:tcW w:w="1380" w:type="dxa"/>
            <w:tcBorders>
              <w:top w:val="nil"/>
              <w:left w:val="nil"/>
              <w:bottom w:val="single" w:sz="8" w:space="0" w:color="auto"/>
              <w:right w:val="nil"/>
            </w:tcBorders>
            <w:shd w:val="clear" w:color="000000" w:fill="FFFFFF"/>
            <w:noWrap/>
            <w:vAlign w:val="center"/>
            <w:hideMark/>
          </w:tcPr>
          <w:p w14:paraId="5F2D292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$977</w:t>
            </w:r>
          </w:p>
        </w:tc>
      </w:tr>
      <w:tr w:rsidR="00560E98" w:rsidRPr="00560E98" w14:paraId="2FDB56E7"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7E2C9DC4"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Related party loans</w:t>
            </w:r>
          </w:p>
        </w:tc>
        <w:tc>
          <w:tcPr>
            <w:tcW w:w="1380" w:type="dxa"/>
            <w:tcBorders>
              <w:top w:val="nil"/>
              <w:left w:val="nil"/>
              <w:bottom w:val="single" w:sz="8" w:space="0" w:color="auto"/>
              <w:right w:val="nil"/>
            </w:tcBorders>
            <w:shd w:val="clear" w:color="000000" w:fill="FFFFFF"/>
            <w:noWrap/>
            <w:vAlign w:val="center"/>
            <w:hideMark/>
          </w:tcPr>
          <w:p w14:paraId="10AD718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$1,940</w:t>
            </w:r>
          </w:p>
        </w:tc>
        <w:tc>
          <w:tcPr>
            <w:tcW w:w="1534" w:type="dxa"/>
            <w:tcBorders>
              <w:top w:val="nil"/>
              <w:left w:val="nil"/>
              <w:bottom w:val="single" w:sz="8" w:space="0" w:color="auto"/>
              <w:right w:val="nil"/>
            </w:tcBorders>
            <w:shd w:val="clear" w:color="000000" w:fill="FFFFFF"/>
            <w:noWrap/>
            <w:vAlign w:val="center"/>
            <w:hideMark/>
          </w:tcPr>
          <w:p w14:paraId="68E9DFC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$740</w:t>
            </w:r>
          </w:p>
        </w:tc>
        <w:tc>
          <w:tcPr>
            <w:tcW w:w="1375" w:type="dxa"/>
            <w:tcBorders>
              <w:top w:val="nil"/>
              <w:left w:val="nil"/>
              <w:bottom w:val="single" w:sz="8" w:space="0" w:color="auto"/>
              <w:right w:val="nil"/>
            </w:tcBorders>
            <w:shd w:val="clear" w:color="000000" w:fill="FFFFFF"/>
            <w:noWrap/>
            <w:vAlign w:val="center"/>
            <w:hideMark/>
          </w:tcPr>
          <w:p w14:paraId="6F39A50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w:t>
            </w:r>
          </w:p>
        </w:tc>
        <w:tc>
          <w:tcPr>
            <w:tcW w:w="1380" w:type="dxa"/>
            <w:tcBorders>
              <w:top w:val="nil"/>
              <w:left w:val="nil"/>
              <w:bottom w:val="single" w:sz="8" w:space="0" w:color="auto"/>
              <w:right w:val="nil"/>
            </w:tcBorders>
            <w:shd w:val="clear" w:color="000000" w:fill="FFFFFF"/>
            <w:noWrap/>
            <w:vAlign w:val="center"/>
            <w:hideMark/>
          </w:tcPr>
          <w:p w14:paraId="117E284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$2,684</w:t>
            </w:r>
          </w:p>
        </w:tc>
      </w:tr>
      <w:tr w:rsidR="00560E98" w:rsidRPr="00560E98" w14:paraId="7106CCDF"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0CA1971D"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Non-Related party loans</w:t>
            </w:r>
          </w:p>
        </w:tc>
        <w:tc>
          <w:tcPr>
            <w:tcW w:w="1380" w:type="dxa"/>
            <w:tcBorders>
              <w:top w:val="nil"/>
              <w:left w:val="nil"/>
              <w:bottom w:val="single" w:sz="8" w:space="0" w:color="auto"/>
              <w:right w:val="nil"/>
            </w:tcBorders>
            <w:shd w:val="clear" w:color="000000" w:fill="FFFFFF"/>
            <w:noWrap/>
            <w:vAlign w:val="center"/>
            <w:hideMark/>
          </w:tcPr>
          <w:p w14:paraId="2E2EFA0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$10</w:t>
            </w:r>
          </w:p>
        </w:tc>
        <w:tc>
          <w:tcPr>
            <w:tcW w:w="1534" w:type="dxa"/>
            <w:tcBorders>
              <w:top w:val="nil"/>
              <w:left w:val="nil"/>
              <w:bottom w:val="single" w:sz="8" w:space="0" w:color="auto"/>
              <w:right w:val="nil"/>
            </w:tcBorders>
            <w:shd w:val="clear" w:color="000000" w:fill="FFFFFF"/>
            <w:noWrap/>
            <w:vAlign w:val="center"/>
            <w:hideMark/>
          </w:tcPr>
          <w:p w14:paraId="5B3B4EE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$10</w:t>
            </w:r>
          </w:p>
        </w:tc>
        <w:tc>
          <w:tcPr>
            <w:tcW w:w="1375" w:type="dxa"/>
            <w:tcBorders>
              <w:top w:val="nil"/>
              <w:left w:val="nil"/>
              <w:bottom w:val="single" w:sz="8" w:space="0" w:color="auto"/>
              <w:right w:val="nil"/>
            </w:tcBorders>
            <w:shd w:val="clear" w:color="000000" w:fill="FFFFFF"/>
            <w:noWrap/>
            <w:vAlign w:val="center"/>
            <w:hideMark/>
          </w:tcPr>
          <w:p w14:paraId="0D4F357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w:t>
            </w:r>
          </w:p>
        </w:tc>
        <w:tc>
          <w:tcPr>
            <w:tcW w:w="1380" w:type="dxa"/>
            <w:tcBorders>
              <w:top w:val="nil"/>
              <w:left w:val="nil"/>
              <w:bottom w:val="single" w:sz="8" w:space="0" w:color="auto"/>
              <w:right w:val="nil"/>
            </w:tcBorders>
            <w:shd w:val="clear" w:color="000000" w:fill="FFFFFF"/>
            <w:noWrap/>
            <w:vAlign w:val="center"/>
            <w:hideMark/>
          </w:tcPr>
          <w:p w14:paraId="32C2AA2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$20</w:t>
            </w:r>
          </w:p>
        </w:tc>
      </w:tr>
      <w:tr w:rsidR="00560E98" w:rsidRPr="00560E98" w14:paraId="06E233A1"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2CEE6905"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Other current assets</w:t>
            </w:r>
          </w:p>
        </w:tc>
        <w:tc>
          <w:tcPr>
            <w:tcW w:w="1380" w:type="dxa"/>
            <w:tcBorders>
              <w:top w:val="nil"/>
              <w:left w:val="nil"/>
              <w:bottom w:val="single" w:sz="8" w:space="0" w:color="auto"/>
              <w:right w:val="nil"/>
            </w:tcBorders>
            <w:shd w:val="clear" w:color="000000" w:fill="FFFFFF"/>
            <w:noWrap/>
            <w:vAlign w:val="center"/>
            <w:hideMark/>
          </w:tcPr>
          <w:p w14:paraId="513FAEC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$464</w:t>
            </w:r>
          </w:p>
        </w:tc>
        <w:tc>
          <w:tcPr>
            <w:tcW w:w="1534" w:type="dxa"/>
            <w:tcBorders>
              <w:top w:val="nil"/>
              <w:left w:val="nil"/>
              <w:bottom w:val="single" w:sz="8" w:space="0" w:color="auto"/>
              <w:right w:val="nil"/>
            </w:tcBorders>
            <w:shd w:val="clear" w:color="000000" w:fill="FFFFFF"/>
            <w:noWrap/>
            <w:vAlign w:val="center"/>
            <w:hideMark/>
          </w:tcPr>
          <w:p w14:paraId="1320A02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$369</w:t>
            </w:r>
          </w:p>
        </w:tc>
        <w:tc>
          <w:tcPr>
            <w:tcW w:w="1375" w:type="dxa"/>
            <w:tcBorders>
              <w:top w:val="nil"/>
              <w:left w:val="nil"/>
              <w:bottom w:val="single" w:sz="8" w:space="0" w:color="auto"/>
              <w:right w:val="nil"/>
            </w:tcBorders>
            <w:shd w:val="clear" w:color="000000" w:fill="FFFFFF"/>
            <w:noWrap/>
            <w:vAlign w:val="center"/>
            <w:hideMark/>
          </w:tcPr>
          <w:p w14:paraId="65AB95F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$39</w:t>
            </w:r>
          </w:p>
        </w:tc>
        <w:tc>
          <w:tcPr>
            <w:tcW w:w="1380" w:type="dxa"/>
            <w:tcBorders>
              <w:top w:val="nil"/>
              <w:left w:val="nil"/>
              <w:bottom w:val="single" w:sz="8" w:space="0" w:color="auto"/>
              <w:right w:val="nil"/>
            </w:tcBorders>
            <w:shd w:val="clear" w:color="000000" w:fill="FFFFFF"/>
            <w:noWrap/>
            <w:vAlign w:val="center"/>
            <w:hideMark/>
          </w:tcPr>
          <w:p w14:paraId="02A4C9E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$872</w:t>
            </w:r>
          </w:p>
        </w:tc>
      </w:tr>
      <w:tr w:rsidR="00560E98" w:rsidRPr="00560E98" w14:paraId="3250C0F5"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2EE36E60"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current assets</w:t>
            </w:r>
          </w:p>
        </w:tc>
        <w:tc>
          <w:tcPr>
            <w:tcW w:w="1380" w:type="dxa"/>
            <w:tcBorders>
              <w:top w:val="nil"/>
              <w:left w:val="nil"/>
              <w:bottom w:val="single" w:sz="8" w:space="0" w:color="auto"/>
              <w:right w:val="nil"/>
            </w:tcBorders>
            <w:shd w:val="clear" w:color="000000" w:fill="D8DADA"/>
            <w:noWrap/>
            <w:vAlign w:val="center"/>
            <w:hideMark/>
          </w:tcPr>
          <w:p w14:paraId="660E1CE6"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$4,666</w:t>
            </w:r>
          </w:p>
        </w:tc>
        <w:tc>
          <w:tcPr>
            <w:tcW w:w="1534" w:type="dxa"/>
            <w:tcBorders>
              <w:top w:val="nil"/>
              <w:left w:val="nil"/>
              <w:bottom w:val="single" w:sz="8" w:space="0" w:color="auto"/>
              <w:right w:val="nil"/>
            </w:tcBorders>
            <w:shd w:val="clear" w:color="000000" w:fill="D8DADA"/>
            <w:noWrap/>
            <w:vAlign w:val="center"/>
            <w:hideMark/>
          </w:tcPr>
          <w:p w14:paraId="467791D0"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$5,499</w:t>
            </w:r>
          </w:p>
        </w:tc>
        <w:tc>
          <w:tcPr>
            <w:tcW w:w="1375" w:type="dxa"/>
            <w:tcBorders>
              <w:top w:val="nil"/>
              <w:left w:val="nil"/>
              <w:bottom w:val="single" w:sz="8" w:space="0" w:color="auto"/>
              <w:right w:val="nil"/>
            </w:tcBorders>
            <w:shd w:val="clear" w:color="000000" w:fill="D8DADA"/>
            <w:noWrap/>
            <w:vAlign w:val="center"/>
            <w:hideMark/>
          </w:tcPr>
          <w:p w14:paraId="7421AA15"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$560</w:t>
            </w:r>
          </w:p>
        </w:tc>
        <w:tc>
          <w:tcPr>
            <w:tcW w:w="1380" w:type="dxa"/>
            <w:tcBorders>
              <w:top w:val="nil"/>
              <w:left w:val="nil"/>
              <w:bottom w:val="single" w:sz="8" w:space="0" w:color="auto"/>
              <w:right w:val="nil"/>
            </w:tcBorders>
            <w:shd w:val="clear" w:color="000000" w:fill="D8DADA"/>
            <w:noWrap/>
            <w:vAlign w:val="center"/>
            <w:hideMark/>
          </w:tcPr>
          <w:p w14:paraId="4A86D97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$10,725</w:t>
            </w:r>
          </w:p>
        </w:tc>
      </w:tr>
      <w:tr w:rsidR="00560E98" w:rsidRPr="00560E98" w14:paraId="4F5EFBCC"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5F0748F9"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Non-current assets</w:t>
            </w:r>
          </w:p>
        </w:tc>
        <w:tc>
          <w:tcPr>
            <w:tcW w:w="1380" w:type="dxa"/>
            <w:tcBorders>
              <w:top w:val="nil"/>
              <w:left w:val="nil"/>
              <w:bottom w:val="single" w:sz="8" w:space="0" w:color="auto"/>
              <w:right w:val="nil"/>
            </w:tcBorders>
            <w:shd w:val="clear" w:color="000000" w:fill="D8DADA"/>
            <w:noWrap/>
            <w:hideMark/>
          </w:tcPr>
          <w:p w14:paraId="35876DB9"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27890FF3"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5035AA87"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35DBE14C"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00CB7043"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09EE9D20"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Financial assets</w:t>
            </w:r>
          </w:p>
        </w:tc>
        <w:tc>
          <w:tcPr>
            <w:tcW w:w="1380" w:type="dxa"/>
            <w:tcBorders>
              <w:top w:val="nil"/>
              <w:left w:val="nil"/>
              <w:bottom w:val="single" w:sz="8" w:space="0" w:color="auto"/>
              <w:right w:val="nil"/>
            </w:tcBorders>
            <w:shd w:val="clear" w:color="000000" w:fill="FFFFFF"/>
            <w:noWrap/>
            <w:vAlign w:val="center"/>
            <w:hideMark/>
          </w:tcPr>
          <w:p w14:paraId="220E8A3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$488</w:t>
            </w:r>
          </w:p>
        </w:tc>
        <w:tc>
          <w:tcPr>
            <w:tcW w:w="1534" w:type="dxa"/>
            <w:tcBorders>
              <w:top w:val="nil"/>
              <w:left w:val="nil"/>
              <w:bottom w:val="single" w:sz="8" w:space="0" w:color="auto"/>
              <w:right w:val="nil"/>
            </w:tcBorders>
            <w:shd w:val="clear" w:color="000000" w:fill="FFFFFF"/>
            <w:noWrap/>
            <w:vAlign w:val="center"/>
            <w:hideMark/>
          </w:tcPr>
          <w:p w14:paraId="22D89B8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$389</w:t>
            </w:r>
          </w:p>
        </w:tc>
        <w:tc>
          <w:tcPr>
            <w:tcW w:w="1375" w:type="dxa"/>
            <w:tcBorders>
              <w:top w:val="nil"/>
              <w:left w:val="nil"/>
              <w:bottom w:val="single" w:sz="8" w:space="0" w:color="auto"/>
              <w:right w:val="nil"/>
            </w:tcBorders>
            <w:shd w:val="clear" w:color="000000" w:fill="FFFFFF"/>
            <w:noWrap/>
            <w:vAlign w:val="center"/>
            <w:hideMark/>
          </w:tcPr>
          <w:p w14:paraId="6AD2303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$46</w:t>
            </w:r>
          </w:p>
        </w:tc>
        <w:tc>
          <w:tcPr>
            <w:tcW w:w="1380" w:type="dxa"/>
            <w:tcBorders>
              <w:top w:val="nil"/>
              <w:left w:val="nil"/>
              <w:bottom w:val="single" w:sz="8" w:space="0" w:color="auto"/>
              <w:right w:val="nil"/>
            </w:tcBorders>
            <w:shd w:val="clear" w:color="000000" w:fill="FFFFFF"/>
            <w:noWrap/>
            <w:vAlign w:val="center"/>
            <w:hideMark/>
          </w:tcPr>
          <w:p w14:paraId="1C90F9C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$922</w:t>
            </w:r>
          </w:p>
        </w:tc>
      </w:tr>
      <w:tr w:rsidR="00560E98" w:rsidRPr="00560E98" w14:paraId="09199EC3"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179E5E75"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Related party loans</w:t>
            </w:r>
          </w:p>
        </w:tc>
        <w:tc>
          <w:tcPr>
            <w:tcW w:w="1380" w:type="dxa"/>
            <w:tcBorders>
              <w:top w:val="nil"/>
              <w:left w:val="nil"/>
              <w:bottom w:val="single" w:sz="8" w:space="0" w:color="auto"/>
              <w:right w:val="nil"/>
            </w:tcBorders>
            <w:shd w:val="clear" w:color="000000" w:fill="FFFFFF"/>
            <w:noWrap/>
            <w:vAlign w:val="center"/>
            <w:hideMark/>
          </w:tcPr>
          <w:p w14:paraId="319A771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$4,604</w:t>
            </w:r>
          </w:p>
        </w:tc>
        <w:tc>
          <w:tcPr>
            <w:tcW w:w="1534" w:type="dxa"/>
            <w:tcBorders>
              <w:top w:val="nil"/>
              <w:left w:val="nil"/>
              <w:bottom w:val="single" w:sz="8" w:space="0" w:color="auto"/>
              <w:right w:val="nil"/>
            </w:tcBorders>
            <w:shd w:val="clear" w:color="000000" w:fill="FFFFFF"/>
            <w:noWrap/>
            <w:vAlign w:val="center"/>
            <w:hideMark/>
          </w:tcPr>
          <w:p w14:paraId="0DD852E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$172</w:t>
            </w:r>
          </w:p>
        </w:tc>
        <w:tc>
          <w:tcPr>
            <w:tcW w:w="1375" w:type="dxa"/>
            <w:tcBorders>
              <w:top w:val="nil"/>
              <w:left w:val="nil"/>
              <w:bottom w:val="single" w:sz="8" w:space="0" w:color="auto"/>
              <w:right w:val="nil"/>
            </w:tcBorders>
            <w:shd w:val="clear" w:color="000000" w:fill="FFFFFF"/>
            <w:noWrap/>
            <w:vAlign w:val="center"/>
            <w:hideMark/>
          </w:tcPr>
          <w:p w14:paraId="3EF0AB4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w:t>
            </w:r>
          </w:p>
        </w:tc>
        <w:tc>
          <w:tcPr>
            <w:tcW w:w="1380" w:type="dxa"/>
            <w:tcBorders>
              <w:top w:val="nil"/>
              <w:left w:val="nil"/>
              <w:bottom w:val="single" w:sz="8" w:space="0" w:color="auto"/>
              <w:right w:val="nil"/>
            </w:tcBorders>
            <w:shd w:val="clear" w:color="000000" w:fill="FFFFFF"/>
            <w:noWrap/>
            <w:vAlign w:val="center"/>
            <w:hideMark/>
          </w:tcPr>
          <w:p w14:paraId="31E714E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$4,779</w:t>
            </w:r>
          </w:p>
        </w:tc>
      </w:tr>
      <w:tr w:rsidR="00560E98" w:rsidRPr="00560E98" w14:paraId="0B4F827F"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36EC6533"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Non-Related party loans</w:t>
            </w:r>
          </w:p>
        </w:tc>
        <w:tc>
          <w:tcPr>
            <w:tcW w:w="1380" w:type="dxa"/>
            <w:tcBorders>
              <w:top w:val="nil"/>
              <w:left w:val="nil"/>
              <w:bottom w:val="single" w:sz="8" w:space="0" w:color="auto"/>
              <w:right w:val="nil"/>
            </w:tcBorders>
            <w:shd w:val="clear" w:color="000000" w:fill="FFFFFF"/>
            <w:noWrap/>
            <w:vAlign w:val="center"/>
            <w:hideMark/>
          </w:tcPr>
          <w:p w14:paraId="25F31E8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w:t>
            </w:r>
          </w:p>
        </w:tc>
        <w:tc>
          <w:tcPr>
            <w:tcW w:w="1534" w:type="dxa"/>
            <w:tcBorders>
              <w:top w:val="nil"/>
              <w:left w:val="nil"/>
              <w:bottom w:val="single" w:sz="8" w:space="0" w:color="auto"/>
              <w:right w:val="nil"/>
            </w:tcBorders>
            <w:shd w:val="clear" w:color="000000" w:fill="FFFFFF"/>
            <w:noWrap/>
            <w:vAlign w:val="center"/>
            <w:hideMark/>
          </w:tcPr>
          <w:p w14:paraId="7AE637E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$20</w:t>
            </w:r>
          </w:p>
        </w:tc>
        <w:tc>
          <w:tcPr>
            <w:tcW w:w="1375" w:type="dxa"/>
            <w:tcBorders>
              <w:top w:val="nil"/>
              <w:left w:val="nil"/>
              <w:bottom w:val="single" w:sz="8" w:space="0" w:color="auto"/>
              <w:right w:val="nil"/>
            </w:tcBorders>
            <w:shd w:val="clear" w:color="000000" w:fill="FFFFFF"/>
            <w:noWrap/>
            <w:vAlign w:val="center"/>
            <w:hideMark/>
          </w:tcPr>
          <w:p w14:paraId="6CFC124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$0</w:t>
            </w:r>
          </w:p>
        </w:tc>
        <w:tc>
          <w:tcPr>
            <w:tcW w:w="1380" w:type="dxa"/>
            <w:tcBorders>
              <w:top w:val="nil"/>
              <w:left w:val="nil"/>
              <w:bottom w:val="single" w:sz="8" w:space="0" w:color="auto"/>
              <w:right w:val="nil"/>
            </w:tcBorders>
            <w:shd w:val="clear" w:color="000000" w:fill="FFFFFF"/>
            <w:noWrap/>
            <w:vAlign w:val="center"/>
            <w:hideMark/>
          </w:tcPr>
          <w:p w14:paraId="1D561AD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$21</w:t>
            </w:r>
          </w:p>
        </w:tc>
      </w:tr>
      <w:tr w:rsidR="00560E98" w:rsidRPr="00560E98" w14:paraId="1C1B7851"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044DE8F4"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Work in progress</w:t>
            </w:r>
          </w:p>
        </w:tc>
        <w:tc>
          <w:tcPr>
            <w:tcW w:w="1380" w:type="dxa"/>
            <w:tcBorders>
              <w:top w:val="nil"/>
              <w:left w:val="nil"/>
              <w:bottom w:val="single" w:sz="8" w:space="0" w:color="auto"/>
              <w:right w:val="nil"/>
            </w:tcBorders>
            <w:shd w:val="clear" w:color="000000" w:fill="FFFFFF"/>
            <w:noWrap/>
            <w:vAlign w:val="center"/>
            <w:hideMark/>
          </w:tcPr>
          <w:p w14:paraId="3BEE8F9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$370</w:t>
            </w:r>
          </w:p>
        </w:tc>
        <w:tc>
          <w:tcPr>
            <w:tcW w:w="1534" w:type="dxa"/>
            <w:tcBorders>
              <w:top w:val="nil"/>
              <w:left w:val="nil"/>
              <w:bottom w:val="single" w:sz="8" w:space="0" w:color="auto"/>
              <w:right w:val="nil"/>
            </w:tcBorders>
            <w:shd w:val="clear" w:color="000000" w:fill="FFFFFF"/>
            <w:noWrap/>
            <w:vAlign w:val="center"/>
            <w:hideMark/>
          </w:tcPr>
          <w:p w14:paraId="4A06669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$843</w:t>
            </w:r>
          </w:p>
        </w:tc>
        <w:tc>
          <w:tcPr>
            <w:tcW w:w="1375" w:type="dxa"/>
            <w:tcBorders>
              <w:top w:val="nil"/>
              <w:left w:val="nil"/>
              <w:bottom w:val="single" w:sz="8" w:space="0" w:color="auto"/>
              <w:right w:val="nil"/>
            </w:tcBorders>
            <w:shd w:val="clear" w:color="000000" w:fill="FFFFFF"/>
            <w:noWrap/>
            <w:vAlign w:val="center"/>
            <w:hideMark/>
          </w:tcPr>
          <w:p w14:paraId="729BBD6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$33</w:t>
            </w:r>
          </w:p>
        </w:tc>
        <w:tc>
          <w:tcPr>
            <w:tcW w:w="1380" w:type="dxa"/>
            <w:tcBorders>
              <w:top w:val="nil"/>
              <w:left w:val="nil"/>
              <w:bottom w:val="single" w:sz="8" w:space="0" w:color="auto"/>
              <w:right w:val="nil"/>
            </w:tcBorders>
            <w:shd w:val="clear" w:color="000000" w:fill="FFFFFF"/>
            <w:noWrap/>
            <w:vAlign w:val="center"/>
            <w:hideMark/>
          </w:tcPr>
          <w:p w14:paraId="5BBDD18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$1,247</w:t>
            </w:r>
          </w:p>
        </w:tc>
      </w:tr>
      <w:tr w:rsidR="00560E98" w:rsidRPr="00560E98" w14:paraId="05AEBBBD"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4E37A37"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Intangibles - bed licences</w:t>
            </w:r>
          </w:p>
        </w:tc>
        <w:tc>
          <w:tcPr>
            <w:tcW w:w="1380" w:type="dxa"/>
            <w:tcBorders>
              <w:top w:val="nil"/>
              <w:left w:val="nil"/>
              <w:bottom w:val="single" w:sz="8" w:space="0" w:color="auto"/>
              <w:right w:val="nil"/>
            </w:tcBorders>
            <w:shd w:val="clear" w:color="000000" w:fill="FFFFFF"/>
            <w:noWrap/>
            <w:vAlign w:val="center"/>
            <w:hideMark/>
          </w:tcPr>
          <w:p w14:paraId="05D4721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$790</w:t>
            </w:r>
          </w:p>
        </w:tc>
        <w:tc>
          <w:tcPr>
            <w:tcW w:w="1534" w:type="dxa"/>
            <w:tcBorders>
              <w:top w:val="nil"/>
              <w:left w:val="nil"/>
              <w:bottom w:val="single" w:sz="8" w:space="0" w:color="auto"/>
              <w:right w:val="nil"/>
            </w:tcBorders>
            <w:shd w:val="clear" w:color="000000" w:fill="FFFFFF"/>
            <w:noWrap/>
            <w:vAlign w:val="center"/>
            <w:hideMark/>
          </w:tcPr>
          <w:p w14:paraId="4228A0B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$207</w:t>
            </w:r>
          </w:p>
        </w:tc>
        <w:tc>
          <w:tcPr>
            <w:tcW w:w="1375" w:type="dxa"/>
            <w:tcBorders>
              <w:top w:val="nil"/>
              <w:left w:val="nil"/>
              <w:bottom w:val="single" w:sz="8" w:space="0" w:color="auto"/>
              <w:right w:val="nil"/>
            </w:tcBorders>
            <w:shd w:val="clear" w:color="000000" w:fill="FFFFFF"/>
            <w:noWrap/>
            <w:vAlign w:val="center"/>
            <w:hideMark/>
          </w:tcPr>
          <w:p w14:paraId="2BAB2CB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$0</w:t>
            </w:r>
          </w:p>
        </w:tc>
        <w:tc>
          <w:tcPr>
            <w:tcW w:w="1380" w:type="dxa"/>
            <w:tcBorders>
              <w:top w:val="nil"/>
              <w:left w:val="nil"/>
              <w:bottom w:val="single" w:sz="8" w:space="0" w:color="auto"/>
              <w:right w:val="nil"/>
            </w:tcBorders>
            <w:shd w:val="clear" w:color="000000" w:fill="FFFFFF"/>
            <w:noWrap/>
            <w:vAlign w:val="center"/>
            <w:hideMark/>
          </w:tcPr>
          <w:p w14:paraId="60DFD30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$997</w:t>
            </w:r>
          </w:p>
        </w:tc>
      </w:tr>
      <w:tr w:rsidR="00560E98" w:rsidRPr="00560E98" w14:paraId="2BF546A6"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1B64E421"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Intangibles - goodwill</w:t>
            </w:r>
          </w:p>
        </w:tc>
        <w:tc>
          <w:tcPr>
            <w:tcW w:w="1380" w:type="dxa"/>
            <w:tcBorders>
              <w:top w:val="nil"/>
              <w:left w:val="nil"/>
              <w:bottom w:val="single" w:sz="8" w:space="0" w:color="auto"/>
              <w:right w:val="nil"/>
            </w:tcBorders>
            <w:shd w:val="clear" w:color="000000" w:fill="FFFFFF"/>
            <w:noWrap/>
            <w:vAlign w:val="center"/>
            <w:hideMark/>
          </w:tcPr>
          <w:p w14:paraId="08908EB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$1,823</w:t>
            </w:r>
          </w:p>
        </w:tc>
        <w:tc>
          <w:tcPr>
            <w:tcW w:w="1534" w:type="dxa"/>
            <w:tcBorders>
              <w:top w:val="nil"/>
              <w:left w:val="nil"/>
              <w:bottom w:val="single" w:sz="8" w:space="0" w:color="auto"/>
              <w:right w:val="nil"/>
            </w:tcBorders>
            <w:shd w:val="clear" w:color="000000" w:fill="FFFFFF"/>
            <w:noWrap/>
            <w:vAlign w:val="center"/>
            <w:hideMark/>
          </w:tcPr>
          <w:p w14:paraId="2CC0F72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$1,234</w:t>
            </w:r>
          </w:p>
        </w:tc>
        <w:tc>
          <w:tcPr>
            <w:tcW w:w="1375" w:type="dxa"/>
            <w:tcBorders>
              <w:top w:val="nil"/>
              <w:left w:val="nil"/>
              <w:bottom w:val="single" w:sz="8" w:space="0" w:color="auto"/>
              <w:right w:val="nil"/>
            </w:tcBorders>
            <w:shd w:val="clear" w:color="000000" w:fill="FFFFFF"/>
            <w:noWrap/>
            <w:vAlign w:val="center"/>
            <w:hideMark/>
          </w:tcPr>
          <w:p w14:paraId="01D73F4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$0</w:t>
            </w:r>
          </w:p>
        </w:tc>
        <w:tc>
          <w:tcPr>
            <w:tcW w:w="1380" w:type="dxa"/>
            <w:tcBorders>
              <w:top w:val="nil"/>
              <w:left w:val="nil"/>
              <w:bottom w:val="single" w:sz="8" w:space="0" w:color="auto"/>
              <w:right w:val="nil"/>
            </w:tcBorders>
            <w:shd w:val="clear" w:color="000000" w:fill="FFFFFF"/>
            <w:noWrap/>
            <w:vAlign w:val="center"/>
            <w:hideMark/>
          </w:tcPr>
          <w:p w14:paraId="39A28C8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$3,057</w:t>
            </w:r>
          </w:p>
        </w:tc>
      </w:tr>
      <w:tr w:rsidR="00560E98" w:rsidRPr="00560E98" w14:paraId="0277CB69"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7BA41C9A"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Intangibles - other</w:t>
            </w:r>
          </w:p>
        </w:tc>
        <w:tc>
          <w:tcPr>
            <w:tcW w:w="1380" w:type="dxa"/>
            <w:tcBorders>
              <w:top w:val="nil"/>
              <w:left w:val="nil"/>
              <w:bottom w:val="single" w:sz="8" w:space="0" w:color="auto"/>
              <w:right w:val="nil"/>
            </w:tcBorders>
            <w:shd w:val="clear" w:color="000000" w:fill="FFFFFF"/>
            <w:noWrap/>
            <w:vAlign w:val="center"/>
            <w:hideMark/>
          </w:tcPr>
          <w:p w14:paraId="61EA390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$38</w:t>
            </w:r>
          </w:p>
        </w:tc>
        <w:tc>
          <w:tcPr>
            <w:tcW w:w="1534" w:type="dxa"/>
            <w:tcBorders>
              <w:top w:val="nil"/>
              <w:left w:val="nil"/>
              <w:bottom w:val="single" w:sz="8" w:space="0" w:color="auto"/>
              <w:right w:val="nil"/>
            </w:tcBorders>
            <w:shd w:val="clear" w:color="000000" w:fill="FFFFFF"/>
            <w:noWrap/>
            <w:vAlign w:val="center"/>
            <w:hideMark/>
          </w:tcPr>
          <w:p w14:paraId="719AAFC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$18</w:t>
            </w:r>
          </w:p>
        </w:tc>
        <w:tc>
          <w:tcPr>
            <w:tcW w:w="1375" w:type="dxa"/>
            <w:tcBorders>
              <w:top w:val="nil"/>
              <w:left w:val="nil"/>
              <w:bottom w:val="single" w:sz="8" w:space="0" w:color="auto"/>
              <w:right w:val="nil"/>
            </w:tcBorders>
            <w:shd w:val="clear" w:color="000000" w:fill="FFFFFF"/>
            <w:noWrap/>
            <w:vAlign w:val="center"/>
            <w:hideMark/>
          </w:tcPr>
          <w:p w14:paraId="5655AD1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$0</w:t>
            </w:r>
          </w:p>
        </w:tc>
        <w:tc>
          <w:tcPr>
            <w:tcW w:w="1380" w:type="dxa"/>
            <w:tcBorders>
              <w:top w:val="nil"/>
              <w:left w:val="nil"/>
              <w:bottom w:val="single" w:sz="8" w:space="0" w:color="auto"/>
              <w:right w:val="nil"/>
            </w:tcBorders>
            <w:shd w:val="clear" w:color="000000" w:fill="FFFFFF"/>
            <w:noWrap/>
            <w:vAlign w:val="center"/>
            <w:hideMark/>
          </w:tcPr>
          <w:p w14:paraId="2FDE693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$57</w:t>
            </w:r>
          </w:p>
        </w:tc>
      </w:tr>
      <w:tr w:rsidR="00560E98" w:rsidRPr="00560E98" w14:paraId="1FC12CF0"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48C33FDB"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Fixed assets</w:t>
            </w:r>
          </w:p>
        </w:tc>
        <w:tc>
          <w:tcPr>
            <w:tcW w:w="1380" w:type="dxa"/>
            <w:tcBorders>
              <w:top w:val="nil"/>
              <w:left w:val="nil"/>
              <w:bottom w:val="single" w:sz="8" w:space="0" w:color="auto"/>
              <w:right w:val="nil"/>
            </w:tcBorders>
            <w:shd w:val="clear" w:color="000000" w:fill="FFFFFF"/>
            <w:noWrap/>
            <w:vAlign w:val="center"/>
            <w:hideMark/>
          </w:tcPr>
          <w:p w14:paraId="05757DB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$9,663</w:t>
            </w:r>
          </w:p>
        </w:tc>
        <w:tc>
          <w:tcPr>
            <w:tcW w:w="1534" w:type="dxa"/>
            <w:tcBorders>
              <w:top w:val="nil"/>
              <w:left w:val="nil"/>
              <w:bottom w:val="single" w:sz="8" w:space="0" w:color="auto"/>
              <w:right w:val="nil"/>
            </w:tcBorders>
            <w:shd w:val="clear" w:color="000000" w:fill="FFFFFF"/>
            <w:noWrap/>
            <w:vAlign w:val="center"/>
            <w:hideMark/>
          </w:tcPr>
          <w:p w14:paraId="0763C49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$19,429</w:t>
            </w:r>
          </w:p>
        </w:tc>
        <w:tc>
          <w:tcPr>
            <w:tcW w:w="1375" w:type="dxa"/>
            <w:tcBorders>
              <w:top w:val="nil"/>
              <w:left w:val="nil"/>
              <w:bottom w:val="single" w:sz="8" w:space="0" w:color="auto"/>
              <w:right w:val="nil"/>
            </w:tcBorders>
            <w:shd w:val="clear" w:color="000000" w:fill="FFFFFF"/>
            <w:noWrap/>
            <w:vAlign w:val="center"/>
            <w:hideMark/>
          </w:tcPr>
          <w:p w14:paraId="1978E3A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$1,865</w:t>
            </w:r>
          </w:p>
        </w:tc>
        <w:tc>
          <w:tcPr>
            <w:tcW w:w="1380" w:type="dxa"/>
            <w:tcBorders>
              <w:top w:val="nil"/>
              <w:left w:val="nil"/>
              <w:bottom w:val="single" w:sz="8" w:space="0" w:color="auto"/>
              <w:right w:val="nil"/>
            </w:tcBorders>
            <w:shd w:val="clear" w:color="000000" w:fill="FFFFFF"/>
            <w:noWrap/>
            <w:vAlign w:val="center"/>
            <w:hideMark/>
          </w:tcPr>
          <w:p w14:paraId="4DC1D2C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$30,958</w:t>
            </w:r>
          </w:p>
        </w:tc>
      </w:tr>
      <w:tr w:rsidR="00560E98" w:rsidRPr="00560E98" w14:paraId="01713242"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50E5AF94"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Right of use assets</w:t>
            </w:r>
          </w:p>
        </w:tc>
        <w:tc>
          <w:tcPr>
            <w:tcW w:w="1380" w:type="dxa"/>
            <w:tcBorders>
              <w:top w:val="nil"/>
              <w:left w:val="nil"/>
              <w:bottom w:val="single" w:sz="8" w:space="0" w:color="auto"/>
              <w:right w:val="nil"/>
            </w:tcBorders>
            <w:shd w:val="clear" w:color="000000" w:fill="FFFFFF"/>
            <w:noWrap/>
            <w:vAlign w:val="center"/>
            <w:hideMark/>
          </w:tcPr>
          <w:p w14:paraId="168DAA0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$2,623</w:t>
            </w:r>
          </w:p>
        </w:tc>
        <w:tc>
          <w:tcPr>
            <w:tcW w:w="1534" w:type="dxa"/>
            <w:tcBorders>
              <w:top w:val="nil"/>
              <w:left w:val="nil"/>
              <w:bottom w:val="single" w:sz="8" w:space="0" w:color="auto"/>
              <w:right w:val="nil"/>
            </w:tcBorders>
            <w:shd w:val="clear" w:color="000000" w:fill="FFFFFF"/>
            <w:noWrap/>
            <w:vAlign w:val="center"/>
            <w:hideMark/>
          </w:tcPr>
          <w:p w14:paraId="53C1235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$475</w:t>
            </w:r>
          </w:p>
        </w:tc>
        <w:tc>
          <w:tcPr>
            <w:tcW w:w="1375" w:type="dxa"/>
            <w:tcBorders>
              <w:top w:val="nil"/>
              <w:left w:val="nil"/>
              <w:bottom w:val="single" w:sz="8" w:space="0" w:color="auto"/>
              <w:right w:val="nil"/>
            </w:tcBorders>
            <w:shd w:val="clear" w:color="000000" w:fill="FFFFFF"/>
            <w:noWrap/>
            <w:vAlign w:val="center"/>
            <w:hideMark/>
          </w:tcPr>
          <w:p w14:paraId="3375950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w:t>
            </w:r>
          </w:p>
        </w:tc>
        <w:tc>
          <w:tcPr>
            <w:tcW w:w="1380" w:type="dxa"/>
            <w:tcBorders>
              <w:top w:val="nil"/>
              <w:left w:val="nil"/>
              <w:bottom w:val="single" w:sz="8" w:space="0" w:color="auto"/>
              <w:right w:val="nil"/>
            </w:tcBorders>
            <w:shd w:val="clear" w:color="000000" w:fill="FFFFFF"/>
            <w:noWrap/>
            <w:vAlign w:val="center"/>
            <w:hideMark/>
          </w:tcPr>
          <w:p w14:paraId="40E3E26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$3,100</w:t>
            </w:r>
          </w:p>
        </w:tc>
      </w:tr>
      <w:tr w:rsidR="00560E98" w:rsidRPr="00560E98" w14:paraId="2A07041B"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EA1C13A"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Investment Properties</w:t>
            </w:r>
          </w:p>
        </w:tc>
        <w:tc>
          <w:tcPr>
            <w:tcW w:w="1380" w:type="dxa"/>
            <w:tcBorders>
              <w:top w:val="nil"/>
              <w:left w:val="nil"/>
              <w:bottom w:val="single" w:sz="8" w:space="0" w:color="auto"/>
              <w:right w:val="nil"/>
            </w:tcBorders>
            <w:shd w:val="clear" w:color="000000" w:fill="FFFFFF"/>
            <w:noWrap/>
            <w:vAlign w:val="center"/>
            <w:hideMark/>
          </w:tcPr>
          <w:p w14:paraId="4E7EB13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$245</w:t>
            </w:r>
          </w:p>
        </w:tc>
        <w:tc>
          <w:tcPr>
            <w:tcW w:w="1534" w:type="dxa"/>
            <w:tcBorders>
              <w:top w:val="nil"/>
              <w:left w:val="nil"/>
              <w:bottom w:val="single" w:sz="8" w:space="0" w:color="auto"/>
              <w:right w:val="nil"/>
            </w:tcBorders>
            <w:shd w:val="clear" w:color="000000" w:fill="FFFFFF"/>
            <w:noWrap/>
            <w:vAlign w:val="center"/>
            <w:hideMark/>
          </w:tcPr>
          <w:p w14:paraId="6D60E2E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$187</w:t>
            </w:r>
          </w:p>
        </w:tc>
        <w:tc>
          <w:tcPr>
            <w:tcW w:w="1375" w:type="dxa"/>
            <w:tcBorders>
              <w:top w:val="nil"/>
              <w:left w:val="nil"/>
              <w:bottom w:val="single" w:sz="8" w:space="0" w:color="auto"/>
              <w:right w:val="nil"/>
            </w:tcBorders>
            <w:shd w:val="clear" w:color="000000" w:fill="FFFFFF"/>
            <w:noWrap/>
            <w:vAlign w:val="center"/>
            <w:hideMark/>
          </w:tcPr>
          <w:p w14:paraId="38ED3E3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$139</w:t>
            </w:r>
          </w:p>
        </w:tc>
        <w:tc>
          <w:tcPr>
            <w:tcW w:w="1380" w:type="dxa"/>
            <w:tcBorders>
              <w:top w:val="nil"/>
              <w:left w:val="nil"/>
              <w:bottom w:val="single" w:sz="8" w:space="0" w:color="auto"/>
              <w:right w:val="nil"/>
            </w:tcBorders>
            <w:shd w:val="clear" w:color="000000" w:fill="FFFFFF"/>
            <w:noWrap/>
            <w:vAlign w:val="center"/>
            <w:hideMark/>
          </w:tcPr>
          <w:p w14:paraId="0078815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$571</w:t>
            </w:r>
          </w:p>
        </w:tc>
      </w:tr>
      <w:tr w:rsidR="00560E98" w:rsidRPr="00560E98" w14:paraId="740F39E4"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A35524E"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Other non-current assets</w:t>
            </w:r>
          </w:p>
        </w:tc>
        <w:tc>
          <w:tcPr>
            <w:tcW w:w="1380" w:type="dxa"/>
            <w:tcBorders>
              <w:top w:val="nil"/>
              <w:left w:val="nil"/>
              <w:bottom w:val="single" w:sz="8" w:space="0" w:color="auto"/>
              <w:right w:val="nil"/>
            </w:tcBorders>
            <w:shd w:val="clear" w:color="000000" w:fill="FFFFFF"/>
            <w:noWrap/>
            <w:vAlign w:val="center"/>
            <w:hideMark/>
          </w:tcPr>
          <w:p w14:paraId="1AA35F28"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$546</w:t>
            </w:r>
          </w:p>
        </w:tc>
        <w:tc>
          <w:tcPr>
            <w:tcW w:w="1534" w:type="dxa"/>
            <w:tcBorders>
              <w:top w:val="nil"/>
              <w:left w:val="nil"/>
              <w:bottom w:val="single" w:sz="8" w:space="0" w:color="auto"/>
              <w:right w:val="nil"/>
            </w:tcBorders>
            <w:shd w:val="clear" w:color="000000" w:fill="FFFFFF"/>
            <w:noWrap/>
            <w:vAlign w:val="center"/>
            <w:hideMark/>
          </w:tcPr>
          <w:p w14:paraId="0886310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$419</w:t>
            </w:r>
          </w:p>
        </w:tc>
        <w:tc>
          <w:tcPr>
            <w:tcW w:w="1375" w:type="dxa"/>
            <w:tcBorders>
              <w:top w:val="nil"/>
              <w:left w:val="nil"/>
              <w:bottom w:val="single" w:sz="8" w:space="0" w:color="auto"/>
              <w:right w:val="nil"/>
            </w:tcBorders>
            <w:shd w:val="clear" w:color="000000" w:fill="FFFFFF"/>
            <w:noWrap/>
            <w:vAlign w:val="center"/>
            <w:hideMark/>
          </w:tcPr>
          <w:p w14:paraId="1F14064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$49</w:t>
            </w:r>
          </w:p>
        </w:tc>
        <w:tc>
          <w:tcPr>
            <w:tcW w:w="1380" w:type="dxa"/>
            <w:tcBorders>
              <w:top w:val="nil"/>
              <w:left w:val="nil"/>
              <w:bottom w:val="single" w:sz="8" w:space="0" w:color="auto"/>
              <w:right w:val="nil"/>
            </w:tcBorders>
            <w:shd w:val="clear" w:color="000000" w:fill="FFFFFF"/>
            <w:noWrap/>
            <w:vAlign w:val="center"/>
            <w:hideMark/>
          </w:tcPr>
          <w:p w14:paraId="5E40B93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$1,014</w:t>
            </w:r>
          </w:p>
        </w:tc>
      </w:tr>
      <w:tr w:rsidR="00560E98" w:rsidRPr="00560E98" w14:paraId="2275C032"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072CCCC7"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non-current assets</w:t>
            </w:r>
          </w:p>
        </w:tc>
        <w:tc>
          <w:tcPr>
            <w:tcW w:w="1380" w:type="dxa"/>
            <w:tcBorders>
              <w:top w:val="nil"/>
              <w:left w:val="nil"/>
              <w:bottom w:val="single" w:sz="8" w:space="0" w:color="auto"/>
              <w:right w:val="nil"/>
            </w:tcBorders>
            <w:shd w:val="clear" w:color="000000" w:fill="D8DADA"/>
            <w:noWrap/>
            <w:vAlign w:val="center"/>
            <w:hideMark/>
          </w:tcPr>
          <w:p w14:paraId="5CB8A5F7"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$21,193</w:t>
            </w:r>
          </w:p>
        </w:tc>
        <w:tc>
          <w:tcPr>
            <w:tcW w:w="1534" w:type="dxa"/>
            <w:tcBorders>
              <w:top w:val="nil"/>
              <w:left w:val="nil"/>
              <w:bottom w:val="single" w:sz="8" w:space="0" w:color="auto"/>
              <w:right w:val="nil"/>
            </w:tcBorders>
            <w:shd w:val="clear" w:color="000000" w:fill="D8DADA"/>
            <w:noWrap/>
            <w:vAlign w:val="center"/>
            <w:hideMark/>
          </w:tcPr>
          <w:p w14:paraId="32C3CCFF"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$23,392</w:t>
            </w:r>
          </w:p>
        </w:tc>
        <w:tc>
          <w:tcPr>
            <w:tcW w:w="1375" w:type="dxa"/>
            <w:tcBorders>
              <w:top w:val="nil"/>
              <w:left w:val="nil"/>
              <w:bottom w:val="single" w:sz="8" w:space="0" w:color="auto"/>
              <w:right w:val="nil"/>
            </w:tcBorders>
            <w:shd w:val="clear" w:color="000000" w:fill="D8DADA"/>
            <w:noWrap/>
            <w:vAlign w:val="center"/>
            <w:hideMark/>
          </w:tcPr>
          <w:p w14:paraId="1C9C2B6E"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$2,137</w:t>
            </w:r>
          </w:p>
        </w:tc>
        <w:tc>
          <w:tcPr>
            <w:tcW w:w="1380" w:type="dxa"/>
            <w:tcBorders>
              <w:top w:val="nil"/>
              <w:left w:val="nil"/>
              <w:bottom w:val="single" w:sz="8" w:space="0" w:color="auto"/>
              <w:right w:val="nil"/>
            </w:tcBorders>
            <w:shd w:val="clear" w:color="000000" w:fill="D8DADA"/>
            <w:noWrap/>
            <w:vAlign w:val="center"/>
            <w:hideMark/>
          </w:tcPr>
          <w:p w14:paraId="2E3AD7CE"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$46,723</w:t>
            </w:r>
          </w:p>
        </w:tc>
      </w:tr>
      <w:tr w:rsidR="00560E98" w:rsidRPr="00560E98" w14:paraId="191F1C22"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1A5B0726"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assets</w:t>
            </w:r>
          </w:p>
        </w:tc>
        <w:tc>
          <w:tcPr>
            <w:tcW w:w="1380" w:type="dxa"/>
            <w:tcBorders>
              <w:top w:val="nil"/>
              <w:left w:val="nil"/>
              <w:bottom w:val="single" w:sz="8" w:space="0" w:color="auto"/>
              <w:right w:val="nil"/>
            </w:tcBorders>
            <w:shd w:val="clear" w:color="000000" w:fill="D8DADA"/>
            <w:noWrap/>
            <w:vAlign w:val="center"/>
            <w:hideMark/>
          </w:tcPr>
          <w:p w14:paraId="312DED2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$25,859</w:t>
            </w:r>
          </w:p>
        </w:tc>
        <w:tc>
          <w:tcPr>
            <w:tcW w:w="1534" w:type="dxa"/>
            <w:tcBorders>
              <w:top w:val="nil"/>
              <w:left w:val="nil"/>
              <w:bottom w:val="single" w:sz="8" w:space="0" w:color="auto"/>
              <w:right w:val="nil"/>
            </w:tcBorders>
            <w:shd w:val="clear" w:color="000000" w:fill="D8DADA"/>
            <w:noWrap/>
            <w:vAlign w:val="center"/>
            <w:hideMark/>
          </w:tcPr>
          <w:p w14:paraId="49EF114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$28,891</w:t>
            </w:r>
          </w:p>
        </w:tc>
        <w:tc>
          <w:tcPr>
            <w:tcW w:w="1375" w:type="dxa"/>
            <w:tcBorders>
              <w:top w:val="nil"/>
              <w:left w:val="nil"/>
              <w:bottom w:val="single" w:sz="8" w:space="0" w:color="auto"/>
              <w:right w:val="nil"/>
            </w:tcBorders>
            <w:shd w:val="clear" w:color="000000" w:fill="D8DADA"/>
            <w:noWrap/>
            <w:vAlign w:val="center"/>
            <w:hideMark/>
          </w:tcPr>
          <w:p w14:paraId="7375FDFF"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$2,698</w:t>
            </w:r>
          </w:p>
        </w:tc>
        <w:tc>
          <w:tcPr>
            <w:tcW w:w="1380" w:type="dxa"/>
            <w:tcBorders>
              <w:top w:val="nil"/>
              <w:left w:val="nil"/>
              <w:bottom w:val="single" w:sz="8" w:space="0" w:color="auto"/>
              <w:right w:val="nil"/>
            </w:tcBorders>
            <w:shd w:val="clear" w:color="000000" w:fill="D8DADA"/>
            <w:noWrap/>
            <w:vAlign w:val="center"/>
            <w:hideMark/>
          </w:tcPr>
          <w:p w14:paraId="109E047E"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$57,448</w:t>
            </w:r>
          </w:p>
        </w:tc>
      </w:tr>
      <w:tr w:rsidR="00560E98" w:rsidRPr="00560E98" w14:paraId="4E0EF65D"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59870D55"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Liabilities</w:t>
            </w:r>
          </w:p>
        </w:tc>
        <w:tc>
          <w:tcPr>
            <w:tcW w:w="1380" w:type="dxa"/>
            <w:tcBorders>
              <w:top w:val="nil"/>
              <w:left w:val="nil"/>
              <w:bottom w:val="single" w:sz="8" w:space="0" w:color="auto"/>
              <w:right w:val="nil"/>
            </w:tcBorders>
            <w:shd w:val="clear" w:color="000000" w:fill="D8DADA"/>
            <w:noWrap/>
            <w:hideMark/>
          </w:tcPr>
          <w:p w14:paraId="2D174C93"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71E15CF2"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6DB79CEF"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380C61C1"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30D67820"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2F0E320A"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Current liabilities</w:t>
            </w:r>
          </w:p>
        </w:tc>
        <w:tc>
          <w:tcPr>
            <w:tcW w:w="1380" w:type="dxa"/>
            <w:tcBorders>
              <w:top w:val="nil"/>
              <w:left w:val="nil"/>
              <w:bottom w:val="single" w:sz="8" w:space="0" w:color="auto"/>
              <w:right w:val="nil"/>
            </w:tcBorders>
            <w:shd w:val="clear" w:color="000000" w:fill="D8DADA"/>
            <w:noWrap/>
            <w:hideMark/>
          </w:tcPr>
          <w:p w14:paraId="4EA284D2"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4BCE484D"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43B88DE9"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1A28F89E"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308B5494" w14:textId="77777777" w:rsidTr="0045338E">
        <w:trPr>
          <w:trHeight w:val="558"/>
        </w:trPr>
        <w:tc>
          <w:tcPr>
            <w:tcW w:w="3323" w:type="dxa"/>
            <w:tcBorders>
              <w:top w:val="nil"/>
              <w:left w:val="nil"/>
              <w:bottom w:val="single" w:sz="8" w:space="0" w:color="auto"/>
              <w:right w:val="nil"/>
            </w:tcBorders>
            <w:shd w:val="clear" w:color="000000" w:fill="FFFFFF"/>
            <w:vAlign w:val="center"/>
            <w:hideMark/>
          </w:tcPr>
          <w:p w14:paraId="2ECB3C57"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Accommodation deposits (incl. bonds)</w:t>
            </w:r>
          </w:p>
        </w:tc>
        <w:tc>
          <w:tcPr>
            <w:tcW w:w="1380" w:type="dxa"/>
            <w:tcBorders>
              <w:top w:val="nil"/>
              <w:left w:val="nil"/>
              <w:bottom w:val="single" w:sz="8" w:space="0" w:color="auto"/>
              <w:right w:val="nil"/>
            </w:tcBorders>
            <w:shd w:val="clear" w:color="000000" w:fill="FFFFFF"/>
            <w:noWrap/>
            <w:vAlign w:val="center"/>
            <w:hideMark/>
          </w:tcPr>
          <w:p w14:paraId="45D6B1D8"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$11,461</w:t>
            </w:r>
          </w:p>
        </w:tc>
        <w:tc>
          <w:tcPr>
            <w:tcW w:w="1534" w:type="dxa"/>
            <w:tcBorders>
              <w:top w:val="nil"/>
              <w:left w:val="nil"/>
              <w:bottom w:val="single" w:sz="8" w:space="0" w:color="auto"/>
              <w:right w:val="nil"/>
            </w:tcBorders>
            <w:shd w:val="clear" w:color="000000" w:fill="FFFFFF"/>
            <w:noWrap/>
            <w:vAlign w:val="center"/>
            <w:hideMark/>
          </w:tcPr>
          <w:p w14:paraId="587175F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$13,122</w:t>
            </w:r>
          </w:p>
        </w:tc>
        <w:tc>
          <w:tcPr>
            <w:tcW w:w="1375" w:type="dxa"/>
            <w:tcBorders>
              <w:top w:val="nil"/>
              <w:left w:val="nil"/>
              <w:bottom w:val="single" w:sz="8" w:space="0" w:color="auto"/>
              <w:right w:val="nil"/>
            </w:tcBorders>
            <w:shd w:val="clear" w:color="000000" w:fill="FFFFFF"/>
            <w:noWrap/>
            <w:vAlign w:val="center"/>
            <w:hideMark/>
          </w:tcPr>
          <w:p w14:paraId="13C6B3E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$366</w:t>
            </w:r>
          </w:p>
        </w:tc>
        <w:tc>
          <w:tcPr>
            <w:tcW w:w="1380" w:type="dxa"/>
            <w:tcBorders>
              <w:top w:val="nil"/>
              <w:left w:val="nil"/>
              <w:bottom w:val="single" w:sz="8" w:space="0" w:color="auto"/>
              <w:right w:val="nil"/>
            </w:tcBorders>
            <w:shd w:val="clear" w:color="000000" w:fill="FFFFFF"/>
            <w:noWrap/>
            <w:vAlign w:val="center"/>
            <w:hideMark/>
          </w:tcPr>
          <w:p w14:paraId="48EFBF5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$24,949</w:t>
            </w:r>
          </w:p>
        </w:tc>
      </w:tr>
      <w:tr w:rsidR="00560E98" w:rsidRPr="00560E98" w14:paraId="5DA1E6FE"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C38768C"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Bank borrowings</w:t>
            </w:r>
          </w:p>
        </w:tc>
        <w:tc>
          <w:tcPr>
            <w:tcW w:w="1380" w:type="dxa"/>
            <w:tcBorders>
              <w:top w:val="nil"/>
              <w:left w:val="nil"/>
              <w:bottom w:val="single" w:sz="8" w:space="0" w:color="auto"/>
              <w:right w:val="nil"/>
            </w:tcBorders>
            <w:shd w:val="clear" w:color="000000" w:fill="FFFFFF"/>
            <w:noWrap/>
            <w:vAlign w:val="center"/>
            <w:hideMark/>
          </w:tcPr>
          <w:p w14:paraId="4D28CF5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$783</w:t>
            </w:r>
          </w:p>
        </w:tc>
        <w:tc>
          <w:tcPr>
            <w:tcW w:w="1534" w:type="dxa"/>
            <w:tcBorders>
              <w:top w:val="nil"/>
              <w:left w:val="nil"/>
              <w:bottom w:val="single" w:sz="8" w:space="0" w:color="auto"/>
              <w:right w:val="nil"/>
            </w:tcBorders>
            <w:shd w:val="clear" w:color="000000" w:fill="FFFFFF"/>
            <w:noWrap/>
            <w:vAlign w:val="center"/>
            <w:hideMark/>
          </w:tcPr>
          <w:p w14:paraId="31A65D5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$193</w:t>
            </w:r>
          </w:p>
        </w:tc>
        <w:tc>
          <w:tcPr>
            <w:tcW w:w="1375" w:type="dxa"/>
            <w:tcBorders>
              <w:top w:val="nil"/>
              <w:left w:val="nil"/>
              <w:bottom w:val="single" w:sz="8" w:space="0" w:color="auto"/>
              <w:right w:val="nil"/>
            </w:tcBorders>
            <w:shd w:val="clear" w:color="000000" w:fill="FFFFFF"/>
            <w:noWrap/>
            <w:vAlign w:val="center"/>
            <w:hideMark/>
          </w:tcPr>
          <w:p w14:paraId="5658E48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w:t>
            </w:r>
          </w:p>
        </w:tc>
        <w:tc>
          <w:tcPr>
            <w:tcW w:w="1380" w:type="dxa"/>
            <w:tcBorders>
              <w:top w:val="nil"/>
              <w:left w:val="nil"/>
              <w:bottom w:val="single" w:sz="8" w:space="0" w:color="auto"/>
              <w:right w:val="nil"/>
            </w:tcBorders>
            <w:shd w:val="clear" w:color="000000" w:fill="FFFFFF"/>
            <w:noWrap/>
            <w:vAlign w:val="center"/>
            <w:hideMark/>
          </w:tcPr>
          <w:p w14:paraId="2B43A872"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$977</w:t>
            </w:r>
          </w:p>
        </w:tc>
      </w:tr>
      <w:tr w:rsidR="00560E98" w:rsidRPr="00560E98" w14:paraId="55B71C13"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2727865A"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Related party loans</w:t>
            </w:r>
          </w:p>
        </w:tc>
        <w:tc>
          <w:tcPr>
            <w:tcW w:w="1380" w:type="dxa"/>
            <w:tcBorders>
              <w:top w:val="nil"/>
              <w:left w:val="nil"/>
              <w:bottom w:val="single" w:sz="8" w:space="0" w:color="auto"/>
              <w:right w:val="nil"/>
            </w:tcBorders>
            <w:shd w:val="clear" w:color="000000" w:fill="FFFFFF"/>
            <w:noWrap/>
            <w:vAlign w:val="center"/>
            <w:hideMark/>
          </w:tcPr>
          <w:p w14:paraId="3259E9A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$1,570</w:t>
            </w:r>
          </w:p>
        </w:tc>
        <w:tc>
          <w:tcPr>
            <w:tcW w:w="1534" w:type="dxa"/>
            <w:tcBorders>
              <w:top w:val="nil"/>
              <w:left w:val="nil"/>
              <w:bottom w:val="single" w:sz="8" w:space="0" w:color="auto"/>
              <w:right w:val="nil"/>
            </w:tcBorders>
            <w:shd w:val="clear" w:color="000000" w:fill="FFFFFF"/>
            <w:noWrap/>
            <w:vAlign w:val="center"/>
            <w:hideMark/>
          </w:tcPr>
          <w:p w14:paraId="3E64DBD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$40</w:t>
            </w:r>
          </w:p>
        </w:tc>
        <w:tc>
          <w:tcPr>
            <w:tcW w:w="1375" w:type="dxa"/>
            <w:tcBorders>
              <w:top w:val="nil"/>
              <w:left w:val="nil"/>
              <w:bottom w:val="single" w:sz="8" w:space="0" w:color="auto"/>
              <w:right w:val="nil"/>
            </w:tcBorders>
            <w:shd w:val="clear" w:color="000000" w:fill="FFFFFF"/>
            <w:noWrap/>
            <w:vAlign w:val="center"/>
            <w:hideMark/>
          </w:tcPr>
          <w:p w14:paraId="3E53C2B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$0</w:t>
            </w:r>
          </w:p>
        </w:tc>
        <w:tc>
          <w:tcPr>
            <w:tcW w:w="1380" w:type="dxa"/>
            <w:tcBorders>
              <w:top w:val="nil"/>
              <w:left w:val="nil"/>
              <w:bottom w:val="single" w:sz="8" w:space="0" w:color="auto"/>
              <w:right w:val="nil"/>
            </w:tcBorders>
            <w:shd w:val="clear" w:color="000000" w:fill="FFFFFF"/>
            <w:noWrap/>
            <w:vAlign w:val="center"/>
            <w:hideMark/>
          </w:tcPr>
          <w:p w14:paraId="2E60E17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$1,610</w:t>
            </w:r>
          </w:p>
        </w:tc>
      </w:tr>
      <w:tr w:rsidR="00560E98" w:rsidRPr="00560E98" w14:paraId="23CC013B"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CBCF06C"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Employee provisions</w:t>
            </w:r>
          </w:p>
        </w:tc>
        <w:tc>
          <w:tcPr>
            <w:tcW w:w="1380" w:type="dxa"/>
            <w:tcBorders>
              <w:top w:val="nil"/>
              <w:left w:val="nil"/>
              <w:bottom w:val="single" w:sz="8" w:space="0" w:color="auto"/>
              <w:right w:val="nil"/>
            </w:tcBorders>
            <w:shd w:val="clear" w:color="000000" w:fill="FFFFFF"/>
            <w:noWrap/>
            <w:vAlign w:val="center"/>
            <w:hideMark/>
          </w:tcPr>
          <w:p w14:paraId="2760522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$708</w:t>
            </w:r>
          </w:p>
        </w:tc>
        <w:tc>
          <w:tcPr>
            <w:tcW w:w="1534" w:type="dxa"/>
            <w:tcBorders>
              <w:top w:val="nil"/>
              <w:left w:val="nil"/>
              <w:bottom w:val="single" w:sz="8" w:space="0" w:color="auto"/>
              <w:right w:val="nil"/>
            </w:tcBorders>
            <w:shd w:val="clear" w:color="000000" w:fill="FFFFFF"/>
            <w:noWrap/>
            <w:vAlign w:val="center"/>
            <w:hideMark/>
          </w:tcPr>
          <w:p w14:paraId="353D546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$1,107</w:t>
            </w:r>
          </w:p>
        </w:tc>
        <w:tc>
          <w:tcPr>
            <w:tcW w:w="1375" w:type="dxa"/>
            <w:tcBorders>
              <w:top w:val="nil"/>
              <w:left w:val="nil"/>
              <w:bottom w:val="single" w:sz="8" w:space="0" w:color="auto"/>
              <w:right w:val="nil"/>
            </w:tcBorders>
            <w:shd w:val="clear" w:color="000000" w:fill="FFFFFF"/>
            <w:noWrap/>
            <w:vAlign w:val="center"/>
            <w:hideMark/>
          </w:tcPr>
          <w:p w14:paraId="0CDBB4E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$133</w:t>
            </w:r>
          </w:p>
        </w:tc>
        <w:tc>
          <w:tcPr>
            <w:tcW w:w="1380" w:type="dxa"/>
            <w:tcBorders>
              <w:top w:val="nil"/>
              <w:left w:val="nil"/>
              <w:bottom w:val="single" w:sz="8" w:space="0" w:color="auto"/>
              <w:right w:val="nil"/>
            </w:tcBorders>
            <w:shd w:val="clear" w:color="000000" w:fill="FFFFFF"/>
            <w:noWrap/>
            <w:vAlign w:val="center"/>
            <w:hideMark/>
          </w:tcPr>
          <w:p w14:paraId="63B7F8A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$1,948</w:t>
            </w:r>
          </w:p>
        </w:tc>
      </w:tr>
      <w:tr w:rsidR="00560E98" w:rsidRPr="00560E98" w14:paraId="6578CEB6"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457FBFD"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Lease liabilities</w:t>
            </w:r>
          </w:p>
        </w:tc>
        <w:tc>
          <w:tcPr>
            <w:tcW w:w="1380" w:type="dxa"/>
            <w:tcBorders>
              <w:top w:val="nil"/>
              <w:left w:val="nil"/>
              <w:bottom w:val="single" w:sz="8" w:space="0" w:color="auto"/>
              <w:right w:val="nil"/>
            </w:tcBorders>
            <w:shd w:val="clear" w:color="000000" w:fill="FFFFFF"/>
            <w:noWrap/>
            <w:vAlign w:val="center"/>
            <w:hideMark/>
          </w:tcPr>
          <w:p w14:paraId="1E6B04A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$261</w:t>
            </w:r>
          </w:p>
        </w:tc>
        <w:tc>
          <w:tcPr>
            <w:tcW w:w="1534" w:type="dxa"/>
            <w:tcBorders>
              <w:top w:val="nil"/>
              <w:left w:val="nil"/>
              <w:bottom w:val="single" w:sz="8" w:space="0" w:color="auto"/>
              <w:right w:val="nil"/>
            </w:tcBorders>
            <w:shd w:val="clear" w:color="000000" w:fill="FFFFFF"/>
            <w:noWrap/>
            <w:vAlign w:val="center"/>
            <w:hideMark/>
          </w:tcPr>
          <w:p w14:paraId="0A9E828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$28</w:t>
            </w:r>
          </w:p>
        </w:tc>
        <w:tc>
          <w:tcPr>
            <w:tcW w:w="1375" w:type="dxa"/>
            <w:tcBorders>
              <w:top w:val="nil"/>
              <w:left w:val="nil"/>
              <w:bottom w:val="single" w:sz="8" w:space="0" w:color="auto"/>
              <w:right w:val="nil"/>
            </w:tcBorders>
            <w:shd w:val="clear" w:color="000000" w:fill="FFFFFF"/>
            <w:noWrap/>
            <w:vAlign w:val="center"/>
            <w:hideMark/>
          </w:tcPr>
          <w:p w14:paraId="7E01C17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w:t>
            </w:r>
          </w:p>
        </w:tc>
        <w:tc>
          <w:tcPr>
            <w:tcW w:w="1380" w:type="dxa"/>
            <w:tcBorders>
              <w:top w:val="nil"/>
              <w:left w:val="nil"/>
              <w:bottom w:val="single" w:sz="8" w:space="0" w:color="auto"/>
              <w:right w:val="nil"/>
            </w:tcBorders>
            <w:shd w:val="clear" w:color="000000" w:fill="FFFFFF"/>
            <w:noWrap/>
            <w:vAlign w:val="center"/>
            <w:hideMark/>
          </w:tcPr>
          <w:p w14:paraId="2468D9D0"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$290</w:t>
            </w:r>
          </w:p>
        </w:tc>
      </w:tr>
      <w:tr w:rsidR="00560E98" w:rsidRPr="00560E98" w14:paraId="50F1F435" w14:textId="77777777" w:rsidTr="0045338E">
        <w:trPr>
          <w:trHeight w:val="317"/>
        </w:trPr>
        <w:tc>
          <w:tcPr>
            <w:tcW w:w="3323" w:type="dxa"/>
            <w:tcBorders>
              <w:top w:val="nil"/>
              <w:left w:val="nil"/>
              <w:bottom w:val="single" w:sz="8" w:space="0" w:color="auto"/>
              <w:right w:val="nil"/>
            </w:tcBorders>
            <w:shd w:val="clear" w:color="000000" w:fill="FFFFFF"/>
            <w:vAlign w:val="center"/>
            <w:hideMark/>
          </w:tcPr>
          <w:p w14:paraId="669F0743"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Other current liabilities</w:t>
            </w:r>
          </w:p>
        </w:tc>
        <w:tc>
          <w:tcPr>
            <w:tcW w:w="1380" w:type="dxa"/>
            <w:tcBorders>
              <w:top w:val="nil"/>
              <w:left w:val="nil"/>
              <w:bottom w:val="single" w:sz="8" w:space="0" w:color="auto"/>
              <w:right w:val="nil"/>
            </w:tcBorders>
            <w:shd w:val="clear" w:color="000000" w:fill="FFFFFF"/>
            <w:noWrap/>
            <w:vAlign w:val="center"/>
            <w:hideMark/>
          </w:tcPr>
          <w:p w14:paraId="7DE68BC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$961</w:t>
            </w:r>
          </w:p>
        </w:tc>
        <w:tc>
          <w:tcPr>
            <w:tcW w:w="1534" w:type="dxa"/>
            <w:tcBorders>
              <w:top w:val="nil"/>
              <w:left w:val="nil"/>
              <w:bottom w:val="single" w:sz="8" w:space="0" w:color="auto"/>
              <w:right w:val="nil"/>
            </w:tcBorders>
            <w:shd w:val="clear" w:color="000000" w:fill="FFFFFF"/>
            <w:noWrap/>
            <w:vAlign w:val="center"/>
            <w:hideMark/>
          </w:tcPr>
          <w:p w14:paraId="108E17F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$977</w:t>
            </w:r>
          </w:p>
        </w:tc>
        <w:tc>
          <w:tcPr>
            <w:tcW w:w="1375" w:type="dxa"/>
            <w:tcBorders>
              <w:top w:val="nil"/>
              <w:left w:val="nil"/>
              <w:bottom w:val="single" w:sz="8" w:space="0" w:color="auto"/>
              <w:right w:val="nil"/>
            </w:tcBorders>
            <w:shd w:val="clear" w:color="000000" w:fill="FFFFFF"/>
            <w:noWrap/>
            <w:vAlign w:val="center"/>
            <w:hideMark/>
          </w:tcPr>
          <w:p w14:paraId="363AD03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$212</w:t>
            </w:r>
          </w:p>
        </w:tc>
        <w:tc>
          <w:tcPr>
            <w:tcW w:w="1380" w:type="dxa"/>
            <w:tcBorders>
              <w:top w:val="nil"/>
              <w:left w:val="nil"/>
              <w:bottom w:val="single" w:sz="8" w:space="0" w:color="auto"/>
              <w:right w:val="nil"/>
            </w:tcBorders>
            <w:shd w:val="clear" w:color="000000" w:fill="FFFFFF"/>
            <w:noWrap/>
            <w:vAlign w:val="center"/>
            <w:hideMark/>
          </w:tcPr>
          <w:p w14:paraId="095304F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$2,150</w:t>
            </w:r>
          </w:p>
        </w:tc>
      </w:tr>
      <w:tr w:rsidR="00560E98" w:rsidRPr="00560E98" w14:paraId="22EAAF41"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6D3280D9"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current liabilities</w:t>
            </w:r>
          </w:p>
        </w:tc>
        <w:tc>
          <w:tcPr>
            <w:tcW w:w="1380" w:type="dxa"/>
            <w:tcBorders>
              <w:top w:val="nil"/>
              <w:left w:val="nil"/>
              <w:bottom w:val="single" w:sz="8" w:space="0" w:color="auto"/>
              <w:right w:val="nil"/>
            </w:tcBorders>
            <w:shd w:val="clear" w:color="000000" w:fill="D8DADA"/>
            <w:noWrap/>
            <w:vAlign w:val="center"/>
            <w:hideMark/>
          </w:tcPr>
          <w:p w14:paraId="4585FEBE"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$15,745</w:t>
            </w:r>
          </w:p>
        </w:tc>
        <w:tc>
          <w:tcPr>
            <w:tcW w:w="1534" w:type="dxa"/>
            <w:tcBorders>
              <w:top w:val="nil"/>
              <w:left w:val="nil"/>
              <w:bottom w:val="single" w:sz="8" w:space="0" w:color="auto"/>
              <w:right w:val="nil"/>
            </w:tcBorders>
            <w:shd w:val="clear" w:color="000000" w:fill="D8DADA"/>
            <w:noWrap/>
            <w:vAlign w:val="center"/>
            <w:hideMark/>
          </w:tcPr>
          <w:p w14:paraId="408A86E1"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$15,468</w:t>
            </w:r>
          </w:p>
        </w:tc>
        <w:tc>
          <w:tcPr>
            <w:tcW w:w="1375" w:type="dxa"/>
            <w:tcBorders>
              <w:top w:val="nil"/>
              <w:left w:val="nil"/>
              <w:bottom w:val="single" w:sz="8" w:space="0" w:color="auto"/>
              <w:right w:val="nil"/>
            </w:tcBorders>
            <w:shd w:val="clear" w:color="000000" w:fill="D8DADA"/>
            <w:noWrap/>
            <w:vAlign w:val="center"/>
            <w:hideMark/>
          </w:tcPr>
          <w:p w14:paraId="1D6546FF"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$713</w:t>
            </w:r>
          </w:p>
        </w:tc>
        <w:tc>
          <w:tcPr>
            <w:tcW w:w="1380" w:type="dxa"/>
            <w:tcBorders>
              <w:top w:val="nil"/>
              <w:left w:val="nil"/>
              <w:bottom w:val="single" w:sz="8" w:space="0" w:color="auto"/>
              <w:right w:val="nil"/>
            </w:tcBorders>
            <w:shd w:val="clear" w:color="000000" w:fill="D8DADA"/>
            <w:noWrap/>
            <w:vAlign w:val="center"/>
            <w:hideMark/>
          </w:tcPr>
          <w:p w14:paraId="516175A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$31,925</w:t>
            </w:r>
          </w:p>
        </w:tc>
      </w:tr>
      <w:tr w:rsidR="00560E98" w:rsidRPr="00560E98" w14:paraId="4ABD7E7D"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20521D91"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Non-current liabilities</w:t>
            </w:r>
          </w:p>
        </w:tc>
        <w:tc>
          <w:tcPr>
            <w:tcW w:w="1380" w:type="dxa"/>
            <w:tcBorders>
              <w:top w:val="nil"/>
              <w:left w:val="nil"/>
              <w:bottom w:val="single" w:sz="8" w:space="0" w:color="auto"/>
              <w:right w:val="nil"/>
            </w:tcBorders>
            <w:shd w:val="clear" w:color="000000" w:fill="D8DADA"/>
            <w:noWrap/>
            <w:hideMark/>
          </w:tcPr>
          <w:p w14:paraId="09450C0F"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534" w:type="dxa"/>
            <w:tcBorders>
              <w:top w:val="nil"/>
              <w:left w:val="nil"/>
              <w:bottom w:val="single" w:sz="8" w:space="0" w:color="auto"/>
              <w:right w:val="nil"/>
            </w:tcBorders>
            <w:shd w:val="clear" w:color="000000" w:fill="D8DADA"/>
            <w:noWrap/>
            <w:hideMark/>
          </w:tcPr>
          <w:p w14:paraId="38EC60C2"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75" w:type="dxa"/>
            <w:tcBorders>
              <w:top w:val="nil"/>
              <w:left w:val="nil"/>
              <w:bottom w:val="single" w:sz="8" w:space="0" w:color="auto"/>
              <w:right w:val="nil"/>
            </w:tcBorders>
            <w:shd w:val="clear" w:color="000000" w:fill="D8DADA"/>
            <w:noWrap/>
            <w:hideMark/>
          </w:tcPr>
          <w:p w14:paraId="5F48CCFD"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c>
          <w:tcPr>
            <w:tcW w:w="1380" w:type="dxa"/>
            <w:tcBorders>
              <w:top w:val="nil"/>
              <w:left w:val="nil"/>
              <w:bottom w:val="single" w:sz="8" w:space="0" w:color="auto"/>
              <w:right w:val="nil"/>
            </w:tcBorders>
            <w:shd w:val="clear" w:color="000000" w:fill="D8DADA"/>
            <w:noWrap/>
            <w:hideMark/>
          </w:tcPr>
          <w:p w14:paraId="06ECEFF0"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 </w:t>
            </w:r>
          </w:p>
        </w:tc>
      </w:tr>
      <w:tr w:rsidR="00560E98" w:rsidRPr="00560E98" w14:paraId="79A4AF8B" w14:textId="77777777" w:rsidTr="0045338E">
        <w:trPr>
          <w:trHeight w:val="558"/>
        </w:trPr>
        <w:tc>
          <w:tcPr>
            <w:tcW w:w="3323" w:type="dxa"/>
            <w:tcBorders>
              <w:top w:val="nil"/>
              <w:left w:val="nil"/>
              <w:bottom w:val="single" w:sz="8" w:space="0" w:color="auto"/>
              <w:right w:val="nil"/>
            </w:tcBorders>
            <w:shd w:val="clear" w:color="auto" w:fill="auto"/>
            <w:vAlign w:val="center"/>
            <w:hideMark/>
          </w:tcPr>
          <w:p w14:paraId="62AA5301"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Accommodation deposits (incl. bonds)</w:t>
            </w:r>
          </w:p>
        </w:tc>
        <w:tc>
          <w:tcPr>
            <w:tcW w:w="1380" w:type="dxa"/>
            <w:tcBorders>
              <w:top w:val="nil"/>
              <w:left w:val="nil"/>
              <w:bottom w:val="single" w:sz="8" w:space="0" w:color="auto"/>
              <w:right w:val="nil"/>
            </w:tcBorders>
            <w:shd w:val="clear" w:color="000000" w:fill="FFFFFF"/>
            <w:noWrap/>
            <w:vAlign w:val="center"/>
            <w:hideMark/>
          </w:tcPr>
          <w:p w14:paraId="3B3F462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$6,006</w:t>
            </w:r>
          </w:p>
        </w:tc>
        <w:tc>
          <w:tcPr>
            <w:tcW w:w="1534" w:type="dxa"/>
            <w:tcBorders>
              <w:top w:val="nil"/>
              <w:left w:val="nil"/>
              <w:bottom w:val="single" w:sz="8" w:space="0" w:color="auto"/>
              <w:right w:val="nil"/>
            </w:tcBorders>
            <w:shd w:val="clear" w:color="000000" w:fill="FFFFFF"/>
            <w:noWrap/>
            <w:vAlign w:val="center"/>
            <w:hideMark/>
          </w:tcPr>
          <w:p w14:paraId="0572F228"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$6,853</w:t>
            </w:r>
          </w:p>
        </w:tc>
        <w:tc>
          <w:tcPr>
            <w:tcW w:w="1375" w:type="dxa"/>
            <w:tcBorders>
              <w:top w:val="nil"/>
              <w:left w:val="nil"/>
              <w:bottom w:val="single" w:sz="8" w:space="0" w:color="auto"/>
              <w:right w:val="nil"/>
            </w:tcBorders>
            <w:shd w:val="clear" w:color="000000" w:fill="FFFFFF"/>
            <w:noWrap/>
            <w:vAlign w:val="center"/>
            <w:hideMark/>
          </w:tcPr>
          <w:p w14:paraId="25C08D8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$340</w:t>
            </w:r>
          </w:p>
        </w:tc>
        <w:tc>
          <w:tcPr>
            <w:tcW w:w="1380" w:type="dxa"/>
            <w:tcBorders>
              <w:top w:val="nil"/>
              <w:left w:val="nil"/>
              <w:bottom w:val="single" w:sz="8" w:space="0" w:color="auto"/>
              <w:right w:val="nil"/>
            </w:tcBorders>
            <w:shd w:val="clear" w:color="000000" w:fill="FFFFFF"/>
            <w:noWrap/>
            <w:vAlign w:val="center"/>
            <w:hideMark/>
          </w:tcPr>
          <w:p w14:paraId="6703035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$13,199</w:t>
            </w:r>
          </w:p>
        </w:tc>
      </w:tr>
      <w:tr w:rsidR="00560E98" w:rsidRPr="00560E98" w14:paraId="53182A12" w14:textId="77777777" w:rsidTr="0045338E">
        <w:trPr>
          <w:trHeight w:val="317"/>
        </w:trPr>
        <w:tc>
          <w:tcPr>
            <w:tcW w:w="3323" w:type="dxa"/>
            <w:tcBorders>
              <w:top w:val="nil"/>
              <w:left w:val="nil"/>
              <w:bottom w:val="single" w:sz="8" w:space="0" w:color="auto"/>
              <w:right w:val="nil"/>
            </w:tcBorders>
            <w:shd w:val="clear" w:color="auto" w:fill="auto"/>
            <w:vAlign w:val="center"/>
            <w:hideMark/>
          </w:tcPr>
          <w:p w14:paraId="3DEF6081"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Bank borrowings</w:t>
            </w:r>
          </w:p>
        </w:tc>
        <w:tc>
          <w:tcPr>
            <w:tcW w:w="1380" w:type="dxa"/>
            <w:tcBorders>
              <w:top w:val="nil"/>
              <w:left w:val="nil"/>
              <w:bottom w:val="single" w:sz="8" w:space="0" w:color="auto"/>
              <w:right w:val="nil"/>
            </w:tcBorders>
            <w:shd w:val="clear" w:color="000000" w:fill="FFFFFF"/>
            <w:noWrap/>
            <w:vAlign w:val="center"/>
            <w:hideMark/>
          </w:tcPr>
          <w:p w14:paraId="23561C3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$534</w:t>
            </w:r>
          </w:p>
        </w:tc>
        <w:tc>
          <w:tcPr>
            <w:tcW w:w="1534" w:type="dxa"/>
            <w:tcBorders>
              <w:top w:val="nil"/>
              <w:left w:val="nil"/>
              <w:bottom w:val="single" w:sz="8" w:space="0" w:color="auto"/>
              <w:right w:val="nil"/>
            </w:tcBorders>
            <w:shd w:val="clear" w:color="000000" w:fill="FFFFFF"/>
            <w:noWrap/>
            <w:vAlign w:val="center"/>
            <w:hideMark/>
          </w:tcPr>
          <w:p w14:paraId="398449C9"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$831</w:t>
            </w:r>
          </w:p>
        </w:tc>
        <w:tc>
          <w:tcPr>
            <w:tcW w:w="1375" w:type="dxa"/>
            <w:tcBorders>
              <w:top w:val="nil"/>
              <w:left w:val="nil"/>
              <w:bottom w:val="single" w:sz="8" w:space="0" w:color="auto"/>
              <w:right w:val="nil"/>
            </w:tcBorders>
            <w:shd w:val="clear" w:color="000000" w:fill="FFFFFF"/>
            <w:noWrap/>
            <w:vAlign w:val="center"/>
            <w:hideMark/>
          </w:tcPr>
          <w:p w14:paraId="230F708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$25</w:t>
            </w:r>
          </w:p>
        </w:tc>
        <w:tc>
          <w:tcPr>
            <w:tcW w:w="1380" w:type="dxa"/>
            <w:tcBorders>
              <w:top w:val="nil"/>
              <w:left w:val="nil"/>
              <w:bottom w:val="single" w:sz="8" w:space="0" w:color="auto"/>
              <w:right w:val="nil"/>
            </w:tcBorders>
            <w:shd w:val="clear" w:color="000000" w:fill="FFFFFF"/>
            <w:noWrap/>
            <w:vAlign w:val="center"/>
            <w:hideMark/>
          </w:tcPr>
          <w:p w14:paraId="225C899E"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$1,390</w:t>
            </w:r>
          </w:p>
        </w:tc>
      </w:tr>
      <w:tr w:rsidR="00560E98" w:rsidRPr="00560E98" w14:paraId="01DEC3C6" w14:textId="77777777" w:rsidTr="0045338E">
        <w:trPr>
          <w:trHeight w:val="317"/>
        </w:trPr>
        <w:tc>
          <w:tcPr>
            <w:tcW w:w="3323" w:type="dxa"/>
            <w:tcBorders>
              <w:top w:val="nil"/>
              <w:left w:val="nil"/>
              <w:bottom w:val="single" w:sz="8" w:space="0" w:color="auto"/>
              <w:right w:val="nil"/>
            </w:tcBorders>
            <w:shd w:val="clear" w:color="auto" w:fill="auto"/>
            <w:vAlign w:val="center"/>
            <w:hideMark/>
          </w:tcPr>
          <w:p w14:paraId="6112CCCE"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Related party loans</w:t>
            </w:r>
          </w:p>
        </w:tc>
        <w:tc>
          <w:tcPr>
            <w:tcW w:w="1380" w:type="dxa"/>
            <w:tcBorders>
              <w:top w:val="nil"/>
              <w:left w:val="nil"/>
              <w:bottom w:val="single" w:sz="8" w:space="0" w:color="auto"/>
              <w:right w:val="nil"/>
            </w:tcBorders>
            <w:shd w:val="clear" w:color="000000" w:fill="FFFFFF"/>
            <w:noWrap/>
            <w:vAlign w:val="center"/>
            <w:hideMark/>
          </w:tcPr>
          <w:p w14:paraId="2947D3A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$881</w:t>
            </w:r>
          </w:p>
        </w:tc>
        <w:tc>
          <w:tcPr>
            <w:tcW w:w="1534" w:type="dxa"/>
            <w:tcBorders>
              <w:top w:val="nil"/>
              <w:left w:val="nil"/>
              <w:bottom w:val="single" w:sz="8" w:space="0" w:color="auto"/>
              <w:right w:val="nil"/>
            </w:tcBorders>
            <w:shd w:val="clear" w:color="000000" w:fill="FFFFFF"/>
            <w:noWrap/>
            <w:vAlign w:val="center"/>
            <w:hideMark/>
          </w:tcPr>
          <w:p w14:paraId="438E8455"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$186</w:t>
            </w:r>
          </w:p>
        </w:tc>
        <w:tc>
          <w:tcPr>
            <w:tcW w:w="1375" w:type="dxa"/>
            <w:tcBorders>
              <w:top w:val="nil"/>
              <w:left w:val="nil"/>
              <w:bottom w:val="single" w:sz="8" w:space="0" w:color="auto"/>
              <w:right w:val="nil"/>
            </w:tcBorders>
            <w:shd w:val="clear" w:color="000000" w:fill="FFFFFF"/>
            <w:noWrap/>
            <w:vAlign w:val="center"/>
            <w:hideMark/>
          </w:tcPr>
          <w:p w14:paraId="4D77773C"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$22</w:t>
            </w:r>
          </w:p>
        </w:tc>
        <w:tc>
          <w:tcPr>
            <w:tcW w:w="1380" w:type="dxa"/>
            <w:tcBorders>
              <w:top w:val="nil"/>
              <w:left w:val="nil"/>
              <w:bottom w:val="single" w:sz="8" w:space="0" w:color="auto"/>
              <w:right w:val="nil"/>
            </w:tcBorders>
            <w:shd w:val="clear" w:color="000000" w:fill="FFFFFF"/>
            <w:noWrap/>
            <w:vAlign w:val="center"/>
            <w:hideMark/>
          </w:tcPr>
          <w:p w14:paraId="7B262823"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$1,089</w:t>
            </w:r>
          </w:p>
        </w:tc>
      </w:tr>
      <w:tr w:rsidR="00560E98" w:rsidRPr="00560E98" w14:paraId="03CD4FDE" w14:textId="77777777" w:rsidTr="0045338E">
        <w:trPr>
          <w:trHeight w:val="317"/>
        </w:trPr>
        <w:tc>
          <w:tcPr>
            <w:tcW w:w="3323" w:type="dxa"/>
            <w:tcBorders>
              <w:top w:val="nil"/>
              <w:left w:val="nil"/>
              <w:bottom w:val="single" w:sz="8" w:space="0" w:color="auto"/>
              <w:right w:val="nil"/>
            </w:tcBorders>
            <w:shd w:val="clear" w:color="auto" w:fill="auto"/>
            <w:vAlign w:val="center"/>
            <w:hideMark/>
          </w:tcPr>
          <w:p w14:paraId="5A093C8C"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Employee provisions</w:t>
            </w:r>
          </w:p>
        </w:tc>
        <w:tc>
          <w:tcPr>
            <w:tcW w:w="1380" w:type="dxa"/>
            <w:tcBorders>
              <w:top w:val="nil"/>
              <w:left w:val="nil"/>
              <w:bottom w:val="single" w:sz="8" w:space="0" w:color="auto"/>
              <w:right w:val="nil"/>
            </w:tcBorders>
            <w:shd w:val="clear" w:color="000000" w:fill="FFFFFF"/>
            <w:noWrap/>
            <w:vAlign w:val="center"/>
            <w:hideMark/>
          </w:tcPr>
          <w:p w14:paraId="2F64BADA"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$127</w:t>
            </w:r>
          </w:p>
        </w:tc>
        <w:tc>
          <w:tcPr>
            <w:tcW w:w="1534" w:type="dxa"/>
            <w:tcBorders>
              <w:top w:val="nil"/>
              <w:left w:val="nil"/>
              <w:bottom w:val="single" w:sz="8" w:space="0" w:color="auto"/>
              <w:right w:val="nil"/>
            </w:tcBorders>
            <w:shd w:val="clear" w:color="000000" w:fill="FFFFFF"/>
            <w:noWrap/>
            <w:vAlign w:val="center"/>
            <w:hideMark/>
          </w:tcPr>
          <w:p w14:paraId="46610E9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$160</w:t>
            </w:r>
          </w:p>
        </w:tc>
        <w:tc>
          <w:tcPr>
            <w:tcW w:w="1375" w:type="dxa"/>
            <w:tcBorders>
              <w:top w:val="nil"/>
              <w:left w:val="nil"/>
              <w:bottom w:val="single" w:sz="8" w:space="0" w:color="auto"/>
              <w:right w:val="nil"/>
            </w:tcBorders>
            <w:shd w:val="clear" w:color="000000" w:fill="FFFFFF"/>
            <w:noWrap/>
            <w:vAlign w:val="center"/>
            <w:hideMark/>
          </w:tcPr>
          <w:p w14:paraId="1478B48F"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$34</w:t>
            </w:r>
          </w:p>
        </w:tc>
        <w:tc>
          <w:tcPr>
            <w:tcW w:w="1380" w:type="dxa"/>
            <w:tcBorders>
              <w:top w:val="nil"/>
              <w:left w:val="nil"/>
              <w:bottom w:val="single" w:sz="8" w:space="0" w:color="auto"/>
              <w:right w:val="nil"/>
            </w:tcBorders>
            <w:shd w:val="clear" w:color="000000" w:fill="FFFFFF"/>
            <w:noWrap/>
            <w:vAlign w:val="center"/>
            <w:hideMark/>
          </w:tcPr>
          <w:p w14:paraId="75B38A4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$320</w:t>
            </w:r>
          </w:p>
        </w:tc>
      </w:tr>
      <w:tr w:rsidR="00560E98" w:rsidRPr="00560E98" w14:paraId="71508DBC" w14:textId="77777777" w:rsidTr="0045338E">
        <w:trPr>
          <w:trHeight w:val="317"/>
        </w:trPr>
        <w:tc>
          <w:tcPr>
            <w:tcW w:w="3323" w:type="dxa"/>
            <w:tcBorders>
              <w:top w:val="nil"/>
              <w:left w:val="nil"/>
              <w:bottom w:val="single" w:sz="8" w:space="0" w:color="auto"/>
              <w:right w:val="nil"/>
            </w:tcBorders>
            <w:shd w:val="clear" w:color="auto" w:fill="auto"/>
            <w:vAlign w:val="center"/>
            <w:hideMark/>
          </w:tcPr>
          <w:p w14:paraId="767DAB6C"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Lease liabilities</w:t>
            </w:r>
          </w:p>
        </w:tc>
        <w:tc>
          <w:tcPr>
            <w:tcW w:w="1380" w:type="dxa"/>
            <w:tcBorders>
              <w:top w:val="nil"/>
              <w:left w:val="nil"/>
              <w:bottom w:val="single" w:sz="8" w:space="0" w:color="auto"/>
              <w:right w:val="nil"/>
            </w:tcBorders>
            <w:shd w:val="clear" w:color="000000" w:fill="FFFFFF"/>
            <w:noWrap/>
            <w:vAlign w:val="center"/>
            <w:hideMark/>
          </w:tcPr>
          <w:p w14:paraId="4E263BC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$2,670</w:t>
            </w:r>
          </w:p>
        </w:tc>
        <w:tc>
          <w:tcPr>
            <w:tcW w:w="1534" w:type="dxa"/>
            <w:tcBorders>
              <w:top w:val="nil"/>
              <w:left w:val="nil"/>
              <w:bottom w:val="single" w:sz="8" w:space="0" w:color="auto"/>
              <w:right w:val="nil"/>
            </w:tcBorders>
            <w:shd w:val="clear" w:color="000000" w:fill="FFFFFF"/>
            <w:noWrap/>
            <w:vAlign w:val="center"/>
            <w:hideMark/>
          </w:tcPr>
          <w:p w14:paraId="2BD030B7"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$275</w:t>
            </w:r>
          </w:p>
        </w:tc>
        <w:tc>
          <w:tcPr>
            <w:tcW w:w="1375" w:type="dxa"/>
            <w:tcBorders>
              <w:top w:val="nil"/>
              <w:left w:val="nil"/>
              <w:bottom w:val="single" w:sz="8" w:space="0" w:color="auto"/>
              <w:right w:val="nil"/>
            </w:tcBorders>
            <w:shd w:val="clear" w:color="000000" w:fill="FFFFFF"/>
            <w:noWrap/>
            <w:vAlign w:val="center"/>
            <w:hideMark/>
          </w:tcPr>
          <w:p w14:paraId="6CE993C6"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w:t>
            </w:r>
          </w:p>
        </w:tc>
        <w:tc>
          <w:tcPr>
            <w:tcW w:w="1380" w:type="dxa"/>
            <w:tcBorders>
              <w:top w:val="nil"/>
              <w:left w:val="nil"/>
              <w:bottom w:val="single" w:sz="8" w:space="0" w:color="auto"/>
              <w:right w:val="nil"/>
            </w:tcBorders>
            <w:shd w:val="clear" w:color="000000" w:fill="FFFFFF"/>
            <w:noWrap/>
            <w:vAlign w:val="center"/>
            <w:hideMark/>
          </w:tcPr>
          <w:p w14:paraId="57D71514"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$2,945</w:t>
            </w:r>
          </w:p>
        </w:tc>
      </w:tr>
      <w:tr w:rsidR="00560E98" w:rsidRPr="00560E98" w14:paraId="0B288D5B" w14:textId="77777777" w:rsidTr="0045338E">
        <w:trPr>
          <w:trHeight w:val="317"/>
        </w:trPr>
        <w:tc>
          <w:tcPr>
            <w:tcW w:w="3323" w:type="dxa"/>
            <w:tcBorders>
              <w:top w:val="nil"/>
              <w:left w:val="nil"/>
              <w:bottom w:val="single" w:sz="8" w:space="0" w:color="auto"/>
              <w:right w:val="nil"/>
            </w:tcBorders>
            <w:shd w:val="clear" w:color="auto" w:fill="auto"/>
            <w:vAlign w:val="center"/>
            <w:hideMark/>
          </w:tcPr>
          <w:p w14:paraId="3A5A4D99" w14:textId="77777777" w:rsidR="00560E98" w:rsidRPr="00560E98" w:rsidRDefault="00560E98" w:rsidP="00560E98">
            <w:pPr>
              <w:spacing w:before="0" w:after="0" w:line="240" w:lineRule="auto"/>
              <w:rPr>
                <w:rFonts w:cs="Arial"/>
                <w:bCs w:val="0"/>
                <w:color w:val="1E1545"/>
                <w:sz w:val="21"/>
                <w:szCs w:val="21"/>
                <w:lang w:eastAsia="en-AU"/>
              </w:rPr>
            </w:pPr>
            <w:r w:rsidRPr="00560E98">
              <w:rPr>
                <w:rFonts w:cs="Arial"/>
                <w:bCs w:val="0"/>
                <w:color w:val="1E1545"/>
                <w:sz w:val="21"/>
                <w:szCs w:val="21"/>
                <w:lang w:eastAsia="en-AU"/>
              </w:rPr>
              <w:t>Other non-current liabilities</w:t>
            </w:r>
          </w:p>
        </w:tc>
        <w:tc>
          <w:tcPr>
            <w:tcW w:w="1380" w:type="dxa"/>
            <w:tcBorders>
              <w:top w:val="nil"/>
              <w:left w:val="nil"/>
              <w:bottom w:val="single" w:sz="8" w:space="0" w:color="auto"/>
              <w:right w:val="nil"/>
            </w:tcBorders>
            <w:shd w:val="clear" w:color="000000" w:fill="FFFFFF"/>
            <w:noWrap/>
            <w:vAlign w:val="center"/>
            <w:hideMark/>
          </w:tcPr>
          <w:p w14:paraId="355FBA6E"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$274</w:t>
            </w:r>
          </w:p>
        </w:tc>
        <w:tc>
          <w:tcPr>
            <w:tcW w:w="1534" w:type="dxa"/>
            <w:tcBorders>
              <w:top w:val="nil"/>
              <w:left w:val="nil"/>
              <w:bottom w:val="single" w:sz="8" w:space="0" w:color="auto"/>
              <w:right w:val="nil"/>
            </w:tcBorders>
            <w:shd w:val="clear" w:color="000000" w:fill="FFFFFF"/>
            <w:noWrap/>
            <w:vAlign w:val="center"/>
            <w:hideMark/>
          </w:tcPr>
          <w:p w14:paraId="347FCB41"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$419</w:t>
            </w:r>
          </w:p>
        </w:tc>
        <w:tc>
          <w:tcPr>
            <w:tcW w:w="1375" w:type="dxa"/>
            <w:tcBorders>
              <w:top w:val="nil"/>
              <w:left w:val="nil"/>
              <w:bottom w:val="single" w:sz="8" w:space="0" w:color="auto"/>
              <w:right w:val="nil"/>
            </w:tcBorders>
            <w:shd w:val="clear" w:color="000000" w:fill="FFFFFF"/>
            <w:noWrap/>
            <w:vAlign w:val="center"/>
            <w:hideMark/>
          </w:tcPr>
          <w:p w14:paraId="25A5466B"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$16</w:t>
            </w:r>
          </w:p>
        </w:tc>
        <w:tc>
          <w:tcPr>
            <w:tcW w:w="1380" w:type="dxa"/>
            <w:tcBorders>
              <w:top w:val="nil"/>
              <w:left w:val="nil"/>
              <w:bottom w:val="single" w:sz="8" w:space="0" w:color="auto"/>
              <w:right w:val="nil"/>
            </w:tcBorders>
            <w:shd w:val="clear" w:color="000000" w:fill="FFFFFF"/>
            <w:noWrap/>
            <w:vAlign w:val="center"/>
            <w:hideMark/>
          </w:tcPr>
          <w:p w14:paraId="508B4D7D" w14:textId="77777777" w:rsidR="00560E98" w:rsidRPr="00560E98" w:rsidRDefault="00560E98" w:rsidP="00560E98">
            <w:pPr>
              <w:spacing w:before="0" w:after="0" w:line="240" w:lineRule="auto"/>
              <w:jc w:val="right"/>
              <w:rPr>
                <w:rFonts w:cs="Arial"/>
                <w:bCs w:val="0"/>
                <w:color w:val="1E1545"/>
                <w:sz w:val="21"/>
                <w:szCs w:val="21"/>
                <w:lang w:eastAsia="en-AU"/>
              </w:rPr>
            </w:pPr>
            <w:r w:rsidRPr="00560E98">
              <w:rPr>
                <w:rFonts w:cs="Arial"/>
                <w:bCs w:val="0"/>
                <w:color w:val="1E1545"/>
                <w:sz w:val="21"/>
                <w:szCs w:val="21"/>
                <w:lang w:eastAsia="en-AU"/>
              </w:rPr>
              <w:t>$709</w:t>
            </w:r>
          </w:p>
        </w:tc>
      </w:tr>
      <w:tr w:rsidR="00560E98" w:rsidRPr="00560E98" w14:paraId="58A3EAA4"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2DC3807A"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non-current liabilities</w:t>
            </w:r>
          </w:p>
        </w:tc>
        <w:tc>
          <w:tcPr>
            <w:tcW w:w="1380" w:type="dxa"/>
            <w:tcBorders>
              <w:top w:val="nil"/>
              <w:left w:val="nil"/>
              <w:bottom w:val="single" w:sz="8" w:space="0" w:color="auto"/>
              <w:right w:val="nil"/>
            </w:tcBorders>
            <w:shd w:val="clear" w:color="000000" w:fill="D8DADA"/>
            <w:noWrap/>
            <w:vAlign w:val="center"/>
            <w:hideMark/>
          </w:tcPr>
          <w:p w14:paraId="40248670"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$10,491</w:t>
            </w:r>
          </w:p>
        </w:tc>
        <w:tc>
          <w:tcPr>
            <w:tcW w:w="1534" w:type="dxa"/>
            <w:tcBorders>
              <w:top w:val="nil"/>
              <w:left w:val="nil"/>
              <w:bottom w:val="single" w:sz="8" w:space="0" w:color="auto"/>
              <w:right w:val="nil"/>
            </w:tcBorders>
            <w:shd w:val="clear" w:color="000000" w:fill="D8DADA"/>
            <w:noWrap/>
            <w:vAlign w:val="center"/>
            <w:hideMark/>
          </w:tcPr>
          <w:p w14:paraId="5446406B"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$8,723</w:t>
            </w:r>
          </w:p>
        </w:tc>
        <w:tc>
          <w:tcPr>
            <w:tcW w:w="1375" w:type="dxa"/>
            <w:tcBorders>
              <w:top w:val="nil"/>
              <w:left w:val="nil"/>
              <w:bottom w:val="single" w:sz="8" w:space="0" w:color="auto"/>
              <w:right w:val="nil"/>
            </w:tcBorders>
            <w:shd w:val="clear" w:color="000000" w:fill="D8DADA"/>
            <w:noWrap/>
            <w:vAlign w:val="center"/>
            <w:hideMark/>
          </w:tcPr>
          <w:p w14:paraId="26221886"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$438</w:t>
            </w:r>
          </w:p>
        </w:tc>
        <w:tc>
          <w:tcPr>
            <w:tcW w:w="1380" w:type="dxa"/>
            <w:tcBorders>
              <w:top w:val="nil"/>
              <w:left w:val="nil"/>
              <w:bottom w:val="single" w:sz="8" w:space="0" w:color="auto"/>
              <w:right w:val="nil"/>
            </w:tcBorders>
            <w:shd w:val="clear" w:color="000000" w:fill="D8DADA"/>
            <w:noWrap/>
            <w:vAlign w:val="center"/>
            <w:hideMark/>
          </w:tcPr>
          <w:p w14:paraId="0513836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$19,652</w:t>
            </w:r>
          </w:p>
        </w:tc>
      </w:tr>
      <w:tr w:rsidR="00560E98" w:rsidRPr="00560E98" w14:paraId="60B81461" w14:textId="77777777" w:rsidTr="0045338E">
        <w:trPr>
          <w:trHeight w:val="317"/>
        </w:trPr>
        <w:tc>
          <w:tcPr>
            <w:tcW w:w="3323" w:type="dxa"/>
            <w:tcBorders>
              <w:top w:val="nil"/>
              <w:left w:val="nil"/>
              <w:bottom w:val="single" w:sz="8" w:space="0" w:color="auto"/>
              <w:right w:val="nil"/>
            </w:tcBorders>
            <w:shd w:val="clear" w:color="000000" w:fill="D8DADA"/>
            <w:vAlign w:val="center"/>
            <w:hideMark/>
          </w:tcPr>
          <w:p w14:paraId="236D7D95"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Total liabilities</w:t>
            </w:r>
          </w:p>
        </w:tc>
        <w:tc>
          <w:tcPr>
            <w:tcW w:w="1380" w:type="dxa"/>
            <w:tcBorders>
              <w:top w:val="nil"/>
              <w:left w:val="nil"/>
              <w:bottom w:val="single" w:sz="8" w:space="0" w:color="auto"/>
              <w:right w:val="nil"/>
            </w:tcBorders>
            <w:shd w:val="clear" w:color="000000" w:fill="D8DADA"/>
            <w:noWrap/>
            <w:vAlign w:val="center"/>
            <w:hideMark/>
          </w:tcPr>
          <w:p w14:paraId="3A77751A"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$26,236</w:t>
            </w:r>
          </w:p>
        </w:tc>
        <w:tc>
          <w:tcPr>
            <w:tcW w:w="1534" w:type="dxa"/>
            <w:tcBorders>
              <w:top w:val="nil"/>
              <w:left w:val="nil"/>
              <w:bottom w:val="single" w:sz="8" w:space="0" w:color="auto"/>
              <w:right w:val="nil"/>
            </w:tcBorders>
            <w:shd w:val="clear" w:color="000000" w:fill="D8DADA"/>
            <w:noWrap/>
            <w:vAlign w:val="center"/>
            <w:hideMark/>
          </w:tcPr>
          <w:p w14:paraId="13D43439"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$24,190</w:t>
            </w:r>
          </w:p>
        </w:tc>
        <w:tc>
          <w:tcPr>
            <w:tcW w:w="1375" w:type="dxa"/>
            <w:tcBorders>
              <w:top w:val="nil"/>
              <w:left w:val="nil"/>
              <w:bottom w:val="single" w:sz="8" w:space="0" w:color="auto"/>
              <w:right w:val="nil"/>
            </w:tcBorders>
            <w:shd w:val="clear" w:color="000000" w:fill="D8DADA"/>
            <w:noWrap/>
            <w:vAlign w:val="center"/>
            <w:hideMark/>
          </w:tcPr>
          <w:p w14:paraId="4EE43703"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$1,151</w:t>
            </w:r>
          </w:p>
        </w:tc>
        <w:tc>
          <w:tcPr>
            <w:tcW w:w="1380" w:type="dxa"/>
            <w:tcBorders>
              <w:top w:val="nil"/>
              <w:left w:val="nil"/>
              <w:bottom w:val="single" w:sz="8" w:space="0" w:color="auto"/>
              <w:right w:val="nil"/>
            </w:tcBorders>
            <w:shd w:val="clear" w:color="000000" w:fill="D8DADA"/>
            <w:noWrap/>
            <w:vAlign w:val="center"/>
            <w:hideMark/>
          </w:tcPr>
          <w:p w14:paraId="241F52CC"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$51,578</w:t>
            </w:r>
          </w:p>
        </w:tc>
      </w:tr>
      <w:tr w:rsidR="00560E98" w:rsidRPr="00560E98" w14:paraId="109477C8" w14:textId="77777777" w:rsidTr="0045338E">
        <w:trPr>
          <w:trHeight w:val="317"/>
        </w:trPr>
        <w:tc>
          <w:tcPr>
            <w:tcW w:w="3323" w:type="dxa"/>
            <w:tcBorders>
              <w:top w:val="nil"/>
              <w:left w:val="nil"/>
              <w:bottom w:val="single" w:sz="12" w:space="0" w:color="auto"/>
              <w:right w:val="nil"/>
            </w:tcBorders>
            <w:shd w:val="clear" w:color="000000" w:fill="D8DADA"/>
            <w:vAlign w:val="center"/>
            <w:hideMark/>
          </w:tcPr>
          <w:p w14:paraId="10F2B6E4" w14:textId="77777777" w:rsidR="00560E98" w:rsidRPr="00560E98" w:rsidRDefault="00560E98" w:rsidP="00560E98">
            <w:pPr>
              <w:spacing w:before="0" w:after="0" w:line="240" w:lineRule="auto"/>
              <w:rPr>
                <w:rFonts w:cs="Arial"/>
                <w:b/>
                <w:color w:val="1E1545"/>
                <w:sz w:val="21"/>
                <w:szCs w:val="21"/>
                <w:lang w:eastAsia="en-AU"/>
              </w:rPr>
            </w:pPr>
            <w:r w:rsidRPr="00560E98">
              <w:rPr>
                <w:rFonts w:cs="Arial"/>
                <w:b/>
                <w:color w:val="1E1545"/>
                <w:sz w:val="21"/>
                <w:szCs w:val="21"/>
                <w:lang w:eastAsia="en-AU"/>
              </w:rPr>
              <w:t>Net assets</w:t>
            </w:r>
          </w:p>
        </w:tc>
        <w:tc>
          <w:tcPr>
            <w:tcW w:w="1380" w:type="dxa"/>
            <w:tcBorders>
              <w:top w:val="nil"/>
              <w:left w:val="nil"/>
              <w:bottom w:val="single" w:sz="12" w:space="0" w:color="auto"/>
              <w:right w:val="nil"/>
            </w:tcBorders>
            <w:shd w:val="clear" w:color="000000" w:fill="D8DADA"/>
            <w:noWrap/>
            <w:vAlign w:val="center"/>
            <w:hideMark/>
          </w:tcPr>
          <w:p w14:paraId="4A5F00A6" w14:textId="31F3D15D"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($377)</w:t>
            </w:r>
          </w:p>
        </w:tc>
        <w:tc>
          <w:tcPr>
            <w:tcW w:w="1534" w:type="dxa"/>
            <w:tcBorders>
              <w:top w:val="nil"/>
              <w:left w:val="nil"/>
              <w:bottom w:val="single" w:sz="12" w:space="0" w:color="auto"/>
              <w:right w:val="nil"/>
            </w:tcBorders>
            <w:shd w:val="clear" w:color="000000" w:fill="D8DADA"/>
            <w:noWrap/>
            <w:vAlign w:val="center"/>
            <w:hideMark/>
          </w:tcPr>
          <w:p w14:paraId="39A8C68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$4,701</w:t>
            </w:r>
          </w:p>
        </w:tc>
        <w:tc>
          <w:tcPr>
            <w:tcW w:w="1375" w:type="dxa"/>
            <w:tcBorders>
              <w:top w:val="nil"/>
              <w:left w:val="nil"/>
              <w:bottom w:val="single" w:sz="12" w:space="0" w:color="auto"/>
              <w:right w:val="nil"/>
            </w:tcBorders>
            <w:shd w:val="clear" w:color="000000" w:fill="D8DADA"/>
            <w:noWrap/>
            <w:vAlign w:val="center"/>
            <w:hideMark/>
          </w:tcPr>
          <w:p w14:paraId="1AD439C7"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$1,547</w:t>
            </w:r>
          </w:p>
        </w:tc>
        <w:tc>
          <w:tcPr>
            <w:tcW w:w="1380" w:type="dxa"/>
            <w:tcBorders>
              <w:top w:val="nil"/>
              <w:left w:val="nil"/>
              <w:bottom w:val="single" w:sz="12" w:space="0" w:color="auto"/>
              <w:right w:val="nil"/>
            </w:tcBorders>
            <w:shd w:val="clear" w:color="000000" w:fill="D8DADA"/>
            <w:noWrap/>
            <w:vAlign w:val="center"/>
            <w:hideMark/>
          </w:tcPr>
          <w:p w14:paraId="5AB944E2" w14:textId="77777777" w:rsidR="00560E98" w:rsidRPr="00560E98" w:rsidRDefault="00560E98" w:rsidP="00560E98">
            <w:pPr>
              <w:spacing w:before="0" w:after="0" w:line="240" w:lineRule="auto"/>
              <w:jc w:val="right"/>
              <w:rPr>
                <w:rFonts w:cs="Arial"/>
                <w:b/>
                <w:color w:val="1E1545"/>
                <w:sz w:val="21"/>
                <w:szCs w:val="21"/>
                <w:lang w:eastAsia="en-AU"/>
              </w:rPr>
            </w:pPr>
            <w:r w:rsidRPr="00560E98">
              <w:rPr>
                <w:rFonts w:cs="Arial"/>
                <w:b/>
                <w:color w:val="1E1545"/>
                <w:sz w:val="21"/>
                <w:szCs w:val="21"/>
                <w:lang w:eastAsia="en-AU"/>
              </w:rPr>
              <w:t>$5,870</w:t>
            </w:r>
          </w:p>
        </w:tc>
      </w:tr>
    </w:tbl>
    <w:p w14:paraId="3176529C" w14:textId="77777777" w:rsidR="002B06FD" w:rsidRDefault="002B06FD" w:rsidP="002B06FD">
      <w:pPr>
        <w:pStyle w:val="FootnoteText"/>
      </w:pPr>
    </w:p>
    <w:p w14:paraId="3E97ADD2" w14:textId="237097A5" w:rsidR="0016612A" w:rsidRPr="002B06FD" w:rsidRDefault="00B62206" w:rsidP="002B06FD">
      <w:pPr>
        <w:pStyle w:val="FootnoteText"/>
      </w:pPr>
      <w:r w:rsidRPr="002B06FD">
        <w:t>Note: The residential disaggregated balance sheet above does not include Accommodation Deposit balances held by Multi-Purpose Services</w:t>
      </w:r>
    </w:p>
    <w:p w14:paraId="4179DBBD" w14:textId="77777777" w:rsidR="006F4F12" w:rsidRDefault="006F4F12" w:rsidP="006F4F12">
      <w:pPr>
        <w:spacing w:before="0" w:after="0" w:line="240" w:lineRule="auto"/>
      </w:pPr>
      <w:r>
        <w:br w:type="page"/>
      </w:r>
    </w:p>
    <w:p w14:paraId="5BF420F0" w14:textId="6B3F555A" w:rsidR="0016612A" w:rsidRDefault="0016612A" w:rsidP="00DA6C78">
      <w:pPr>
        <w:rPr>
          <w:b/>
          <w:bCs w:val="0"/>
          <w:sz w:val="28"/>
          <w:szCs w:val="28"/>
        </w:rPr>
      </w:pPr>
      <w:r w:rsidRPr="001058AB">
        <w:rPr>
          <w:b/>
          <w:sz w:val="28"/>
          <w:szCs w:val="28"/>
        </w:rPr>
        <w:t>Liabilities</w:t>
      </w:r>
    </w:p>
    <w:p w14:paraId="444BB430" w14:textId="412BA181" w:rsidR="00C931BD" w:rsidRPr="001058AB" w:rsidRDefault="004F78EB" w:rsidP="00DA6C78">
      <w:pPr>
        <w:rPr>
          <w:b/>
          <w:sz w:val="28"/>
          <w:szCs w:val="28"/>
        </w:rPr>
      </w:pPr>
      <w:r>
        <w:rPr>
          <w:highlight w:val="yellow"/>
        </w:rPr>
        <w:fldChar w:fldCharType="begin"/>
      </w:r>
      <w:r>
        <w:rPr>
          <w:highlight w:val="yellow"/>
        </w:rPr>
        <w:instrText xml:space="preserve"> REF _Ref162515873 \h </w:instrText>
      </w:r>
      <w:r>
        <w:rPr>
          <w:highlight w:val="yellow"/>
        </w:rPr>
      </w:r>
      <w:r>
        <w:rPr>
          <w:highlight w:val="yellow"/>
        </w:rPr>
        <w:fldChar w:fldCharType="separate"/>
      </w:r>
      <w:r w:rsidR="001377BE">
        <w:t xml:space="preserve">Chart </w:t>
      </w:r>
      <w:r w:rsidR="001377BE">
        <w:rPr>
          <w:noProof/>
        </w:rPr>
        <w:t>4</w:t>
      </w:r>
      <w:r w:rsidR="001377BE">
        <w:t>.</w:t>
      </w:r>
      <w:r w:rsidR="001377BE">
        <w:rPr>
          <w:noProof/>
        </w:rPr>
        <w:t>1</w:t>
      </w:r>
      <w:r>
        <w:rPr>
          <w:highlight w:val="yellow"/>
        </w:rPr>
        <w:fldChar w:fldCharType="end"/>
      </w:r>
      <w:r w:rsidRPr="001058AB">
        <w:t xml:space="preserve"> </w:t>
      </w:r>
      <w:r w:rsidR="00C931BD" w:rsidRPr="00507492">
        <w:t>shows residential care provider liability types as a proportion of total assets for the last 5</w:t>
      </w:r>
      <w:r w:rsidR="00C931BD" w:rsidRPr="00507492">
        <w:rPr>
          <w:spacing w:val="-4"/>
        </w:rPr>
        <w:t xml:space="preserve"> </w:t>
      </w:r>
      <w:r w:rsidR="00C931BD" w:rsidRPr="00507492">
        <w:t xml:space="preserve">years. Liabilities include the current and non-current liabilities listed in </w:t>
      </w:r>
      <w:r w:rsidRPr="00507492">
        <w:fldChar w:fldCharType="begin"/>
      </w:r>
      <w:r w:rsidRPr="00507492">
        <w:instrText xml:space="preserve"> REF _Ref162515768 \h </w:instrText>
      </w:r>
      <w:r w:rsidR="00507492">
        <w:instrText xml:space="preserve"> \* MERGEFORMAT </w:instrText>
      </w:r>
      <w:r w:rsidRPr="00507492">
        <w:fldChar w:fldCharType="separate"/>
      </w:r>
      <w:r w:rsidR="001377BE">
        <w:t xml:space="preserve">Table </w:t>
      </w:r>
      <w:r w:rsidR="001377BE">
        <w:rPr>
          <w:noProof/>
        </w:rPr>
        <w:t>4.3</w:t>
      </w:r>
      <w:r w:rsidRPr="00507492">
        <w:fldChar w:fldCharType="end"/>
      </w:r>
      <w:r w:rsidRPr="00507492">
        <w:t xml:space="preserve"> </w:t>
      </w:r>
      <w:r w:rsidR="00C931BD" w:rsidRPr="00507492">
        <w:t>(</w:t>
      </w:r>
      <w:r w:rsidR="0062709E">
        <w:t>for example,</w:t>
      </w:r>
      <w:r w:rsidR="00C931BD" w:rsidRPr="00507492">
        <w:t xml:space="preserve"> accommodation deposits, bank borrowings, related party loans, employee provisions, lease liabilities and other liabilities). </w:t>
      </w:r>
      <w:r w:rsidR="00C931BD" w:rsidRPr="00844E2C">
        <w:t>In</w:t>
      </w:r>
      <w:r w:rsidR="00C931BD" w:rsidRPr="00844E2C">
        <w:rPr>
          <w:spacing w:val="-11"/>
        </w:rPr>
        <w:t xml:space="preserve"> </w:t>
      </w:r>
      <w:r w:rsidR="00C931BD" w:rsidRPr="00844E2C">
        <w:t>202</w:t>
      </w:r>
      <w:r w:rsidR="00507492" w:rsidRPr="00844E2C">
        <w:t>2</w:t>
      </w:r>
      <w:r w:rsidR="00C931BD" w:rsidRPr="00844E2C">
        <w:t>-2</w:t>
      </w:r>
      <w:r w:rsidR="00507492" w:rsidRPr="00844E2C">
        <w:t>3</w:t>
      </w:r>
      <w:r w:rsidR="00C931BD" w:rsidRPr="00844E2C">
        <w:t>,</w:t>
      </w:r>
      <w:r w:rsidR="00C931BD" w:rsidRPr="00844E2C">
        <w:rPr>
          <w:spacing w:val="-11"/>
        </w:rPr>
        <w:t xml:space="preserve"> </w:t>
      </w:r>
      <w:r w:rsidR="00C931BD" w:rsidRPr="00844E2C">
        <w:t>total</w:t>
      </w:r>
      <w:r w:rsidR="00C931BD" w:rsidRPr="00844E2C">
        <w:rPr>
          <w:spacing w:val="-8"/>
        </w:rPr>
        <w:t xml:space="preserve"> </w:t>
      </w:r>
      <w:r w:rsidR="00C931BD" w:rsidRPr="00844E2C">
        <w:t>liabilities</w:t>
      </w:r>
      <w:r w:rsidR="00C931BD" w:rsidRPr="00844E2C">
        <w:rPr>
          <w:spacing w:val="-8"/>
        </w:rPr>
        <w:t xml:space="preserve"> </w:t>
      </w:r>
      <w:r w:rsidR="00C931BD" w:rsidRPr="00844E2C">
        <w:t>increased</w:t>
      </w:r>
      <w:r w:rsidR="00C931BD" w:rsidRPr="00844E2C">
        <w:rPr>
          <w:spacing w:val="-8"/>
        </w:rPr>
        <w:t xml:space="preserve"> </w:t>
      </w:r>
      <w:r w:rsidR="00C931BD" w:rsidRPr="00844E2C">
        <w:t>to</w:t>
      </w:r>
      <w:r w:rsidR="00C931BD" w:rsidRPr="00844E2C">
        <w:rPr>
          <w:spacing w:val="-8"/>
        </w:rPr>
        <w:t xml:space="preserve"> </w:t>
      </w:r>
      <w:r w:rsidR="00844E2C" w:rsidRPr="00844E2C">
        <w:t>89.</w:t>
      </w:r>
      <w:r w:rsidR="007508F4">
        <w:t>8</w:t>
      </w:r>
      <w:r w:rsidR="007508F4" w:rsidRPr="00844E2C">
        <w:rPr>
          <w:spacing w:val="-11"/>
        </w:rPr>
        <w:t xml:space="preserve"> </w:t>
      </w:r>
      <w:r w:rsidR="00844E2C" w:rsidRPr="00844E2C">
        <w:rPr>
          <w:spacing w:val="-11"/>
        </w:rPr>
        <w:t>%</w:t>
      </w:r>
      <w:r w:rsidR="00C931BD" w:rsidRPr="00844E2C">
        <w:rPr>
          <w:spacing w:val="-11"/>
        </w:rPr>
        <w:t xml:space="preserve"> </w:t>
      </w:r>
      <w:r w:rsidR="00C931BD" w:rsidRPr="00844E2C">
        <w:t>up from 8</w:t>
      </w:r>
      <w:r w:rsidR="00844E2C" w:rsidRPr="00844E2C">
        <w:t>5.4%</w:t>
      </w:r>
      <w:r w:rsidR="00C931BD" w:rsidRPr="00844E2C">
        <w:t xml:space="preserve"> the previous year. </w:t>
      </w:r>
      <w:r w:rsidR="00C931BD" w:rsidRPr="00C57099">
        <w:t>Net worth/equity</w:t>
      </w:r>
      <w:r w:rsidR="00C931BD" w:rsidRPr="00C57099">
        <w:rPr>
          <w:spacing w:val="-4"/>
        </w:rPr>
        <w:t xml:space="preserve"> </w:t>
      </w:r>
      <w:r w:rsidR="00C931BD" w:rsidRPr="00C57099">
        <w:t>was</w:t>
      </w:r>
      <w:r w:rsidR="00C931BD" w:rsidRPr="00C57099">
        <w:rPr>
          <w:spacing w:val="-4"/>
        </w:rPr>
        <w:t xml:space="preserve"> </w:t>
      </w:r>
      <w:r w:rsidR="00C57099" w:rsidRPr="00C57099">
        <w:t>10.2</w:t>
      </w:r>
      <w:r w:rsidR="00C57099" w:rsidRPr="00C57099">
        <w:rPr>
          <w:spacing w:val="-9"/>
        </w:rPr>
        <w:t>%</w:t>
      </w:r>
      <w:r w:rsidR="00C931BD" w:rsidRPr="00C57099">
        <w:t>,</w:t>
      </w:r>
      <w:r w:rsidR="00C931BD" w:rsidRPr="00C57099">
        <w:rPr>
          <w:spacing w:val="-4"/>
        </w:rPr>
        <w:t xml:space="preserve"> </w:t>
      </w:r>
      <w:r w:rsidR="00C931BD" w:rsidRPr="00C57099">
        <w:t>a</w:t>
      </w:r>
      <w:r w:rsidR="00C931BD" w:rsidRPr="00C57099">
        <w:rPr>
          <w:spacing w:val="-4"/>
        </w:rPr>
        <w:t xml:space="preserve"> </w:t>
      </w:r>
      <w:r w:rsidR="00C931BD" w:rsidRPr="00C57099">
        <w:t>decrease</w:t>
      </w:r>
      <w:r w:rsidR="00C931BD" w:rsidRPr="00C57099">
        <w:rPr>
          <w:spacing w:val="-4"/>
        </w:rPr>
        <w:t xml:space="preserve"> </w:t>
      </w:r>
      <w:r w:rsidR="00C931BD" w:rsidRPr="00C57099">
        <w:t>from</w:t>
      </w:r>
      <w:r w:rsidR="00C931BD" w:rsidRPr="00C57099">
        <w:rPr>
          <w:spacing w:val="-4"/>
        </w:rPr>
        <w:t xml:space="preserve"> </w:t>
      </w:r>
      <w:r w:rsidR="00C57099" w:rsidRPr="00C57099">
        <w:t>14.6</w:t>
      </w:r>
      <w:r w:rsidR="00C57099" w:rsidRPr="00C57099">
        <w:rPr>
          <w:spacing w:val="-9"/>
        </w:rPr>
        <w:t>%</w:t>
      </w:r>
      <w:r w:rsidR="00C931BD" w:rsidRPr="00C57099">
        <w:rPr>
          <w:spacing w:val="-9"/>
        </w:rPr>
        <w:t xml:space="preserve"> </w:t>
      </w:r>
      <w:r w:rsidR="00C931BD" w:rsidRPr="00C57099">
        <w:t xml:space="preserve">the previous year. </w:t>
      </w:r>
      <w:r w:rsidR="00C931BD" w:rsidRPr="0015133A">
        <w:t xml:space="preserve">This is the </w:t>
      </w:r>
      <w:r w:rsidR="0015133A" w:rsidRPr="0015133A">
        <w:t>fourth</w:t>
      </w:r>
      <w:r w:rsidR="00C931BD" w:rsidRPr="0015133A">
        <w:t xml:space="preserve"> year in a row that there has been a noticeable decrease in net worth/equity as a proportion of total assets, declining from around 24</w:t>
      </w:r>
      <w:r w:rsidR="00CD6B87">
        <w:t xml:space="preserve">% in </w:t>
      </w:r>
      <w:r w:rsidR="001C340B">
        <w:t xml:space="preserve">2018-19. </w:t>
      </w:r>
    </w:p>
    <w:p w14:paraId="1AD9FAA4" w14:textId="01308F22" w:rsidR="00790945" w:rsidRDefault="00D035B6" w:rsidP="00706D0A">
      <w:pPr>
        <w:pStyle w:val="Caption"/>
      </w:pPr>
      <w:bookmarkStart w:id="164" w:name="_Ref162515873"/>
      <w:bookmarkStart w:id="165" w:name="_Toc173428933"/>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164"/>
      <w:r>
        <w:t xml:space="preserve">: </w:t>
      </w:r>
      <w:r w:rsidRPr="006D1370">
        <w:t xml:space="preserve">Residential care provider liability types as a proportion of total assets, </w:t>
      </w:r>
      <w:r w:rsidR="001B0BF5" w:rsidRPr="006D1370">
        <w:t>20</w:t>
      </w:r>
      <w:r w:rsidR="001B0BF5">
        <w:t>18</w:t>
      </w:r>
      <w:r w:rsidRPr="006D1370">
        <w:t>-1</w:t>
      </w:r>
      <w:r w:rsidR="001B0BF5">
        <w:t>9</w:t>
      </w:r>
      <w:r w:rsidRPr="006D1370">
        <w:t xml:space="preserve"> to 202</w:t>
      </w:r>
      <w:r w:rsidR="001B0BF5">
        <w:t>2-23</w:t>
      </w:r>
      <w:bookmarkEnd w:id="165"/>
    </w:p>
    <w:p w14:paraId="238C8A7E" w14:textId="4E94E7D2" w:rsidR="00E11FF8" w:rsidRDefault="00DC05E5" w:rsidP="00F91BBB">
      <w:pPr>
        <w:pStyle w:val="Caption"/>
        <w:rPr>
          <w:b w:val="0"/>
          <w:sz w:val="28"/>
          <w:szCs w:val="28"/>
        </w:rPr>
      </w:pPr>
      <w:r>
        <w:rPr>
          <w:noProof/>
        </w:rPr>
        <w:drawing>
          <wp:inline distT="0" distB="0" distL="0" distR="0" wp14:anchorId="621C78C6" wp14:editId="4C29B446">
            <wp:extent cx="5868000" cy="3184893"/>
            <wp:effectExtent l="0" t="0" r="0" b="0"/>
            <wp:docPr id="1465481033" name="Picture 1465481033" descr="Chart 4.1 is a clustered column chart titled Residential care provider liability types as a proportion of total assets, 2018-19 to 2022-23. Total liabilities increased to 89.8%, up from 85.4% the previous year. Net worth/equity was 10.2%, a decrease from 14.6% the previous year. A noticeable decrease in net worth/equity has occurred four years in a row after being around 24% in the previous ye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3" name="Picture 1465481033" descr="Chart 4.1 is a clustered column chart titled Residential care provider liability types as a proportion of total assets, 2018-19 to 2022-23. Total liabilities increased to 89.8%, up from 85.4% the previous year. Net worth/equity was 10.2%, a decrease from 14.6% the previous year. A noticeable decrease in net worth/equity has occurred four years in a row after being around 24% in the previous years.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72839" cy="3187519"/>
                    </a:xfrm>
                    <a:prstGeom prst="rect">
                      <a:avLst/>
                    </a:prstGeom>
                    <a:noFill/>
                  </pic:spPr>
                </pic:pic>
              </a:graphicData>
            </a:graphic>
          </wp:inline>
        </w:drawing>
      </w:r>
    </w:p>
    <w:p w14:paraId="01C4028C" w14:textId="77777777" w:rsidR="006F4F12" w:rsidRDefault="006F4F12" w:rsidP="006F4F12">
      <w:pPr>
        <w:spacing w:before="0" w:after="0" w:line="240" w:lineRule="auto"/>
      </w:pPr>
      <w:r>
        <w:br w:type="page"/>
      </w:r>
    </w:p>
    <w:p w14:paraId="56CAAFFA" w14:textId="77777777" w:rsidR="001377BE" w:rsidRDefault="00790945" w:rsidP="00385C81">
      <w:r w:rsidRPr="00E75B6D">
        <w:rPr>
          <w:b/>
          <w:sz w:val="28"/>
          <w:szCs w:val="28"/>
        </w:rPr>
        <w:t>Liabilities by ownership type</w:t>
      </w:r>
      <w:r w:rsidR="0027096B">
        <w:fldChar w:fldCharType="begin"/>
      </w:r>
      <w:r w:rsidR="0027096B">
        <w:instrText xml:space="preserve"> REF _Ref162948680 \h </w:instrText>
      </w:r>
      <w:r w:rsidR="0027096B">
        <w:fldChar w:fldCharType="separate"/>
      </w:r>
    </w:p>
    <w:p w14:paraId="59AA46DB" w14:textId="4FF3C16D" w:rsidR="00F91BBB" w:rsidRDefault="001377BE" w:rsidP="00385C81">
      <w:r>
        <w:t xml:space="preserve">Chart </w:t>
      </w:r>
      <w:r>
        <w:rPr>
          <w:noProof/>
        </w:rPr>
        <w:t>4</w:t>
      </w:r>
      <w:r>
        <w:t>.</w:t>
      </w:r>
      <w:r>
        <w:rPr>
          <w:noProof/>
        </w:rPr>
        <w:t>2</w:t>
      </w:r>
      <w:r w:rsidR="0027096B">
        <w:fldChar w:fldCharType="end"/>
      </w:r>
      <w:r w:rsidR="0027096B">
        <w:t xml:space="preserve"> </w:t>
      </w:r>
      <w:r w:rsidR="00F61CDE" w:rsidRPr="000A7785">
        <w:t xml:space="preserve">shows the liabilities and net worth/equity as a proportion of total assets by ownership type for the last 3 years. </w:t>
      </w:r>
      <w:r w:rsidR="00F61CDE" w:rsidRPr="0058339E">
        <w:t xml:space="preserve">The proportion of net worth/equity of not-for-profit providers was significantly higher (between </w:t>
      </w:r>
      <w:r w:rsidR="000A7785" w:rsidRPr="0058339E">
        <w:t>16</w:t>
      </w:r>
      <w:r w:rsidR="0058339E" w:rsidRPr="0058339E">
        <w:t>.3</w:t>
      </w:r>
      <w:r w:rsidR="00B77690" w:rsidRPr="0058339E">
        <w:t>%</w:t>
      </w:r>
      <w:r w:rsidR="00F61CDE" w:rsidRPr="0058339E">
        <w:t xml:space="preserve"> and </w:t>
      </w:r>
      <w:r w:rsidR="000A7785" w:rsidRPr="0058339E">
        <w:t>2</w:t>
      </w:r>
      <w:r w:rsidR="0058339E" w:rsidRPr="0058339E">
        <w:t>7.6</w:t>
      </w:r>
      <w:r w:rsidR="00B77690" w:rsidRPr="0058339E">
        <w:t>%</w:t>
      </w:r>
      <w:r w:rsidR="00F61CDE" w:rsidRPr="0058339E">
        <w:t xml:space="preserve">), compared with for-profit providers (between </w:t>
      </w:r>
      <w:r w:rsidR="002B46B3">
        <w:t xml:space="preserve">negative </w:t>
      </w:r>
      <w:r w:rsidR="00B77690" w:rsidRPr="0058339E">
        <w:t>1.5%</w:t>
      </w:r>
      <w:r w:rsidR="00F61CDE" w:rsidRPr="0058339E">
        <w:t xml:space="preserve"> and </w:t>
      </w:r>
      <w:r w:rsidR="00B77690" w:rsidRPr="0058339E">
        <w:t>5.3%</w:t>
      </w:r>
      <w:r w:rsidR="00F61CDE" w:rsidRPr="0058339E">
        <w:t>).</w:t>
      </w:r>
      <w:r w:rsidR="0058339E">
        <w:t xml:space="preserve"> </w:t>
      </w:r>
      <w:r w:rsidR="008C7066">
        <w:t xml:space="preserve">For-profit providers </w:t>
      </w:r>
      <w:r w:rsidR="00910EE0">
        <w:t>re</w:t>
      </w:r>
      <w:r w:rsidR="000F0595">
        <w:t>ported</w:t>
      </w:r>
      <w:r w:rsidR="008C7066">
        <w:t xml:space="preserve"> </w:t>
      </w:r>
      <w:r w:rsidR="00B065C2">
        <w:t>negative</w:t>
      </w:r>
      <w:r w:rsidR="005162B2">
        <w:t xml:space="preserve"> proportion of net worth/equity </w:t>
      </w:r>
      <w:r w:rsidR="00B065C2">
        <w:t>for the first time</w:t>
      </w:r>
      <w:r w:rsidR="005162B2">
        <w:t xml:space="preserve"> </w:t>
      </w:r>
      <w:r w:rsidR="008D39E5">
        <w:t>in</w:t>
      </w:r>
      <w:r w:rsidR="00342D4C">
        <w:t xml:space="preserve"> </w:t>
      </w:r>
      <w:r w:rsidR="00006714">
        <w:t xml:space="preserve">the </w:t>
      </w:r>
      <w:r w:rsidR="008D39E5">
        <w:t>past 10 years</w:t>
      </w:r>
      <w:r w:rsidR="00CF087E">
        <w:t xml:space="preserve"> </w:t>
      </w:r>
      <w:r w:rsidR="005162B2">
        <w:t xml:space="preserve">with </w:t>
      </w:r>
      <w:r w:rsidR="00530AC9">
        <w:t>negative</w:t>
      </w:r>
      <w:r w:rsidR="00385C81">
        <w:t xml:space="preserve"> </w:t>
      </w:r>
      <w:r w:rsidR="00B065C2">
        <w:t xml:space="preserve">1.5%. </w:t>
      </w:r>
      <w:r w:rsidR="005162B2">
        <w:t xml:space="preserve"> </w:t>
      </w:r>
      <w:bookmarkStart w:id="166" w:name="_Ref162948680"/>
    </w:p>
    <w:p w14:paraId="0D71E291" w14:textId="7DEDB880" w:rsidR="0011528A" w:rsidRPr="0011528A" w:rsidRDefault="00145F3F" w:rsidP="00E11FF8">
      <w:pPr>
        <w:pStyle w:val="Caption"/>
      </w:pPr>
      <w:bookmarkStart w:id="167" w:name="_Toc173428934"/>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bookmarkEnd w:id="166"/>
      <w:r>
        <w:t xml:space="preserve">: </w:t>
      </w:r>
      <w:r w:rsidRPr="00F9725F">
        <w:t>Liabilities and net worth as a proportion of total assets, by ownership type, 20</w:t>
      </w:r>
      <w:r w:rsidR="00422AE5">
        <w:t>20</w:t>
      </w:r>
      <w:r w:rsidRPr="00F9725F">
        <w:t>-2</w:t>
      </w:r>
      <w:r w:rsidR="00422AE5">
        <w:t>1</w:t>
      </w:r>
      <w:r w:rsidRPr="00F9725F">
        <w:t xml:space="preserve"> to 202</w:t>
      </w:r>
      <w:r w:rsidR="00422AE5">
        <w:t>2</w:t>
      </w:r>
      <w:r w:rsidRPr="00F9725F">
        <w:t>-2</w:t>
      </w:r>
      <w:r w:rsidR="00422AE5">
        <w:t>3</w:t>
      </w:r>
      <w:bookmarkEnd w:id="167"/>
    </w:p>
    <w:p w14:paraId="16A7D0AE" w14:textId="77777777" w:rsidR="00C93174" w:rsidRDefault="00F105AD" w:rsidP="00DA6C78">
      <w:pPr>
        <w:rPr>
          <w:b/>
          <w:sz w:val="28"/>
          <w:szCs w:val="28"/>
        </w:rPr>
      </w:pPr>
      <w:r>
        <w:rPr>
          <w:noProof/>
        </w:rPr>
        <w:drawing>
          <wp:inline distT="0" distB="0" distL="0" distR="0" wp14:anchorId="058B1D5A" wp14:editId="50999605">
            <wp:extent cx="6312731" cy="2772807"/>
            <wp:effectExtent l="0" t="0" r="0" b="8890"/>
            <wp:docPr id="1465481038" name="Picture 1465481038" descr="Chart 4.2 is a stacked column chart titled Liabilities and net worth as a proportion of total assets, by ownership type, 2020-21 to 2022-23. The proportion of net worth/equity of not-for-profit providers was significantly higher (between 16.3% and 27.6%), compared with for-profit providers (between -1.5% and 5.3%). Net worth/equity as proportion of total asset has been declining for not-for-profit and for-profit providers in the past three years. For-profit providers reported negative net profit and equity proportion of -1.5% in 2022-23 (first time in over a decad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8" name="Picture 1465481038" descr="Chart 4.2 is a stacked column chart titled Liabilities and net worth as a proportion of total assets, by ownership type, 2020-21 to 2022-23. The proportion of net worth/equity of not-for-profit providers was significantly higher (between 16.3% and 27.6%), compared with for-profit providers (between -1.5% and 5.3%). Net worth/equity as proportion of total asset has been declining for not-for-profit and for-profit providers in the past three years. For-profit providers reported negative net profit and equity proportion of -1.5% in 2022-23 (first time in over a decade). &#10;&#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66215" cy="2796299"/>
                    </a:xfrm>
                    <a:prstGeom prst="rect">
                      <a:avLst/>
                    </a:prstGeom>
                    <a:noFill/>
                  </pic:spPr>
                </pic:pic>
              </a:graphicData>
            </a:graphic>
          </wp:inline>
        </w:drawing>
      </w:r>
    </w:p>
    <w:p w14:paraId="17BFB1F1" w14:textId="77777777" w:rsidR="00C93174" w:rsidRDefault="00C93174" w:rsidP="00DA6C78">
      <w:pPr>
        <w:rPr>
          <w:b/>
          <w:sz w:val="28"/>
          <w:szCs w:val="28"/>
        </w:rPr>
      </w:pPr>
    </w:p>
    <w:p w14:paraId="3767791A" w14:textId="66639DC1" w:rsidR="00F84786" w:rsidRPr="00DC6BE8" w:rsidRDefault="00F84786" w:rsidP="00DA6C78">
      <w:pPr>
        <w:rPr>
          <w:b/>
          <w:sz w:val="28"/>
          <w:szCs w:val="28"/>
        </w:rPr>
      </w:pPr>
      <w:r w:rsidRPr="00DC6BE8">
        <w:rPr>
          <w:b/>
          <w:sz w:val="28"/>
          <w:szCs w:val="28"/>
        </w:rPr>
        <w:t>Accommodation deposits</w:t>
      </w:r>
    </w:p>
    <w:p w14:paraId="077F77F7" w14:textId="783E56A6" w:rsidR="00C23409" w:rsidRDefault="000E240B" w:rsidP="000E240B">
      <w:r>
        <w:fldChar w:fldCharType="begin"/>
      </w:r>
      <w:r>
        <w:instrText xml:space="preserve"> REF _Ref162948824 \h </w:instrText>
      </w:r>
      <w:r>
        <w:fldChar w:fldCharType="separate"/>
      </w:r>
      <w:r w:rsidR="001377BE">
        <w:t xml:space="preserve">Table </w:t>
      </w:r>
      <w:r w:rsidR="001377BE">
        <w:rPr>
          <w:noProof/>
        </w:rPr>
        <w:t>4</w:t>
      </w:r>
      <w:r w:rsidR="001377BE">
        <w:t>.</w:t>
      </w:r>
      <w:r w:rsidR="001377BE">
        <w:rPr>
          <w:noProof/>
        </w:rPr>
        <w:t>4</w:t>
      </w:r>
      <w:r>
        <w:fldChar w:fldCharType="end"/>
      </w:r>
      <w:r>
        <w:t xml:space="preserve"> </w:t>
      </w:r>
      <w:r w:rsidRPr="00C96D06">
        <w:t xml:space="preserve">shows </w:t>
      </w:r>
      <w:r w:rsidR="00AD30C9">
        <w:t xml:space="preserve">that </w:t>
      </w:r>
      <w:r w:rsidRPr="00C96D06">
        <w:t xml:space="preserve">the average value of RADs held by providers </w:t>
      </w:r>
      <w:r w:rsidR="00AD30C9">
        <w:t>has</w:t>
      </w:r>
      <w:r w:rsidRPr="00C96D06">
        <w:t xml:space="preserve"> continued to increase </w:t>
      </w:r>
      <w:r w:rsidR="00AD30C9">
        <w:t>over the last 5 years</w:t>
      </w:r>
      <w:r w:rsidRPr="00C96D06">
        <w:t>. At 30 June 202</w:t>
      </w:r>
      <w:r w:rsidR="00C96D06" w:rsidRPr="00C96D06">
        <w:t>3</w:t>
      </w:r>
      <w:r w:rsidRPr="00C96D06">
        <w:t xml:space="preserve">, there were </w:t>
      </w:r>
      <w:r w:rsidR="009A0F0B">
        <w:t>102,470</w:t>
      </w:r>
      <w:r w:rsidRPr="00C96D06">
        <w:t xml:space="preserve"> RADs held across providers with an average value of $3</w:t>
      </w:r>
      <w:r w:rsidR="00C96D06" w:rsidRPr="00C96D06">
        <w:t>66</w:t>
      </w:r>
      <w:r w:rsidRPr="00C96D06">
        <w:t>,000</w:t>
      </w:r>
      <w:r w:rsidRPr="00296C16">
        <w:t>.</w:t>
      </w:r>
    </w:p>
    <w:p w14:paraId="4ABC016E" w14:textId="47382F12" w:rsidR="00C96D06" w:rsidRDefault="00C23409" w:rsidP="00706D0A">
      <w:pPr>
        <w:pStyle w:val="Caption"/>
      </w:pPr>
      <w:bookmarkStart w:id="168" w:name="_Ref162948824"/>
      <w:bookmarkStart w:id="169" w:name="_Toc173428897"/>
      <w:r>
        <w:t xml:space="preserve">Table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4</w:t>
      </w:r>
      <w:r w:rsidR="00AE19AA">
        <w:rPr>
          <w:noProof/>
        </w:rPr>
        <w:fldChar w:fldCharType="end"/>
      </w:r>
      <w:bookmarkEnd w:id="168"/>
      <w:r>
        <w:t xml:space="preserve">: </w:t>
      </w:r>
      <w:r w:rsidRPr="0079343B">
        <w:t>Average value of RADs held by providers, 201</w:t>
      </w:r>
      <w:r w:rsidR="00C96D06">
        <w:t>8</w:t>
      </w:r>
      <w:r w:rsidRPr="0079343B">
        <w:t>-1</w:t>
      </w:r>
      <w:r w:rsidR="00C96D06">
        <w:t>9</w:t>
      </w:r>
      <w:r w:rsidRPr="0079343B">
        <w:t xml:space="preserve"> to 202</w:t>
      </w:r>
      <w:r w:rsidR="00C96D06">
        <w:t>2</w:t>
      </w:r>
      <w:r w:rsidRPr="0079343B">
        <w:t>-2</w:t>
      </w:r>
      <w:r w:rsidR="00C96D06">
        <w:t>3</w:t>
      </w:r>
      <w:bookmarkEnd w:id="169"/>
      <w:r w:rsidR="00C96D06">
        <w:t xml:space="preserve"> </w:t>
      </w:r>
    </w:p>
    <w:tbl>
      <w:tblPr>
        <w:tblW w:w="9209" w:type="dxa"/>
        <w:tblLook w:val="04A0" w:firstRow="1" w:lastRow="0" w:firstColumn="1" w:lastColumn="0" w:noHBand="0" w:noVBand="1"/>
      </w:tblPr>
      <w:tblGrid>
        <w:gridCol w:w="2405"/>
        <w:gridCol w:w="1360"/>
        <w:gridCol w:w="1361"/>
        <w:gridCol w:w="1361"/>
        <w:gridCol w:w="1361"/>
        <w:gridCol w:w="1361"/>
      </w:tblGrid>
      <w:tr w:rsidR="00C96D06" w:rsidRPr="00C96D06" w14:paraId="7833A07D" w14:textId="77777777" w:rsidTr="00296309">
        <w:trPr>
          <w:trHeight w:val="300"/>
        </w:trPr>
        <w:tc>
          <w:tcPr>
            <w:tcW w:w="2405" w:type="dxa"/>
            <w:tcBorders>
              <w:top w:val="single" w:sz="4" w:space="0" w:color="1E1545"/>
              <w:left w:val="single" w:sz="4" w:space="0" w:color="1E1545"/>
              <w:bottom w:val="single" w:sz="4" w:space="0" w:color="1E1545"/>
              <w:right w:val="single" w:sz="4" w:space="0" w:color="1E1545"/>
            </w:tcBorders>
            <w:shd w:val="clear" w:color="000000" w:fill="1E1545"/>
            <w:noWrap/>
            <w:vAlign w:val="center"/>
            <w:hideMark/>
          </w:tcPr>
          <w:p w14:paraId="298FBBA5"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Year</w:t>
            </w:r>
          </w:p>
        </w:tc>
        <w:tc>
          <w:tcPr>
            <w:tcW w:w="1360" w:type="dxa"/>
            <w:tcBorders>
              <w:top w:val="single" w:sz="4" w:space="0" w:color="1E1545"/>
              <w:left w:val="nil"/>
              <w:bottom w:val="single" w:sz="4" w:space="0" w:color="1E1545"/>
              <w:right w:val="single" w:sz="4" w:space="0" w:color="1E1545"/>
            </w:tcBorders>
            <w:shd w:val="clear" w:color="000000" w:fill="1E1545"/>
            <w:vAlign w:val="center"/>
            <w:hideMark/>
          </w:tcPr>
          <w:p w14:paraId="0A1E64E3"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2018-19</w:t>
            </w:r>
          </w:p>
        </w:tc>
        <w:tc>
          <w:tcPr>
            <w:tcW w:w="1361" w:type="dxa"/>
            <w:tcBorders>
              <w:top w:val="single" w:sz="4" w:space="0" w:color="1E1545"/>
              <w:left w:val="nil"/>
              <w:bottom w:val="single" w:sz="4" w:space="0" w:color="1E1545"/>
              <w:right w:val="single" w:sz="4" w:space="0" w:color="1E1545"/>
            </w:tcBorders>
            <w:shd w:val="clear" w:color="000000" w:fill="1E1545"/>
            <w:vAlign w:val="center"/>
            <w:hideMark/>
          </w:tcPr>
          <w:p w14:paraId="4B1117EE"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2019-20</w:t>
            </w:r>
          </w:p>
        </w:tc>
        <w:tc>
          <w:tcPr>
            <w:tcW w:w="1361" w:type="dxa"/>
            <w:tcBorders>
              <w:top w:val="single" w:sz="4" w:space="0" w:color="1E1545"/>
              <w:left w:val="nil"/>
              <w:bottom w:val="single" w:sz="4" w:space="0" w:color="1E1545"/>
              <w:right w:val="single" w:sz="4" w:space="0" w:color="1E1545"/>
            </w:tcBorders>
            <w:shd w:val="clear" w:color="000000" w:fill="1E1545"/>
            <w:vAlign w:val="center"/>
            <w:hideMark/>
          </w:tcPr>
          <w:p w14:paraId="69CFD987"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2020-21</w:t>
            </w:r>
          </w:p>
        </w:tc>
        <w:tc>
          <w:tcPr>
            <w:tcW w:w="1361" w:type="dxa"/>
            <w:tcBorders>
              <w:top w:val="single" w:sz="4" w:space="0" w:color="1E1545"/>
              <w:left w:val="nil"/>
              <w:bottom w:val="single" w:sz="4" w:space="0" w:color="1E1545"/>
              <w:right w:val="single" w:sz="4" w:space="0" w:color="1E1545"/>
            </w:tcBorders>
            <w:shd w:val="clear" w:color="000000" w:fill="1E1545"/>
            <w:vAlign w:val="center"/>
            <w:hideMark/>
          </w:tcPr>
          <w:p w14:paraId="65D9089A"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2021-22</w:t>
            </w:r>
          </w:p>
        </w:tc>
        <w:tc>
          <w:tcPr>
            <w:tcW w:w="1361" w:type="dxa"/>
            <w:tcBorders>
              <w:top w:val="single" w:sz="4" w:space="0" w:color="1E1545"/>
              <w:left w:val="nil"/>
              <w:bottom w:val="single" w:sz="4" w:space="0" w:color="1E1545"/>
              <w:right w:val="single" w:sz="4" w:space="0" w:color="1E1545"/>
            </w:tcBorders>
            <w:shd w:val="clear" w:color="000000" w:fill="1E1545"/>
            <w:vAlign w:val="center"/>
            <w:hideMark/>
          </w:tcPr>
          <w:p w14:paraId="522BDFC0" w14:textId="77777777" w:rsidR="00C96D06" w:rsidRPr="00C96D06" w:rsidRDefault="00C96D06" w:rsidP="00C96D06">
            <w:pPr>
              <w:spacing w:before="0" w:after="0" w:line="240" w:lineRule="auto"/>
              <w:jc w:val="center"/>
              <w:rPr>
                <w:rFonts w:cs="Arial"/>
                <w:b/>
                <w:color w:val="F1F2F2"/>
                <w:sz w:val="21"/>
                <w:szCs w:val="21"/>
                <w:lang w:eastAsia="en-AU"/>
              </w:rPr>
            </w:pPr>
            <w:r w:rsidRPr="00C96D06">
              <w:rPr>
                <w:rFonts w:cs="Arial"/>
                <w:b/>
                <w:color w:val="F1F2F2"/>
                <w:sz w:val="21"/>
                <w:szCs w:val="21"/>
                <w:lang w:eastAsia="en-AU"/>
              </w:rPr>
              <w:t>2022-23</w:t>
            </w:r>
          </w:p>
        </w:tc>
      </w:tr>
      <w:tr w:rsidR="00C96D06" w:rsidRPr="00C96D06" w14:paraId="01927014" w14:textId="77777777" w:rsidTr="00296309">
        <w:trPr>
          <w:trHeight w:val="300"/>
        </w:trPr>
        <w:tc>
          <w:tcPr>
            <w:tcW w:w="2405" w:type="dxa"/>
            <w:tcBorders>
              <w:top w:val="nil"/>
              <w:left w:val="single" w:sz="4" w:space="0" w:color="1E1545"/>
              <w:bottom w:val="single" w:sz="4" w:space="0" w:color="1E1545"/>
              <w:right w:val="single" w:sz="4" w:space="0" w:color="1E1545"/>
            </w:tcBorders>
            <w:shd w:val="clear" w:color="auto" w:fill="auto"/>
            <w:noWrap/>
            <w:vAlign w:val="bottom"/>
            <w:hideMark/>
          </w:tcPr>
          <w:p w14:paraId="6FA0D025" w14:textId="77777777" w:rsidR="00C96D06" w:rsidRPr="00C96D06" w:rsidRDefault="00C96D06" w:rsidP="00C96D06">
            <w:pPr>
              <w:spacing w:before="0" w:after="0" w:line="240" w:lineRule="auto"/>
              <w:rPr>
                <w:rFonts w:cs="Arial"/>
                <w:bCs w:val="0"/>
                <w:color w:val="1E1545"/>
                <w:sz w:val="21"/>
                <w:szCs w:val="21"/>
                <w:lang w:eastAsia="en-AU"/>
              </w:rPr>
            </w:pPr>
            <w:r w:rsidRPr="00C96D06">
              <w:rPr>
                <w:rFonts w:cs="Arial"/>
                <w:bCs w:val="0"/>
                <w:color w:val="1E1545"/>
                <w:sz w:val="21"/>
                <w:szCs w:val="21"/>
                <w:lang w:eastAsia="en-AU"/>
              </w:rPr>
              <w:t>Average value of RAD</w:t>
            </w:r>
          </w:p>
        </w:tc>
        <w:tc>
          <w:tcPr>
            <w:tcW w:w="1360" w:type="dxa"/>
            <w:tcBorders>
              <w:top w:val="nil"/>
              <w:left w:val="nil"/>
              <w:bottom w:val="single" w:sz="4" w:space="0" w:color="1E1545"/>
              <w:right w:val="single" w:sz="4" w:space="0" w:color="1E1545"/>
            </w:tcBorders>
            <w:shd w:val="clear" w:color="auto" w:fill="auto"/>
            <w:vAlign w:val="center"/>
            <w:hideMark/>
          </w:tcPr>
          <w:p w14:paraId="075E1BA6" w14:textId="77777777" w:rsidR="00C96D06" w:rsidRPr="00C96D06" w:rsidRDefault="00C96D06" w:rsidP="00C96D06">
            <w:pPr>
              <w:spacing w:before="0" w:after="0" w:line="240" w:lineRule="auto"/>
              <w:jc w:val="right"/>
              <w:rPr>
                <w:rFonts w:cs="Arial"/>
                <w:bCs w:val="0"/>
                <w:color w:val="1E1545"/>
                <w:sz w:val="21"/>
                <w:szCs w:val="21"/>
                <w:lang w:eastAsia="en-AU"/>
              </w:rPr>
            </w:pPr>
            <w:r w:rsidRPr="00C96D06">
              <w:rPr>
                <w:rFonts w:cs="Arial"/>
                <w:bCs w:val="0"/>
                <w:color w:val="1E1545"/>
                <w:sz w:val="21"/>
                <w:szCs w:val="21"/>
                <w:lang w:eastAsia="en-AU"/>
              </w:rPr>
              <w:t xml:space="preserve"> $   318,000 </w:t>
            </w:r>
          </w:p>
        </w:tc>
        <w:tc>
          <w:tcPr>
            <w:tcW w:w="1361" w:type="dxa"/>
            <w:tcBorders>
              <w:top w:val="nil"/>
              <w:left w:val="nil"/>
              <w:bottom w:val="single" w:sz="4" w:space="0" w:color="1E1545"/>
              <w:right w:val="single" w:sz="4" w:space="0" w:color="1E1545"/>
            </w:tcBorders>
            <w:shd w:val="clear" w:color="auto" w:fill="auto"/>
            <w:vAlign w:val="center"/>
            <w:hideMark/>
          </w:tcPr>
          <w:p w14:paraId="40575AB0" w14:textId="77777777" w:rsidR="00C96D06" w:rsidRPr="00C96D06" w:rsidRDefault="00C96D06" w:rsidP="00C96D06">
            <w:pPr>
              <w:spacing w:before="0" w:after="0" w:line="240" w:lineRule="auto"/>
              <w:jc w:val="right"/>
              <w:rPr>
                <w:rFonts w:cs="Arial"/>
                <w:bCs w:val="0"/>
                <w:color w:val="1E1545"/>
                <w:sz w:val="21"/>
                <w:szCs w:val="21"/>
                <w:lang w:eastAsia="en-AU"/>
              </w:rPr>
            </w:pPr>
            <w:r w:rsidRPr="00C96D06">
              <w:rPr>
                <w:rFonts w:cs="Arial"/>
                <w:bCs w:val="0"/>
                <w:color w:val="1E1545"/>
                <w:sz w:val="21"/>
                <w:szCs w:val="21"/>
                <w:lang w:eastAsia="en-AU"/>
              </w:rPr>
              <w:t xml:space="preserve"> $   334,000 </w:t>
            </w:r>
          </w:p>
        </w:tc>
        <w:tc>
          <w:tcPr>
            <w:tcW w:w="1361" w:type="dxa"/>
            <w:tcBorders>
              <w:top w:val="nil"/>
              <w:left w:val="nil"/>
              <w:bottom w:val="single" w:sz="4" w:space="0" w:color="1E1545"/>
              <w:right w:val="single" w:sz="4" w:space="0" w:color="1E1545"/>
            </w:tcBorders>
            <w:shd w:val="clear" w:color="auto" w:fill="auto"/>
            <w:vAlign w:val="center"/>
            <w:hideMark/>
          </w:tcPr>
          <w:p w14:paraId="723EF24B" w14:textId="77777777" w:rsidR="00C96D06" w:rsidRPr="00C96D06" w:rsidRDefault="00C96D06" w:rsidP="00C96D06">
            <w:pPr>
              <w:spacing w:before="0" w:after="0" w:line="240" w:lineRule="auto"/>
              <w:jc w:val="right"/>
              <w:rPr>
                <w:rFonts w:cs="Arial"/>
                <w:bCs w:val="0"/>
                <w:color w:val="1E1545"/>
                <w:sz w:val="21"/>
                <w:szCs w:val="21"/>
                <w:lang w:eastAsia="en-AU"/>
              </w:rPr>
            </w:pPr>
            <w:r w:rsidRPr="00C96D06">
              <w:rPr>
                <w:rFonts w:cs="Arial"/>
                <w:bCs w:val="0"/>
                <w:color w:val="1E1545"/>
                <w:sz w:val="21"/>
                <w:szCs w:val="21"/>
                <w:lang w:eastAsia="en-AU"/>
              </w:rPr>
              <w:t xml:space="preserve"> $   344,000 </w:t>
            </w:r>
          </w:p>
        </w:tc>
        <w:tc>
          <w:tcPr>
            <w:tcW w:w="1361" w:type="dxa"/>
            <w:tcBorders>
              <w:top w:val="nil"/>
              <w:left w:val="nil"/>
              <w:bottom w:val="single" w:sz="4" w:space="0" w:color="1E1545"/>
              <w:right w:val="single" w:sz="4" w:space="0" w:color="1E1545"/>
            </w:tcBorders>
            <w:shd w:val="clear" w:color="auto" w:fill="auto"/>
            <w:vAlign w:val="center"/>
            <w:hideMark/>
          </w:tcPr>
          <w:p w14:paraId="73E217B6" w14:textId="77777777" w:rsidR="00C96D06" w:rsidRPr="00C96D06" w:rsidRDefault="00C96D06" w:rsidP="00C96D06">
            <w:pPr>
              <w:spacing w:before="0" w:after="0" w:line="240" w:lineRule="auto"/>
              <w:jc w:val="right"/>
              <w:rPr>
                <w:rFonts w:cs="Arial"/>
                <w:bCs w:val="0"/>
                <w:color w:val="1E1545"/>
                <w:sz w:val="21"/>
                <w:szCs w:val="21"/>
                <w:lang w:eastAsia="en-AU"/>
              </w:rPr>
            </w:pPr>
            <w:r w:rsidRPr="00C96D06">
              <w:rPr>
                <w:rFonts w:cs="Arial"/>
                <w:bCs w:val="0"/>
                <w:color w:val="1E1545"/>
                <w:sz w:val="21"/>
                <w:szCs w:val="21"/>
                <w:lang w:eastAsia="en-AU"/>
              </w:rPr>
              <w:t xml:space="preserve"> $   350,000 </w:t>
            </w:r>
          </w:p>
        </w:tc>
        <w:tc>
          <w:tcPr>
            <w:tcW w:w="1361" w:type="dxa"/>
            <w:tcBorders>
              <w:top w:val="nil"/>
              <w:left w:val="nil"/>
              <w:bottom w:val="single" w:sz="4" w:space="0" w:color="1E1545"/>
              <w:right w:val="single" w:sz="4" w:space="0" w:color="1E1545"/>
            </w:tcBorders>
            <w:shd w:val="clear" w:color="000000" w:fill="FFFFFF"/>
            <w:vAlign w:val="center"/>
            <w:hideMark/>
          </w:tcPr>
          <w:p w14:paraId="43B493AF" w14:textId="77777777" w:rsidR="00C96D06" w:rsidRPr="00C96D06" w:rsidRDefault="00C96D06" w:rsidP="00C96D06">
            <w:pPr>
              <w:spacing w:before="0" w:after="0" w:line="240" w:lineRule="auto"/>
              <w:jc w:val="right"/>
              <w:rPr>
                <w:rFonts w:cs="Arial"/>
                <w:bCs w:val="0"/>
                <w:color w:val="1E1545"/>
                <w:sz w:val="21"/>
                <w:szCs w:val="21"/>
                <w:lang w:eastAsia="en-AU"/>
              </w:rPr>
            </w:pPr>
            <w:r w:rsidRPr="00C96D06">
              <w:rPr>
                <w:rFonts w:cs="Arial"/>
                <w:bCs w:val="0"/>
                <w:color w:val="1E1545"/>
                <w:sz w:val="21"/>
                <w:szCs w:val="21"/>
                <w:lang w:eastAsia="en-AU"/>
              </w:rPr>
              <w:t xml:space="preserve"> $   366,000 </w:t>
            </w:r>
          </w:p>
        </w:tc>
      </w:tr>
    </w:tbl>
    <w:p w14:paraId="708319AE" w14:textId="55C96024" w:rsidR="003C5248" w:rsidRPr="009456DA" w:rsidRDefault="003C5248" w:rsidP="00C96D06">
      <w:pPr>
        <w:pStyle w:val="FootnoteText"/>
        <w:spacing w:before="120"/>
      </w:pPr>
      <w:r w:rsidRPr="009456DA">
        <w:t>Note: The above calculation uses RADs from both residential aged care providers and multi-purpose facilities</w:t>
      </w:r>
    </w:p>
    <w:p w14:paraId="58BB1A5F" w14:textId="77777777" w:rsidR="006F4F12" w:rsidRDefault="006F4F12" w:rsidP="006F4F12">
      <w:pPr>
        <w:spacing w:before="0" w:after="0" w:line="240" w:lineRule="auto"/>
      </w:pPr>
      <w:r>
        <w:br w:type="page"/>
      </w:r>
    </w:p>
    <w:p w14:paraId="1A6B2A26" w14:textId="2C708D3B" w:rsidR="000E240B" w:rsidRPr="000E240B" w:rsidRDefault="00164178" w:rsidP="000E240B">
      <w:r>
        <w:fldChar w:fldCharType="begin"/>
      </w:r>
      <w:r>
        <w:instrText xml:space="preserve"> REF _Ref162948902 \h </w:instrText>
      </w:r>
      <w:r>
        <w:fldChar w:fldCharType="separate"/>
      </w:r>
      <w:r w:rsidR="001377BE">
        <w:t xml:space="preserve">Chart </w:t>
      </w:r>
      <w:r w:rsidR="001377BE">
        <w:rPr>
          <w:noProof/>
        </w:rPr>
        <w:t>4</w:t>
      </w:r>
      <w:r w:rsidR="001377BE">
        <w:t>.</w:t>
      </w:r>
      <w:r w:rsidR="001377BE">
        <w:rPr>
          <w:noProof/>
        </w:rPr>
        <w:t>3</w:t>
      </w:r>
      <w:r>
        <w:fldChar w:fldCharType="end"/>
      </w:r>
      <w:r>
        <w:t xml:space="preserve"> </w:t>
      </w:r>
      <w:r w:rsidRPr="0044145C">
        <w:t>shows the total pool of accommodation deposits held by providers since 2014-15, as well as the number of deposits held</w:t>
      </w:r>
      <w:r w:rsidRPr="00BD5022">
        <w:t>. The total value of accommodation deposits held by providers continued to grow, from $18.21 billion in 2014–15 to $</w:t>
      </w:r>
      <w:r w:rsidR="00B65BCB" w:rsidRPr="00BD5022">
        <w:t>37.</w:t>
      </w:r>
      <w:r w:rsidR="00BD5022" w:rsidRPr="00BD5022">
        <w:t>54</w:t>
      </w:r>
      <w:r w:rsidRPr="00BD5022">
        <w:t xml:space="preserve"> billion in 202</w:t>
      </w:r>
      <w:r w:rsidR="00BD5022">
        <w:t>2</w:t>
      </w:r>
      <w:r w:rsidRPr="00BD5022">
        <w:t>-2</w:t>
      </w:r>
      <w:r w:rsidR="00BD5022">
        <w:t>3</w:t>
      </w:r>
      <w:r w:rsidRPr="00BD5022">
        <w:t>. While the value of accommodation deposits continued to grow, the number of accommodation deposits held plateaued.</w:t>
      </w:r>
    </w:p>
    <w:p w14:paraId="772703A4" w14:textId="232874FB" w:rsidR="00BC6B4A" w:rsidRDefault="00102F92" w:rsidP="00706D0A">
      <w:pPr>
        <w:pStyle w:val="Caption"/>
      </w:pPr>
      <w:bookmarkStart w:id="170" w:name="_Ref162948902"/>
      <w:bookmarkStart w:id="171" w:name="_Toc173428935"/>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3</w:t>
      </w:r>
      <w:r w:rsidR="00AE19AA">
        <w:rPr>
          <w:noProof/>
        </w:rPr>
        <w:fldChar w:fldCharType="end"/>
      </w:r>
      <w:bookmarkEnd w:id="170"/>
      <w:r>
        <w:t xml:space="preserve">: </w:t>
      </w:r>
      <w:r w:rsidRPr="00875E74">
        <w:t>Total value and total number of accommodation deposits held, 2014-15 to 202</w:t>
      </w:r>
      <w:r w:rsidR="0044145C">
        <w:t>2</w:t>
      </w:r>
      <w:r w:rsidRPr="00875E74">
        <w:t>-2</w:t>
      </w:r>
      <w:r w:rsidR="0044145C">
        <w:t>3</w:t>
      </w:r>
      <w:bookmarkEnd w:id="171"/>
    </w:p>
    <w:p w14:paraId="688C333D" w14:textId="2A0E06C9" w:rsidR="00102F92" w:rsidRDefault="007919CC" w:rsidP="00706D0A">
      <w:pPr>
        <w:pStyle w:val="Caption"/>
      </w:pPr>
      <w:r>
        <w:rPr>
          <w:noProof/>
        </w:rPr>
        <w:drawing>
          <wp:inline distT="0" distB="0" distL="0" distR="0" wp14:anchorId="6384B0AB" wp14:editId="52EB3CA0">
            <wp:extent cx="5991990" cy="2469600"/>
            <wp:effectExtent l="0" t="0" r="8890" b="6985"/>
            <wp:docPr id="1465481048" name="Picture 1465481048" descr="Chart 4.3 is a combined column and line chart titled Total value and total number of accommodation deposits held, 2014-15 to 2022-23. The total value of accommodation deposits held by providers continued to grow, from $18.21 billion in 2014–15 to $37.54 billion in 2022-23. However, the number of accommodation deposits held has plateau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8" name="Picture 1465481048" descr="Chart 4.3 is a combined column and line chart titled Total value and total number of accommodation deposits held, 2014-15 to 2022-23. The total value of accommodation deposits held by providers continued to grow, from $18.21 billion in 2014–15 to $37.54 billion in 2022-23. However, the number of accommodation deposits held has plateaued.&#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15172" cy="2479154"/>
                    </a:xfrm>
                    <a:prstGeom prst="rect">
                      <a:avLst/>
                    </a:prstGeom>
                    <a:noFill/>
                  </pic:spPr>
                </pic:pic>
              </a:graphicData>
            </a:graphic>
          </wp:inline>
        </w:drawing>
      </w:r>
    </w:p>
    <w:p w14:paraId="69237471" w14:textId="77777777" w:rsidR="00497064" w:rsidRPr="0054105B" w:rsidRDefault="00FF06B6" w:rsidP="0054105B">
      <w:pPr>
        <w:pStyle w:val="FootnoteText"/>
      </w:pPr>
      <w:r w:rsidRPr="0054105B">
        <w:t xml:space="preserve">Note: </w:t>
      </w:r>
    </w:p>
    <w:p w14:paraId="08C4FCB5" w14:textId="5C3CD9B0" w:rsidR="00BE348F" w:rsidRPr="0054105B" w:rsidRDefault="00FF06B6" w:rsidP="002B06FD">
      <w:pPr>
        <w:pStyle w:val="FootnoteText"/>
        <w:numPr>
          <w:ilvl w:val="0"/>
          <w:numId w:val="43"/>
        </w:numPr>
      </w:pPr>
      <w:r w:rsidRPr="0054105B">
        <w:t>The above RADs balance includes RADs held by both residential providers and multi-purpose services</w:t>
      </w:r>
      <w:r w:rsidR="00E11AE8" w:rsidRPr="0054105B">
        <w:t xml:space="preserve"> and does not include RADs receivable.</w:t>
      </w:r>
      <w:r w:rsidRPr="0054105B">
        <w:t xml:space="preserve"> </w:t>
      </w:r>
    </w:p>
    <w:p w14:paraId="49467F0A" w14:textId="5138884B" w:rsidR="00497064" w:rsidRPr="0054105B" w:rsidRDefault="00F35AC7" w:rsidP="002B06FD">
      <w:pPr>
        <w:pStyle w:val="FootnoteText"/>
        <w:numPr>
          <w:ilvl w:val="0"/>
          <w:numId w:val="43"/>
        </w:numPr>
      </w:pPr>
      <w:r w:rsidRPr="0054105B">
        <w:t>R</w:t>
      </w:r>
      <w:r w:rsidR="006B3FA1" w:rsidRPr="0054105B">
        <w:t>ADs</w:t>
      </w:r>
      <w:r w:rsidR="00CA3A8C" w:rsidRPr="0054105B">
        <w:t xml:space="preserve">, DAPs or combination of the two as accommodation payments were introduced </w:t>
      </w:r>
      <w:r w:rsidR="00130801" w:rsidRPr="0054105B">
        <w:t xml:space="preserve">on </w:t>
      </w:r>
      <w:r w:rsidR="00CA3A8C" w:rsidRPr="0054105B">
        <w:t>1 July 2014 as part of the Living Longer Living Better reforms.</w:t>
      </w:r>
      <w:r w:rsidR="00B81555" w:rsidRPr="0054105B">
        <w:t xml:space="preserve"> </w:t>
      </w:r>
      <w:r w:rsidR="008713B9" w:rsidRPr="0054105B">
        <w:t>Residents paid for their accommodation as</w:t>
      </w:r>
      <w:r w:rsidR="003D7612" w:rsidRPr="0054105B">
        <w:t xml:space="preserve"> </w:t>
      </w:r>
      <w:r w:rsidR="008713B9" w:rsidRPr="0054105B">
        <w:t xml:space="preserve">accommodation </w:t>
      </w:r>
      <w:r w:rsidR="003D7612" w:rsidRPr="0054105B">
        <w:t>bonds</w:t>
      </w:r>
      <w:r w:rsidR="00DB19FD" w:rsidRPr="0054105B">
        <w:t xml:space="preserve"> or accommodation charge</w:t>
      </w:r>
      <w:r w:rsidR="008713B9" w:rsidRPr="0054105B">
        <w:t xml:space="preserve"> </w:t>
      </w:r>
      <w:r w:rsidR="00621139" w:rsidRPr="0054105B">
        <w:t>pre</w:t>
      </w:r>
      <w:r w:rsidR="00BC6B4A" w:rsidRPr="0054105B">
        <w:t xml:space="preserve"> </w:t>
      </w:r>
      <w:r w:rsidR="00621139" w:rsidRPr="0054105B">
        <w:t>1 July 2014</w:t>
      </w:r>
      <w:r w:rsidR="00B81555" w:rsidRPr="0054105B">
        <w:t xml:space="preserve">. </w:t>
      </w:r>
    </w:p>
    <w:p w14:paraId="289E8781" w14:textId="77777777" w:rsidR="006F4F12" w:rsidRDefault="006F4F12" w:rsidP="006F4F12">
      <w:pPr>
        <w:pStyle w:val="ListParagraph"/>
        <w:numPr>
          <w:ilvl w:val="0"/>
          <w:numId w:val="43"/>
        </w:numPr>
        <w:spacing w:before="0" w:after="0" w:line="240" w:lineRule="auto"/>
      </w:pPr>
      <w:r>
        <w:br w:type="page"/>
      </w:r>
    </w:p>
    <w:p w14:paraId="6EA7D257" w14:textId="041E3D5F" w:rsidR="0033274F" w:rsidRPr="0033274F" w:rsidRDefault="0033274F" w:rsidP="0033274F">
      <w:pPr>
        <w:rPr>
          <w:highlight w:val="yellow"/>
        </w:rPr>
      </w:pPr>
      <w:r>
        <w:fldChar w:fldCharType="begin"/>
      </w:r>
      <w:r>
        <w:instrText xml:space="preserve"> REF _Ref162948975 \h </w:instrText>
      </w:r>
      <w:r>
        <w:fldChar w:fldCharType="separate"/>
      </w:r>
      <w:r w:rsidR="001377BE">
        <w:t xml:space="preserve">Chart </w:t>
      </w:r>
      <w:r w:rsidR="001377BE">
        <w:rPr>
          <w:noProof/>
        </w:rPr>
        <w:t>4</w:t>
      </w:r>
      <w:r w:rsidR="001377BE">
        <w:t>.</w:t>
      </w:r>
      <w:r w:rsidR="001377BE">
        <w:rPr>
          <w:noProof/>
        </w:rPr>
        <w:t>4</w:t>
      </w:r>
      <w:r>
        <w:fldChar w:fldCharType="end"/>
      </w:r>
      <w:r>
        <w:t xml:space="preserve"> </w:t>
      </w:r>
      <w:r w:rsidRPr="00357CA4">
        <w:t>shows the resident method of accommodation payments for the last 5 years. While the value of accommodation deposits continued to grow, there was a gradual trend away from RADs in favour of DAPs</w:t>
      </w:r>
      <w:r w:rsidR="00544C53">
        <w:t xml:space="preserve"> </w:t>
      </w:r>
      <w:r w:rsidR="00903C7B">
        <w:t>in the past 5 years up until 2022-23.</w:t>
      </w:r>
    </w:p>
    <w:p w14:paraId="44975709" w14:textId="39E91B6D" w:rsidR="0033274F" w:rsidRPr="00C62697" w:rsidRDefault="0033274F" w:rsidP="0033274F">
      <w:r w:rsidRPr="000E5C31">
        <w:t>The proportion of residents choosing RAD/RACs dropped from 3</w:t>
      </w:r>
      <w:r w:rsidR="001C487C" w:rsidRPr="000E5C31">
        <w:t>5%</w:t>
      </w:r>
      <w:r w:rsidRPr="000E5C31">
        <w:t xml:space="preserve"> in 201</w:t>
      </w:r>
      <w:r w:rsidR="000E5C31" w:rsidRPr="000E5C31">
        <w:t>8</w:t>
      </w:r>
      <w:r w:rsidRPr="000E5C31">
        <w:t>-1</w:t>
      </w:r>
      <w:r w:rsidR="000E5C31" w:rsidRPr="000E5C31">
        <w:t>9 to 31%</w:t>
      </w:r>
      <w:r w:rsidRPr="000E5C31">
        <w:t xml:space="preserve"> in 2020-21 and 2021-22 </w:t>
      </w:r>
      <w:r w:rsidR="000E5C31" w:rsidRPr="000E5C31">
        <w:t>and went up to 34% in 2022-23</w:t>
      </w:r>
      <w:r w:rsidR="00610E64">
        <w:t xml:space="preserve">. </w:t>
      </w:r>
      <w:r w:rsidRPr="00C62697">
        <w:t xml:space="preserve">The proportion of residents choosing DAP/DACs </w:t>
      </w:r>
      <w:r w:rsidR="00816B8A">
        <w:t xml:space="preserve">gradually </w:t>
      </w:r>
      <w:r w:rsidRPr="00C62697">
        <w:t>increased from 4</w:t>
      </w:r>
      <w:r w:rsidR="00C62697" w:rsidRPr="00C62697">
        <w:t>1</w:t>
      </w:r>
      <w:r w:rsidR="00C62697">
        <w:t>%</w:t>
      </w:r>
      <w:r w:rsidRPr="00C62697">
        <w:t xml:space="preserve"> in 201</w:t>
      </w:r>
      <w:r w:rsidR="004E2469">
        <w:t>8-19</w:t>
      </w:r>
      <w:r w:rsidRPr="00C62697">
        <w:t xml:space="preserve"> to 48</w:t>
      </w:r>
      <w:r w:rsidR="00D21049">
        <w:t>%</w:t>
      </w:r>
      <w:r>
        <w:t xml:space="preserve"> </w:t>
      </w:r>
      <w:r w:rsidRPr="00C62697">
        <w:t>in 2021-22</w:t>
      </w:r>
      <w:r w:rsidR="00D21049">
        <w:t xml:space="preserve"> before dropping to 45% in 2022-23</w:t>
      </w:r>
      <w:r>
        <w:t xml:space="preserve">. </w:t>
      </w:r>
    </w:p>
    <w:p w14:paraId="66808905" w14:textId="22934495" w:rsidR="00654CEA" w:rsidRDefault="0033274F" w:rsidP="00164178">
      <w:r w:rsidRPr="007366E8">
        <w:t>The trend has been in favour of DAPs in recent years, as low interest rates, opportunity cost of capital gains on the family home and shorter expected length of stay on entry to residential aged care have all made DAPs relatively more appealing. However,</w:t>
      </w:r>
      <w:r w:rsidR="00E17AC8">
        <w:t xml:space="preserve"> the trend </w:t>
      </w:r>
      <w:r w:rsidR="002C0E51">
        <w:t xml:space="preserve">in the declining use of RADs </w:t>
      </w:r>
      <w:r w:rsidR="000A3A01">
        <w:t>and increased use of DAPs</w:t>
      </w:r>
      <w:r w:rsidR="002C0E51">
        <w:t xml:space="preserve"> has reversed in </w:t>
      </w:r>
      <w:r w:rsidR="00807EAD">
        <w:t>2022-</w:t>
      </w:r>
      <w:r w:rsidR="002C0E51">
        <w:t>23</w:t>
      </w:r>
      <w:r w:rsidR="00A30385">
        <w:t>, likely</w:t>
      </w:r>
      <w:r w:rsidR="002C0E51">
        <w:t xml:space="preserve"> </w:t>
      </w:r>
      <w:r w:rsidR="00807EAD">
        <w:t>due to</w:t>
      </w:r>
      <w:r w:rsidRPr="007366E8">
        <w:t xml:space="preserve"> the Maximum Permissible Interest Rate </w:t>
      </w:r>
      <w:r w:rsidR="00807EAD">
        <w:t>increasing</w:t>
      </w:r>
      <w:r w:rsidRPr="007366E8">
        <w:t xml:space="preserve"> rapidly since June 2022, making DAPs significantly higher and less attractive. </w:t>
      </w:r>
    </w:p>
    <w:p w14:paraId="3C29FFB5" w14:textId="1314ECDE" w:rsidR="00654CEA" w:rsidRDefault="000D77EC" w:rsidP="00706D0A">
      <w:pPr>
        <w:pStyle w:val="Caption"/>
      </w:pPr>
      <w:bookmarkStart w:id="172" w:name="_Ref162948975"/>
      <w:bookmarkStart w:id="173" w:name="_Toc173428936"/>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4</w:t>
      </w:r>
      <w:r w:rsidR="00AE19AA">
        <w:rPr>
          <w:noProof/>
        </w:rPr>
        <w:fldChar w:fldCharType="end"/>
      </w:r>
      <w:bookmarkEnd w:id="172"/>
      <w:r>
        <w:t xml:space="preserve">: </w:t>
      </w:r>
      <w:r w:rsidRPr="00DD0A4A">
        <w:t xml:space="preserve">Resident method of accommodation payment, </w:t>
      </w:r>
      <w:r w:rsidR="009765D8" w:rsidRPr="00DD0A4A">
        <w:t>201</w:t>
      </w:r>
      <w:r w:rsidR="009765D8">
        <w:t>8</w:t>
      </w:r>
      <w:r w:rsidRPr="00DD0A4A">
        <w:t>-</w:t>
      </w:r>
      <w:r w:rsidR="009765D8" w:rsidRPr="00DD0A4A">
        <w:t>1</w:t>
      </w:r>
      <w:r w:rsidR="009765D8">
        <w:t>9</w:t>
      </w:r>
      <w:r w:rsidR="009765D8" w:rsidRPr="00DD0A4A">
        <w:t xml:space="preserve"> </w:t>
      </w:r>
      <w:r w:rsidRPr="00DD0A4A">
        <w:t xml:space="preserve">to </w:t>
      </w:r>
      <w:r w:rsidR="009765D8" w:rsidRPr="00DD0A4A">
        <w:t>202</w:t>
      </w:r>
      <w:r w:rsidR="009765D8">
        <w:t>2</w:t>
      </w:r>
      <w:r w:rsidRPr="00DD0A4A">
        <w:t>-2</w:t>
      </w:r>
      <w:r w:rsidR="00654CEA">
        <w:t>3</w:t>
      </w:r>
      <w:bookmarkEnd w:id="173"/>
    </w:p>
    <w:p w14:paraId="67C2A823" w14:textId="77777777" w:rsidR="00B255DC" w:rsidRDefault="00BA5042" w:rsidP="00CF49BB">
      <w:r>
        <w:rPr>
          <w:noProof/>
        </w:rPr>
        <w:drawing>
          <wp:inline distT="0" distB="0" distL="0" distR="0" wp14:anchorId="37DCDBCF" wp14:editId="22A287A0">
            <wp:extent cx="5869393" cy="3686400"/>
            <wp:effectExtent l="0" t="0" r="0" b="9525"/>
            <wp:docPr id="1465481049" name="Picture 1465481049" descr="Chart 4.4 is a clustered column chart titled Resident method of accommodation payment, 2018-19 to 2022-23The proportion of residents choosing RAD/RACs dropped from 35% in 2018-19 to 31% in 2020-21 and 2021-22 and went up to 34% in 2022-23. The proportion of residents choosing DAP/DACs gradually increased from 41% in 2018-19 to 48% in 2021-22 before dropping to 45% in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49" name="Picture 1465481049" descr="Chart 4.4 is a clustered column chart titled Resident method of accommodation payment, 2018-19 to 2022-23The proportion of residents choosing RAD/RACs dropped from 35% in 2018-19 to 31% in 2020-21 and 2021-22 and went up to 34% in 2022-23. The proportion of residents choosing DAP/DACs gradually increased from 41% in 2018-19 to 48% in 2021-22 before dropping to 45% in 2022-23.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70869" cy="3687327"/>
                    </a:xfrm>
                    <a:prstGeom prst="rect">
                      <a:avLst/>
                    </a:prstGeom>
                    <a:noFill/>
                  </pic:spPr>
                </pic:pic>
              </a:graphicData>
            </a:graphic>
          </wp:inline>
        </w:drawing>
      </w:r>
    </w:p>
    <w:p w14:paraId="46ED5F9B" w14:textId="77777777" w:rsidR="006F4F12" w:rsidRDefault="006F4F12" w:rsidP="006F4F12">
      <w:pPr>
        <w:spacing w:before="0" w:after="0" w:line="240" w:lineRule="auto"/>
      </w:pPr>
      <w:r>
        <w:br w:type="page"/>
      </w:r>
    </w:p>
    <w:p w14:paraId="05F32FB9" w14:textId="46D9428C" w:rsidR="00CF49BB" w:rsidRPr="002B571A" w:rsidRDefault="00CF49BB" w:rsidP="00CF49BB">
      <w:pPr>
        <w:rPr>
          <w:highlight w:val="yellow"/>
        </w:rPr>
      </w:pPr>
      <w:r w:rsidRPr="00464A25">
        <w:fldChar w:fldCharType="begin"/>
      </w:r>
      <w:r w:rsidRPr="00464A25">
        <w:instrText xml:space="preserve"> REF _Ref162949012 \h </w:instrText>
      </w:r>
      <w:r w:rsidR="00464A25">
        <w:instrText xml:space="preserve"> \* MERGEFORMAT </w:instrText>
      </w:r>
      <w:r w:rsidRPr="00464A25">
        <w:fldChar w:fldCharType="separate"/>
      </w:r>
      <w:r w:rsidR="001377BE">
        <w:t xml:space="preserve">Chart </w:t>
      </w:r>
      <w:r w:rsidR="001377BE">
        <w:rPr>
          <w:noProof/>
        </w:rPr>
        <w:t>4.5</w:t>
      </w:r>
      <w:r w:rsidRPr="00464A25">
        <w:fldChar w:fldCharType="end"/>
      </w:r>
      <w:r>
        <w:t xml:space="preserve"> </w:t>
      </w:r>
      <w:r w:rsidRPr="00464A25">
        <w:t xml:space="preserve">shows resident choice of payment method by ownership type for the last 5 years. </w:t>
      </w:r>
      <w:r w:rsidR="00562A7C" w:rsidRPr="00464A25">
        <w:t>T</w:t>
      </w:r>
      <w:r w:rsidRPr="00464A25">
        <w:t xml:space="preserve">he proportion of </w:t>
      </w:r>
      <w:r w:rsidR="00E91FFC" w:rsidRPr="00464A25">
        <w:t>residents</w:t>
      </w:r>
      <w:r w:rsidR="00D7223A" w:rsidRPr="00464A25">
        <w:t xml:space="preserve"> in not-for-profit providers</w:t>
      </w:r>
      <w:r w:rsidR="00E91FFC" w:rsidRPr="00464A25">
        <w:t xml:space="preserve"> choosing</w:t>
      </w:r>
      <w:r w:rsidRPr="00464A25">
        <w:t xml:space="preserve"> RAD/RACs </w:t>
      </w:r>
      <w:r w:rsidR="00DD7DD6" w:rsidRPr="00464A25">
        <w:t>has</w:t>
      </w:r>
      <w:r w:rsidR="00C239A6" w:rsidRPr="00464A25">
        <w:t xml:space="preserve"> </w:t>
      </w:r>
      <w:r w:rsidR="002B09E9" w:rsidRPr="00464A25">
        <w:t>increased</w:t>
      </w:r>
      <w:r w:rsidR="003A54CA" w:rsidRPr="00464A25">
        <w:t xml:space="preserve"> </w:t>
      </w:r>
      <w:r w:rsidR="009A34DA" w:rsidRPr="00464A25">
        <w:t>to</w:t>
      </w:r>
      <w:r w:rsidR="003A54CA" w:rsidRPr="00464A25">
        <w:t xml:space="preserve"> 32</w:t>
      </w:r>
      <w:r w:rsidR="002B09E9" w:rsidRPr="00464A25">
        <w:t>% in 2022-23,</w:t>
      </w:r>
      <w:r w:rsidRPr="00464A25">
        <w:t xml:space="preserve"> </w:t>
      </w:r>
      <w:r w:rsidR="002B09E9" w:rsidRPr="00464A25">
        <w:t>up</w:t>
      </w:r>
      <w:r w:rsidRPr="00464A25">
        <w:t xml:space="preserve"> from 28</w:t>
      </w:r>
      <w:r w:rsidR="00D444CD" w:rsidRPr="00464A25">
        <w:t>%</w:t>
      </w:r>
      <w:r w:rsidRPr="00464A25">
        <w:t xml:space="preserve"> in 2021-22. </w:t>
      </w:r>
      <w:r w:rsidR="00174EB4" w:rsidRPr="00464A25">
        <w:t xml:space="preserve">This is the highest proportion of RAD/RACs </w:t>
      </w:r>
      <w:r w:rsidR="002515A7" w:rsidRPr="00464A25">
        <w:t>take up</w:t>
      </w:r>
      <w:r w:rsidR="00174EB4" w:rsidRPr="00464A25">
        <w:t xml:space="preserve"> reported by not-for-profit providers in the last 5 years</w:t>
      </w:r>
      <w:r w:rsidRPr="00464A25">
        <w:t xml:space="preserve">. </w:t>
      </w:r>
    </w:p>
    <w:p w14:paraId="5D7A745E" w14:textId="4988403F" w:rsidR="00CF49BB" w:rsidRPr="002B571A" w:rsidRDefault="00CF49BB" w:rsidP="00CF49BB">
      <w:pPr>
        <w:rPr>
          <w:highlight w:val="yellow"/>
        </w:rPr>
      </w:pPr>
      <w:r w:rsidRPr="00CA56D9">
        <w:t>The proportion of residents in for-profit providers choosing RAD/RACs has consistently been higher than the proportion of residents in not-for-profits</w:t>
      </w:r>
      <w:r w:rsidRPr="00195C06">
        <w:t xml:space="preserve">. </w:t>
      </w:r>
      <w:r w:rsidR="00CA56D9" w:rsidRPr="00195C06">
        <w:t>The</w:t>
      </w:r>
      <w:r w:rsidRPr="00195C06">
        <w:t xml:space="preserve"> RAD/RAC take up in for-profit providers </w:t>
      </w:r>
      <w:r w:rsidR="00CA56D9" w:rsidRPr="00195C06">
        <w:t xml:space="preserve">increased slightly </w:t>
      </w:r>
      <w:r w:rsidR="00195C06" w:rsidRPr="00195C06">
        <w:t>from 36%</w:t>
      </w:r>
      <w:r w:rsidRPr="00195C06">
        <w:t xml:space="preserve"> in </w:t>
      </w:r>
      <w:r w:rsidR="0080268E" w:rsidRPr="00195C06">
        <w:t>2021-22</w:t>
      </w:r>
      <w:r w:rsidRPr="00195C06">
        <w:t xml:space="preserve"> to </w:t>
      </w:r>
      <w:r w:rsidR="00195C06" w:rsidRPr="00195C06">
        <w:t>37%</w:t>
      </w:r>
      <w:r w:rsidRPr="00195C06">
        <w:t xml:space="preserve"> in </w:t>
      </w:r>
      <w:r w:rsidR="00195C06" w:rsidRPr="00195C06">
        <w:t>2022-23</w:t>
      </w:r>
      <w:r w:rsidRPr="00195C06">
        <w:t xml:space="preserve">. </w:t>
      </w:r>
    </w:p>
    <w:p w14:paraId="72ED14FF" w14:textId="25B67E7E" w:rsidR="00493D63" w:rsidRPr="00493D63" w:rsidRDefault="0068172A" w:rsidP="00493D63">
      <w:r w:rsidRPr="00792D73">
        <w:t xml:space="preserve">The proportion of new residents that chose to pay their accommodation deposit fully </w:t>
      </w:r>
      <w:r w:rsidR="00960B2E" w:rsidRPr="00792D73">
        <w:t>through RAD</w:t>
      </w:r>
      <w:r w:rsidR="00B225A0">
        <w:t>s</w:t>
      </w:r>
      <w:r w:rsidR="00960B2E" w:rsidRPr="00792D73">
        <w:t xml:space="preserve"> </w:t>
      </w:r>
      <w:r w:rsidRPr="00792D73">
        <w:t xml:space="preserve">has increased </w:t>
      </w:r>
      <w:r w:rsidR="00AE0643" w:rsidRPr="00792D73">
        <w:t xml:space="preserve">for all </w:t>
      </w:r>
      <w:r w:rsidR="00792D73" w:rsidRPr="00792D73">
        <w:t xml:space="preserve">ownership </w:t>
      </w:r>
      <w:r w:rsidR="00AE0643" w:rsidRPr="00792D73">
        <w:t xml:space="preserve">type in the past year. </w:t>
      </w:r>
      <w:r w:rsidR="00DF366F">
        <w:t xml:space="preserve">Meanwhile new residents </w:t>
      </w:r>
      <w:r w:rsidR="00B572E2">
        <w:t xml:space="preserve">paying their accommodation </w:t>
      </w:r>
      <w:r w:rsidR="00A54DD4">
        <w:t xml:space="preserve">through DAP/DACs </w:t>
      </w:r>
      <w:r w:rsidR="00785D85">
        <w:t>decreased for all providers</w:t>
      </w:r>
      <w:r w:rsidR="00ED0412">
        <w:t xml:space="preserve">, with the most significant decrease being LST government providers down from 55% </w:t>
      </w:r>
      <w:r w:rsidR="00252480">
        <w:t xml:space="preserve">in 2021-22 </w:t>
      </w:r>
      <w:r w:rsidR="00ED0412">
        <w:t xml:space="preserve">to </w:t>
      </w:r>
      <w:r w:rsidR="00252480">
        <w:t>48% 2022-23</w:t>
      </w:r>
      <w:r w:rsidR="00785D85">
        <w:t xml:space="preserve">. </w:t>
      </w:r>
      <w:r w:rsidR="004B51E7">
        <w:t>There was an increase in the total RADS held across the sector in Table 4.1 going u</w:t>
      </w:r>
      <w:r w:rsidR="00444A90">
        <w:t xml:space="preserve">p by $2.6 billion in 2022-23 which reflects the increased preference of residents choosing RAD/RACs as accommodation payment. </w:t>
      </w:r>
    </w:p>
    <w:p w14:paraId="6CC4B55D" w14:textId="42233BA7" w:rsidR="00030022" w:rsidRDefault="00030022" w:rsidP="00706D0A">
      <w:pPr>
        <w:pStyle w:val="Caption"/>
      </w:pPr>
      <w:bookmarkStart w:id="174" w:name="_Ref162949012"/>
      <w:bookmarkStart w:id="175" w:name="_Toc173428937"/>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5</w:t>
      </w:r>
      <w:r w:rsidR="00AE19AA">
        <w:rPr>
          <w:noProof/>
        </w:rPr>
        <w:fldChar w:fldCharType="end"/>
      </w:r>
      <w:bookmarkEnd w:id="174"/>
      <w:r>
        <w:t xml:space="preserve">: </w:t>
      </w:r>
      <w:r w:rsidRPr="005D76C4">
        <w:t xml:space="preserve">Resident choice of payment method, by ownership type, </w:t>
      </w:r>
      <w:r w:rsidR="009765D8" w:rsidRPr="005D76C4">
        <w:t>201</w:t>
      </w:r>
      <w:r w:rsidR="009765D8">
        <w:t>8</w:t>
      </w:r>
      <w:r w:rsidRPr="005D76C4">
        <w:t>-</w:t>
      </w:r>
      <w:r w:rsidR="009765D8" w:rsidRPr="005D76C4">
        <w:t>1</w:t>
      </w:r>
      <w:r w:rsidR="009765D8">
        <w:t>9</w:t>
      </w:r>
      <w:r w:rsidR="009765D8" w:rsidRPr="005D76C4">
        <w:t xml:space="preserve"> </w:t>
      </w:r>
      <w:r w:rsidRPr="005D76C4">
        <w:t xml:space="preserve">to </w:t>
      </w:r>
      <w:r w:rsidR="009765D8" w:rsidRPr="005D76C4">
        <w:t>202</w:t>
      </w:r>
      <w:r w:rsidR="009765D8">
        <w:t>2</w:t>
      </w:r>
      <w:r w:rsidRPr="005D76C4">
        <w:t>-</w:t>
      </w:r>
      <w:r w:rsidR="009765D8" w:rsidRPr="005D76C4">
        <w:t>2</w:t>
      </w:r>
      <w:r w:rsidR="009765D8">
        <w:t>3</w:t>
      </w:r>
      <w:bookmarkEnd w:id="175"/>
    </w:p>
    <w:p w14:paraId="67876E1E" w14:textId="15517DE2" w:rsidR="00A43A7A" w:rsidRDefault="00FD64CD" w:rsidP="00F91BBB">
      <w:pPr>
        <w:pStyle w:val="Caption"/>
      </w:pPr>
      <w:r>
        <w:rPr>
          <w:noProof/>
        </w:rPr>
        <w:drawing>
          <wp:inline distT="0" distB="0" distL="0" distR="0" wp14:anchorId="6D1B4A52" wp14:editId="628C9E7E">
            <wp:extent cx="5886450" cy="3700800"/>
            <wp:effectExtent l="0" t="0" r="0" b="0"/>
            <wp:docPr id="1465481050" name="Picture 1465481050" descr="Chart 4.5 is a stacked column chart titled Resident choice of payment method, by ownership type, 2018-19 to 2022-23. The proportion of residents in for-profit providers choosing RAD/RACs has consistently been higher than the proportion of residents in not-for-profits. The RAD/RAC take up in for-profit providers increased slightly from 36% in 2021-22 to 37% in 2022-23. The proportion of residents in not-for-profit providers choosing RAD/RACs has increased to 32% in 2022-23, up from 28% in 2021-22. The proportion of residents in not-for-profit providers choosing DAP/DAC as accommodation payment has been higher than for-profits. However, residents choosing DAP/DAC in not-for-profit providers has fallen to 47% in 2022-23, down from 51% in 2021-22.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50" name="Picture 1465481050" descr="Chart 4.5 is a stacked column chart titled Resident choice of payment method, by ownership type, 2018-19 to 2022-23. The proportion of residents in for-profit providers choosing RAD/RACs has consistently been higher than the proportion of residents in not-for-profits. The RAD/RAC take up in for-profit providers increased slightly from 36% in 2021-22 to 37% in 2022-23. The proportion of residents in not-for-profit providers choosing RAD/RACs has increased to 32% in 2022-23, up from 28% in 2021-22. The proportion of residents in not-for-profit providers choosing DAP/DAC as accommodation payment has been higher than for-profits. However, residents choosing DAP/DAC in not-for-profit providers has fallen to 47% in 2022-23, down from 51% in 2021-22. &#10;&#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92073" cy="3704335"/>
                    </a:xfrm>
                    <a:prstGeom prst="rect">
                      <a:avLst/>
                    </a:prstGeom>
                    <a:noFill/>
                  </pic:spPr>
                </pic:pic>
              </a:graphicData>
            </a:graphic>
          </wp:inline>
        </w:drawing>
      </w:r>
    </w:p>
    <w:p w14:paraId="26E97F8C" w14:textId="77777777" w:rsidR="006F4F12" w:rsidRDefault="006F4F12" w:rsidP="006F4F12">
      <w:pPr>
        <w:spacing w:before="0" w:after="0" w:line="240" w:lineRule="auto"/>
      </w:pPr>
      <w:r>
        <w:br w:type="page"/>
      </w:r>
    </w:p>
    <w:p w14:paraId="0F47F8B1" w14:textId="2BA2E9DA" w:rsidR="002B571A" w:rsidRPr="00DB1822" w:rsidRDefault="002B571A" w:rsidP="002B571A">
      <w:r w:rsidRPr="00DB1822">
        <w:fldChar w:fldCharType="begin"/>
      </w:r>
      <w:r w:rsidRPr="00FF13CE">
        <w:instrText xml:space="preserve"> REF _Ref162949044 \h </w:instrText>
      </w:r>
      <w:r w:rsidR="00F11BAF" w:rsidRPr="00FF13CE">
        <w:instrText xml:space="preserve"> \* MERGEFORMAT </w:instrText>
      </w:r>
      <w:r w:rsidRPr="00DB1822">
        <w:fldChar w:fldCharType="separate"/>
      </w:r>
      <w:r w:rsidR="001377BE">
        <w:t>Chart 4.6</w:t>
      </w:r>
      <w:r w:rsidRPr="00DB1822">
        <w:fldChar w:fldCharType="end"/>
      </w:r>
      <w:r w:rsidRPr="00DB1822">
        <w:t xml:space="preserve"> shows resident choice of payment by location for the last 5 years. The proportion of RAD/RACs </w:t>
      </w:r>
      <w:r w:rsidR="007016A9" w:rsidRPr="00DB1822">
        <w:t>increased in</w:t>
      </w:r>
      <w:r w:rsidRPr="00DB1822">
        <w:t xml:space="preserve"> metropolitan areas, </w:t>
      </w:r>
      <w:r w:rsidR="00E54306" w:rsidRPr="00DB1822">
        <w:t xml:space="preserve">up from </w:t>
      </w:r>
      <w:r w:rsidR="00B25639" w:rsidRPr="00DB1822">
        <w:t xml:space="preserve">33% in 2021-22 to </w:t>
      </w:r>
      <w:r w:rsidR="00550F4F" w:rsidRPr="00DB1822">
        <w:t>35</w:t>
      </w:r>
      <w:r w:rsidR="00EE7DD5" w:rsidRPr="00DB1822">
        <w:t>% in 2022-23</w:t>
      </w:r>
      <w:r w:rsidR="00652F24" w:rsidRPr="00DB1822">
        <w:t xml:space="preserve">, however this has decreased from 37% in </w:t>
      </w:r>
      <w:r w:rsidR="0001012B" w:rsidRPr="00DB1822">
        <w:t>20</w:t>
      </w:r>
      <w:r w:rsidR="00F94EB0" w:rsidRPr="00DB1822">
        <w:t>18-19</w:t>
      </w:r>
      <w:r w:rsidR="00EE7DD5" w:rsidRPr="00DB1822">
        <w:t xml:space="preserve">. </w:t>
      </w:r>
    </w:p>
    <w:p w14:paraId="571C5C7D" w14:textId="4C87A745" w:rsidR="002B571A" w:rsidRPr="00DB1822" w:rsidRDefault="002B571A" w:rsidP="002B571A">
      <w:r w:rsidRPr="00DB1822">
        <w:t xml:space="preserve">In regional areas, the proportion of RAD/RACs increased from </w:t>
      </w:r>
      <w:r w:rsidR="00453314" w:rsidRPr="00DB1822">
        <w:t>2021</w:t>
      </w:r>
      <w:r w:rsidRPr="00DB1822">
        <w:t>-</w:t>
      </w:r>
      <w:r w:rsidR="00453314" w:rsidRPr="00DB1822">
        <w:t xml:space="preserve">22 </w:t>
      </w:r>
      <w:r w:rsidRPr="00DB1822">
        <w:t>(</w:t>
      </w:r>
      <w:r w:rsidR="00453314" w:rsidRPr="00DB1822">
        <w:t>30%</w:t>
      </w:r>
      <w:r w:rsidRPr="00DB1822">
        <w:t xml:space="preserve">) to </w:t>
      </w:r>
      <w:r w:rsidR="00453314" w:rsidRPr="00DB1822">
        <w:t>2022</w:t>
      </w:r>
      <w:r w:rsidRPr="00DB1822">
        <w:t>-</w:t>
      </w:r>
      <w:r w:rsidR="00453314" w:rsidRPr="00DB1822">
        <w:t xml:space="preserve">23 </w:t>
      </w:r>
      <w:r w:rsidRPr="00DB1822">
        <w:t>(</w:t>
      </w:r>
      <w:r w:rsidR="00453314" w:rsidRPr="00DB1822">
        <w:t>32%</w:t>
      </w:r>
      <w:r w:rsidR="00652F24" w:rsidRPr="00DB1822">
        <w:t>)</w:t>
      </w:r>
      <w:r w:rsidRPr="00DB1822">
        <w:t xml:space="preserve">. </w:t>
      </w:r>
    </w:p>
    <w:p w14:paraId="02DD1636" w14:textId="786E67DD" w:rsidR="00CF49BB" w:rsidRPr="00CF49BB" w:rsidRDefault="002B571A" w:rsidP="002B571A">
      <w:r w:rsidRPr="00DB1822">
        <w:t>In remote areas, there was a</w:t>
      </w:r>
      <w:r w:rsidR="00D74763" w:rsidRPr="00DB1822">
        <w:t>n</w:t>
      </w:r>
      <w:r w:rsidRPr="00DB1822">
        <w:t xml:space="preserve"> increase </w:t>
      </w:r>
      <w:r w:rsidR="00003407" w:rsidRPr="00DB1822">
        <w:t xml:space="preserve">from </w:t>
      </w:r>
      <w:r w:rsidR="009905C5" w:rsidRPr="00DB1822">
        <w:t xml:space="preserve">23% in 2021-22 to 26% in 2022-23. This is </w:t>
      </w:r>
      <w:r w:rsidRPr="00DB1822">
        <w:t xml:space="preserve">a slight increase on </w:t>
      </w:r>
      <w:r w:rsidR="00732B89" w:rsidRPr="00DB1822">
        <w:t>2018-19</w:t>
      </w:r>
      <w:r w:rsidRPr="00DB1822">
        <w:t xml:space="preserve"> by 1 percentage point.</w:t>
      </w:r>
      <w:r w:rsidR="00732B89" w:rsidRPr="00DB1822">
        <w:t xml:space="preserve"> </w:t>
      </w:r>
    </w:p>
    <w:p w14:paraId="48A901BF" w14:textId="0840CBC6" w:rsidR="00BC6B4A" w:rsidRDefault="00CD0D5D" w:rsidP="00F91BBB">
      <w:pPr>
        <w:pStyle w:val="Caption"/>
      </w:pPr>
      <w:bookmarkStart w:id="176" w:name="_Ref162949044"/>
      <w:bookmarkStart w:id="177" w:name="_Toc173428938"/>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6</w:t>
      </w:r>
      <w:r w:rsidR="00AE19AA">
        <w:rPr>
          <w:noProof/>
        </w:rPr>
        <w:fldChar w:fldCharType="end"/>
      </w:r>
      <w:bookmarkEnd w:id="176"/>
      <w:r>
        <w:t xml:space="preserve">: </w:t>
      </w:r>
      <w:r w:rsidRPr="0000118A">
        <w:t xml:space="preserve">Resident choice of payment method, by location, </w:t>
      </w:r>
      <w:r w:rsidR="0095256E" w:rsidRPr="0000118A">
        <w:t>201</w:t>
      </w:r>
      <w:r w:rsidR="0095256E">
        <w:t>8</w:t>
      </w:r>
      <w:r w:rsidRPr="0000118A">
        <w:t>-</w:t>
      </w:r>
      <w:r w:rsidR="0095256E" w:rsidRPr="0000118A">
        <w:t>1</w:t>
      </w:r>
      <w:r w:rsidR="0095256E">
        <w:t>9</w:t>
      </w:r>
      <w:r w:rsidR="0095256E" w:rsidRPr="0000118A">
        <w:t xml:space="preserve"> </w:t>
      </w:r>
      <w:r w:rsidRPr="0000118A">
        <w:t xml:space="preserve">to </w:t>
      </w:r>
      <w:r w:rsidR="0095256E" w:rsidRPr="0000118A">
        <w:t>202</w:t>
      </w:r>
      <w:r w:rsidR="0095256E">
        <w:t>2</w:t>
      </w:r>
      <w:r w:rsidRPr="0000118A">
        <w:t>-</w:t>
      </w:r>
      <w:r w:rsidR="0095256E" w:rsidRPr="0000118A">
        <w:t>2</w:t>
      </w:r>
      <w:r w:rsidR="0095256E">
        <w:t>3</w:t>
      </w:r>
      <w:bookmarkEnd w:id="177"/>
    </w:p>
    <w:p w14:paraId="31FB8736" w14:textId="77777777" w:rsidR="00BC6B4A" w:rsidRDefault="00D37B55" w:rsidP="00F91BBB">
      <w:pPr>
        <w:pStyle w:val="Caption"/>
      </w:pPr>
      <w:r>
        <w:rPr>
          <w:noProof/>
        </w:rPr>
        <w:drawing>
          <wp:inline distT="0" distB="0" distL="0" distR="0" wp14:anchorId="15D93505" wp14:editId="6B16CB6E">
            <wp:extent cx="5874998" cy="3693600"/>
            <wp:effectExtent l="0" t="0" r="0" b="2540"/>
            <wp:docPr id="1271021941" name="Picture 1271021941" descr="Chart 4.6 is a stacked column chart titled Resident choice of payment method, by location, 2018-19 to 2022-23. The proportion of RAD/RACs increased in metropolitan areas, up from 33% in 2021-22 to 35% in 2022-23, however this has decreased from 37% in 2018-19. In regional areas, the proportion of RAD/RACs increased from 2021-22 (30%) to 2022-23 (32%). In remote areas, there was an increase from 23% in 2021-22 to 26% in 2022-23. This is a slight increase on 2018-19 by 1 percentage poi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1" name="Picture 1271021941" descr="Chart 4.6 is a stacked column chart titled Resident choice of payment method, by location, 2018-19 to 2022-23. The proportion of RAD/RACs increased in metropolitan areas, up from 33% in 2021-22 to 35% in 2022-23, however this has decreased from 37% in 2018-19. In regional areas, the proportion of RAD/RACs increased from 2021-22 (30%) to 2022-23 (32%). In remote areas, there was an increase from 23% in 2021-22 to 26% in 2022-23. This is a slight increase on 2018-19 by 1 percentage point.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3373" cy="3698866"/>
                    </a:xfrm>
                    <a:prstGeom prst="rect">
                      <a:avLst/>
                    </a:prstGeom>
                    <a:noFill/>
                  </pic:spPr>
                </pic:pic>
              </a:graphicData>
            </a:graphic>
          </wp:inline>
        </w:drawing>
      </w:r>
    </w:p>
    <w:p w14:paraId="0880D9DC" w14:textId="03FECE26" w:rsidR="001377BE" w:rsidRDefault="006F4F12" w:rsidP="006F4F12">
      <w:pPr>
        <w:spacing w:before="0" w:after="0" w:line="240" w:lineRule="auto"/>
      </w:pPr>
      <w:r>
        <w:br w:type="page"/>
      </w:r>
      <w:r w:rsidR="00EF611B" w:rsidRPr="000549B5">
        <w:rPr>
          <w:b/>
          <w:bCs w:val="0"/>
        </w:rPr>
        <w:fldChar w:fldCharType="begin"/>
      </w:r>
      <w:r w:rsidR="00EF611B" w:rsidRPr="000549B5">
        <w:instrText xml:space="preserve"> REF _Ref162949076 \h </w:instrText>
      </w:r>
      <w:r w:rsidR="00E436BB" w:rsidRPr="000549B5">
        <w:instrText xml:space="preserve"> \* MERGEFORMAT </w:instrText>
      </w:r>
      <w:r w:rsidR="00EF611B" w:rsidRPr="000549B5">
        <w:rPr>
          <w:b/>
          <w:bCs w:val="0"/>
        </w:rPr>
      </w:r>
      <w:r w:rsidR="00EF611B" w:rsidRPr="000549B5">
        <w:rPr>
          <w:b/>
          <w:bCs w:val="0"/>
        </w:rPr>
        <w:fldChar w:fldCharType="separate"/>
      </w:r>
    </w:p>
    <w:p w14:paraId="1E133051" w14:textId="51C627B4" w:rsidR="00EF611B" w:rsidRPr="000549B5" w:rsidRDefault="001377BE" w:rsidP="00EF611B">
      <w:r>
        <w:t>Chart 4.7</w:t>
      </w:r>
      <w:r w:rsidR="00EF611B" w:rsidRPr="000549B5">
        <w:fldChar w:fldCharType="end"/>
      </w:r>
      <w:r w:rsidR="00EF611B" w:rsidRPr="000549B5">
        <w:t xml:space="preserve"> shows resident choice of payment method by partially supported and non-supported residents for the last 5 years.</w:t>
      </w:r>
    </w:p>
    <w:p w14:paraId="61315A28" w14:textId="77777777" w:rsidR="00EF611B" w:rsidRPr="000549B5" w:rsidRDefault="00EF611B" w:rsidP="00EF611B">
      <w:r w:rsidRPr="000549B5">
        <w:t>There continued to be a large difference in residents’ payment preference between non-supported residents and partially supported residents.</w:t>
      </w:r>
    </w:p>
    <w:p w14:paraId="4EF9E2B8" w14:textId="70F7E491" w:rsidR="00A43A7A" w:rsidRDefault="00EF611B" w:rsidP="00F91BBB">
      <w:r w:rsidRPr="000549B5">
        <w:t xml:space="preserve">In </w:t>
      </w:r>
      <w:r w:rsidR="00DE5F75" w:rsidRPr="000549B5">
        <w:t>2022</w:t>
      </w:r>
      <w:r w:rsidRPr="000549B5">
        <w:t>-</w:t>
      </w:r>
      <w:r w:rsidR="00DE5F75" w:rsidRPr="000549B5">
        <w:t>23</w:t>
      </w:r>
      <w:r w:rsidRPr="000549B5">
        <w:t xml:space="preserve">, </w:t>
      </w:r>
      <w:r w:rsidR="00C650AB" w:rsidRPr="000549B5">
        <w:t>42%</w:t>
      </w:r>
      <w:r w:rsidR="0063685D">
        <w:t xml:space="preserve"> </w:t>
      </w:r>
      <w:r w:rsidRPr="000549B5">
        <w:t>of non-supported residents chose to pay their accommodation payment by a RAD/RAC, whereas only 4</w:t>
      </w:r>
      <w:r w:rsidR="00C650AB" w:rsidRPr="000549B5">
        <w:t>%</w:t>
      </w:r>
      <w:r w:rsidR="00E25629">
        <w:t xml:space="preserve"> </w:t>
      </w:r>
      <w:r w:rsidRPr="000549B5">
        <w:t>of partially supported residents chose this option.</w:t>
      </w:r>
      <w:bookmarkStart w:id="178" w:name="_Ref162949076"/>
    </w:p>
    <w:p w14:paraId="370B9284" w14:textId="60E1A1FE" w:rsidR="00BC6B4A" w:rsidRDefault="00334C70" w:rsidP="00F91BBB">
      <w:pPr>
        <w:pStyle w:val="Caption"/>
      </w:pPr>
      <w:bookmarkStart w:id="179" w:name="_Toc173428939"/>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7</w:t>
      </w:r>
      <w:r w:rsidR="00AE19AA">
        <w:rPr>
          <w:noProof/>
        </w:rPr>
        <w:fldChar w:fldCharType="end"/>
      </w:r>
      <w:bookmarkEnd w:id="178"/>
      <w:r>
        <w:t xml:space="preserve">: </w:t>
      </w:r>
      <w:r w:rsidRPr="00972D92">
        <w:t xml:space="preserve">Resident choice of payment method, by partially supported and non-supported residents, </w:t>
      </w:r>
      <w:r w:rsidR="0069787C" w:rsidRPr="00972D92">
        <w:t>201</w:t>
      </w:r>
      <w:r w:rsidR="0069787C">
        <w:t>8</w:t>
      </w:r>
      <w:r w:rsidRPr="00972D92">
        <w:t>-</w:t>
      </w:r>
      <w:r w:rsidR="0069787C" w:rsidRPr="00972D92">
        <w:t>1</w:t>
      </w:r>
      <w:r w:rsidR="0069787C">
        <w:t>9</w:t>
      </w:r>
      <w:r w:rsidR="0069787C" w:rsidRPr="00972D92">
        <w:t xml:space="preserve"> </w:t>
      </w:r>
      <w:r w:rsidRPr="00972D92">
        <w:t xml:space="preserve">to </w:t>
      </w:r>
      <w:r w:rsidR="0069787C" w:rsidRPr="00972D92">
        <w:t>202</w:t>
      </w:r>
      <w:r w:rsidR="0069787C">
        <w:t>2</w:t>
      </w:r>
      <w:r w:rsidRPr="00972D92">
        <w:t>-</w:t>
      </w:r>
      <w:r w:rsidR="0069787C" w:rsidRPr="00972D92">
        <w:t>2</w:t>
      </w:r>
      <w:r w:rsidR="0069787C">
        <w:t>3</w:t>
      </w:r>
      <w:bookmarkEnd w:id="179"/>
    </w:p>
    <w:p w14:paraId="2DF10B52" w14:textId="56593322" w:rsidR="00334C70" w:rsidRDefault="00C20F3F" w:rsidP="00F91BBB">
      <w:pPr>
        <w:pStyle w:val="Caption"/>
      </w:pPr>
      <w:r>
        <w:rPr>
          <w:noProof/>
        </w:rPr>
        <w:drawing>
          <wp:inline distT="0" distB="0" distL="0" distR="0" wp14:anchorId="10D6BAA5" wp14:editId="34572A9B">
            <wp:extent cx="5873898" cy="3686400"/>
            <wp:effectExtent l="0" t="0" r="0" b="9525"/>
            <wp:docPr id="1465481054" name="Picture 1465481054" descr="Chart 4.7 is a stacked column chart titled Resident choice of payment method, by partially supported and non-supported residents, 2018-19 to 2022-23In 2022-23, 42% of non-supported residents chose to pay their accommodation payment by a RAD/RAC, whereas only 4% of partially supported residents chose this o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54" name="Picture 1465481054" descr="Chart 4.7 is a stacked column chart titled Resident choice of payment method, by partially supported and non-supported residents, 2018-19 to 2022-23In 2022-23, 42% of non-supported residents chose to pay their accommodation payment by a RAD/RAC, whereas only 4% of partially supported residents chose this option.&#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84055" cy="3692774"/>
                    </a:xfrm>
                    <a:prstGeom prst="rect">
                      <a:avLst/>
                    </a:prstGeom>
                    <a:noFill/>
                  </pic:spPr>
                </pic:pic>
              </a:graphicData>
            </a:graphic>
          </wp:inline>
        </w:drawing>
      </w:r>
    </w:p>
    <w:p w14:paraId="75F068EF" w14:textId="297A2D4E" w:rsidR="00176004" w:rsidRPr="009F4CA9" w:rsidRDefault="00176004" w:rsidP="00C90CFD">
      <w:pPr>
        <w:rPr>
          <w:bCs w:val="0"/>
          <w:szCs w:val="28"/>
        </w:rPr>
      </w:pPr>
      <w:r w:rsidRPr="00C90CFD">
        <w:rPr>
          <w:b/>
          <w:sz w:val="28"/>
          <w:szCs w:val="28"/>
        </w:rPr>
        <w:t>Accommodation deposit prices</w:t>
      </w:r>
    </w:p>
    <w:p w14:paraId="1107A260" w14:textId="0DEF7E7D" w:rsidR="00FB19EE" w:rsidRPr="00514D38" w:rsidRDefault="00FB19EE" w:rsidP="00516AFC">
      <w:pPr>
        <w:rPr>
          <w:b/>
        </w:rPr>
      </w:pPr>
      <w:r w:rsidRPr="00706D0A">
        <w:fldChar w:fldCharType="begin"/>
      </w:r>
      <w:r w:rsidRPr="00706D0A">
        <w:instrText xml:space="preserve"> REF _Ref161225515 \h </w:instrText>
      </w:r>
      <w:r w:rsidR="00706D0A" w:rsidRPr="00706D0A">
        <w:instrText xml:space="preserve"> \* MERGEFORMAT </w:instrText>
      </w:r>
      <w:r w:rsidRPr="00706D0A">
        <w:fldChar w:fldCharType="separate"/>
      </w:r>
      <w:r w:rsidR="001377BE">
        <w:t>Chart 4.8</w:t>
      </w:r>
      <w:r w:rsidRPr="00706D0A">
        <w:fldChar w:fldCharType="end"/>
      </w:r>
      <w:r>
        <w:rPr>
          <w:b/>
        </w:rPr>
        <w:t xml:space="preserve"> </w:t>
      </w:r>
      <w:r w:rsidRPr="00F353F2">
        <w:t>shows</w:t>
      </w:r>
      <w:r w:rsidRPr="00514D38">
        <w:t xml:space="preserve"> average agreed and published accommodation prices by ownership type for the last 7 years. Published prices are the price advertised by the provider. Residents can negotiate accommodation prices with their provider and the subsequent outcome is the agreed price. This data includes RADs, DAPs and combination payments and covers the price of a residential care room, not the method of payment. For-profit providers have consistently higher published and agreed prices than not-for-profit providers. However, agreed prices for both for-profit and not-for-profit providers are consistently lower than the published prices. </w:t>
      </w:r>
    </w:p>
    <w:p w14:paraId="6CED08A0" w14:textId="0AFA75B8" w:rsidR="00FB19EE" w:rsidRDefault="00FB19EE" w:rsidP="00516AFC">
      <w:r>
        <w:t>The Aged Care Pricing Commissioner (IHACPA from 2023-24) publish a schedule of fees throughout the year which determines a maximum amount a provider can charge for a RAD. In 20</w:t>
      </w:r>
      <w:r w:rsidR="00321E38">
        <w:t>22-23</w:t>
      </w:r>
      <w:r>
        <w:t>, the maximum RAD a provider could charge without prior approval from the Aged Care Pricing Commission was $550,000.</w:t>
      </w:r>
    </w:p>
    <w:p w14:paraId="676B0988" w14:textId="005A6D88" w:rsidR="00176004" w:rsidRDefault="00FB19EE" w:rsidP="00321E38">
      <w:r>
        <w:t>T</w:t>
      </w:r>
      <w:r w:rsidRPr="00B730B2">
        <w:t>he overall average agreed price for the sector was $4</w:t>
      </w:r>
      <w:r w:rsidR="00F50C4A">
        <w:t>38</w:t>
      </w:r>
      <w:r w:rsidRPr="00B730B2">
        <w:t>,000 and the overall average published price for the sector was $4</w:t>
      </w:r>
      <w:r w:rsidR="003E2D55">
        <w:t>88</w:t>
      </w:r>
      <w:r w:rsidRPr="00B730B2">
        <w:t>,000, around $5</w:t>
      </w:r>
      <w:r w:rsidR="003E2D55">
        <w:t>0</w:t>
      </w:r>
      <w:r w:rsidRPr="00B730B2">
        <w:t>,000 more. In 202</w:t>
      </w:r>
      <w:r w:rsidR="003E2D55">
        <w:t>2</w:t>
      </w:r>
      <w:r w:rsidRPr="00B730B2">
        <w:t>-2</w:t>
      </w:r>
      <w:r w:rsidR="003E2D55">
        <w:t>3</w:t>
      </w:r>
      <w:r w:rsidRPr="00B730B2">
        <w:t>, for-profit provider agreed accommodation prices were $4</w:t>
      </w:r>
      <w:r w:rsidR="00B167A7">
        <w:t>52</w:t>
      </w:r>
      <w:r w:rsidRPr="00B730B2">
        <w:t>,000</w:t>
      </w:r>
      <w:r>
        <w:t xml:space="preserve"> on average</w:t>
      </w:r>
      <w:r w:rsidRPr="00B730B2">
        <w:t>, compared with the published accommodation prices that were $5</w:t>
      </w:r>
      <w:r w:rsidR="00B167A7">
        <w:t>22</w:t>
      </w:r>
      <w:r w:rsidRPr="00B730B2">
        <w:t>,000</w:t>
      </w:r>
      <w:r>
        <w:t xml:space="preserve"> on average</w:t>
      </w:r>
      <w:r w:rsidRPr="00B730B2">
        <w:t>. Not-for-profit providers agree</w:t>
      </w:r>
      <w:r>
        <w:t>d</w:t>
      </w:r>
      <w:r w:rsidRPr="00B730B2">
        <w:t xml:space="preserve"> accommodation prices in 2022</w:t>
      </w:r>
      <w:r w:rsidR="005104A3">
        <w:t>-23</w:t>
      </w:r>
      <w:r w:rsidRPr="00B730B2">
        <w:t xml:space="preserve"> were $4</w:t>
      </w:r>
      <w:r w:rsidR="005104A3">
        <w:t>35</w:t>
      </w:r>
      <w:r w:rsidRPr="00B730B2">
        <w:t>,000</w:t>
      </w:r>
      <w:r>
        <w:t xml:space="preserve"> on average</w:t>
      </w:r>
      <w:r w:rsidRPr="00B730B2">
        <w:t>, compared with the published prices of $</w:t>
      </w:r>
      <w:r w:rsidR="005104A3">
        <w:t>476</w:t>
      </w:r>
      <w:r w:rsidRPr="00B730B2">
        <w:t>,000</w:t>
      </w:r>
      <w:r>
        <w:t xml:space="preserve"> on average</w:t>
      </w:r>
      <w:r w:rsidRPr="00B730B2">
        <w:t xml:space="preserve">. </w:t>
      </w:r>
      <w:r>
        <w:t>This shows that providers are consistently charging less for their rooms than their advertised accommodation prices likely due to the provider and residents negotiating a lower price.</w:t>
      </w:r>
    </w:p>
    <w:p w14:paraId="41E4CA6A" w14:textId="1D8CEF95" w:rsidR="00902593" w:rsidRDefault="00902593" w:rsidP="00706D0A">
      <w:pPr>
        <w:pStyle w:val="Caption"/>
      </w:pPr>
      <w:bookmarkStart w:id="180" w:name="_Ref161225515"/>
      <w:bookmarkStart w:id="181" w:name="_Toc173428940"/>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8</w:t>
      </w:r>
      <w:r w:rsidR="00AE19AA">
        <w:rPr>
          <w:noProof/>
        </w:rPr>
        <w:fldChar w:fldCharType="end"/>
      </w:r>
      <w:bookmarkEnd w:id="180"/>
      <w:r>
        <w:t xml:space="preserve">: </w:t>
      </w:r>
      <w:r w:rsidRPr="00094AA9">
        <w:t>Average agreed and published accommodation prices (lump sum equivalent), by ownership type, 2</w:t>
      </w:r>
      <w:r w:rsidR="005104A3">
        <w:t>0</w:t>
      </w:r>
      <w:r w:rsidRPr="00094AA9">
        <w:t>16</w:t>
      </w:r>
      <w:r w:rsidR="005104A3">
        <w:t>-17</w:t>
      </w:r>
      <w:r w:rsidRPr="00094AA9">
        <w:t xml:space="preserve"> to 202</w:t>
      </w:r>
      <w:r w:rsidR="005104A3">
        <w:t>2-23</w:t>
      </w:r>
      <w:bookmarkEnd w:id="181"/>
    </w:p>
    <w:p w14:paraId="22D58DA1" w14:textId="4D7D5771" w:rsidR="001963B7" w:rsidRDefault="001963B7" w:rsidP="00706D0A">
      <w:r>
        <w:rPr>
          <w:noProof/>
        </w:rPr>
        <w:drawing>
          <wp:inline distT="0" distB="0" distL="0" distR="0" wp14:anchorId="46A26381" wp14:editId="71CC50ED">
            <wp:extent cx="5893977" cy="3642995"/>
            <wp:effectExtent l="0" t="0" r="0" b="0"/>
            <wp:docPr id="15" name="Picture 15" descr="Chart 4.8 is a line chart titled Average agreed and published accommodation prices (lump sum equivalent), by ownership type, 2016-17 to 2022-23. The agreed prices for the for-profit and not-for-profit providers are consistently lower than the published prices. For-profit providers' published price was $522,000 and agreed price was $452,000. The published price for not-for-profit providers was $476,000 meanwhile the agreed price was $435,000. In 2022-23 the overall average published price for the sector was $488,000 which is $50,000 more than the overall agreed price of $438,00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4.8 is a line chart titled Average agreed and published accommodation prices (lump sum equivalent), by ownership type, 2016-17 to 2022-23. The agreed prices for the for-profit and not-for-profit providers are consistently lower than the published prices. For-profit providers' published price was $522,000 and agreed price was $452,000. The published price for not-for-profit providers was $476,000 meanwhile the agreed price was $435,000. In 2022-23 the overall average published price for the sector was $488,000 which is $50,000 more than the overall agreed price of $438,000.&#10;&#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96577" cy="3644602"/>
                    </a:xfrm>
                    <a:prstGeom prst="rect">
                      <a:avLst/>
                    </a:prstGeom>
                    <a:noFill/>
                  </pic:spPr>
                </pic:pic>
              </a:graphicData>
            </a:graphic>
          </wp:inline>
        </w:drawing>
      </w:r>
    </w:p>
    <w:p w14:paraId="3BF9AD8E" w14:textId="77777777" w:rsidR="00B255DC" w:rsidRDefault="007F49DD" w:rsidP="00B255DC">
      <w:pPr>
        <w:pStyle w:val="FootnoteText"/>
      </w:pPr>
      <w:r>
        <w:t>Note: The data for 2020-21 and 2021-22 has been revised and updated.</w:t>
      </w:r>
    </w:p>
    <w:p w14:paraId="0FD05490" w14:textId="77777777" w:rsidR="006F4F12" w:rsidRDefault="006F4F12" w:rsidP="006F4F12">
      <w:pPr>
        <w:spacing w:before="0" w:after="0" w:line="240" w:lineRule="auto"/>
      </w:pPr>
      <w:r>
        <w:br w:type="page"/>
      </w:r>
    </w:p>
    <w:p w14:paraId="3F927C3B" w14:textId="33F7553D" w:rsidR="00A43A7A" w:rsidRDefault="00685A4A" w:rsidP="00F91BBB">
      <w:r>
        <w:fldChar w:fldCharType="begin"/>
      </w:r>
      <w:r>
        <w:instrText xml:space="preserve"> REF _Ref161225968 \h </w:instrText>
      </w:r>
      <w:r>
        <w:fldChar w:fldCharType="separate"/>
      </w:r>
      <w:r w:rsidR="001377BE">
        <w:t xml:space="preserve">Chart </w:t>
      </w:r>
      <w:r w:rsidR="001377BE">
        <w:rPr>
          <w:noProof/>
        </w:rPr>
        <w:t>4</w:t>
      </w:r>
      <w:r w:rsidR="001377BE">
        <w:t>.</w:t>
      </w:r>
      <w:r w:rsidR="001377BE">
        <w:rPr>
          <w:noProof/>
        </w:rPr>
        <w:t>9</w:t>
      </w:r>
      <w:r>
        <w:fldChar w:fldCharType="end"/>
      </w:r>
      <w:r>
        <w:t xml:space="preserve"> shows average agreed and published accommodation prices by location for the last 7 years. As has been the case in previous years, the average published and agreed price in metropolitan areas was significantly higher than in regional and remote areas. In 2022</w:t>
      </w:r>
      <w:r w:rsidR="003B22AF">
        <w:t>-23</w:t>
      </w:r>
      <w:r>
        <w:t>, the average published price for metropolitan areas was $5</w:t>
      </w:r>
      <w:r w:rsidR="003B22AF">
        <w:t>35</w:t>
      </w:r>
      <w:r>
        <w:t>,000, and the average agreed price was $4</w:t>
      </w:r>
      <w:r w:rsidR="003B22AF">
        <w:t>72</w:t>
      </w:r>
      <w:r>
        <w:t>,000. For regional areas, the average published price was $3</w:t>
      </w:r>
      <w:r w:rsidR="00554FED">
        <w:t>93</w:t>
      </w:r>
      <w:r>
        <w:t>,000, and the agreed price was $3</w:t>
      </w:r>
      <w:r w:rsidR="00554FED">
        <w:t>63</w:t>
      </w:r>
      <w:r>
        <w:t>,000. For remote areas the average published price was $3</w:t>
      </w:r>
      <w:r w:rsidR="00554FED">
        <w:t>24</w:t>
      </w:r>
      <w:r>
        <w:t>,000, and the average agreed price was $2</w:t>
      </w:r>
      <w:r w:rsidR="00554FED">
        <w:t>91</w:t>
      </w:r>
      <w:r>
        <w:t>,000.</w:t>
      </w:r>
      <w:bookmarkStart w:id="182" w:name="_Ref161225968"/>
    </w:p>
    <w:p w14:paraId="7FD6B063" w14:textId="4F6E5EF5" w:rsidR="00BC6B4A" w:rsidRDefault="006146F4" w:rsidP="00706D0A">
      <w:pPr>
        <w:pStyle w:val="Caption"/>
      </w:pPr>
      <w:bookmarkStart w:id="183" w:name="_Toc173428941"/>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9</w:t>
      </w:r>
      <w:r w:rsidR="00AE19AA">
        <w:rPr>
          <w:noProof/>
        </w:rPr>
        <w:fldChar w:fldCharType="end"/>
      </w:r>
      <w:bookmarkEnd w:id="182"/>
      <w:r>
        <w:t xml:space="preserve">: </w:t>
      </w:r>
      <w:r w:rsidRPr="00C417F7">
        <w:t>Average agreed and published accommodation prices (lump sum equivalent), by location, 201</w:t>
      </w:r>
      <w:r w:rsidR="009D59B7">
        <w:t>6-17</w:t>
      </w:r>
      <w:r w:rsidRPr="00C417F7">
        <w:t xml:space="preserve"> to 2022</w:t>
      </w:r>
      <w:r w:rsidR="009D59B7">
        <w:t>-23</w:t>
      </w:r>
      <w:bookmarkEnd w:id="183"/>
    </w:p>
    <w:p w14:paraId="2FE394EB" w14:textId="5200B2C2" w:rsidR="006146F4" w:rsidRDefault="009D59B7" w:rsidP="00706D0A">
      <w:pPr>
        <w:pStyle w:val="Caption"/>
      </w:pPr>
      <w:r>
        <w:rPr>
          <w:noProof/>
        </w:rPr>
        <w:drawing>
          <wp:inline distT="0" distB="0" distL="0" distR="0" wp14:anchorId="65C52809" wp14:editId="5ADE521C">
            <wp:extent cx="5846400" cy="3572022"/>
            <wp:effectExtent l="0" t="0" r="2540" b="0"/>
            <wp:docPr id="18" name="Picture 18" descr="Chart 4.9 is a line chart titled Average agreed and published accommodation prices (lump sum equivalent), by location, 2016-17 to 2022-23. In 2022-23, there was a continuing trend where the average published and agreed price in metropolitan areas was significantly higher than in regional and remote areas. The average published price for metropolitan providers was $535,000 meanwhile the average agreed price for metrpolitan providers was $472,000. For regional providers, the average published price was $393,000 which is $30,000 higher than the average agreed price of $363,000. Providers in remote areas had the lowest average published price of $324,000 and the lowest average agreed price of $291,00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4.9 is a line chart titled Average agreed and published accommodation prices (lump sum equivalent), by location, 2016-17 to 2022-23. In 2022-23, there was a continuing trend where the average published and agreed price in metropolitan areas was significantly higher than in regional and remote areas. The average published price for metropolitan providers was $535,000 meanwhile the average agreed price for metrpolitan providers was $472,000. For regional providers, the average published price was $393,000 which is $30,000 higher than the average agreed price of $363,000. Providers in remote areas had the lowest average published price of $324,000 and the lowest average agreed price of $291,000. &#10;&#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54473" cy="3576954"/>
                    </a:xfrm>
                    <a:prstGeom prst="rect">
                      <a:avLst/>
                    </a:prstGeom>
                    <a:noFill/>
                  </pic:spPr>
                </pic:pic>
              </a:graphicData>
            </a:graphic>
          </wp:inline>
        </w:drawing>
      </w:r>
    </w:p>
    <w:p w14:paraId="7B12BA00" w14:textId="77777777" w:rsidR="007F49DD" w:rsidRDefault="007F49DD" w:rsidP="007F49DD">
      <w:pPr>
        <w:pStyle w:val="FootnoteText"/>
      </w:pPr>
      <w:r>
        <w:t>Note: The data for 2020-21 and 2021-22 has been revised and updated.</w:t>
      </w:r>
    </w:p>
    <w:p w14:paraId="197F5713" w14:textId="77777777" w:rsidR="006F4F12" w:rsidRDefault="006F4F12" w:rsidP="006F4F12">
      <w:pPr>
        <w:spacing w:before="0" w:after="0" w:line="240" w:lineRule="auto"/>
      </w:pPr>
      <w:r>
        <w:br w:type="page"/>
      </w:r>
    </w:p>
    <w:p w14:paraId="404B0516" w14:textId="4F3D0E4F" w:rsidR="00371DF2" w:rsidRPr="009F4CA9" w:rsidRDefault="00371DF2" w:rsidP="00361CF7">
      <w:pPr>
        <w:rPr>
          <w:bCs w:val="0"/>
          <w:szCs w:val="20"/>
        </w:rPr>
      </w:pPr>
      <w:r w:rsidRPr="00361CF7">
        <w:rPr>
          <w:b/>
          <w:sz w:val="28"/>
          <w:szCs w:val="20"/>
        </w:rPr>
        <w:t>Balance sheet performance ratios</w:t>
      </w:r>
    </w:p>
    <w:p w14:paraId="385575EC" w14:textId="77777777" w:rsidR="001377BE" w:rsidRDefault="006A5A4D" w:rsidP="00BC6B4A">
      <w:r w:rsidRPr="00361CF7">
        <w:t>Balance</w:t>
      </w:r>
      <w:r w:rsidRPr="00361CF7">
        <w:rPr>
          <w:spacing w:val="-9"/>
        </w:rPr>
        <w:t xml:space="preserve"> </w:t>
      </w:r>
      <w:r w:rsidRPr="00361CF7">
        <w:t>sheet</w:t>
      </w:r>
      <w:r w:rsidRPr="00361CF7">
        <w:rPr>
          <w:spacing w:val="-9"/>
        </w:rPr>
        <w:t xml:space="preserve"> </w:t>
      </w:r>
      <w:r w:rsidRPr="00361CF7">
        <w:t>ratios</w:t>
      </w:r>
      <w:r w:rsidRPr="00361CF7">
        <w:rPr>
          <w:spacing w:val="-9"/>
        </w:rPr>
        <w:t xml:space="preserve"> </w:t>
      </w:r>
      <w:r w:rsidRPr="00361CF7">
        <w:t>provide</w:t>
      </w:r>
      <w:r w:rsidRPr="00361CF7">
        <w:rPr>
          <w:spacing w:val="-9"/>
        </w:rPr>
        <w:t xml:space="preserve"> </w:t>
      </w:r>
      <w:r w:rsidRPr="00361CF7">
        <w:t>a</w:t>
      </w:r>
      <w:r w:rsidRPr="00361CF7">
        <w:rPr>
          <w:spacing w:val="-9"/>
        </w:rPr>
        <w:t xml:space="preserve"> </w:t>
      </w:r>
      <w:r w:rsidRPr="00361CF7">
        <w:t>guide</w:t>
      </w:r>
      <w:r w:rsidRPr="00361CF7">
        <w:rPr>
          <w:spacing w:val="-9"/>
        </w:rPr>
        <w:t xml:space="preserve"> </w:t>
      </w:r>
      <w:r w:rsidRPr="00361CF7">
        <w:t>as</w:t>
      </w:r>
      <w:r w:rsidRPr="00361CF7">
        <w:rPr>
          <w:spacing w:val="-9"/>
        </w:rPr>
        <w:t xml:space="preserve"> </w:t>
      </w:r>
      <w:r w:rsidRPr="00361CF7">
        <w:t>to</w:t>
      </w:r>
      <w:r w:rsidRPr="00361CF7">
        <w:rPr>
          <w:spacing w:val="-9"/>
        </w:rPr>
        <w:t xml:space="preserve"> </w:t>
      </w:r>
      <w:r w:rsidRPr="00361CF7">
        <w:t>the</w:t>
      </w:r>
      <w:r w:rsidRPr="00361CF7">
        <w:rPr>
          <w:spacing w:val="-9"/>
        </w:rPr>
        <w:t xml:space="preserve"> </w:t>
      </w:r>
      <w:r w:rsidRPr="00361CF7">
        <w:t>financial health of providers through an analysis of their profitability, liquidity and efficiency as well as their net</w:t>
      </w:r>
      <w:r w:rsidRPr="00361CF7">
        <w:rPr>
          <w:spacing w:val="-9"/>
        </w:rPr>
        <w:t xml:space="preserve"> </w:t>
      </w:r>
      <w:r w:rsidRPr="00361CF7">
        <w:t>worth.</w:t>
      </w:r>
      <w:r w:rsidRPr="00361CF7">
        <w:rPr>
          <w:spacing w:val="-9"/>
        </w:rPr>
        <w:t xml:space="preserve"> </w:t>
      </w:r>
      <w:r w:rsidRPr="00361CF7">
        <w:t>Definitions</w:t>
      </w:r>
      <w:r w:rsidRPr="00361CF7">
        <w:rPr>
          <w:spacing w:val="-9"/>
        </w:rPr>
        <w:t xml:space="preserve"> </w:t>
      </w:r>
      <w:r w:rsidRPr="00361CF7">
        <w:t>for</w:t>
      </w:r>
      <w:r w:rsidRPr="00361CF7">
        <w:rPr>
          <w:spacing w:val="-9"/>
        </w:rPr>
        <w:t xml:space="preserve"> </w:t>
      </w:r>
      <w:r w:rsidRPr="00361CF7">
        <w:t>the</w:t>
      </w:r>
      <w:r w:rsidRPr="00361CF7">
        <w:rPr>
          <w:spacing w:val="-9"/>
        </w:rPr>
        <w:t xml:space="preserve"> </w:t>
      </w:r>
      <w:r w:rsidRPr="00361CF7">
        <w:t>balance</w:t>
      </w:r>
      <w:r w:rsidRPr="00361CF7">
        <w:rPr>
          <w:spacing w:val="-9"/>
        </w:rPr>
        <w:t xml:space="preserve"> </w:t>
      </w:r>
      <w:r w:rsidRPr="00361CF7">
        <w:t>sheet</w:t>
      </w:r>
      <w:r w:rsidRPr="00361CF7">
        <w:rPr>
          <w:spacing w:val="-9"/>
        </w:rPr>
        <w:t xml:space="preserve"> </w:t>
      </w:r>
      <w:r w:rsidRPr="00361CF7">
        <w:t>ratios</w:t>
      </w:r>
      <w:r w:rsidRPr="00361CF7">
        <w:rPr>
          <w:spacing w:val="-9"/>
        </w:rPr>
        <w:t xml:space="preserve"> </w:t>
      </w:r>
      <w:r w:rsidRPr="00361CF7">
        <w:t>are included within the Glossary.</w:t>
      </w:r>
      <w:r w:rsidR="00F91BBB" w:rsidRPr="00182EE2">
        <w:rPr>
          <w:color w:val="FF0000"/>
        </w:rPr>
        <w:t xml:space="preserve"> </w:t>
      </w:r>
      <w:r w:rsidRPr="00182EE2">
        <w:rPr>
          <w:color w:val="FF0000"/>
        </w:rPr>
        <w:fldChar w:fldCharType="begin"/>
      </w:r>
      <w:r w:rsidRPr="00182EE2">
        <w:rPr>
          <w:color w:val="FF0000"/>
        </w:rPr>
        <w:instrText xml:space="preserve"> REF _Ref162949112 \h </w:instrText>
      </w:r>
      <w:r w:rsidR="00182EE2">
        <w:rPr>
          <w:color w:val="FF0000"/>
        </w:rPr>
        <w:instrText xml:space="preserve"> \* MERGEFORMAT </w:instrText>
      </w:r>
      <w:r w:rsidRPr="00182EE2">
        <w:rPr>
          <w:color w:val="FF0000"/>
        </w:rPr>
      </w:r>
      <w:r w:rsidRPr="00182EE2">
        <w:rPr>
          <w:color w:val="FF0000"/>
        </w:rPr>
        <w:fldChar w:fldCharType="separate"/>
      </w:r>
    </w:p>
    <w:p w14:paraId="7D684900" w14:textId="3D681DD2" w:rsidR="006A5A4D" w:rsidRPr="006A5A4D" w:rsidRDefault="001377BE" w:rsidP="006A5A4D">
      <w:pPr>
        <w:rPr>
          <w:highlight w:val="yellow"/>
        </w:rPr>
      </w:pPr>
      <w:r>
        <w:t xml:space="preserve">Chart </w:t>
      </w:r>
      <w:r>
        <w:rPr>
          <w:noProof/>
        </w:rPr>
        <w:t>4.10</w:t>
      </w:r>
      <w:r w:rsidR="006A5A4D" w:rsidRPr="00182EE2">
        <w:rPr>
          <w:color w:val="FF0000"/>
        </w:rPr>
        <w:fldChar w:fldCharType="end"/>
      </w:r>
      <w:r w:rsidR="006A5A4D" w:rsidRPr="00182EE2">
        <w:rPr>
          <w:color w:val="FF0000"/>
        </w:rPr>
        <w:t xml:space="preserve"> </w:t>
      </w:r>
      <w:r w:rsidR="006A5A4D" w:rsidRPr="00182EE2">
        <w:t>shows earnings before interest, tax, depreciation and amortisation (EBITDA) to total assets by provider ownership type for the last 5 years</w:t>
      </w:r>
      <w:r w:rsidR="006A5A4D" w:rsidRPr="00E5391B">
        <w:t>.</w:t>
      </w:r>
    </w:p>
    <w:p w14:paraId="24C586B4" w14:textId="4F1A8DF0" w:rsidR="006A5A4D" w:rsidRPr="00E5391B" w:rsidRDefault="00205A6F" w:rsidP="006A5A4D">
      <w:r w:rsidRPr="00E5391B">
        <w:t xml:space="preserve">The EBITDA to total assets </w:t>
      </w:r>
      <w:r w:rsidR="00A87F30" w:rsidRPr="00E5391B">
        <w:t xml:space="preserve">increased from 0.0% in 2021-22 </w:t>
      </w:r>
      <w:r w:rsidR="00241418" w:rsidRPr="00E5391B">
        <w:t>which was the lowest in the last 5 years</w:t>
      </w:r>
      <w:r w:rsidR="00A87F30" w:rsidRPr="00E5391B">
        <w:t xml:space="preserve"> to </w:t>
      </w:r>
      <w:r w:rsidR="00241418" w:rsidRPr="00E5391B">
        <w:t>0.9% in 2022-23.</w:t>
      </w:r>
      <w:r w:rsidR="00EE1672">
        <w:t xml:space="preserve"> </w:t>
      </w:r>
      <w:r w:rsidR="006A5A4D" w:rsidRPr="00E5391B">
        <w:t>The EBITDA to total assets ratio measures how efficiently a provider is generating EBITDA; a ratio of 0</w:t>
      </w:r>
      <w:r w:rsidR="0025521E" w:rsidRPr="00E5391B">
        <w:t>.9</w:t>
      </w:r>
      <w:r w:rsidR="006A5A4D" w:rsidRPr="00E5391B">
        <w:t xml:space="preserve"> means they are generating </w:t>
      </w:r>
      <w:r w:rsidR="00EE1672">
        <w:t>less than 1%</w:t>
      </w:r>
      <w:r w:rsidR="006A5A4D" w:rsidRPr="00E5391B">
        <w:t xml:space="preserve"> EBITDA return. </w:t>
      </w:r>
    </w:p>
    <w:p w14:paraId="7D04E5BE" w14:textId="02CD10DE" w:rsidR="00A43A7A" w:rsidRDefault="006A5A4D" w:rsidP="00BC6B4A">
      <w:r w:rsidRPr="00677CBF">
        <w:t xml:space="preserve">In terms of ownership, for-profit providers </w:t>
      </w:r>
      <w:r w:rsidR="00020A38" w:rsidRPr="00677CBF">
        <w:t>increased</w:t>
      </w:r>
      <w:r w:rsidRPr="00677CBF">
        <w:t xml:space="preserve"> to </w:t>
      </w:r>
      <w:r w:rsidR="00020A38" w:rsidRPr="00677CBF">
        <w:t>1.</w:t>
      </w:r>
      <w:r w:rsidRPr="00677CBF">
        <w:t>0</w:t>
      </w:r>
      <w:r w:rsidR="00020A38" w:rsidRPr="00677CBF">
        <w:t>%</w:t>
      </w:r>
      <w:r w:rsidRPr="00677CBF">
        <w:t xml:space="preserve"> in </w:t>
      </w:r>
      <w:r w:rsidR="00756CFF" w:rsidRPr="00677CBF">
        <w:t>2022</w:t>
      </w:r>
      <w:r w:rsidRPr="00677CBF">
        <w:t>-</w:t>
      </w:r>
      <w:r w:rsidR="00756CFF" w:rsidRPr="00677CBF">
        <w:t>23</w:t>
      </w:r>
      <w:r w:rsidRPr="00677CBF">
        <w:t xml:space="preserve">, </w:t>
      </w:r>
      <w:r w:rsidR="00756CFF" w:rsidRPr="00677CBF">
        <w:t xml:space="preserve">up </w:t>
      </w:r>
      <w:r w:rsidRPr="00677CBF">
        <w:t xml:space="preserve">from </w:t>
      </w:r>
      <w:r w:rsidR="00756CFF" w:rsidRPr="00677CBF">
        <w:t xml:space="preserve">0.8% </w:t>
      </w:r>
      <w:r w:rsidRPr="00677CBF">
        <w:t xml:space="preserve">in </w:t>
      </w:r>
      <w:r w:rsidR="00756CFF" w:rsidRPr="00677CBF">
        <w:t>2021</w:t>
      </w:r>
      <w:r w:rsidRPr="00677CBF">
        <w:t>-2</w:t>
      </w:r>
      <w:r w:rsidR="00756CFF" w:rsidRPr="00677CBF">
        <w:t>2</w:t>
      </w:r>
      <w:r w:rsidRPr="00677CBF">
        <w:t xml:space="preserve">, and down from </w:t>
      </w:r>
      <w:r w:rsidR="00756CFF" w:rsidRPr="00677CBF">
        <w:t xml:space="preserve">3.1% </w:t>
      </w:r>
      <w:r w:rsidRPr="00677CBF">
        <w:t xml:space="preserve">in </w:t>
      </w:r>
      <w:r w:rsidR="00EA787D" w:rsidRPr="00677CBF">
        <w:t>2018</w:t>
      </w:r>
      <w:r w:rsidRPr="00677CBF">
        <w:t>-1</w:t>
      </w:r>
      <w:r w:rsidR="00EA787D" w:rsidRPr="00677CBF">
        <w:t>9</w:t>
      </w:r>
      <w:r w:rsidRPr="00677CBF">
        <w:t>. The</w:t>
      </w:r>
      <w:r w:rsidR="00E937A7" w:rsidRPr="00677CBF">
        <w:t xml:space="preserve">re was </w:t>
      </w:r>
      <w:r w:rsidR="00E937A7" w:rsidRPr="00D0045F">
        <w:t>an</w:t>
      </w:r>
      <w:r w:rsidRPr="00D0045F">
        <w:t xml:space="preserve"> </w:t>
      </w:r>
      <w:r w:rsidR="00BF64F7" w:rsidRPr="00D0045F">
        <w:t>improvement</w:t>
      </w:r>
      <w:r w:rsidRPr="00D0045F">
        <w:t xml:space="preserve"> for</w:t>
      </w:r>
      <w:r w:rsidRPr="00677CBF">
        <w:t xml:space="preserve"> not-for-profit providers</w:t>
      </w:r>
      <w:r w:rsidR="00E937A7" w:rsidRPr="00677CBF">
        <w:t xml:space="preserve"> from the previous year</w:t>
      </w:r>
      <w:r w:rsidRPr="00677CBF">
        <w:t xml:space="preserve">, </w:t>
      </w:r>
      <w:r w:rsidR="00BF64F7" w:rsidRPr="00677CBF">
        <w:t xml:space="preserve">up to 1.3% </w:t>
      </w:r>
      <w:r w:rsidRPr="00677CBF">
        <w:t xml:space="preserve">in </w:t>
      </w:r>
      <w:r w:rsidR="00BF64F7" w:rsidRPr="00677CBF">
        <w:t>2022</w:t>
      </w:r>
      <w:r w:rsidRPr="00677CBF">
        <w:t>–</w:t>
      </w:r>
      <w:r w:rsidR="00BF64F7" w:rsidRPr="00677CBF">
        <w:t>23</w:t>
      </w:r>
      <w:r w:rsidRPr="00677CBF">
        <w:t>, from negative 0.5</w:t>
      </w:r>
      <w:r w:rsidR="00E338DC" w:rsidRPr="00677CBF">
        <w:t>% in 2021-22, however still down from 3.2%</w:t>
      </w:r>
      <w:r w:rsidRPr="00677CBF">
        <w:t xml:space="preserve"> in </w:t>
      </w:r>
      <w:r w:rsidR="00E338DC" w:rsidRPr="00677CBF">
        <w:t>2018</w:t>
      </w:r>
      <w:r w:rsidRPr="00677CBF">
        <w:t>-</w:t>
      </w:r>
      <w:r w:rsidR="00E338DC" w:rsidRPr="00677CBF">
        <w:t>19</w:t>
      </w:r>
      <w:r w:rsidRPr="00677CBF">
        <w:t>.</w:t>
      </w:r>
      <w:bookmarkStart w:id="184" w:name="_Ref162949112"/>
    </w:p>
    <w:p w14:paraId="1619C8E3" w14:textId="3AC7B849" w:rsidR="00371DF2" w:rsidRDefault="00403BC7" w:rsidP="00706D0A">
      <w:pPr>
        <w:pStyle w:val="Caption"/>
      </w:pPr>
      <w:bookmarkStart w:id="185" w:name="_Toc173428942"/>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10</w:t>
      </w:r>
      <w:r w:rsidR="00AE19AA">
        <w:rPr>
          <w:noProof/>
        </w:rPr>
        <w:fldChar w:fldCharType="end"/>
      </w:r>
      <w:bookmarkEnd w:id="184"/>
      <w:r>
        <w:t xml:space="preserve">: </w:t>
      </w:r>
      <w:r w:rsidRPr="00A55E59">
        <w:t>EBITDA to total assets, by ownership type, 201</w:t>
      </w:r>
      <w:r w:rsidR="00182EE2">
        <w:t>8</w:t>
      </w:r>
      <w:r w:rsidRPr="00A55E59">
        <w:t>-1</w:t>
      </w:r>
      <w:r w:rsidR="00182EE2">
        <w:t>9</w:t>
      </w:r>
      <w:r w:rsidRPr="00A55E59">
        <w:t xml:space="preserve"> to 202</w:t>
      </w:r>
      <w:r w:rsidR="00182EE2">
        <w:t>2</w:t>
      </w:r>
      <w:r w:rsidRPr="00A55E59">
        <w:t>-2</w:t>
      </w:r>
      <w:r w:rsidR="00182EE2">
        <w:t>3</w:t>
      </w:r>
      <w:bookmarkEnd w:id="185"/>
    </w:p>
    <w:p w14:paraId="4F989B32" w14:textId="77777777" w:rsidR="00B255DC" w:rsidRDefault="00361CF7" w:rsidP="00F91BBB">
      <w:r>
        <w:rPr>
          <w:noProof/>
        </w:rPr>
        <w:drawing>
          <wp:inline distT="0" distB="0" distL="0" distR="0" wp14:anchorId="126F19A2" wp14:editId="6D312C9E">
            <wp:extent cx="5869393" cy="3686400"/>
            <wp:effectExtent l="0" t="0" r="0" b="9525"/>
            <wp:docPr id="1271021946" name="Picture 1271021946" descr="Chart 4.10 is a clustered column chart titled EBITDA to total assets, by ownership type, 2018-19 to 2022-23. The EBITDA to total assets increased from 0.0% in 2021-22 to 0.9% in 2022-23.  This is the first increase in the past 5 years. Not-for-profit providers had the highest EBITDA to total assets proportion at 1.3%. LST government providers had the lowest proportion of EBITDA to total assets at -4.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6" name="Picture 1271021946" descr="Chart 4.10 is a clustered column chart titled EBITDA to total assets, by ownership type, 2018-19 to 2022-23. The EBITDA to total assets increased from 0.0% in 2021-22 to 0.9% in 2022-23.  This is the first increase in the past 5 years. Not-for-profit providers had the highest EBITDA to total assets proportion at 1.3%. LST government providers had the lowest proportion of EBITDA to total assets at -4.1%.&#10;&#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70895" cy="3687343"/>
                    </a:xfrm>
                    <a:prstGeom prst="rect">
                      <a:avLst/>
                    </a:prstGeom>
                    <a:noFill/>
                  </pic:spPr>
                </pic:pic>
              </a:graphicData>
            </a:graphic>
          </wp:inline>
        </w:drawing>
      </w:r>
    </w:p>
    <w:p w14:paraId="2FF82E63" w14:textId="6E356A1D" w:rsidR="001377BE" w:rsidDel="00760C11" w:rsidRDefault="006F4F12" w:rsidP="006F4F12">
      <w:pPr>
        <w:spacing w:before="0" w:after="0" w:line="240" w:lineRule="auto"/>
      </w:pPr>
      <w:r>
        <w:br w:type="page"/>
      </w:r>
      <w:r w:rsidR="00B01E58">
        <w:fldChar w:fldCharType="begin"/>
      </w:r>
      <w:r w:rsidR="00B01E58">
        <w:instrText xml:space="preserve"> REF _Ref162949138 \h </w:instrText>
      </w:r>
      <w:r w:rsidR="00B01E58">
        <w:fldChar w:fldCharType="separate"/>
      </w:r>
    </w:p>
    <w:p w14:paraId="0D300CAD" w14:textId="419134DA" w:rsidR="004F08CE" w:rsidRDefault="001377BE" w:rsidP="00B01E58">
      <w:r>
        <w:t xml:space="preserve">Chart </w:t>
      </w:r>
      <w:r>
        <w:rPr>
          <w:noProof/>
        </w:rPr>
        <w:t>4</w:t>
      </w:r>
      <w:r>
        <w:t>.</w:t>
      </w:r>
      <w:r>
        <w:rPr>
          <w:noProof/>
        </w:rPr>
        <w:t>11</w:t>
      </w:r>
      <w:r w:rsidR="00B01E58">
        <w:fldChar w:fldCharType="end"/>
      </w:r>
      <w:r w:rsidR="00B01E58">
        <w:t xml:space="preserve"> </w:t>
      </w:r>
      <w:r w:rsidR="00B01E58" w:rsidRPr="00D22CC1">
        <w:t xml:space="preserve">shows the current ratio by ownership type for the last 5 years. The current ratio is a measure of a provider’s ability to meet its short-term liabilities (for example, debts due within one year) using their short-term assets (for example, assets easily converted into cash). </w:t>
      </w:r>
      <w:r w:rsidR="004F08CE">
        <w:t xml:space="preserve">The current ratio is calculated by dividing current assets </w:t>
      </w:r>
      <w:r w:rsidR="00706A3D">
        <w:t xml:space="preserve">(including RADs and RAD receivables) </w:t>
      </w:r>
      <w:r w:rsidR="004F08CE">
        <w:t xml:space="preserve">over current liabilities (including </w:t>
      </w:r>
      <w:r w:rsidR="00706A3D">
        <w:t>t</w:t>
      </w:r>
      <w:r w:rsidR="00214AE0">
        <w:t>he proportion of RADs that are current liabilities).</w:t>
      </w:r>
    </w:p>
    <w:p w14:paraId="5F58CF13" w14:textId="2AAE6E7F" w:rsidR="00A43A7A" w:rsidDel="00760C11" w:rsidRDefault="00B01E58" w:rsidP="00531292">
      <w:r w:rsidRPr="00DD0901">
        <w:t xml:space="preserve">The current ratio for all providers decreased in </w:t>
      </w:r>
      <w:r w:rsidR="00DD0901" w:rsidRPr="00DD0901">
        <w:t>2022</w:t>
      </w:r>
      <w:r w:rsidRPr="00DD0901">
        <w:t>-</w:t>
      </w:r>
      <w:r w:rsidR="00DD0901" w:rsidRPr="00DD0901">
        <w:t>23</w:t>
      </w:r>
      <w:r w:rsidRPr="00DD0901">
        <w:t xml:space="preserve">, down to a sector </w:t>
      </w:r>
      <w:r w:rsidR="00280A42">
        <w:t>average</w:t>
      </w:r>
      <w:r w:rsidR="00280A42" w:rsidRPr="00DD0901">
        <w:t xml:space="preserve"> </w:t>
      </w:r>
      <w:r w:rsidRPr="00DD0901">
        <w:t>of 0.</w:t>
      </w:r>
      <w:r w:rsidR="00DD0901" w:rsidRPr="00DD0901">
        <w:t>34</w:t>
      </w:r>
      <w:r w:rsidRPr="00DD0901">
        <w:t>, from 0.</w:t>
      </w:r>
      <w:r w:rsidR="00DD0901" w:rsidRPr="00DD0901">
        <w:t xml:space="preserve">40 </w:t>
      </w:r>
      <w:r w:rsidRPr="00DD0901">
        <w:t>in 202</w:t>
      </w:r>
      <w:r w:rsidR="00DD0901" w:rsidRPr="00DD0901">
        <w:t>1</w:t>
      </w:r>
      <w:r w:rsidRPr="00DD0901">
        <w:t>-</w:t>
      </w:r>
      <w:r w:rsidR="00DD0901" w:rsidRPr="00DD0901">
        <w:t>22</w:t>
      </w:r>
      <w:r w:rsidRPr="00DD0901">
        <w:t>.</w:t>
      </w:r>
      <w:r w:rsidR="002301DC">
        <w:t xml:space="preserve"> </w:t>
      </w:r>
      <w:r w:rsidR="002301DC" w:rsidRPr="002301DC">
        <w:t xml:space="preserve">The main </w:t>
      </w:r>
      <w:r w:rsidR="002301DC">
        <w:t xml:space="preserve">contributing factor </w:t>
      </w:r>
      <w:r w:rsidR="00FB5601">
        <w:t>for the decrease in the current ratio is the</w:t>
      </w:r>
      <w:r w:rsidR="002301DC" w:rsidRPr="002301DC">
        <w:t xml:space="preserve"> increase in current liabilities for the sector</w:t>
      </w:r>
      <w:r w:rsidR="00FB5601">
        <w:t xml:space="preserve">. This has been </w:t>
      </w:r>
      <w:r w:rsidR="002301DC" w:rsidRPr="002301DC">
        <w:t xml:space="preserve">driven by </w:t>
      </w:r>
      <w:r w:rsidR="00FB5601">
        <w:t xml:space="preserve">an </w:t>
      </w:r>
      <w:r w:rsidR="002301DC" w:rsidRPr="002301DC">
        <w:t xml:space="preserve">increase accommodation deposits (current liabilities). </w:t>
      </w:r>
      <w:r w:rsidR="00766E36">
        <w:t>Th</w:t>
      </w:r>
      <w:r w:rsidR="00AA66E0">
        <w:t>is is</w:t>
      </w:r>
      <w:r w:rsidR="00766E36">
        <w:t xml:space="preserve"> likely attributed to the increase in preference </w:t>
      </w:r>
      <w:r w:rsidR="00AA66E0">
        <w:t xml:space="preserve">towards </w:t>
      </w:r>
      <w:r w:rsidR="00766E36">
        <w:t>RADs in 2022-23</w:t>
      </w:r>
      <w:r w:rsidR="00B00197">
        <w:t xml:space="preserve">. </w:t>
      </w:r>
      <w:r w:rsidRPr="007E4AE0">
        <w:t>The current ratio for not-for-profit providers decreased, down from 0.48 in 2021-22 to 0.</w:t>
      </w:r>
      <w:r w:rsidR="007E4AE0" w:rsidRPr="007E4AE0">
        <w:t>36</w:t>
      </w:r>
      <w:r w:rsidRPr="007E4AE0">
        <w:t xml:space="preserve"> in 202</w:t>
      </w:r>
      <w:r w:rsidR="007E4AE0" w:rsidRPr="007E4AE0">
        <w:t>2</w:t>
      </w:r>
      <w:r w:rsidRPr="007E4AE0">
        <w:t>-2</w:t>
      </w:r>
      <w:r w:rsidR="007E4AE0" w:rsidRPr="007E4AE0">
        <w:t>3</w:t>
      </w:r>
      <w:r w:rsidR="002765E9">
        <w:t xml:space="preserve">. </w:t>
      </w:r>
      <w:r w:rsidR="00807060">
        <w:t>Not-for-profit providers</w:t>
      </w:r>
      <w:r w:rsidR="00212573">
        <w:t xml:space="preserve"> had a larger increase in</w:t>
      </w:r>
      <w:r w:rsidR="00265BB8">
        <w:t xml:space="preserve"> current liabilities</w:t>
      </w:r>
      <w:r w:rsidR="00BA1BD9">
        <w:t xml:space="preserve"> in comparison to for-profit providers</w:t>
      </w:r>
      <w:r w:rsidR="004775A1">
        <w:t xml:space="preserve"> on the prior year</w:t>
      </w:r>
      <w:r w:rsidR="00BA1BD9">
        <w:t>.</w:t>
      </w:r>
      <w:r w:rsidR="004775A1">
        <w:t xml:space="preserve"> </w:t>
      </w:r>
      <w:r w:rsidR="00C133C2">
        <w:t>N</w:t>
      </w:r>
      <w:r w:rsidR="004775A1">
        <w:t>o</w:t>
      </w:r>
      <w:r w:rsidR="0026129C">
        <w:t>t-for-profit providers increased current liabilities</w:t>
      </w:r>
      <w:r w:rsidR="00583942">
        <w:t xml:space="preserve"> by 25%</w:t>
      </w:r>
      <w:r w:rsidR="005C5429">
        <w:t xml:space="preserve"> from 2021-22</w:t>
      </w:r>
      <w:r w:rsidR="00157E50">
        <w:t>. T</w:t>
      </w:r>
      <w:r w:rsidR="00157E50" w:rsidRPr="007E4AE0">
        <w:t xml:space="preserve">he current ratio for for-profit providers </w:t>
      </w:r>
      <w:r w:rsidR="00157E50">
        <w:t xml:space="preserve">only </w:t>
      </w:r>
      <w:r w:rsidR="00157E50" w:rsidRPr="007E4AE0">
        <w:t>slightly decreased to 0.30 from 0.31.</w:t>
      </w:r>
      <w:r w:rsidR="003C61C6">
        <w:t xml:space="preserve"> F</w:t>
      </w:r>
      <w:r w:rsidR="00ED6F1C">
        <w:t xml:space="preserve">or-profit providers increased </w:t>
      </w:r>
      <w:r w:rsidR="003C61C6">
        <w:t xml:space="preserve">current liabilities </w:t>
      </w:r>
      <w:r w:rsidR="00ED6F1C">
        <w:t>by 10% from 2021-22.</w:t>
      </w:r>
      <w:bookmarkStart w:id="186" w:name="_Ref162949138"/>
    </w:p>
    <w:p w14:paraId="3ACAA7CA" w14:textId="38F1F0EA" w:rsidR="00531292" w:rsidRPr="00531292" w:rsidRDefault="00784E7F" w:rsidP="00531292">
      <w:pPr>
        <w:pStyle w:val="Caption"/>
      </w:pPr>
      <w:bookmarkStart w:id="187" w:name="_Toc173428943"/>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11</w:t>
      </w:r>
      <w:r w:rsidR="00AE19AA">
        <w:rPr>
          <w:noProof/>
        </w:rPr>
        <w:fldChar w:fldCharType="end"/>
      </w:r>
      <w:bookmarkEnd w:id="186"/>
      <w:r>
        <w:t xml:space="preserve">: </w:t>
      </w:r>
      <w:r w:rsidRPr="00D00DBA">
        <w:t xml:space="preserve">Current ratio, by ownership type, </w:t>
      </w:r>
      <w:r w:rsidR="002212EC" w:rsidRPr="00D00DBA">
        <w:t>201</w:t>
      </w:r>
      <w:r w:rsidR="002212EC">
        <w:t>8</w:t>
      </w:r>
      <w:r w:rsidRPr="00D00DBA">
        <w:t>-</w:t>
      </w:r>
      <w:r w:rsidR="002212EC" w:rsidRPr="00D00DBA">
        <w:t>1</w:t>
      </w:r>
      <w:r w:rsidR="002212EC">
        <w:t>9</w:t>
      </w:r>
      <w:r w:rsidR="002212EC" w:rsidRPr="00D00DBA">
        <w:t xml:space="preserve"> </w:t>
      </w:r>
      <w:r w:rsidRPr="00D00DBA">
        <w:t xml:space="preserve">to </w:t>
      </w:r>
      <w:r w:rsidR="002212EC" w:rsidRPr="00D00DBA">
        <w:t>202</w:t>
      </w:r>
      <w:r w:rsidR="002212EC">
        <w:t>2</w:t>
      </w:r>
      <w:r w:rsidRPr="00D00DBA">
        <w:t>-</w:t>
      </w:r>
      <w:r w:rsidR="002212EC" w:rsidRPr="00D00DBA">
        <w:t>2</w:t>
      </w:r>
      <w:r w:rsidR="002212EC">
        <w:t>3</w:t>
      </w:r>
      <w:bookmarkEnd w:id="187"/>
    </w:p>
    <w:p w14:paraId="103D588D" w14:textId="4C792362" w:rsidR="00EA4586" w:rsidRPr="00EA4586" w:rsidRDefault="005D4908" w:rsidP="007E4AE0">
      <w:r>
        <w:rPr>
          <w:noProof/>
        </w:rPr>
        <w:drawing>
          <wp:inline distT="0" distB="0" distL="0" distR="0" wp14:anchorId="3675BED6" wp14:editId="60772897">
            <wp:extent cx="5824800" cy="3169271"/>
            <wp:effectExtent l="0" t="0" r="5080" b="0"/>
            <wp:docPr id="1271021929" name="Picture 1271021929" descr="Chart 4.11 is a line chart titled Current ratio, by ownership type, 2018-19 to 2022-23The current ratio  for all providers decreased in 2022-23, down to a sector median of 0.34, from 0.40 in 2021-22. The current ratio for not-for-profit providers decreased, down from 0.48 in 2021-22 to 0.36 in 2022-23, and the current ratio for for-profit providers slightly decreased to 0.30 from 0.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9" name="Picture 1271021929" descr="Chart 4.11 is a line chart titled Current ratio, by ownership type, 2018-19 to 2022-23The current ratio  for all providers decreased in 2022-23, down to a sector median of 0.34, from 0.40 in 2021-22. The current ratio for not-for-profit providers decreased, down from 0.48 in 2021-22 to 0.36 in 2022-23, and the current ratio for for-profit providers slightly decreased to 0.30 from 0.31.&#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35870" cy="3175294"/>
                    </a:xfrm>
                    <a:prstGeom prst="rect">
                      <a:avLst/>
                    </a:prstGeom>
                    <a:noFill/>
                  </pic:spPr>
                </pic:pic>
              </a:graphicData>
            </a:graphic>
          </wp:inline>
        </w:drawing>
      </w:r>
    </w:p>
    <w:p w14:paraId="445A1DA5" w14:textId="77777777" w:rsidR="00531292" w:rsidRDefault="00CC4A75" w:rsidP="00F91BBB">
      <w:pPr>
        <w:pStyle w:val="FootnoteText"/>
        <w:rPr>
          <w:shd w:val="clear" w:color="auto" w:fill="FFFFFF"/>
        </w:rPr>
      </w:pPr>
      <w:r w:rsidRPr="00C9346B">
        <w:t>Note:</w:t>
      </w:r>
      <w:r>
        <w:t xml:space="preserve"> *</w:t>
      </w:r>
      <w:r w:rsidRPr="00646396">
        <w:t xml:space="preserve"> </w:t>
      </w:r>
      <w:r w:rsidRPr="00C9346B">
        <w:rPr>
          <w:shd w:val="clear" w:color="auto" w:fill="FFFFFF"/>
        </w:rPr>
        <w:t>The increase in current ratio from 2020-21 is due to Refundable Accommodation Deposits (RADs) which are expected to be paid after 12 months being re-classified from current liabilities to non-current liabilities.</w:t>
      </w:r>
    </w:p>
    <w:p w14:paraId="79D4E9FA" w14:textId="77777777" w:rsidR="006F4F12" w:rsidRDefault="006F4F12" w:rsidP="006F4F12">
      <w:pPr>
        <w:spacing w:before="0" w:after="0" w:line="240" w:lineRule="auto"/>
      </w:pPr>
      <w:r>
        <w:br w:type="page"/>
      </w:r>
    </w:p>
    <w:p w14:paraId="5F9188F2" w14:textId="13F53272" w:rsidR="00A43A7A" w:rsidRDefault="00B255DC" w:rsidP="00F91BBB">
      <w:r>
        <w:fldChar w:fldCharType="begin"/>
      </w:r>
      <w:r>
        <w:instrText xml:space="preserve"> REF _Ref172019171 \h </w:instrText>
      </w:r>
      <w:r>
        <w:fldChar w:fldCharType="separate"/>
      </w:r>
      <w:r w:rsidR="001377BE">
        <w:t xml:space="preserve">Chart </w:t>
      </w:r>
      <w:r w:rsidR="001377BE">
        <w:rPr>
          <w:noProof/>
        </w:rPr>
        <w:t>4</w:t>
      </w:r>
      <w:r w:rsidR="001377BE">
        <w:t>.</w:t>
      </w:r>
      <w:r w:rsidR="001377BE">
        <w:rPr>
          <w:noProof/>
        </w:rPr>
        <w:t>12</w:t>
      </w:r>
      <w:r>
        <w:fldChar w:fldCharType="end"/>
      </w:r>
      <w:r w:rsidR="00BF17C7">
        <w:t xml:space="preserve"> </w:t>
      </w:r>
      <w:r w:rsidR="00BF17C7" w:rsidRPr="0047166C">
        <w:t xml:space="preserve">shows equity to total assets by provider ownership type for the last 5 years. The results for not-for-profit and for-profit provider types gradually decreased in the past 5 years. Not-for-profit providers dropped to </w:t>
      </w:r>
      <w:r w:rsidR="005453C2" w:rsidRPr="0047166C">
        <w:t>16.3%</w:t>
      </w:r>
      <w:r w:rsidR="00BF17C7" w:rsidRPr="0047166C">
        <w:t xml:space="preserve"> from </w:t>
      </w:r>
      <w:r w:rsidR="005453C2" w:rsidRPr="0047166C">
        <w:t>22.3%</w:t>
      </w:r>
      <w:r w:rsidR="00BF17C7" w:rsidRPr="0047166C">
        <w:t xml:space="preserve"> and for-profit providers reported a drop to </w:t>
      </w:r>
      <w:r w:rsidR="005453C2" w:rsidRPr="0047166C">
        <w:t>negative 1.5%</w:t>
      </w:r>
      <w:r w:rsidR="00BF17C7" w:rsidRPr="0047166C">
        <w:t xml:space="preserve"> from </w:t>
      </w:r>
      <w:r w:rsidR="005453C2" w:rsidRPr="0047166C">
        <w:t>2.2% in 2021-22</w:t>
      </w:r>
      <w:r w:rsidR="00BF17C7" w:rsidRPr="0047166C">
        <w:t>. There continued to be a notable difference between provider types when looking at the results for the equity to total assets ratio</w:t>
      </w:r>
      <w:r w:rsidR="00BF17C7" w:rsidRPr="00606691">
        <w:t xml:space="preserve">. Not-for-profit providers were generally around </w:t>
      </w:r>
      <w:r w:rsidR="0047166C" w:rsidRPr="00606691">
        <w:t>1</w:t>
      </w:r>
      <w:r w:rsidR="00606691" w:rsidRPr="00606691">
        <w:t>7</w:t>
      </w:r>
      <w:r w:rsidR="00BF17C7" w:rsidRPr="00606691">
        <w:t xml:space="preserve"> to 25 percentage points higher than for-profit providers.</w:t>
      </w:r>
      <w:bookmarkStart w:id="188" w:name="_Ref162949215"/>
    </w:p>
    <w:p w14:paraId="4134ADA1" w14:textId="547596A6" w:rsidR="00531292" w:rsidRDefault="00A00F99" w:rsidP="004E771D">
      <w:pPr>
        <w:pStyle w:val="Caption"/>
      </w:pPr>
      <w:bookmarkStart w:id="189" w:name="_Ref172019171"/>
      <w:bookmarkStart w:id="190" w:name="_Toc173428944"/>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12</w:t>
      </w:r>
      <w:r w:rsidR="00AE19AA">
        <w:rPr>
          <w:noProof/>
        </w:rPr>
        <w:fldChar w:fldCharType="end"/>
      </w:r>
      <w:bookmarkEnd w:id="188"/>
      <w:bookmarkEnd w:id="189"/>
      <w:r>
        <w:t xml:space="preserve">: </w:t>
      </w:r>
      <w:r w:rsidRPr="004103AC">
        <w:t xml:space="preserve">Equity to total assets, by ownership type, </w:t>
      </w:r>
      <w:r w:rsidR="002212EC" w:rsidRPr="004103AC">
        <w:t>201</w:t>
      </w:r>
      <w:r w:rsidR="002212EC">
        <w:t>8</w:t>
      </w:r>
      <w:r w:rsidRPr="004103AC">
        <w:t>-</w:t>
      </w:r>
      <w:r w:rsidR="002212EC" w:rsidRPr="004103AC">
        <w:t>1</w:t>
      </w:r>
      <w:r w:rsidR="002212EC">
        <w:t>9</w:t>
      </w:r>
      <w:r w:rsidR="002212EC" w:rsidRPr="004103AC">
        <w:t xml:space="preserve"> </w:t>
      </w:r>
      <w:r w:rsidRPr="004103AC">
        <w:t xml:space="preserve">to </w:t>
      </w:r>
      <w:r w:rsidR="002212EC" w:rsidRPr="004103AC">
        <w:t>202</w:t>
      </w:r>
      <w:r w:rsidR="002212EC">
        <w:t>2</w:t>
      </w:r>
      <w:r w:rsidRPr="004103AC">
        <w:t>-</w:t>
      </w:r>
      <w:r w:rsidR="002212EC" w:rsidRPr="004103AC">
        <w:t>2</w:t>
      </w:r>
      <w:r w:rsidR="002212EC">
        <w:t>3</w:t>
      </w:r>
      <w:bookmarkEnd w:id="190"/>
    </w:p>
    <w:p w14:paraId="1FB2CA6C" w14:textId="77777777" w:rsidR="00531292" w:rsidRDefault="00911CBD" w:rsidP="004E771D">
      <w:pPr>
        <w:pStyle w:val="Caption"/>
        <w:rPr>
          <w:b w:val="0"/>
          <w:szCs w:val="24"/>
        </w:rPr>
      </w:pPr>
      <w:r>
        <w:rPr>
          <w:noProof/>
        </w:rPr>
        <w:drawing>
          <wp:inline distT="0" distB="0" distL="0" distR="0" wp14:anchorId="374FFC85" wp14:editId="299BAFC8">
            <wp:extent cx="5902723" cy="3700800"/>
            <wp:effectExtent l="0" t="0" r="3175" b="0"/>
            <wp:docPr id="1271021931" name="Picture 1271021931" descr="Chart 4.12 is a line chart titled Equity to total assets, by ownership type, 2018-19 to 2022-23. The results for all provider types have been gradually decreasing over a number of years, with a significant difference between provider types. Not-for-profits dropped to 16.3% in 2022-23 from 22.3% in 2021-22 and the for-profits reported a drop to negative 1.5% from 2.2% in the same period. Local, state or territory providers reported 57.3% in 2022-23, a decrease from 58.9 % i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1" name="Picture 1271021931" descr="Chart 4.12 is a line chart titled Equity to total assets, by ownership type, 2018-19 to 2022-23. The results for all provider types have been gradually decreasing over a number of years, with a significant difference between provider types. Not-for-profits dropped to 16.3% in 2022-23 from 22.3% in 2021-22 and the for-profits reported a drop to negative 1.5% from 2.2% in the same period. Local, state or territory providers reported 57.3% in 2022-23, a decrease from 58.9 % in 2020-21.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07170" cy="3703588"/>
                    </a:xfrm>
                    <a:prstGeom prst="rect">
                      <a:avLst/>
                    </a:prstGeom>
                    <a:noFill/>
                  </pic:spPr>
                </pic:pic>
              </a:graphicData>
            </a:graphic>
          </wp:inline>
        </w:drawing>
      </w:r>
    </w:p>
    <w:p w14:paraId="2DC53D9E" w14:textId="77777777" w:rsidR="006F4F12" w:rsidRDefault="006F4F12" w:rsidP="006F4F12">
      <w:pPr>
        <w:spacing w:before="0" w:after="0" w:line="240" w:lineRule="auto"/>
      </w:pPr>
      <w:r>
        <w:br w:type="page"/>
      </w:r>
    </w:p>
    <w:p w14:paraId="13B1BA8B" w14:textId="34707FAE" w:rsidR="006F0838" w:rsidRPr="006F4F12" w:rsidRDefault="006F0838" w:rsidP="006F0838">
      <w:pPr>
        <w:pStyle w:val="Caption"/>
        <w:rPr>
          <w:b w:val="0"/>
        </w:rPr>
      </w:pPr>
      <w:r w:rsidRPr="00F91BBB">
        <w:rPr>
          <w:b w:val="0"/>
          <w:szCs w:val="24"/>
        </w:rPr>
        <w:fldChar w:fldCharType="begin"/>
      </w:r>
      <w:r w:rsidRPr="00F91BBB">
        <w:rPr>
          <w:b w:val="0"/>
          <w:szCs w:val="24"/>
        </w:rPr>
        <w:instrText xml:space="preserve"> REF _Ref162949244 \h  \* MERGEFORMAT </w:instrText>
      </w:r>
      <w:r w:rsidRPr="00F91BBB">
        <w:rPr>
          <w:b w:val="0"/>
          <w:szCs w:val="24"/>
        </w:rPr>
      </w:r>
      <w:r w:rsidRPr="00F91BBB">
        <w:rPr>
          <w:b w:val="0"/>
          <w:szCs w:val="24"/>
        </w:rPr>
        <w:fldChar w:fldCharType="separate"/>
      </w:r>
      <w:r w:rsidR="001377BE" w:rsidRPr="001377BE">
        <w:rPr>
          <w:b w:val="0"/>
        </w:rPr>
        <w:t>Chart 4.13</w:t>
      </w:r>
      <w:r w:rsidRPr="00F91BBB">
        <w:rPr>
          <w:b w:val="0"/>
          <w:szCs w:val="24"/>
        </w:rPr>
        <w:fldChar w:fldCharType="end"/>
      </w:r>
      <w:r w:rsidRPr="00F91BBB">
        <w:rPr>
          <w:b w:val="0"/>
          <w:szCs w:val="24"/>
        </w:rPr>
        <w:t xml:space="preserve"> shows</w:t>
      </w:r>
      <w:r w:rsidRPr="00606691">
        <w:rPr>
          <w:b w:val="0"/>
          <w:szCs w:val="24"/>
        </w:rPr>
        <w:t xml:space="preserve"> the average debt ratio by provider ownership type for the last 5 years. </w:t>
      </w:r>
      <w:r w:rsidRPr="004F5382">
        <w:rPr>
          <w:b w:val="0"/>
          <w:szCs w:val="24"/>
        </w:rPr>
        <w:t>The average debt ratio across the sector gradually increased over the last 5 years from 0.76 in 201</w:t>
      </w:r>
      <w:r w:rsidR="004F5382" w:rsidRPr="004F5382">
        <w:rPr>
          <w:b w:val="0"/>
          <w:szCs w:val="24"/>
        </w:rPr>
        <w:t>8</w:t>
      </w:r>
      <w:r w:rsidRPr="004F5382">
        <w:rPr>
          <w:b w:val="0"/>
          <w:szCs w:val="24"/>
        </w:rPr>
        <w:t>-1</w:t>
      </w:r>
      <w:r w:rsidR="004F5382" w:rsidRPr="004F5382">
        <w:rPr>
          <w:b w:val="0"/>
          <w:szCs w:val="24"/>
        </w:rPr>
        <w:t>9</w:t>
      </w:r>
      <w:r w:rsidRPr="004F5382">
        <w:rPr>
          <w:b w:val="0"/>
          <w:szCs w:val="24"/>
        </w:rPr>
        <w:t xml:space="preserve"> to 0.</w:t>
      </w:r>
      <w:r w:rsidR="004F5382" w:rsidRPr="004F5382">
        <w:rPr>
          <w:b w:val="0"/>
          <w:szCs w:val="24"/>
        </w:rPr>
        <w:t>90</w:t>
      </w:r>
      <w:r w:rsidRPr="004F5382">
        <w:rPr>
          <w:b w:val="0"/>
          <w:szCs w:val="24"/>
        </w:rPr>
        <w:t xml:space="preserve"> in 20</w:t>
      </w:r>
      <w:r w:rsidR="004F5382" w:rsidRPr="004F5382">
        <w:rPr>
          <w:b w:val="0"/>
          <w:szCs w:val="24"/>
        </w:rPr>
        <w:t>22-23</w:t>
      </w:r>
      <w:r w:rsidRPr="004F5382">
        <w:rPr>
          <w:b w:val="0"/>
          <w:szCs w:val="24"/>
        </w:rPr>
        <w:t>.</w:t>
      </w:r>
    </w:p>
    <w:p w14:paraId="244E346C" w14:textId="08D4A7DA" w:rsidR="006F0838" w:rsidRPr="004F5382" w:rsidRDefault="006F0838" w:rsidP="006F0838">
      <w:r w:rsidRPr="004F5382">
        <w:t xml:space="preserve">In </w:t>
      </w:r>
      <w:r w:rsidR="004F5382" w:rsidRPr="004F5382">
        <w:t>2022-23</w:t>
      </w:r>
      <w:r w:rsidRPr="004F5382">
        <w:t>, for-profit providers reported an increase from 0.9</w:t>
      </w:r>
      <w:r w:rsidR="004F5382" w:rsidRPr="004F5382">
        <w:t>8</w:t>
      </w:r>
      <w:r w:rsidRPr="004F5382">
        <w:t xml:space="preserve"> the previous year to </w:t>
      </w:r>
      <w:r w:rsidR="004F5382" w:rsidRPr="004F5382">
        <w:t>1.01</w:t>
      </w:r>
      <w:r w:rsidRPr="004F5382">
        <w:t xml:space="preserve"> and not-for-profit providers reported an increase from 0.7</w:t>
      </w:r>
      <w:r w:rsidR="004F5382" w:rsidRPr="004F5382">
        <w:t>8</w:t>
      </w:r>
      <w:r w:rsidRPr="004F5382">
        <w:t xml:space="preserve"> the previous year to 0.</w:t>
      </w:r>
      <w:r w:rsidR="004F5382" w:rsidRPr="004F5382">
        <w:t>84</w:t>
      </w:r>
      <w:r w:rsidR="007F49DD">
        <w:t>.</w:t>
      </w:r>
    </w:p>
    <w:p w14:paraId="0AF9EE58" w14:textId="487F7744" w:rsidR="00A43A7A" w:rsidRDefault="006F0838" w:rsidP="00A43A7A">
      <w:r w:rsidRPr="004F5382">
        <w:t>The average debt ratio shows the proportion of organisational assets that were financed through debt. A ratio of more than 1.0 indicates that an organisation has a higher debt level than the value of its assets.</w:t>
      </w:r>
      <w:bookmarkStart w:id="191" w:name="_Ref162949244"/>
    </w:p>
    <w:p w14:paraId="24B295EA" w14:textId="42D44F28" w:rsidR="00531292" w:rsidRDefault="004F791E" w:rsidP="00F91BBB">
      <w:pPr>
        <w:pStyle w:val="Caption"/>
      </w:pPr>
      <w:bookmarkStart w:id="192" w:name="_Toc173428945"/>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13</w:t>
      </w:r>
      <w:r w:rsidR="00AE19AA">
        <w:rPr>
          <w:noProof/>
        </w:rPr>
        <w:fldChar w:fldCharType="end"/>
      </w:r>
      <w:bookmarkEnd w:id="191"/>
      <w:r>
        <w:t xml:space="preserve">: </w:t>
      </w:r>
      <w:r w:rsidRPr="004A1E18">
        <w:t xml:space="preserve">Average debt ratio, by ownership type, </w:t>
      </w:r>
      <w:r w:rsidR="002212EC" w:rsidRPr="004A1E18">
        <w:t>201</w:t>
      </w:r>
      <w:r w:rsidR="002212EC">
        <w:t>8</w:t>
      </w:r>
      <w:r w:rsidRPr="004A1E18">
        <w:t>-</w:t>
      </w:r>
      <w:r w:rsidR="002212EC" w:rsidRPr="004A1E18">
        <w:t>1</w:t>
      </w:r>
      <w:r w:rsidR="002212EC">
        <w:t>9</w:t>
      </w:r>
      <w:r w:rsidR="002212EC" w:rsidRPr="004A1E18">
        <w:t xml:space="preserve"> </w:t>
      </w:r>
      <w:r w:rsidRPr="004A1E18">
        <w:t xml:space="preserve">to </w:t>
      </w:r>
      <w:r w:rsidR="002212EC" w:rsidRPr="004A1E18">
        <w:t>202</w:t>
      </w:r>
      <w:r w:rsidR="002212EC">
        <w:t>2</w:t>
      </w:r>
      <w:r w:rsidRPr="004A1E18">
        <w:t>-</w:t>
      </w:r>
      <w:r w:rsidR="002212EC" w:rsidRPr="004A1E18">
        <w:t>2</w:t>
      </w:r>
      <w:r w:rsidR="002212EC">
        <w:t>3</w:t>
      </w:r>
      <w:bookmarkEnd w:id="192"/>
    </w:p>
    <w:p w14:paraId="615BD5B2" w14:textId="78EC84E1" w:rsidR="00A43A7A" w:rsidRDefault="00606691" w:rsidP="00F91BBB">
      <w:pPr>
        <w:pStyle w:val="Caption"/>
      </w:pPr>
      <w:r>
        <w:rPr>
          <w:noProof/>
        </w:rPr>
        <w:drawing>
          <wp:inline distT="0" distB="0" distL="0" distR="0" wp14:anchorId="5B2532D1" wp14:editId="5C9A1B42">
            <wp:extent cx="5886040" cy="3672000"/>
            <wp:effectExtent l="0" t="0" r="635" b="5080"/>
            <wp:docPr id="1271021933" name="Picture 1271021933" descr="Chart 4.13 is a line chart titled Average debt ratio, by ownership type, 2018-19 to 2022-23. The average debt ratio across the sector has been increasing gradually over the last five years from 0.76 in 2017-18 to 0.90 in 2022-23. In 2022-23, for-profits reported an increase from 0.98 the previous year to 1.01 and not-for-profits reported an increase from 0.78 the previous year to 0.84 in 2022-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3" name="Picture 1271021933" descr="Chart 4.13 is a line chart titled Average debt ratio, by ownership type, 2018-19 to 2022-23. The average debt ratio across the sector has been increasing gradually over the last five years from 0.76 in 2017-18 to 0.90 in 2022-23. In 2022-23, for-profits reported an increase from 0.98 the previous year to 1.01 and not-for-profits reported an increase from 0.78 the previous year to 0.84 in 2022-23.&#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93605" cy="3676720"/>
                    </a:xfrm>
                    <a:prstGeom prst="rect">
                      <a:avLst/>
                    </a:prstGeom>
                    <a:noFill/>
                  </pic:spPr>
                </pic:pic>
              </a:graphicData>
            </a:graphic>
          </wp:inline>
        </w:drawing>
      </w:r>
    </w:p>
    <w:p w14:paraId="595C65F7" w14:textId="77777777" w:rsidR="006F4F12" w:rsidRDefault="006F4F12" w:rsidP="006F4F12">
      <w:pPr>
        <w:spacing w:before="0" w:after="0" w:line="240" w:lineRule="auto"/>
      </w:pPr>
      <w:r>
        <w:br w:type="page"/>
      </w:r>
    </w:p>
    <w:p w14:paraId="621C25FA" w14:textId="385ED6AD" w:rsidR="00D647C4" w:rsidRPr="00D647C4" w:rsidRDefault="00D647C4" w:rsidP="00D647C4">
      <w:pPr>
        <w:rPr>
          <w:highlight w:val="yellow"/>
        </w:rPr>
      </w:pPr>
      <w:r>
        <w:fldChar w:fldCharType="begin"/>
      </w:r>
      <w:r>
        <w:instrText xml:space="preserve"> REF _Ref162949270 \h </w:instrText>
      </w:r>
      <w:r>
        <w:fldChar w:fldCharType="separate"/>
      </w:r>
      <w:r w:rsidR="001377BE">
        <w:t xml:space="preserve">Chart </w:t>
      </w:r>
      <w:r w:rsidR="001377BE">
        <w:rPr>
          <w:noProof/>
        </w:rPr>
        <w:t>4</w:t>
      </w:r>
      <w:r w:rsidR="001377BE">
        <w:t>.</w:t>
      </w:r>
      <w:r w:rsidR="001377BE">
        <w:rPr>
          <w:noProof/>
        </w:rPr>
        <w:t>14</w:t>
      </w:r>
      <w:r>
        <w:fldChar w:fldCharType="end"/>
      </w:r>
      <w:r>
        <w:t xml:space="preserve"> </w:t>
      </w:r>
      <w:r w:rsidRPr="00BD4458">
        <w:t xml:space="preserve">shows net assets by provider ownership type for the last 5 years. </w:t>
      </w:r>
    </w:p>
    <w:p w14:paraId="39A5B3EE" w14:textId="5152E55A" w:rsidR="00481886" w:rsidRDefault="00D647C4" w:rsidP="00D647C4">
      <w:r w:rsidRPr="004B3593">
        <w:t>Net assets continued to decline to $</w:t>
      </w:r>
      <w:r w:rsidR="004B3593" w:rsidRPr="004B3593">
        <w:t>5.87</w:t>
      </w:r>
      <w:r w:rsidRPr="004B3593">
        <w:t xml:space="preserve"> billion in 202</w:t>
      </w:r>
      <w:r w:rsidR="004B3593" w:rsidRPr="004B3593">
        <w:t>2</w:t>
      </w:r>
      <w:r w:rsidRPr="004B3593">
        <w:t>-2</w:t>
      </w:r>
      <w:r w:rsidR="004B3593" w:rsidRPr="004B3593">
        <w:t>3</w:t>
      </w:r>
      <w:r w:rsidRPr="004B3593">
        <w:t>, down from $8.</w:t>
      </w:r>
      <w:r w:rsidR="004B3593" w:rsidRPr="004B3593">
        <w:t>92</w:t>
      </w:r>
      <w:r w:rsidRPr="004B3593">
        <w:t xml:space="preserve"> billion in 2021-22 and a peak of $12.68 billion in 2018–19</w:t>
      </w:r>
      <w:r w:rsidRPr="002212EC">
        <w:t>. In 202</w:t>
      </w:r>
      <w:r w:rsidR="004B3593" w:rsidRPr="002212EC">
        <w:t>2</w:t>
      </w:r>
      <w:r w:rsidRPr="002212EC">
        <w:t>-2</w:t>
      </w:r>
      <w:r w:rsidR="004B3593" w:rsidRPr="002212EC">
        <w:t>3</w:t>
      </w:r>
      <w:r w:rsidRPr="002212EC">
        <w:t xml:space="preserve">, for-profit providers reported a decrease to </w:t>
      </w:r>
      <w:r w:rsidR="004B3593" w:rsidRPr="002212EC">
        <w:t>negative $377</w:t>
      </w:r>
      <w:r w:rsidRPr="002212EC">
        <w:t xml:space="preserve"> million, down from $</w:t>
      </w:r>
      <w:r w:rsidR="00A70E4E" w:rsidRPr="002212EC">
        <w:t>567 m</w:t>
      </w:r>
      <w:r w:rsidRPr="002212EC">
        <w:t>illion</w:t>
      </w:r>
      <w:r>
        <w:t xml:space="preserve"> </w:t>
      </w:r>
      <w:r w:rsidR="002212EC">
        <w:t>in 2021-22</w:t>
      </w:r>
      <w:r w:rsidRPr="002212EC">
        <w:t xml:space="preserve"> (representing a </w:t>
      </w:r>
      <w:r w:rsidR="00A70E4E" w:rsidRPr="002212EC">
        <w:t>1</w:t>
      </w:r>
      <w:r w:rsidRPr="002212EC">
        <w:t>6</w:t>
      </w:r>
      <w:r w:rsidR="00A70E4E" w:rsidRPr="002212EC">
        <w:t>6</w:t>
      </w:r>
      <w:r w:rsidR="002876FF" w:rsidRPr="002212EC">
        <w:t>%</w:t>
      </w:r>
      <w:r w:rsidRPr="002212EC">
        <w:t xml:space="preserve"> decline). Not-for-profit providers decreased to $</w:t>
      </w:r>
      <w:r w:rsidR="002876FF" w:rsidRPr="002212EC">
        <w:t>4.70</w:t>
      </w:r>
      <w:r w:rsidRPr="002212EC">
        <w:t xml:space="preserve"> billion in </w:t>
      </w:r>
      <w:r w:rsidR="002876FF" w:rsidRPr="002212EC">
        <w:t>2022</w:t>
      </w:r>
      <w:r w:rsidRPr="002212EC">
        <w:t>-2</w:t>
      </w:r>
      <w:r w:rsidR="002876FF" w:rsidRPr="002212EC">
        <w:t>3</w:t>
      </w:r>
      <w:r w:rsidRPr="002212EC">
        <w:t>, down from $</w:t>
      </w:r>
      <w:r w:rsidR="002876FF" w:rsidRPr="002212EC">
        <w:t>6.16</w:t>
      </w:r>
      <w:r w:rsidRPr="002212EC">
        <w:t xml:space="preserve"> billion</w:t>
      </w:r>
      <w:r>
        <w:t xml:space="preserve"> </w:t>
      </w:r>
      <w:r w:rsidR="002212EC">
        <w:t>in 2021-22</w:t>
      </w:r>
      <w:r w:rsidRPr="002212EC">
        <w:t xml:space="preserve"> (representing a </w:t>
      </w:r>
      <w:r w:rsidR="002212EC" w:rsidRPr="002212EC">
        <w:t>24%</w:t>
      </w:r>
      <w:r>
        <w:t xml:space="preserve"> </w:t>
      </w:r>
      <w:r w:rsidRPr="002212EC">
        <w:t>decline).</w:t>
      </w:r>
    </w:p>
    <w:p w14:paraId="6487066E" w14:textId="73200987" w:rsidR="00531292" w:rsidRDefault="00E16E93" w:rsidP="00706D0A">
      <w:pPr>
        <w:pStyle w:val="Caption"/>
      </w:pPr>
      <w:bookmarkStart w:id="193" w:name="_Ref162949270"/>
      <w:bookmarkStart w:id="194" w:name="_Toc173428946"/>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14</w:t>
      </w:r>
      <w:r w:rsidR="00AE19AA">
        <w:rPr>
          <w:noProof/>
        </w:rPr>
        <w:fldChar w:fldCharType="end"/>
      </w:r>
      <w:bookmarkEnd w:id="193"/>
      <w:r>
        <w:t xml:space="preserve">: </w:t>
      </w:r>
      <w:r w:rsidRPr="00AA03D7">
        <w:t xml:space="preserve">Net assets, by ownership type, </w:t>
      </w:r>
      <w:r w:rsidR="00D23242" w:rsidRPr="00AA03D7">
        <w:t>201</w:t>
      </w:r>
      <w:r w:rsidR="00D23242">
        <w:t>8</w:t>
      </w:r>
      <w:r w:rsidRPr="00AA03D7">
        <w:t>-</w:t>
      </w:r>
      <w:r w:rsidR="00D23242" w:rsidRPr="00AA03D7">
        <w:t>1</w:t>
      </w:r>
      <w:r w:rsidR="00D23242">
        <w:t>9</w:t>
      </w:r>
      <w:r w:rsidR="00D23242" w:rsidRPr="00AA03D7">
        <w:t xml:space="preserve"> </w:t>
      </w:r>
      <w:r w:rsidRPr="00AA03D7">
        <w:t xml:space="preserve">to </w:t>
      </w:r>
      <w:r w:rsidR="00D23242" w:rsidRPr="00AA03D7">
        <w:t>202</w:t>
      </w:r>
      <w:r w:rsidR="00D23242">
        <w:t>2</w:t>
      </w:r>
      <w:r w:rsidRPr="00AA03D7">
        <w:t>-</w:t>
      </w:r>
      <w:r w:rsidR="00D23242" w:rsidRPr="00AA03D7">
        <w:t>2</w:t>
      </w:r>
      <w:r w:rsidR="00D23242">
        <w:t>3</w:t>
      </w:r>
      <w:bookmarkEnd w:id="194"/>
    </w:p>
    <w:p w14:paraId="6A559970" w14:textId="77777777" w:rsidR="00531292" w:rsidRDefault="00BD4458" w:rsidP="00706D0A">
      <w:pPr>
        <w:pStyle w:val="Caption"/>
      </w:pPr>
      <w:r>
        <w:rPr>
          <w:noProof/>
        </w:rPr>
        <w:drawing>
          <wp:inline distT="0" distB="0" distL="0" distR="0" wp14:anchorId="5B04F85D" wp14:editId="3E7A33AE">
            <wp:extent cx="5880857" cy="3693600"/>
            <wp:effectExtent l="0" t="0" r="5715" b="2540"/>
            <wp:docPr id="1271021934" name="Picture 1271021934" descr="Chart 4.14 is a line chart titled Net assets, by ownership type, 2018-19 to 2022-23. Net assets continued to decline to $5.87 billion, down from $8.29 billion in 2021-22 and a peak of $12.68 billion in 2018-19. For-profit providers reported a decrease to negative $377 million, down from $567 million (166% decline). Not-for-profit providers decreased to $4.70 billion in 2022-23, down from $6.16 billion (24% dec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4" name="Picture 1271021934" descr="Chart 4.14 is a line chart titled Net assets, by ownership type, 2018-19 to 2022-23. Net assets continued to decline to $5.87 billion, down from $8.29 billion in 2021-22 and a peak of $12.68 billion in 2018-19. For-profit providers reported a decrease to negative $377 million, down from $567 million (166% decline). Not-for-profit providers decreased to $4.70 billion in 2022-23, down from $6.16 billion (24% decline).&#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86387" cy="3697073"/>
                    </a:xfrm>
                    <a:prstGeom prst="rect">
                      <a:avLst/>
                    </a:prstGeom>
                    <a:noFill/>
                  </pic:spPr>
                </pic:pic>
              </a:graphicData>
            </a:graphic>
          </wp:inline>
        </w:drawing>
      </w:r>
    </w:p>
    <w:p w14:paraId="237B79D5" w14:textId="77777777" w:rsidR="006F4F12" w:rsidRDefault="006F4F12" w:rsidP="006F4F12">
      <w:pPr>
        <w:spacing w:before="0" w:after="0" w:line="240" w:lineRule="auto"/>
      </w:pPr>
      <w:r>
        <w:br w:type="page"/>
      </w:r>
    </w:p>
    <w:p w14:paraId="430098D7" w14:textId="3E32AB94" w:rsidR="00D13998" w:rsidRPr="006F4F12" w:rsidRDefault="00506259" w:rsidP="00D13998">
      <w:r>
        <w:fldChar w:fldCharType="begin"/>
      </w:r>
      <w:r>
        <w:instrText xml:space="preserve"> REF _Ref162949301 \h </w:instrText>
      </w:r>
      <w:r>
        <w:fldChar w:fldCharType="separate"/>
      </w:r>
      <w:r w:rsidR="001377BE">
        <w:t xml:space="preserve">Chart </w:t>
      </w:r>
      <w:r w:rsidR="001377BE">
        <w:rPr>
          <w:noProof/>
        </w:rPr>
        <w:t>4</w:t>
      </w:r>
      <w:r w:rsidR="001377BE">
        <w:t>.</w:t>
      </w:r>
      <w:r w:rsidR="001377BE">
        <w:rPr>
          <w:noProof/>
        </w:rPr>
        <w:t>15</w:t>
      </w:r>
      <w:r>
        <w:fldChar w:fldCharType="end"/>
      </w:r>
      <w:r>
        <w:t xml:space="preserve"> </w:t>
      </w:r>
      <w:r w:rsidR="00D13998" w:rsidRPr="002A3C7D">
        <w:t>cash held as a percentage of accommodation deposit balances by provider ownership type for the last 3 years.</w:t>
      </w:r>
    </w:p>
    <w:p w14:paraId="07A42AD1" w14:textId="1190A875" w:rsidR="007F7CCB" w:rsidRDefault="00D13998" w:rsidP="00F91BBB">
      <w:r w:rsidRPr="00FD1CA7">
        <w:t>Cash held as a percentage of accommodation deposit balances provides an indication of an organisation’s capacity to repay the accommodation deposit balances from liquid resources</w:t>
      </w:r>
      <w:r w:rsidRPr="001E44BC">
        <w:t xml:space="preserve">. </w:t>
      </w:r>
      <w:r w:rsidRPr="00E71EAC">
        <w:t>Not-for-profit providers decreased to 10</w:t>
      </w:r>
      <w:r w:rsidR="00405A59" w:rsidRPr="00E71EAC">
        <w:t>.76%</w:t>
      </w:r>
      <w:r>
        <w:t xml:space="preserve"> </w:t>
      </w:r>
      <w:r w:rsidRPr="00E71EAC">
        <w:t xml:space="preserve">in </w:t>
      </w:r>
      <w:r w:rsidR="00405A59" w:rsidRPr="00E71EAC">
        <w:t>2022</w:t>
      </w:r>
      <w:r w:rsidRPr="00E71EAC">
        <w:t>-</w:t>
      </w:r>
      <w:r w:rsidR="00405A59" w:rsidRPr="00E71EAC">
        <w:t>23</w:t>
      </w:r>
      <w:r w:rsidRPr="00E71EAC">
        <w:t xml:space="preserve">, down from </w:t>
      </w:r>
      <w:r w:rsidR="00405A59" w:rsidRPr="00E71EAC">
        <w:t>14.10%</w:t>
      </w:r>
      <w:r w:rsidR="00E71EAC">
        <w:t xml:space="preserve"> </w:t>
      </w:r>
      <w:r w:rsidRPr="00E71EAC">
        <w:t xml:space="preserve">in </w:t>
      </w:r>
      <w:r w:rsidR="00405A59" w:rsidRPr="00E71EAC">
        <w:t>2021</w:t>
      </w:r>
      <w:r w:rsidRPr="00E71EAC">
        <w:t>-2</w:t>
      </w:r>
      <w:r w:rsidR="00405A59" w:rsidRPr="00E71EAC">
        <w:t>2</w:t>
      </w:r>
      <w:r w:rsidRPr="00E71EAC">
        <w:t xml:space="preserve">, while for-profit providers </w:t>
      </w:r>
      <w:r w:rsidR="001A5817" w:rsidRPr="00E71EAC">
        <w:t xml:space="preserve">slightly </w:t>
      </w:r>
      <w:r w:rsidR="003B7725" w:rsidRPr="00E71EAC">
        <w:t xml:space="preserve">increased </w:t>
      </w:r>
      <w:r w:rsidRPr="00E71EAC">
        <w:t>to 7.</w:t>
      </w:r>
      <w:r w:rsidR="003B7725" w:rsidRPr="00E71EAC">
        <w:t>86</w:t>
      </w:r>
      <w:r w:rsidR="0053466C" w:rsidRPr="00E71EAC">
        <w:t>%</w:t>
      </w:r>
      <w:r w:rsidRPr="00E71EAC">
        <w:t xml:space="preserve"> from </w:t>
      </w:r>
      <w:r w:rsidR="0053466C" w:rsidRPr="00E71EAC">
        <w:t>7.12%</w:t>
      </w:r>
      <w:r w:rsidRPr="00E71EAC">
        <w:t xml:space="preserve"> the previous year.</w:t>
      </w:r>
      <w:bookmarkStart w:id="195" w:name="_Ref162949301"/>
    </w:p>
    <w:p w14:paraId="77C853FD" w14:textId="78A44CAF" w:rsidR="00531292" w:rsidRDefault="00046825" w:rsidP="00F91BBB">
      <w:pPr>
        <w:pStyle w:val="Caption"/>
      </w:pPr>
      <w:bookmarkStart w:id="196" w:name="_Toc173428947"/>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15</w:t>
      </w:r>
      <w:r w:rsidR="00AE19AA">
        <w:rPr>
          <w:noProof/>
        </w:rPr>
        <w:fldChar w:fldCharType="end"/>
      </w:r>
      <w:bookmarkEnd w:id="195"/>
      <w:r>
        <w:t xml:space="preserve">: </w:t>
      </w:r>
      <w:r w:rsidRPr="006F195F">
        <w:t xml:space="preserve">Cash held as percentage of accommodation deposit balances, by ownership type, </w:t>
      </w:r>
      <w:r w:rsidR="0045636E" w:rsidRPr="006F195F">
        <w:t>20</w:t>
      </w:r>
      <w:r w:rsidR="0045636E">
        <w:t>20</w:t>
      </w:r>
      <w:r w:rsidRPr="006F195F">
        <w:t>-2</w:t>
      </w:r>
      <w:r w:rsidR="0045636E">
        <w:t>1</w:t>
      </w:r>
      <w:r w:rsidRPr="006F195F">
        <w:t xml:space="preserve"> to </w:t>
      </w:r>
      <w:r w:rsidR="0045636E" w:rsidRPr="006F195F">
        <w:t>202</w:t>
      </w:r>
      <w:r w:rsidR="0045636E">
        <w:t>2</w:t>
      </w:r>
      <w:r w:rsidRPr="006F195F">
        <w:t>-2</w:t>
      </w:r>
      <w:r w:rsidR="0045636E">
        <w:t>3</w:t>
      </w:r>
      <w:bookmarkEnd w:id="196"/>
    </w:p>
    <w:p w14:paraId="169649C0" w14:textId="47B4A26F" w:rsidR="003F26F6" w:rsidRDefault="00FD1CA7" w:rsidP="00F91BBB">
      <w:pPr>
        <w:pStyle w:val="Caption"/>
      </w:pPr>
      <w:r>
        <w:rPr>
          <w:noProof/>
        </w:rPr>
        <w:drawing>
          <wp:inline distT="0" distB="0" distL="0" distR="0" wp14:anchorId="7908C870" wp14:editId="50E8E284">
            <wp:extent cx="5817736" cy="3657600"/>
            <wp:effectExtent l="0" t="0" r="0" b="0"/>
            <wp:docPr id="1271021935" name="Picture 1271021935" descr="Chart 4.15 is a column chart titled Cash held as percentage of accommodation deposit balances, by ownership type, 2020-21 to 2022-23. Not-for-profit providers decreased to 10.76% in 2022-23, down from 14.10% in 2021-22, while for-profit providers slightly increased to 7.86% from 7.12% the previous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5" name="Picture 1271021935" descr="Chart 4.15 is a column chart titled Cash held as percentage of accommodation deposit balances, by ownership type, 2020-21 to 2022-23. Not-for-profit providers decreased to 10.76% in 2022-23, down from 14.10% in 2021-22, while for-profit providers slightly increased to 7.86% from 7.12% the previous year.&#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27128" cy="3663505"/>
                    </a:xfrm>
                    <a:prstGeom prst="rect">
                      <a:avLst/>
                    </a:prstGeom>
                    <a:noFill/>
                  </pic:spPr>
                </pic:pic>
              </a:graphicData>
            </a:graphic>
          </wp:inline>
        </w:drawing>
      </w:r>
    </w:p>
    <w:p w14:paraId="3AA16D61" w14:textId="77777777" w:rsidR="006F4F12" w:rsidRDefault="006F4F12" w:rsidP="006F4F12">
      <w:pPr>
        <w:spacing w:before="0" w:after="0" w:line="240" w:lineRule="auto"/>
      </w:pPr>
      <w:r>
        <w:br w:type="page"/>
      </w:r>
    </w:p>
    <w:p w14:paraId="30E72FB2" w14:textId="20CAF2BE" w:rsidR="009E7F2D" w:rsidRPr="00F87C65" w:rsidRDefault="009E7F2D" w:rsidP="009E7F2D">
      <w:r>
        <w:fldChar w:fldCharType="begin"/>
      </w:r>
      <w:r>
        <w:instrText xml:space="preserve"> REF _Ref162949329 \h </w:instrText>
      </w:r>
      <w:r>
        <w:fldChar w:fldCharType="separate"/>
      </w:r>
      <w:r w:rsidR="001377BE">
        <w:t xml:space="preserve">Chart </w:t>
      </w:r>
      <w:r w:rsidR="001377BE">
        <w:rPr>
          <w:noProof/>
        </w:rPr>
        <w:t>4</w:t>
      </w:r>
      <w:r w:rsidR="001377BE">
        <w:t>.</w:t>
      </w:r>
      <w:r w:rsidR="001377BE">
        <w:rPr>
          <w:noProof/>
        </w:rPr>
        <w:t>16</w:t>
      </w:r>
      <w:r>
        <w:fldChar w:fldCharType="end"/>
      </w:r>
      <w:r>
        <w:t xml:space="preserve"> </w:t>
      </w:r>
      <w:r w:rsidRPr="00F87C65">
        <w:t xml:space="preserve">shows total assets, net worth/equity and average accommodation deposit value per resident, by ownership type in </w:t>
      </w:r>
      <w:r w:rsidR="0045636E" w:rsidRPr="00F87C65">
        <w:t>2022</w:t>
      </w:r>
      <w:r w:rsidRPr="00F87C65">
        <w:t>-2</w:t>
      </w:r>
      <w:r w:rsidR="0045636E" w:rsidRPr="00F87C65">
        <w:t>3</w:t>
      </w:r>
      <w:r w:rsidRPr="00F87C65">
        <w:t xml:space="preserve">, compared with </w:t>
      </w:r>
      <w:r w:rsidR="0045636E" w:rsidRPr="00F87C65">
        <w:t>2021</w:t>
      </w:r>
      <w:r w:rsidRPr="00F87C65">
        <w:t>-2</w:t>
      </w:r>
      <w:r w:rsidR="00233C4A" w:rsidRPr="00F87C65">
        <w:t>2</w:t>
      </w:r>
      <w:r w:rsidRPr="00F87C65">
        <w:t>. For the whole sector, the average amount of accommodation deposits held increased to $</w:t>
      </w:r>
      <w:r w:rsidR="00CB4402" w:rsidRPr="00F87C65">
        <w:t>366,</w:t>
      </w:r>
      <w:r w:rsidR="001B2EC7" w:rsidRPr="00F87C65">
        <w:t>362</w:t>
      </w:r>
      <w:r w:rsidRPr="00F87C65">
        <w:t xml:space="preserve"> per resident, up from $</w:t>
      </w:r>
      <w:r w:rsidR="00B46153" w:rsidRPr="00F87C65">
        <w:t>35</w:t>
      </w:r>
      <w:r w:rsidR="005D1DD1" w:rsidRPr="00F87C65">
        <w:t>0,258</w:t>
      </w:r>
      <w:r w:rsidRPr="00F87C65">
        <w:t xml:space="preserve"> in </w:t>
      </w:r>
      <w:r w:rsidR="005D1DD1" w:rsidRPr="00F87C65">
        <w:t>2021</w:t>
      </w:r>
      <w:r w:rsidRPr="00F87C65">
        <w:t>-</w:t>
      </w:r>
      <w:r w:rsidR="009267E9" w:rsidRPr="00F87C65">
        <w:t>22</w:t>
      </w:r>
      <w:r w:rsidRPr="00F87C65">
        <w:t xml:space="preserve">, an increase of </w:t>
      </w:r>
      <w:r w:rsidR="00792177" w:rsidRPr="00F87C65">
        <w:t>4.6%</w:t>
      </w:r>
      <w:r w:rsidRPr="00F87C65">
        <w:t xml:space="preserve">. This metric measures the average value of all bonds (pre 1 July 2014) and accommodation deposits (post 1 July 2014) that providers hold. </w:t>
      </w:r>
    </w:p>
    <w:p w14:paraId="4BBD1BFA" w14:textId="34C513DE" w:rsidR="009E7F2D" w:rsidRDefault="009E7F2D" w:rsidP="00706D0A">
      <w:r w:rsidRPr="00A64A50">
        <w:t>In terms of net worth/equity, all providers recorded a decrease, down to $</w:t>
      </w:r>
      <w:r w:rsidR="0082073E" w:rsidRPr="00A64A50">
        <w:t>30,636</w:t>
      </w:r>
      <w:r w:rsidRPr="00A64A50">
        <w:t xml:space="preserve"> per resident in 202</w:t>
      </w:r>
      <w:r w:rsidR="00033A21">
        <w:t>2</w:t>
      </w:r>
      <w:r w:rsidRPr="00A64A50">
        <w:t>-2</w:t>
      </w:r>
      <w:r w:rsidR="00033A21">
        <w:t>3</w:t>
      </w:r>
      <w:r w:rsidRPr="00A64A50">
        <w:t xml:space="preserve"> from $</w:t>
      </w:r>
      <w:r w:rsidR="0082073E" w:rsidRPr="00A64A50">
        <w:t>45,852</w:t>
      </w:r>
      <w:r w:rsidRPr="00A64A50">
        <w:t xml:space="preserve"> in </w:t>
      </w:r>
      <w:r w:rsidR="0082073E" w:rsidRPr="00A64A50">
        <w:t>2021</w:t>
      </w:r>
      <w:r w:rsidRPr="00A64A50">
        <w:t>-</w:t>
      </w:r>
      <w:r w:rsidR="0082073E" w:rsidRPr="00A64A50">
        <w:t>22</w:t>
      </w:r>
      <w:r w:rsidRPr="00A64A50">
        <w:t xml:space="preserve">. </w:t>
      </w:r>
      <w:r w:rsidR="00E06D71">
        <w:t xml:space="preserve">For-profit providers </w:t>
      </w:r>
      <w:r w:rsidR="002A09C2">
        <w:t xml:space="preserve">reported </w:t>
      </w:r>
      <w:r w:rsidR="00A242F4">
        <w:t>the lowest</w:t>
      </w:r>
      <w:r w:rsidR="002A09C2">
        <w:t xml:space="preserve"> net worth/equity of negative </w:t>
      </w:r>
      <w:r w:rsidR="00F84A0F">
        <w:t>$4</w:t>
      </w:r>
      <w:r w:rsidR="002B33C7">
        <w:t>,942</w:t>
      </w:r>
      <w:r w:rsidR="00017E3A">
        <w:t xml:space="preserve"> per resident.</w:t>
      </w:r>
      <w:r w:rsidR="002B33C7">
        <w:t xml:space="preserve"> </w:t>
      </w:r>
      <w:r w:rsidRPr="00A64A50">
        <w:t xml:space="preserve">The value of total assets per resident for both for-profit and not-for-profit providers also decreased in </w:t>
      </w:r>
      <w:r w:rsidR="00D37A30" w:rsidRPr="00A64A50">
        <w:t>2022</w:t>
      </w:r>
      <w:r w:rsidRPr="00A64A50">
        <w:t>-</w:t>
      </w:r>
      <w:r w:rsidR="00D37A30" w:rsidRPr="00A64A50">
        <w:t xml:space="preserve">23 </w:t>
      </w:r>
      <w:r w:rsidRPr="00A64A50">
        <w:t xml:space="preserve">compared with </w:t>
      </w:r>
      <w:r w:rsidR="00D37A30" w:rsidRPr="00A64A50">
        <w:t>2021</w:t>
      </w:r>
      <w:r w:rsidRPr="00A64A50">
        <w:t>-</w:t>
      </w:r>
      <w:r w:rsidR="00D37A30" w:rsidRPr="00A64A50">
        <w:t>22</w:t>
      </w:r>
      <w:r w:rsidRPr="00A64A50">
        <w:t>.</w:t>
      </w:r>
      <w:r w:rsidRPr="00F674D9">
        <w:t xml:space="preserve"> </w:t>
      </w:r>
    </w:p>
    <w:p w14:paraId="18290CCE" w14:textId="0CA94942" w:rsidR="00531292" w:rsidRDefault="00B875ED" w:rsidP="00C7282B">
      <w:pPr>
        <w:pStyle w:val="Caption"/>
      </w:pPr>
      <w:bookmarkStart w:id="197" w:name="_Ref162949329"/>
      <w:bookmarkStart w:id="198" w:name="_Toc173428948"/>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16</w:t>
      </w:r>
      <w:r w:rsidR="00AE19AA">
        <w:rPr>
          <w:noProof/>
        </w:rPr>
        <w:fldChar w:fldCharType="end"/>
      </w:r>
      <w:bookmarkEnd w:id="197"/>
      <w:r>
        <w:t xml:space="preserve">: </w:t>
      </w:r>
      <w:r w:rsidRPr="002711C7">
        <w:t>Total assets, net worth/equity and average accommodation deposit value per resident, by ownership type, 2021-22 and 202</w:t>
      </w:r>
      <w:r w:rsidR="009D72C1">
        <w:t>2</w:t>
      </w:r>
      <w:r w:rsidRPr="002711C7">
        <w:t>-2</w:t>
      </w:r>
      <w:r w:rsidR="009D72C1">
        <w:t>3</w:t>
      </w:r>
      <w:bookmarkEnd w:id="198"/>
    </w:p>
    <w:p w14:paraId="0F9C8385" w14:textId="15E1F2B7" w:rsidR="00B875ED" w:rsidRPr="00B619AD" w:rsidRDefault="008D1FCC" w:rsidP="00C7282B">
      <w:pPr>
        <w:pStyle w:val="Caption"/>
        <w:rPr>
          <w:b w:val="0"/>
          <w:sz w:val="28"/>
          <w:szCs w:val="20"/>
        </w:rPr>
      </w:pPr>
      <w:r>
        <w:rPr>
          <w:b w:val="0"/>
          <w:bCs/>
          <w:noProof/>
          <w:sz w:val="28"/>
          <w:szCs w:val="20"/>
        </w:rPr>
        <w:drawing>
          <wp:inline distT="0" distB="0" distL="0" distR="0" wp14:anchorId="7A2C4C91" wp14:editId="1F517359">
            <wp:extent cx="5803200" cy="2903749"/>
            <wp:effectExtent l="0" t="0" r="7620" b="0"/>
            <wp:docPr id="1271021936" name="Picture 1271021936" descr="Chart 4.16 is a clustered column chart titled Total assets, net worth/equity and average accommodation deposit value per resident, by ownership type, 2021-22 and 2022-23. For the whole sector, average accommodation deposits held increased to $366,362  per resident up from $350,258 in 2021-22. In terms of net worth/equity, all providers recorded a decrease, down to $30,636 per resident in 2022-23 from $45,852 in 2021-22. The value of total assets per resident for both for-profit and not-for-profit providers also decreased in 2022-23 compared with 2021-2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6" name="Picture 1271021936" descr="Chart 4.16 is a clustered column chart titled Total assets, net worth/equity and average accommodation deposit value per resident, by ownership type, 2021-22 and 2022-23. For the whole sector, average accommodation deposits held increased to $366,362  per resident up from $350,258 in 2021-22. In terms of net worth/equity, all providers recorded a decrease, down to $30,636 per resident in 2022-23 from $45,852 in 2021-22. The value of total assets per resident for both for-profit and not-for-profit providers also decreased in 2022-23 compared with 2021-22.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09241" cy="2906772"/>
                    </a:xfrm>
                    <a:prstGeom prst="rect">
                      <a:avLst/>
                    </a:prstGeom>
                    <a:noFill/>
                  </pic:spPr>
                </pic:pic>
              </a:graphicData>
            </a:graphic>
          </wp:inline>
        </w:drawing>
      </w:r>
    </w:p>
    <w:p w14:paraId="4D1A4ABD" w14:textId="77777777" w:rsidR="006F4F12" w:rsidRDefault="006F4F12" w:rsidP="006F4F12">
      <w:pPr>
        <w:spacing w:before="0" w:after="0" w:line="240" w:lineRule="auto"/>
      </w:pPr>
      <w:r>
        <w:br w:type="page"/>
      </w:r>
    </w:p>
    <w:p w14:paraId="577CEA59" w14:textId="330C3247" w:rsidR="00765B83" w:rsidRPr="009F4CA9" w:rsidRDefault="00765B83" w:rsidP="00B619AD">
      <w:pPr>
        <w:rPr>
          <w:bCs w:val="0"/>
          <w:szCs w:val="20"/>
        </w:rPr>
      </w:pPr>
      <w:r w:rsidRPr="00B619AD">
        <w:rPr>
          <w:b/>
          <w:sz w:val="28"/>
          <w:szCs w:val="20"/>
        </w:rPr>
        <w:t>Recent trends in building and investment in residential care</w:t>
      </w:r>
    </w:p>
    <w:p w14:paraId="2F118AB6" w14:textId="14BD7632" w:rsidR="00273B93" w:rsidRPr="00B619AD" w:rsidRDefault="00273B93" w:rsidP="00273B93">
      <w:r>
        <w:fldChar w:fldCharType="begin"/>
      </w:r>
      <w:r>
        <w:instrText xml:space="preserve"> REF _Ref162949357 \h </w:instrText>
      </w:r>
      <w:r>
        <w:fldChar w:fldCharType="separate"/>
      </w:r>
      <w:r w:rsidR="001377BE">
        <w:t xml:space="preserve">Chart </w:t>
      </w:r>
      <w:r w:rsidR="001377BE">
        <w:rPr>
          <w:noProof/>
        </w:rPr>
        <w:t>4</w:t>
      </w:r>
      <w:r w:rsidR="001377BE">
        <w:t>.</w:t>
      </w:r>
      <w:r w:rsidR="001377BE">
        <w:rPr>
          <w:noProof/>
        </w:rPr>
        <w:t>17</w:t>
      </w:r>
      <w:r>
        <w:fldChar w:fldCharType="end"/>
      </w:r>
      <w:r>
        <w:t xml:space="preserve"> </w:t>
      </w:r>
      <w:r w:rsidRPr="00B619AD">
        <w:t xml:space="preserve">shows residential care building activity (completed or in-progress) for the last 5 years. In </w:t>
      </w:r>
      <w:r w:rsidR="00CE5C1F" w:rsidRPr="00B619AD">
        <w:t>2022</w:t>
      </w:r>
      <w:r w:rsidRPr="00B619AD">
        <w:t>-2</w:t>
      </w:r>
      <w:r w:rsidR="00CE5C1F" w:rsidRPr="00B619AD">
        <w:t>3</w:t>
      </w:r>
      <w:r w:rsidRPr="00B619AD">
        <w:t>, the total value of completed, or in-progress work was $3.</w:t>
      </w:r>
      <w:r w:rsidR="00CE5C1F" w:rsidRPr="00B619AD">
        <w:t xml:space="preserve">6 </w:t>
      </w:r>
      <w:r w:rsidRPr="00B619AD">
        <w:t>billion, down from $</w:t>
      </w:r>
      <w:r w:rsidR="00CE5C1F" w:rsidRPr="00B619AD">
        <w:t>3.8</w:t>
      </w:r>
      <w:r w:rsidRPr="00B619AD">
        <w:t xml:space="preserve"> billion in </w:t>
      </w:r>
      <w:r w:rsidR="00CE5C1F" w:rsidRPr="00B619AD">
        <w:t>2021</w:t>
      </w:r>
      <w:r w:rsidRPr="00B619AD">
        <w:t>-2</w:t>
      </w:r>
      <w:r w:rsidR="00CE5C1F" w:rsidRPr="00B619AD">
        <w:t>2</w:t>
      </w:r>
      <w:r w:rsidRPr="00B619AD">
        <w:t xml:space="preserve"> (</w:t>
      </w:r>
      <w:r w:rsidR="003E303C" w:rsidRPr="00B619AD">
        <w:t>5.6%</w:t>
      </w:r>
      <w:r w:rsidRPr="00B619AD">
        <w:t xml:space="preserve"> decrease). </w:t>
      </w:r>
    </w:p>
    <w:p w14:paraId="4F032DE0" w14:textId="5D8498E2" w:rsidR="00273B93" w:rsidRPr="00940C19" w:rsidRDefault="00273B93" w:rsidP="00273B93">
      <w:r w:rsidRPr="00B619AD">
        <w:t xml:space="preserve">Expenditure on new buildings </w:t>
      </w:r>
      <w:r w:rsidR="00EB128C" w:rsidRPr="00B619AD">
        <w:t xml:space="preserve">went up by </w:t>
      </w:r>
      <w:r w:rsidR="003A0847" w:rsidRPr="00B619AD">
        <w:t>7%</w:t>
      </w:r>
      <w:r w:rsidRPr="00B619AD">
        <w:t xml:space="preserve"> in </w:t>
      </w:r>
      <w:r w:rsidR="00FB1835" w:rsidRPr="00B619AD">
        <w:t>2022</w:t>
      </w:r>
      <w:r w:rsidRPr="00B619AD">
        <w:t>-2</w:t>
      </w:r>
      <w:r w:rsidR="00FB1835" w:rsidRPr="00B619AD">
        <w:t>3</w:t>
      </w:r>
      <w:r w:rsidRPr="00B619AD">
        <w:t xml:space="preserve">, while expenditure on </w:t>
      </w:r>
      <w:r w:rsidRPr="00940C19">
        <w:t>rebuilding activity dropped</w:t>
      </w:r>
      <w:r w:rsidR="001E2C99" w:rsidRPr="00940C19">
        <w:t xml:space="preserve"> by</w:t>
      </w:r>
      <w:r w:rsidRPr="00940C19">
        <w:t xml:space="preserve"> </w:t>
      </w:r>
      <w:r w:rsidR="00BC196C" w:rsidRPr="00940C19">
        <w:t>36.6%</w:t>
      </w:r>
      <w:r w:rsidRPr="00940C19">
        <w:t>.</w:t>
      </w:r>
      <w:r w:rsidRPr="00940C19" w:rsidDel="00F53FAB">
        <w:t xml:space="preserve"> </w:t>
      </w:r>
    </w:p>
    <w:p w14:paraId="4803C856" w14:textId="41523B42" w:rsidR="00273B93" w:rsidRDefault="00273B93" w:rsidP="00273B93">
      <w:r w:rsidRPr="00940C19">
        <w:t>The decrease in expenditure is partly attributable to the ongoing fragility and volatility in the broader construction sector which has led to supply chain disruptions, builder shortages and significant cost increases. This has led to lower levels of building activity in the residential aged care sector.</w:t>
      </w:r>
    </w:p>
    <w:p w14:paraId="4E89A6D8" w14:textId="119B4869" w:rsidR="00531292" w:rsidRDefault="003C2E80" w:rsidP="00C7282B">
      <w:pPr>
        <w:pStyle w:val="Caption"/>
      </w:pPr>
      <w:bookmarkStart w:id="199" w:name="_Ref162949357"/>
      <w:bookmarkStart w:id="200" w:name="_Toc173428949"/>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17</w:t>
      </w:r>
      <w:r w:rsidR="00AE19AA">
        <w:rPr>
          <w:noProof/>
        </w:rPr>
        <w:fldChar w:fldCharType="end"/>
      </w:r>
      <w:bookmarkEnd w:id="199"/>
      <w:r>
        <w:t xml:space="preserve">: </w:t>
      </w:r>
      <w:r w:rsidRPr="003E6A04">
        <w:t xml:space="preserve">Residential care building activity (completed or in-progress), </w:t>
      </w:r>
      <w:r w:rsidR="00B619AD" w:rsidRPr="003E6A04">
        <w:t>201</w:t>
      </w:r>
      <w:r w:rsidR="00B619AD">
        <w:t>8</w:t>
      </w:r>
      <w:r w:rsidRPr="003E6A04">
        <w:t>-</w:t>
      </w:r>
      <w:r w:rsidR="00B619AD" w:rsidRPr="003E6A04">
        <w:t>1</w:t>
      </w:r>
      <w:r w:rsidR="00B619AD">
        <w:t>9</w:t>
      </w:r>
      <w:r w:rsidR="00B619AD" w:rsidRPr="003E6A04">
        <w:t xml:space="preserve"> </w:t>
      </w:r>
      <w:r w:rsidRPr="003E6A04">
        <w:t xml:space="preserve">to </w:t>
      </w:r>
      <w:r w:rsidR="00B619AD" w:rsidRPr="003E6A04">
        <w:t>202</w:t>
      </w:r>
      <w:r w:rsidR="00B619AD">
        <w:t>2</w:t>
      </w:r>
      <w:r w:rsidRPr="003E6A04">
        <w:t>-</w:t>
      </w:r>
      <w:r w:rsidR="00B619AD" w:rsidRPr="003E6A04">
        <w:t>2</w:t>
      </w:r>
      <w:r w:rsidR="00B619AD">
        <w:t>3</w:t>
      </w:r>
      <w:bookmarkEnd w:id="200"/>
    </w:p>
    <w:p w14:paraId="71D0D7AE" w14:textId="514E93D1" w:rsidR="003F26F6" w:rsidRDefault="00CE5C1F" w:rsidP="00C7282B">
      <w:pPr>
        <w:pStyle w:val="Caption"/>
        <w:rPr>
          <w:bCs/>
          <w:szCs w:val="24"/>
        </w:rPr>
      </w:pPr>
      <w:r>
        <w:rPr>
          <w:noProof/>
        </w:rPr>
        <w:drawing>
          <wp:inline distT="0" distB="0" distL="0" distR="0" wp14:anchorId="17CAC940" wp14:editId="0C593DA9">
            <wp:extent cx="5810853" cy="3643200"/>
            <wp:effectExtent l="0" t="0" r="0" b="0"/>
            <wp:docPr id="1271021937" name="Picture 1271021937" descr="Chart 4.17 is a stacked column chart titled Residential care building activity (completed or in-progress), 2018-19 to 2022-23. In 2022-23, the total value of completed, or in-progress work was $3.6 billion, down from $3.8 billion in 2021-22. Expenditure on new buildings increased to $2.27 billion in 2022-23, up from $2.12 billion in 2021-22. Expenditure on rebuilding decreased from $1.05 billion in 2021-22 to $668 million in 2022-2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7" name="Picture 1271021937" descr="Chart 4.17 is a stacked column chart titled Residential care building activity (completed or in-progress), 2018-19 to 2022-23. In 2022-23, the total value of completed, or in-progress work was $3.6 billion, down from $3.8 billion in 2021-22. Expenditure on new buildings increased to $2.27 billion in 2022-23, up from $2.12 billion in 2021-22. Expenditure on rebuilding decreased from $1.05 billion in 2021-22 to $668 million in 2022-23.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6050" cy="3652728"/>
                    </a:xfrm>
                    <a:prstGeom prst="rect">
                      <a:avLst/>
                    </a:prstGeom>
                    <a:noFill/>
                  </pic:spPr>
                </pic:pic>
              </a:graphicData>
            </a:graphic>
          </wp:inline>
        </w:drawing>
      </w:r>
    </w:p>
    <w:p w14:paraId="17B427DD" w14:textId="77777777" w:rsidR="006F4F12" w:rsidRDefault="006F4F12" w:rsidP="006F4F12">
      <w:pPr>
        <w:spacing w:before="0" w:after="0" w:line="240" w:lineRule="auto"/>
      </w:pPr>
      <w:r>
        <w:br w:type="page"/>
      </w:r>
    </w:p>
    <w:p w14:paraId="0115667B" w14:textId="548DA9F6" w:rsidR="00012EB9" w:rsidRPr="00D4394C" w:rsidRDefault="004F71D4" w:rsidP="00706D0A">
      <w:pPr>
        <w:rPr>
          <w:szCs w:val="24"/>
        </w:rPr>
      </w:pPr>
      <w:r w:rsidRPr="004F71D4">
        <w:rPr>
          <w:bCs w:val="0"/>
          <w:szCs w:val="24"/>
        </w:rPr>
        <w:fldChar w:fldCharType="begin"/>
      </w:r>
      <w:r w:rsidRPr="004F71D4">
        <w:rPr>
          <w:bCs w:val="0"/>
          <w:szCs w:val="24"/>
        </w:rPr>
        <w:instrText xml:space="preserve"> REF _Ref162949380 \h  \* MERGEFORMAT </w:instrText>
      </w:r>
      <w:r w:rsidRPr="004F71D4">
        <w:rPr>
          <w:bCs w:val="0"/>
          <w:szCs w:val="24"/>
        </w:rPr>
      </w:r>
      <w:r w:rsidRPr="004F71D4">
        <w:rPr>
          <w:bCs w:val="0"/>
          <w:szCs w:val="24"/>
        </w:rPr>
        <w:fldChar w:fldCharType="separate"/>
      </w:r>
      <w:r w:rsidR="001377BE">
        <w:t xml:space="preserve">Chart </w:t>
      </w:r>
      <w:r w:rsidR="001377BE">
        <w:rPr>
          <w:noProof/>
        </w:rPr>
        <w:t>4.18</w:t>
      </w:r>
      <w:r w:rsidRPr="004F71D4">
        <w:rPr>
          <w:bCs w:val="0"/>
          <w:szCs w:val="24"/>
        </w:rPr>
        <w:fldChar w:fldCharType="end"/>
      </w:r>
      <w:r w:rsidRPr="004F71D4">
        <w:rPr>
          <w:bCs w:val="0"/>
          <w:szCs w:val="24"/>
        </w:rPr>
        <w:t xml:space="preserve"> </w:t>
      </w:r>
      <w:r w:rsidRPr="00A64A50">
        <w:rPr>
          <w:szCs w:val="24"/>
        </w:rPr>
        <w:t xml:space="preserve">shows the proportion of facilities planning to upgrade or rebuild with a comparison of the last 5 years. In </w:t>
      </w:r>
      <w:r w:rsidR="00012EB9" w:rsidRPr="00A64A50">
        <w:rPr>
          <w:szCs w:val="24"/>
        </w:rPr>
        <w:t>2022</w:t>
      </w:r>
      <w:r w:rsidRPr="00A64A50">
        <w:rPr>
          <w:szCs w:val="24"/>
        </w:rPr>
        <w:t>-</w:t>
      </w:r>
      <w:r w:rsidR="00012EB9" w:rsidRPr="00A64A50">
        <w:rPr>
          <w:szCs w:val="24"/>
        </w:rPr>
        <w:t>23</w:t>
      </w:r>
      <w:r w:rsidRPr="00A64A50">
        <w:rPr>
          <w:szCs w:val="24"/>
        </w:rPr>
        <w:t xml:space="preserve">, the proportion of facilities planning to upgrade was </w:t>
      </w:r>
      <w:r w:rsidR="00012EB9" w:rsidRPr="00A64A50">
        <w:rPr>
          <w:szCs w:val="24"/>
        </w:rPr>
        <w:t>1.9%</w:t>
      </w:r>
      <w:r w:rsidRPr="00A64A50">
        <w:rPr>
          <w:szCs w:val="24"/>
        </w:rPr>
        <w:t xml:space="preserve">, down from </w:t>
      </w:r>
      <w:r w:rsidR="00FB28BF" w:rsidRPr="00A64A50">
        <w:rPr>
          <w:szCs w:val="24"/>
        </w:rPr>
        <w:t>2.7%</w:t>
      </w:r>
      <w:r w:rsidRPr="00A64A50">
        <w:rPr>
          <w:szCs w:val="24"/>
        </w:rPr>
        <w:t xml:space="preserve"> in </w:t>
      </w:r>
      <w:r w:rsidR="00FB28BF" w:rsidRPr="00A64A50">
        <w:rPr>
          <w:szCs w:val="24"/>
        </w:rPr>
        <w:t>2021</w:t>
      </w:r>
      <w:r w:rsidRPr="00A64A50">
        <w:rPr>
          <w:szCs w:val="24"/>
        </w:rPr>
        <w:t>-</w:t>
      </w:r>
      <w:r w:rsidR="00FB28BF" w:rsidRPr="00A64A50">
        <w:rPr>
          <w:szCs w:val="24"/>
        </w:rPr>
        <w:t>22</w:t>
      </w:r>
      <w:r w:rsidRPr="00A64A50">
        <w:rPr>
          <w:szCs w:val="24"/>
        </w:rPr>
        <w:t xml:space="preserve">. The proportion of facilities planning to re-build in </w:t>
      </w:r>
      <w:r w:rsidR="00E2190B" w:rsidRPr="00A64A50">
        <w:rPr>
          <w:szCs w:val="24"/>
        </w:rPr>
        <w:t>202</w:t>
      </w:r>
      <w:r w:rsidR="00E2190B">
        <w:rPr>
          <w:szCs w:val="24"/>
        </w:rPr>
        <w:t>2</w:t>
      </w:r>
      <w:r w:rsidRPr="00A64A50">
        <w:rPr>
          <w:szCs w:val="24"/>
        </w:rPr>
        <w:t>-</w:t>
      </w:r>
      <w:r w:rsidR="00E2190B" w:rsidRPr="00A64A50">
        <w:rPr>
          <w:szCs w:val="24"/>
        </w:rPr>
        <w:t>2</w:t>
      </w:r>
      <w:r w:rsidR="00E2190B">
        <w:rPr>
          <w:szCs w:val="24"/>
        </w:rPr>
        <w:t>3</w:t>
      </w:r>
      <w:r w:rsidR="00E2190B" w:rsidRPr="00A64A50">
        <w:rPr>
          <w:szCs w:val="24"/>
        </w:rPr>
        <w:t xml:space="preserve"> </w:t>
      </w:r>
      <w:r w:rsidRPr="00A64A50">
        <w:rPr>
          <w:szCs w:val="24"/>
        </w:rPr>
        <w:t>slightly decreased, down to 0.</w:t>
      </w:r>
      <w:r w:rsidR="00D4394C" w:rsidRPr="00A64A50">
        <w:rPr>
          <w:szCs w:val="24"/>
        </w:rPr>
        <w:t xml:space="preserve">4% </w:t>
      </w:r>
      <w:r w:rsidRPr="00A64A50">
        <w:rPr>
          <w:szCs w:val="24"/>
        </w:rPr>
        <w:t>from 0.</w:t>
      </w:r>
      <w:r w:rsidR="00D4394C" w:rsidRPr="00A64A50">
        <w:rPr>
          <w:szCs w:val="24"/>
        </w:rPr>
        <w:t xml:space="preserve">5% </w:t>
      </w:r>
      <w:r w:rsidRPr="00A64A50">
        <w:rPr>
          <w:szCs w:val="24"/>
        </w:rPr>
        <w:t xml:space="preserve">in </w:t>
      </w:r>
      <w:r w:rsidR="00D4394C" w:rsidRPr="00A64A50">
        <w:rPr>
          <w:szCs w:val="24"/>
        </w:rPr>
        <w:t>2021</w:t>
      </w:r>
      <w:r w:rsidRPr="00A64A50">
        <w:rPr>
          <w:szCs w:val="24"/>
        </w:rPr>
        <w:t>-2</w:t>
      </w:r>
      <w:r w:rsidR="00D4394C" w:rsidRPr="00A64A50">
        <w:rPr>
          <w:szCs w:val="24"/>
        </w:rPr>
        <w:t>2</w:t>
      </w:r>
      <w:r w:rsidRPr="00A64A50">
        <w:rPr>
          <w:szCs w:val="24"/>
        </w:rPr>
        <w:t>.</w:t>
      </w:r>
    </w:p>
    <w:p w14:paraId="39D062FE" w14:textId="74646B79" w:rsidR="003C2E80" w:rsidRDefault="00B83D9E" w:rsidP="00706D0A">
      <w:pPr>
        <w:pStyle w:val="Caption"/>
      </w:pPr>
      <w:bookmarkStart w:id="201" w:name="_Ref162949380"/>
      <w:bookmarkStart w:id="202" w:name="_Toc173428950"/>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18</w:t>
      </w:r>
      <w:r w:rsidR="00AE19AA">
        <w:rPr>
          <w:noProof/>
        </w:rPr>
        <w:fldChar w:fldCharType="end"/>
      </w:r>
      <w:bookmarkEnd w:id="201"/>
      <w:r>
        <w:t xml:space="preserve">: </w:t>
      </w:r>
      <w:r w:rsidRPr="0081041D">
        <w:t xml:space="preserve">Proportion of facilities planning to either upgrade or rebuild, </w:t>
      </w:r>
      <w:r w:rsidR="00F178BE" w:rsidRPr="0081041D">
        <w:t>201</w:t>
      </w:r>
      <w:r w:rsidR="00F178BE">
        <w:t>8</w:t>
      </w:r>
      <w:r w:rsidRPr="0081041D">
        <w:t>-</w:t>
      </w:r>
      <w:r w:rsidR="00F178BE" w:rsidRPr="0081041D">
        <w:t>1</w:t>
      </w:r>
      <w:r w:rsidR="00F178BE">
        <w:t>9</w:t>
      </w:r>
      <w:r w:rsidR="00F178BE" w:rsidRPr="0081041D">
        <w:t xml:space="preserve"> </w:t>
      </w:r>
      <w:r w:rsidRPr="0081041D">
        <w:t xml:space="preserve">to </w:t>
      </w:r>
      <w:r w:rsidR="00F178BE" w:rsidRPr="0081041D">
        <w:t>202</w:t>
      </w:r>
      <w:r w:rsidR="00F178BE">
        <w:t>2</w:t>
      </w:r>
      <w:r w:rsidRPr="0081041D">
        <w:t>-</w:t>
      </w:r>
      <w:r w:rsidR="00F178BE" w:rsidRPr="0081041D">
        <w:t>2</w:t>
      </w:r>
      <w:r w:rsidR="00F178BE">
        <w:t>3</w:t>
      </w:r>
      <w:bookmarkEnd w:id="202"/>
    </w:p>
    <w:p w14:paraId="1E9D78B0" w14:textId="08F00E0D" w:rsidR="003F26F6" w:rsidRDefault="00B475F4" w:rsidP="00706D0A">
      <w:r>
        <w:rPr>
          <w:noProof/>
        </w:rPr>
        <w:drawing>
          <wp:inline distT="0" distB="0" distL="0" distR="0" wp14:anchorId="42363C51" wp14:editId="3DD511D3">
            <wp:extent cx="5873899" cy="3686400"/>
            <wp:effectExtent l="0" t="0" r="0" b="9525"/>
            <wp:docPr id="1271021938" name="Picture 1271021938" descr="Chart 4.18 is a clustered column chart titled Proportion of facilities planning to either upgrade or rebuild, 2018-19 to 2022-23. In 2022-23, the proportion of facilities planning to upgrade was 1.9%, down from 2.7% in 2021-22. The proportion of facilities planning to re-build in 2022-23 slightly decreased, down to 0.4% from 0.5% in 2021-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38" name="Picture 1271021938" descr="Chart 4.18 is a clustered column chart titled Proportion of facilities planning to either upgrade or rebuild, 2018-19 to 2022-23. In 2022-23, the proportion of facilities planning to upgrade was 1.9%, down from 2.7% in 2021-22. The proportion of facilities planning to re-build in 2022-23 slightly decreased, down to 0.4% from 0.5% in 2021-22.&#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92301" cy="3697949"/>
                    </a:xfrm>
                    <a:prstGeom prst="rect">
                      <a:avLst/>
                    </a:prstGeom>
                    <a:noFill/>
                  </pic:spPr>
                </pic:pic>
              </a:graphicData>
            </a:graphic>
          </wp:inline>
        </w:drawing>
      </w:r>
    </w:p>
    <w:p w14:paraId="1A50A09F" w14:textId="77777777" w:rsidR="006F4F12" w:rsidRDefault="006F4F12" w:rsidP="006F4F12">
      <w:pPr>
        <w:spacing w:before="0" w:after="0" w:line="240" w:lineRule="auto"/>
      </w:pPr>
      <w:r>
        <w:br w:type="page"/>
      </w:r>
    </w:p>
    <w:p w14:paraId="7AAE7D5E" w14:textId="2AFDD51A" w:rsidR="00FD27C8" w:rsidRDefault="00D31C8B" w:rsidP="00706D0A">
      <w:r>
        <w:fldChar w:fldCharType="begin"/>
      </w:r>
      <w:r>
        <w:instrText xml:space="preserve"> REF _Ref162949418 \h </w:instrText>
      </w:r>
      <w:r>
        <w:fldChar w:fldCharType="separate"/>
      </w:r>
      <w:r w:rsidR="001377BE">
        <w:t xml:space="preserve">Chart </w:t>
      </w:r>
      <w:r w:rsidR="001377BE">
        <w:rPr>
          <w:noProof/>
        </w:rPr>
        <w:t>4</w:t>
      </w:r>
      <w:r w:rsidR="001377BE">
        <w:t>.</w:t>
      </w:r>
      <w:r w:rsidR="001377BE">
        <w:rPr>
          <w:noProof/>
        </w:rPr>
        <w:t>19</w:t>
      </w:r>
      <w:r>
        <w:fldChar w:fldCharType="end"/>
      </w:r>
      <w:r>
        <w:t xml:space="preserve"> </w:t>
      </w:r>
      <w:r w:rsidRPr="007C254A">
        <w:t xml:space="preserve">shows the number of building approvals (by value) of building works for the 5 years to </w:t>
      </w:r>
      <w:r w:rsidR="00F178BE" w:rsidRPr="007C254A">
        <w:t>2022</w:t>
      </w:r>
      <w:r w:rsidRPr="007C254A">
        <w:t>-</w:t>
      </w:r>
      <w:r w:rsidR="00F178BE" w:rsidRPr="007C254A">
        <w:t>23</w:t>
      </w:r>
      <w:r w:rsidRPr="007C254A">
        <w:t xml:space="preserve">. The total number of builds dropped in </w:t>
      </w:r>
      <w:r w:rsidR="00456233" w:rsidRPr="007C254A">
        <w:t>2022</w:t>
      </w:r>
      <w:r w:rsidRPr="007C254A">
        <w:t>-2</w:t>
      </w:r>
      <w:r w:rsidR="00456233" w:rsidRPr="007C254A">
        <w:t>3</w:t>
      </w:r>
      <w:r w:rsidRPr="007C254A">
        <w:t xml:space="preserve"> for the fifth year in a row, down to </w:t>
      </w:r>
      <w:r w:rsidR="00456233" w:rsidRPr="007C254A">
        <w:t>224</w:t>
      </w:r>
      <w:r w:rsidRPr="007C254A">
        <w:t xml:space="preserve"> from </w:t>
      </w:r>
      <w:r w:rsidR="00456233" w:rsidRPr="007C254A">
        <w:t xml:space="preserve">231 </w:t>
      </w:r>
      <w:r w:rsidRPr="007C254A">
        <w:t xml:space="preserve">in </w:t>
      </w:r>
      <w:r w:rsidR="00456233" w:rsidRPr="007C254A">
        <w:t>2021</w:t>
      </w:r>
      <w:r w:rsidRPr="007C254A">
        <w:t>-2</w:t>
      </w:r>
      <w:r w:rsidR="00456233" w:rsidRPr="007C254A">
        <w:t>2</w:t>
      </w:r>
      <w:r w:rsidRPr="007C254A">
        <w:t xml:space="preserve">, from a peak of </w:t>
      </w:r>
      <w:r w:rsidR="00456233" w:rsidRPr="007C254A">
        <w:t>336</w:t>
      </w:r>
      <w:r w:rsidRPr="007C254A">
        <w:t xml:space="preserve"> in </w:t>
      </w:r>
      <w:r w:rsidR="00456233" w:rsidRPr="007C254A">
        <w:t>2018</w:t>
      </w:r>
      <w:r w:rsidRPr="007C254A">
        <w:t>-1</w:t>
      </w:r>
      <w:r w:rsidR="00456233" w:rsidRPr="007C254A">
        <w:t>9</w:t>
      </w:r>
      <w:r w:rsidRPr="007C254A">
        <w:t>.</w:t>
      </w:r>
      <w:r w:rsidRPr="00F674D9" w:rsidDel="00FD53E0">
        <w:t xml:space="preserve"> </w:t>
      </w:r>
    </w:p>
    <w:p w14:paraId="6111365B" w14:textId="68B1E425" w:rsidR="00FD27C8" w:rsidRPr="00FD27C8" w:rsidRDefault="00FD27C8" w:rsidP="00706D0A">
      <w:pPr>
        <w:pStyle w:val="Caption"/>
      </w:pPr>
      <w:bookmarkStart w:id="203" w:name="_Ref162949418"/>
      <w:bookmarkStart w:id="204" w:name="_Toc173428951"/>
      <w:r>
        <w:t xml:space="preserve">Chart </w:t>
      </w:r>
      <w:r w:rsidR="00AE19AA">
        <w:fldChar w:fldCharType="begin"/>
      </w:r>
      <w:r w:rsidR="00AE19AA">
        <w:instrText xml:space="preserve"> STYLEREF 1 \s </w:instrText>
      </w:r>
      <w:r w:rsidR="00AE19AA">
        <w:fldChar w:fldCharType="separate"/>
      </w:r>
      <w:r w:rsidR="001377BE">
        <w:rPr>
          <w:noProof/>
        </w:rPr>
        <w:t>4</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19</w:t>
      </w:r>
      <w:r w:rsidR="00AE19AA">
        <w:rPr>
          <w:noProof/>
        </w:rPr>
        <w:fldChar w:fldCharType="end"/>
      </w:r>
      <w:bookmarkEnd w:id="203"/>
      <w:r>
        <w:t xml:space="preserve">: </w:t>
      </w:r>
      <w:r w:rsidRPr="00132F00">
        <w:t xml:space="preserve">Number of building approvals, by value of building work, </w:t>
      </w:r>
      <w:r w:rsidR="00F178BE" w:rsidRPr="00132F00">
        <w:t>201</w:t>
      </w:r>
      <w:r w:rsidR="00F178BE">
        <w:t>8</w:t>
      </w:r>
      <w:r w:rsidRPr="00132F00">
        <w:t>-</w:t>
      </w:r>
      <w:r w:rsidR="00F178BE" w:rsidRPr="00132F00">
        <w:t>1</w:t>
      </w:r>
      <w:r w:rsidR="00F178BE">
        <w:t>9</w:t>
      </w:r>
      <w:r w:rsidR="00F178BE" w:rsidRPr="00132F00">
        <w:t xml:space="preserve"> </w:t>
      </w:r>
      <w:r w:rsidRPr="00132F00">
        <w:t>to 202</w:t>
      </w:r>
      <w:r w:rsidR="00F178BE">
        <w:t>2</w:t>
      </w:r>
      <w:r w:rsidRPr="00132F00">
        <w:t>-</w:t>
      </w:r>
      <w:r w:rsidR="00F178BE" w:rsidRPr="00132F00">
        <w:t>2</w:t>
      </w:r>
      <w:r w:rsidR="00F178BE">
        <w:t>3</w:t>
      </w:r>
      <w:bookmarkEnd w:id="204"/>
    </w:p>
    <w:p w14:paraId="587D2151" w14:textId="70E298E9" w:rsidR="00B92B4E" w:rsidRDefault="00EC06B8" w:rsidP="00706D0A">
      <w:r>
        <w:rPr>
          <w:noProof/>
        </w:rPr>
        <w:drawing>
          <wp:inline distT="0" distB="0" distL="0" distR="0" wp14:anchorId="32ED2134" wp14:editId="53154FED">
            <wp:extent cx="5839200" cy="2960394"/>
            <wp:effectExtent l="0" t="0" r="9525" b="0"/>
            <wp:docPr id="1271021940" name="Picture 1271021940" descr="Chart 4.19 is a clustered column chart titled Number of building approvals, by value of building work, 2018-19 to 2022-23. The total number of builds dropped in 2022-23 for the fifth year in a row, down to 224 from 231 in 2021-22, from a peak of 336 in 2018-1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40" name="Picture 1271021940" descr="Chart 4.19 is a clustered column chart titled Number of building approvals, by value of building work, 2018-19 to 2022-23. The total number of builds dropped in 2022-23 for the fifth year in a row, down to 224 from 231 in 2021-22, from a peak of 336 in 2018-19.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43086" cy="2962364"/>
                    </a:xfrm>
                    <a:prstGeom prst="rect">
                      <a:avLst/>
                    </a:prstGeom>
                    <a:noFill/>
                  </pic:spPr>
                </pic:pic>
              </a:graphicData>
            </a:graphic>
          </wp:inline>
        </w:drawing>
      </w:r>
    </w:p>
    <w:p w14:paraId="40110B05" w14:textId="405919A4" w:rsidR="00B92B4E" w:rsidRDefault="00B92B4E" w:rsidP="00706D0A">
      <w:r>
        <w:br w:type="page"/>
      </w:r>
    </w:p>
    <w:p w14:paraId="68E099B4" w14:textId="77777777" w:rsidR="00B92B4E" w:rsidRDefault="00B92B4E" w:rsidP="00706D0A">
      <w:pPr>
        <w:sectPr w:rsidR="00B92B4E" w:rsidSect="0023614F">
          <w:headerReference w:type="even" r:id="rId110"/>
          <w:headerReference w:type="default" r:id="rId111"/>
          <w:footerReference w:type="default" r:id="rId112"/>
          <w:headerReference w:type="first" r:id="rId113"/>
          <w:pgSz w:w="11906" w:h="16838"/>
          <w:pgMar w:top="1701" w:right="1418" w:bottom="1418" w:left="1418" w:header="709" w:footer="709" w:gutter="0"/>
          <w:cols w:space="708"/>
          <w:docGrid w:linePitch="360"/>
        </w:sectPr>
      </w:pPr>
    </w:p>
    <w:p w14:paraId="0EF89115" w14:textId="29B3AFE6" w:rsidR="00B875ED" w:rsidRPr="00B875ED" w:rsidRDefault="000A5300" w:rsidP="00706D0A">
      <w:r>
        <w:rPr>
          <w:noProof/>
        </w:rPr>
        <w:drawing>
          <wp:anchor distT="0" distB="0" distL="114300" distR="114300" simplePos="0" relativeHeight="251658244" behindDoc="0" locked="0" layoutInCell="1" allowOverlap="1" wp14:anchorId="370F0790" wp14:editId="2CD122AB">
            <wp:simplePos x="0" y="0"/>
            <wp:positionH relativeFrom="column">
              <wp:posOffset>-883920</wp:posOffset>
            </wp:positionH>
            <wp:positionV relativeFrom="page">
              <wp:posOffset>-8255</wp:posOffset>
            </wp:positionV>
            <wp:extent cx="7536815" cy="9784715"/>
            <wp:effectExtent l="0" t="0" r="6985" b="6985"/>
            <wp:wrapTopAndBottom/>
            <wp:docPr id="1322519781" name="Picture 1322519781" descr="The infographic at the beginning of Chapter 5 titled Commonwealth Home Support Programme, shows a summary of Commonwealth Home Support Programme for 2022-23. The total number of CHSP recipients in 2022-23 was 816,132 down 0.26% on 2021-22. There were 1,334 CHSP providers, a decrease of 5.19% on 2021-22. Australian Government funding was $2.96 billion, an increase of 3.61% from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81" name="Picture 1322519781" descr="The infographic at the beginning of Chapter 5 titled Commonwealth Home Support Programme, shows a summary of Commonwealth Home Support Programme for 2022-23. The total number of CHSP recipients in 2022-23 was 816,132 down 0.26% on 2021-22. There were 1,334 CHSP providers, a decrease of 5.19% on 2021-22. Australian Government funding was $2.96 billion, an increase of 3.61% from 2021-22."/>
                    <pic:cNvPicPr/>
                  </pic:nvPicPr>
                  <pic:blipFill rotWithShape="1">
                    <a:blip r:embed="rId114">
                      <a:extLst>
                        <a:ext uri="{28A0092B-C50C-407E-A947-70E740481C1C}">
                          <a14:useLocalDpi xmlns:a14="http://schemas.microsoft.com/office/drawing/2010/main" val="0"/>
                        </a:ext>
                      </a:extLst>
                    </a:blip>
                    <a:srcRect b="8196"/>
                    <a:stretch/>
                  </pic:blipFill>
                  <pic:spPr bwMode="auto">
                    <a:xfrm>
                      <a:off x="0" y="0"/>
                      <a:ext cx="7536815" cy="978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6D3AD2" w14:textId="77777777" w:rsidR="005F3779" w:rsidRDefault="005F3779" w:rsidP="005F3779">
      <w:pPr>
        <w:pStyle w:val="Heading1"/>
      </w:pPr>
      <w:bookmarkStart w:id="205" w:name="_Toc149245327"/>
      <w:bookmarkStart w:id="206" w:name="_Toc173428610"/>
      <w:r w:rsidRPr="005F3779">
        <w:t>Commonwealth Home Support Programme</w:t>
      </w:r>
      <w:bookmarkEnd w:id="205"/>
      <w:bookmarkEnd w:id="206"/>
    </w:p>
    <w:p w14:paraId="3235F8E4" w14:textId="58867D3F" w:rsidR="000D20B2" w:rsidRPr="007A627F" w:rsidRDefault="00934E3D" w:rsidP="00706D0A">
      <w:r w:rsidRPr="007A627F">
        <w:t>In 2022</w:t>
      </w:r>
      <w:r w:rsidR="007E2399" w:rsidRPr="007A627F">
        <w:t>-23</w:t>
      </w:r>
      <w:r w:rsidRPr="007A627F">
        <w:t>, there were 81</w:t>
      </w:r>
      <w:r w:rsidR="007E2399" w:rsidRPr="007A627F">
        <w:t>6,132</w:t>
      </w:r>
      <w:r w:rsidRPr="007A627F">
        <w:t xml:space="preserve"> recipients of the Commonwealth Home Support Programme (CHSP), down from </w:t>
      </w:r>
      <w:r w:rsidR="007E2399" w:rsidRPr="007A627F">
        <w:t>818,228</w:t>
      </w:r>
      <w:r w:rsidRPr="007A627F">
        <w:t xml:space="preserve"> in 2021</w:t>
      </w:r>
      <w:r w:rsidR="007E2399" w:rsidRPr="007A627F">
        <w:t>-22</w:t>
      </w:r>
      <w:r w:rsidRPr="007A627F">
        <w:t xml:space="preserve">. </w:t>
      </w:r>
      <w:r w:rsidR="006A07C9">
        <w:t>Although the number of recipients decreased slightly,</w:t>
      </w:r>
      <w:r w:rsidR="00072B1E">
        <w:t xml:space="preserve"> </w:t>
      </w:r>
      <w:r w:rsidRPr="00EB7438">
        <w:t xml:space="preserve">Australian Government funding </w:t>
      </w:r>
      <w:r w:rsidR="00072B1E">
        <w:t>for the delivery of CHSP services</w:t>
      </w:r>
      <w:r w:rsidRPr="00EB7438">
        <w:t xml:space="preserve"> </w:t>
      </w:r>
      <w:r w:rsidR="006A07C9">
        <w:t>increased</w:t>
      </w:r>
      <w:r w:rsidR="006A07C9" w:rsidRPr="00EB7438">
        <w:t xml:space="preserve"> </w:t>
      </w:r>
      <w:r w:rsidRPr="00EB7438">
        <w:t xml:space="preserve">from </w:t>
      </w:r>
      <w:r w:rsidR="00072B1E">
        <w:t>$</w:t>
      </w:r>
      <w:r w:rsidRPr="00EB7438">
        <w:t>2.</w:t>
      </w:r>
      <w:r w:rsidR="006A0E91" w:rsidRPr="00EB7438">
        <w:t>9</w:t>
      </w:r>
      <w:r w:rsidRPr="00EB7438">
        <w:t xml:space="preserve"> billion in 202</w:t>
      </w:r>
      <w:r w:rsidR="006A0E91" w:rsidRPr="00EB7438">
        <w:t>1-22</w:t>
      </w:r>
      <w:r w:rsidRPr="00EB7438">
        <w:t xml:space="preserve"> to $3.0 billion in 2022</w:t>
      </w:r>
      <w:r w:rsidR="006A0E91" w:rsidRPr="00EB7438">
        <w:t>-23</w:t>
      </w:r>
      <w:r w:rsidRPr="00EB7438">
        <w:t>.</w:t>
      </w:r>
      <w:r w:rsidR="000D20B2">
        <w:t xml:space="preserve"> </w:t>
      </w:r>
      <w:r w:rsidR="0062684C">
        <w:t xml:space="preserve"> </w:t>
      </w:r>
    </w:p>
    <w:p w14:paraId="6F76BA17" w14:textId="2E7897FF" w:rsidR="00934E3D" w:rsidRPr="006A0E91" w:rsidRDefault="77D60681" w:rsidP="00706D0A">
      <w:r>
        <w:t xml:space="preserve">To obtain access to the CHSP, individuals are first assessed by either a Regional Assessment Service (RAS) or an </w:t>
      </w:r>
      <w:r w:rsidR="005028A4">
        <w:t>Aged Care Assessment Team (</w:t>
      </w:r>
      <w:r>
        <w:t>ACAT</w:t>
      </w:r>
      <w:r w:rsidR="005028A4">
        <w:t>)</w:t>
      </w:r>
      <w:r>
        <w:t>.</w:t>
      </w:r>
    </w:p>
    <w:p w14:paraId="38CDF44D" w14:textId="239D446D" w:rsidR="00934E3D" w:rsidRPr="006A0E91" w:rsidRDefault="77D60681" w:rsidP="00706D0A">
      <w:pPr>
        <w:rPr>
          <w:color w:val="1E1545"/>
        </w:rPr>
      </w:pPr>
      <w:r>
        <w:t xml:space="preserve">For individuals who require low-level support to stay independent at home a RAS assessor </w:t>
      </w:r>
      <w:r w:rsidR="00934E3D" w:rsidDel="77D60681">
        <w:t xml:space="preserve">will </w:t>
      </w:r>
      <w:r w:rsidR="182EAF25">
        <w:t>determine eligibility for CHSP</w:t>
      </w:r>
      <w:r>
        <w:t xml:space="preserve">. For more complex support, an ACAT assessor will provide a more comprehensive assessment and </w:t>
      </w:r>
      <w:r w:rsidR="10305A53">
        <w:t>determine eligibility for</w:t>
      </w:r>
      <w:r>
        <w:t xml:space="preserve"> either CHSP, a Home Care Package, short-term care or an aged care home.</w:t>
      </w:r>
    </w:p>
    <w:p w14:paraId="5021EFD5" w14:textId="208E3DD2" w:rsidR="00934E3D" w:rsidRPr="00E026A8" w:rsidRDefault="00934E3D" w:rsidP="00706D0A">
      <w:r w:rsidRPr="006A0E91">
        <w:t xml:space="preserve">CHSP providers are not required to complete the annual </w:t>
      </w:r>
      <w:r w:rsidR="00D278DE" w:rsidRPr="009F4CA9">
        <w:t xml:space="preserve">Aged Care Financial Report </w:t>
      </w:r>
      <w:r w:rsidR="00D278DE">
        <w:t>(</w:t>
      </w:r>
      <w:r w:rsidRPr="006A0E91">
        <w:t>ACFR</w:t>
      </w:r>
      <w:r w:rsidR="00D278DE">
        <w:t>)</w:t>
      </w:r>
      <w:r w:rsidRPr="006A0E91">
        <w:t xml:space="preserve">. As such, the following chapter does not include financial summaries or </w:t>
      </w:r>
      <w:r w:rsidR="00CE7B86">
        <w:t>information</w:t>
      </w:r>
      <w:r w:rsidRPr="006A0E91">
        <w:t xml:space="preserve"> on the financial performance of CHSP providers. </w:t>
      </w:r>
      <w:r w:rsidR="00F4196D">
        <w:t xml:space="preserve">The information included in this chapter </w:t>
      </w:r>
      <w:r w:rsidR="00D06725">
        <w:t xml:space="preserve">supports monitoring the CHSP market </w:t>
      </w:r>
      <w:r w:rsidR="00A6550E">
        <w:t xml:space="preserve">in the lead up to </w:t>
      </w:r>
      <w:r w:rsidR="00183686">
        <w:t>new payment arrangements through the Support at Home (</w:t>
      </w:r>
      <w:proofErr w:type="spellStart"/>
      <w:r w:rsidR="00183686">
        <w:t>S</w:t>
      </w:r>
      <w:r w:rsidR="00F162D5">
        <w:t>a</w:t>
      </w:r>
      <w:r w:rsidR="00183686">
        <w:t>H</w:t>
      </w:r>
      <w:proofErr w:type="spellEnd"/>
      <w:r w:rsidR="00183686">
        <w:t>)</w:t>
      </w:r>
      <w:r w:rsidR="0052401B">
        <w:t xml:space="preserve"> </w:t>
      </w:r>
      <w:r w:rsidR="007B1388">
        <w:t>program</w:t>
      </w:r>
      <w:r w:rsidR="00EF3913">
        <w:t xml:space="preserve"> which will </w:t>
      </w:r>
      <w:r w:rsidR="00993301">
        <w:t>replace CHSP no earlier than 1 July 2027</w:t>
      </w:r>
      <w:r w:rsidR="007B1388">
        <w:t xml:space="preserve">. </w:t>
      </w:r>
      <w:r w:rsidRPr="006A0E91">
        <w:t>The department monitors CHSP providers through an annual grant acquittal process.</w:t>
      </w:r>
    </w:p>
    <w:p w14:paraId="00163264" w14:textId="77777777" w:rsidR="00764B50" w:rsidRPr="0070300D" w:rsidRDefault="00764B50" w:rsidP="00764B50">
      <w:pPr>
        <w:pStyle w:val="Heading2"/>
        <w:rPr>
          <w:b w:val="0"/>
          <w:bCs w:val="0"/>
          <w:szCs w:val="24"/>
        </w:rPr>
      </w:pPr>
      <w:bookmarkStart w:id="207" w:name="_Toc149245328"/>
      <w:bookmarkStart w:id="208" w:name="_Toc173428611"/>
      <w:r w:rsidRPr="0070300D">
        <w:t>Recipients</w:t>
      </w:r>
      <w:bookmarkEnd w:id="207"/>
      <w:bookmarkEnd w:id="208"/>
    </w:p>
    <w:p w14:paraId="0D3986E8" w14:textId="2756A910" w:rsidR="00EB3E60" w:rsidRPr="006C66D7" w:rsidRDefault="00BA00D9" w:rsidP="00706D0A">
      <w:r w:rsidRPr="0070300D">
        <w:fldChar w:fldCharType="begin"/>
      </w:r>
      <w:r w:rsidRPr="0070300D">
        <w:instrText xml:space="preserve"> REF _Ref161388244 \h </w:instrText>
      </w:r>
      <w:r w:rsidR="0070300D">
        <w:instrText xml:space="preserve"> \* MERGEFORMAT </w:instrText>
      </w:r>
      <w:r w:rsidRPr="0070300D">
        <w:fldChar w:fldCharType="separate"/>
      </w:r>
      <w:r w:rsidR="001377BE">
        <w:t xml:space="preserve">Table </w:t>
      </w:r>
      <w:r w:rsidR="001377BE">
        <w:rPr>
          <w:noProof/>
        </w:rPr>
        <w:t>5.1</w:t>
      </w:r>
      <w:r w:rsidRPr="0070300D">
        <w:fldChar w:fldCharType="end"/>
      </w:r>
      <w:r w:rsidR="0070300D" w:rsidRPr="0070300D">
        <w:t xml:space="preserve"> </w:t>
      </w:r>
      <w:r w:rsidR="00EB3E60" w:rsidRPr="0070300D">
        <w:t>shows the number of CHSP recipients from 20</w:t>
      </w:r>
      <w:r w:rsidR="0070300D">
        <w:t>18-19</w:t>
      </w:r>
      <w:r w:rsidR="00EB3E60" w:rsidRPr="0070300D">
        <w:t xml:space="preserve"> to 2022</w:t>
      </w:r>
      <w:r w:rsidR="0070300D">
        <w:t>-23</w:t>
      </w:r>
      <w:r w:rsidR="00EB3E60" w:rsidRPr="0070300D">
        <w:t>. The number of CHSP recipients was 81</w:t>
      </w:r>
      <w:r w:rsidR="0070300D">
        <w:t>6,132</w:t>
      </w:r>
      <w:r w:rsidR="00EB3E60" w:rsidRPr="0070300D">
        <w:t xml:space="preserve"> in 2022</w:t>
      </w:r>
      <w:r w:rsidR="0070300D">
        <w:t>-23</w:t>
      </w:r>
      <w:r w:rsidR="00EB3E60" w:rsidRPr="0070300D">
        <w:t>, which continued the trend of year-on-year decreases since 2018</w:t>
      </w:r>
      <w:r w:rsidR="0070300D">
        <w:t>-19</w:t>
      </w:r>
      <w:r w:rsidR="00EB3E60" w:rsidRPr="0070300D">
        <w:t xml:space="preserve"> when there were 84</w:t>
      </w:r>
      <w:r w:rsidR="0070300D">
        <w:t>0</w:t>
      </w:r>
      <w:r w:rsidR="00EB3E60" w:rsidRPr="0070300D">
        <w:t>,</w:t>
      </w:r>
      <w:r w:rsidR="0070300D">
        <w:t>984</w:t>
      </w:r>
      <w:r w:rsidR="00EB3E60" w:rsidRPr="0070300D">
        <w:t xml:space="preserve"> CHSP recipients. In 2022</w:t>
      </w:r>
      <w:r w:rsidR="0070300D">
        <w:t>-23</w:t>
      </w:r>
      <w:r w:rsidR="00EB3E60" w:rsidRPr="0070300D">
        <w:t>, 16</w:t>
      </w:r>
      <w:r w:rsidR="00CD3FC6">
        <w:t>5,694</w:t>
      </w:r>
      <w:r w:rsidR="00EB3E60" w:rsidRPr="0070300D">
        <w:t xml:space="preserve"> culturally and linguistically diverse (CALD) Australians were CHSP</w:t>
      </w:r>
      <w:r w:rsidR="00EB3E60" w:rsidRPr="0070300D">
        <w:rPr>
          <w:b/>
        </w:rPr>
        <w:t xml:space="preserve"> </w:t>
      </w:r>
      <w:r w:rsidR="00EB3E60" w:rsidRPr="0070300D">
        <w:t xml:space="preserve">recipients, </w:t>
      </w:r>
      <w:r w:rsidR="00CD3FC6">
        <w:t xml:space="preserve">a slight decrease </w:t>
      </w:r>
      <w:r w:rsidR="55EB02EC">
        <w:t>from</w:t>
      </w:r>
      <w:r w:rsidR="00EB3E60">
        <w:t xml:space="preserve"> 2021</w:t>
      </w:r>
      <w:r w:rsidR="00CD3FC6">
        <w:t>-22</w:t>
      </w:r>
      <w:r w:rsidR="00EB3E60">
        <w:t xml:space="preserve"> (166,</w:t>
      </w:r>
      <w:r w:rsidR="00CD3FC6">
        <w:t>830</w:t>
      </w:r>
      <w:r w:rsidR="00EB3E60">
        <w:t>). The</w:t>
      </w:r>
      <w:r w:rsidR="6AB5FAAF">
        <w:t>re were 22,630</w:t>
      </w:r>
      <w:r w:rsidR="00EB3E60" w:rsidRPr="0070300D">
        <w:t xml:space="preserve"> First Nations </w:t>
      </w:r>
      <w:r w:rsidR="00180621">
        <w:t>people</w:t>
      </w:r>
      <w:r w:rsidR="00EB3E60" w:rsidRPr="0070300D">
        <w:t xml:space="preserve"> who accessed CHSP in 2022</w:t>
      </w:r>
      <w:r w:rsidR="00DC3479">
        <w:t xml:space="preserve">-23, a slight increase on 2021-22 </w:t>
      </w:r>
      <w:r w:rsidR="00DF4845">
        <w:t>(22,452)</w:t>
      </w:r>
      <w:r w:rsidR="00EB3E60" w:rsidRPr="0070300D">
        <w:t>.</w:t>
      </w:r>
    </w:p>
    <w:p w14:paraId="53570D6A" w14:textId="4C788BBD" w:rsidR="005F3779" w:rsidRDefault="006A0E91" w:rsidP="006A0E91">
      <w:pPr>
        <w:pStyle w:val="Caption"/>
      </w:pPr>
      <w:bookmarkStart w:id="209" w:name="_Ref161388244"/>
      <w:bookmarkStart w:id="210" w:name="_Toc173428898"/>
      <w:r>
        <w:t xml:space="preserve">Table </w:t>
      </w:r>
      <w:r w:rsidR="00AE19AA">
        <w:fldChar w:fldCharType="begin"/>
      </w:r>
      <w:r w:rsidR="00AE19AA">
        <w:instrText xml:space="preserve"> STYLEREF 1 \s </w:instrText>
      </w:r>
      <w:r w:rsidR="00AE19AA">
        <w:fldChar w:fldCharType="separate"/>
      </w:r>
      <w:r w:rsidR="001377BE">
        <w:rPr>
          <w:noProof/>
        </w:rPr>
        <w:t>5</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1</w:t>
      </w:r>
      <w:r w:rsidR="00AE19AA">
        <w:rPr>
          <w:noProof/>
        </w:rPr>
        <w:fldChar w:fldCharType="end"/>
      </w:r>
      <w:bookmarkEnd w:id="209"/>
      <w:r>
        <w:t xml:space="preserve">: </w:t>
      </w:r>
      <w:r w:rsidRPr="00B62889">
        <w:t>Number of CHSP recipients, 2018</w:t>
      </w:r>
      <w:r w:rsidR="00BA00D9">
        <w:t>-19</w:t>
      </w:r>
      <w:r w:rsidRPr="00B62889">
        <w:t xml:space="preserve"> to 2022</w:t>
      </w:r>
      <w:r w:rsidR="00BA00D9">
        <w:t>-23</w:t>
      </w:r>
      <w:bookmarkEnd w:id="210"/>
    </w:p>
    <w:tbl>
      <w:tblPr>
        <w:tblW w:w="9209" w:type="dxa"/>
        <w:tblLayout w:type="fixed"/>
        <w:tblCellMar>
          <w:top w:w="15" w:type="dxa"/>
          <w:bottom w:w="15" w:type="dxa"/>
        </w:tblCellMar>
        <w:tblLook w:val="04A0" w:firstRow="1" w:lastRow="0" w:firstColumn="1" w:lastColumn="0" w:noHBand="0" w:noVBand="1"/>
      </w:tblPr>
      <w:tblGrid>
        <w:gridCol w:w="3397"/>
        <w:gridCol w:w="1162"/>
        <w:gridCol w:w="1162"/>
        <w:gridCol w:w="1163"/>
        <w:gridCol w:w="1162"/>
        <w:gridCol w:w="1163"/>
      </w:tblGrid>
      <w:tr w:rsidR="00C87B87" w:rsidRPr="00C87B87" w14:paraId="6D2A28C3" w14:textId="77777777" w:rsidTr="00296309">
        <w:trPr>
          <w:trHeight w:val="300"/>
        </w:trPr>
        <w:tc>
          <w:tcPr>
            <w:tcW w:w="3397"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19C09512" w14:textId="77777777" w:rsidR="00C87B87" w:rsidRPr="00C87B87" w:rsidRDefault="00C87B87" w:rsidP="00C87B87">
            <w:pPr>
              <w:spacing w:before="0" w:after="0" w:line="240" w:lineRule="auto"/>
              <w:rPr>
                <w:rFonts w:cs="Arial"/>
                <w:b/>
                <w:color w:val="F1F2F2"/>
                <w:sz w:val="21"/>
                <w:szCs w:val="21"/>
                <w:lang w:eastAsia="en-AU"/>
              </w:rPr>
            </w:pPr>
            <w:r w:rsidRPr="00C87B87">
              <w:rPr>
                <w:rFonts w:cs="Arial"/>
                <w:b/>
                <w:color w:val="F1F2F2"/>
                <w:sz w:val="21"/>
                <w:szCs w:val="21"/>
                <w:lang w:eastAsia="en-AU"/>
              </w:rPr>
              <w:t>Year</w:t>
            </w:r>
          </w:p>
        </w:tc>
        <w:tc>
          <w:tcPr>
            <w:tcW w:w="1162"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0C239C99" w14:textId="77777777" w:rsidR="00C87B87" w:rsidRPr="00C87B87" w:rsidRDefault="00C87B87" w:rsidP="00C87B87">
            <w:pPr>
              <w:spacing w:before="0" w:after="0" w:line="240" w:lineRule="auto"/>
              <w:jc w:val="right"/>
              <w:rPr>
                <w:rFonts w:cs="Arial"/>
                <w:b/>
                <w:color w:val="F1F2F2"/>
                <w:sz w:val="21"/>
                <w:szCs w:val="21"/>
                <w:lang w:eastAsia="en-AU"/>
              </w:rPr>
            </w:pPr>
            <w:r w:rsidRPr="00C87B87">
              <w:rPr>
                <w:rFonts w:cs="Arial"/>
                <w:b/>
                <w:color w:val="F1F2F2"/>
                <w:sz w:val="21"/>
                <w:szCs w:val="21"/>
                <w:lang w:eastAsia="en-AU"/>
              </w:rPr>
              <w:t>2018-19</w:t>
            </w:r>
          </w:p>
        </w:tc>
        <w:tc>
          <w:tcPr>
            <w:tcW w:w="1162"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4D3B50E1" w14:textId="77777777" w:rsidR="00C87B87" w:rsidRPr="00C87B87" w:rsidRDefault="00C87B87" w:rsidP="00C87B87">
            <w:pPr>
              <w:spacing w:before="0" w:after="0" w:line="240" w:lineRule="auto"/>
              <w:jc w:val="right"/>
              <w:rPr>
                <w:rFonts w:cs="Arial"/>
                <w:b/>
                <w:color w:val="F1F2F2"/>
                <w:sz w:val="21"/>
                <w:szCs w:val="21"/>
                <w:lang w:eastAsia="en-AU"/>
              </w:rPr>
            </w:pPr>
            <w:r w:rsidRPr="00C87B87">
              <w:rPr>
                <w:rFonts w:cs="Arial"/>
                <w:b/>
                <w:color w:val="F1F2F2"/>
                <w:sz w:val="21"/>
                <w:szCs w:val="21"/>
                <w:lang w:eastAsia="en-AU"/>
              </w:rPr>
              <w:t>2019-20</w:t>
            </w:r>
          </w:p>
        </w:tc>
        <w:tc>
          <w:tcPr>
            <w:tcW w:w="1163"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779AA386" w14:textId="77777777" w:rsidR="00C87B87" w:rsidRPr="00C87B87" w:rsidRDefault="00C87B87" w:rsidP="00C87B87">
            <w:pPr>
              <w:spacing w:before="0" w:after="0" w:line="240" w:lineRule="auto"/>
              <w:jc w:val="right"/>
              <w:rPr>
                <w:rFonts w:cs="Arial"/>
                <w:b/>
                <w:color w:val="F1F2F2"/>
                <w:sz w:val="21"/>
                <w:szCs w:val="21"/>
                <w:lang w:eastAsia="en-AU"/>
              </w:rPr>
            </w:pPr>
            <w:r w:rsidRPr="00C87B87">
              <w:rPr>
                <w:rFonts w:cs="Arial"/>
                <w:b/>
                <w:color w:val="F1F2F2"/>
                <w:sz w:val="21"/>
                <w:szCs w:val="21"/>
                <w:lang w:eastAsia="en-AU"/>
              </w:rPr>
              <w:t>2020-21</w:t>
            </w:r>
          </w:p>
        </w:tc>
        <w:tc>
          <w:tcPr>
            <w:tcW w:w="1162"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02803914" w14:textId="77777777" w:rsidR="00C87B87" w:rsidRPr="00C87B87" w:rsidRDefault="00C87B87" w:rsidP="00C87B87">
            <w:pPr>
              <w:spacing w:before="0" w:after="0" w:line="240" w:lineRule="auto"/>
              <w:jc w:val="right"/>
              <w:rPr>
                <w:rFonts w:cs="Arial"/>
                <w:b/>
                <w:color w:val="F1F2F2"/>
                <w:sz w:val="21"/>
                <w:szCs w:val="21"/>
                <w:lang w:eastAsia="en-AU"/>
              </w:rPr>
            </w:pPr>
            <w:r w:rsidRPr="00C87B87">
              <w:rPr>
                <w:rFonts w:cs="Arial"/>
                <w:b/>
                <w:color w:val="F1F2F2"/>
                <w:sz w:val="21"/>
                <w:szCs w:val="21"/>
                <w:lang w:eastAsia="en-AU"/>
              </w:rPr>
              <w:t>2021-22</w:t>
            </w:r>
          </w:p>
        </w:tc>
        <w:tc>
          <w:tcPr>
            <w:tcW w:w="1163" w:type="dxa"/>
            <w:tcBorders>
              <w:top w:val="single" w:sz="4" w:space="0" w:color="1E1545"/>
              <w:left w:val="single" w:sz="4" w:space="0" w:color="1E1545"/>
              <w:bottom w:val="single" w:sz="4" w:space="0" w:color="1E1545"/>
              <w:right w:val="single" w:sz="4" w:space="0" w:color="1E1545"/>
            </w:tcBorders>
            <w:shd w:val="clear" w:color="000000" w:fill="1E1545"/>
            <w:noWrap/>
            <w:vAlign w:val="bottom"/>
            <w:hideMark/>
          </w:tcPr>
          <w:p w14:paraId="0C1A6F3D" w14:textId="77777777" w:rsidR="00C87B87" w:rsidRPr="00C87B87" w:rsidRDefault="00C87B87" w:rsidP="00C87B87">
            <w:pPr>
              <w:spacing w:before="0" w:after="0" w:line="240" w:lineRule="auto"/>
              <w:jc w:val="right"/>
              <w:rPr>
                <w:rFonts w:cs="Arial"/>
                <w:b/>
                <w:color w:val="F1F2F2"/>
                <w:sz w:val="21"/>
                <w:szCs w:val="21"/>
                <w:lang w:eastAsia="en-AU"/>
              </w:rPr>
            </w:pPr>
            <w:r w:rsidRPr="00C87B87">
              <w:rPr>
                <w:rFonts w:cs="Arial"/>
                <w:b/>
                <w:color w:val="F1F2F2"/>
                <w:sz w:val="21"/>
                <w:szCs w:val="21"/>
                <w:lang w:eastAsia="en-AU"/>
              </w:rPr>
              <w:t>2022-23</w:t>
            </w:r>
          </w:p>
        </w:tc>
      </w:tr>
      <w:tr w:rsidR="00C87B87" w:rsidRPr="00C87B87" w14:paraId="49AC1AD2" w14:textId="77777777" w:rsidTr="00296309">
        <w:trPr>
          <w:trHeight w:val="315"/>
        </w:trPr>
        <w:tc>
          <w:tcPr>
            <w:tcW w:w="3397" w:type="dxa"/>
            <w:tcBorders>
              <w:top w:val="nil"/>
              <w:left w:val="nil"/>
              <w:bottom w:val="single" w:sz="8" w:space="0" w:color="auto"/>
              <w:right w:val="nil"/>
            </w:tcBorders>
            <w:shd w:val="clear" w:color="000000" w:fill="FFFFFF"/>
            <w:vAlign w:val="center"/>
            <w:hideMark/>
          </w:tcPr>
          <w:p w14:paraId="056ABB1E" w14:textId="77777777" w:rsidR="00C87B87" w:rsidRPr="00C87B87" w:rsidRDefault="00C87B87" w:rsidP="00C87B87">
            <w:pPr>
              <w:spacing w:before="0" w:after="0" w:line="240" w:lineRule="auto"/>
              <w:rPr>
                <w:rFonts w:cs="Arial"/>
                <w:bCs w:val="0"/>
                <w:color w:val="auto"/>
                <w:sz w:val="21"/>
                <w:szCs w:val="21"/>
                <w:lang w:eastAsia="en-AU"/>
              </w:rPr>
            </w:pPr>
            <w:r w:rsidRPr="00C87B87">
              <w:rPr>
                <w:rFonts w:cs="Arial"/>
                <w:bCs w:val="0"/>
                <w:color w:val="auto"/>
                <w:sz w:val="21"/>
                <w:szCs w:val="21"/>
                <w:lang w:eastAsia="en-AU"/>
              </w:rPr>
              <w:t>CALD CHSP recipients</w:t>
            </w:r>
          </w:p>
        </w:tc>
        <w:tc>
          <w:tcPr>
            <w:tcW w:w="1162" w:type="dxa"/>
            <w:tcBorders>
              <w:top w:val="nil"/>
              <w:left w:val="nil"/>
              <w:bottom w:val="single" w:sz="8" w:space="0" w:color="auto"/>
              <w:right w:val="nil"/>
            </w:tcBorders>
            <w:shd w:val="clear" w:color="000000" w:fill="FFFFFF"/>
            <w:vAlign w:val="center"/>
            <w:hideMark/>
          </w:tcPr>
          <w:p w14:paraId="6A992305"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166,755</w:t>
            </w:r>
          </w:p>
        </w:tc>
        <w:tc>
          <w:tcPr>
            <w:tcW w:w="1162" w:type="dxa"/>
            <w:tcBorders>
              <w:top w:val="nil"/>
              <w:left w:val="nil"/>
              <w:bottom w:val="single" w:sz="8" w:space="0" w:color="auto"/>
              <w:right w:val="nil"/>
            </w:tcBorders>
            <w:shd w:val="clear" w:color="000000" w:fill="FFFFFF"/>
            <w:vAlign w:val="center"/>
            <w:hideMark/>
          </w:tcPr>
          <w:p w14:paraId="0FE16EB4"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172,006</w:t>
            </w:r>
          </w:p>
        </w:tc>
        <w:tc>
          <w:tcPr>
            <w:tcW w:w="1163" w:type="dxa"/>
            <w:tcBorders>
              <w:top w:val="nil"/>
              <w:left w:val="nil"/>
              <w:bottom w:val="single" w:sz="8" w:space="0" w:color="auto"/>
              <w:right w:val="nil"/>
            </w:tcBorders>
            <w:shd w:val="clear" w:color="000000" w:fill="FFFFFF"/>
            <w:vAlign w:val="center"/>
            <w:hideMark/>
          </w:tcPr>
          <w:p w14:paraId="5660BAD8"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166,943</w:t>
            </w:r>
          </w:p>
        </w:tc>
        <w:tc>
          <w:tcPr>
            <w:tcW w:w="1162" w:type="dxa"/>
            <w:tcBorders>
              <w:top w:val="nil"/>
              <w:left w:val="nil"/>
              <w:bottom w:val="single" w:sz="8" w:space="0" w:color="auto"/>
              <w:right w:val="nil"/>
            </w:tcBorders>
            <w:shd w:val="clear" w:color="000000" w:fill="FFFFFF"/>
            <w:vAlign w:val="center"/>
            <w:hideMark/>
          </w:tcPr>
          <w:p w14:paraId="57ECC6EF"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166,830</w:t>
            </w:r>
          </w:p>
        </w:tc>
        <w:tc>
          <w:tcPr>
            <w:tcW w:w="1163" w:type="dxa"/>
            <w:tcBorders>
              <w:top w:val="nil"/>
              <w:left w:val="nil"/>
              <w:bottom w:val="single" w:sz="8" w:space="0" w:color="auto"/>
              <w:right w:val="nil"/>
            </w:tcBorders>
            <w:shd w:val="clear" w:color="000000" w:fill="FFFFFF"/>
            <w:vAlign w:val="center"/>
            <w:hideMark/>
          </w:tcPr>
          <w:p w14:paraId="3198B031"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165,694</w:t>
            </w:r>
          </w:p>
        </w:tc>
      </w:tr>
      <w:tr w:rsidR="00C87B87" w:rsidRPr="00C87B87" w14:paraId="6ADE13DB" w14:textId="77777777" w:rsidTr="00296309">
        <w:trPr>
          <w:trHeight w:val="343"/>
        </w:trPr>
        <w:tc>
          <w:tcPr>
            <w:tcW w:w="3397" w:type="dxa"/>
            <w:tcBorders>
              <w:top w:val="nil"/>
              <w:left w:val="nil"/>
              <w:bottom w:val="single" w:sz="8" w:space="0" w:color="auto"/>
              <w:right w:val="nil"/>
            </w:tcBorders>
            <w:shd w:val="clear" w:color="000000" w:fill="FFFFFF"/>
            <w:vAlign w:val="center"/>
            <w:hideMark/>
          </w:tcPr>
          <w:p w14:paraId="6A8DCE04" w14:textId="70506857" w:rsidR="00C87B87" w:rsidRPr="00C87B87" w:rsidRDefault="00C87B87" w:rsidP="00C87B87">
            <w:pPr>
              <w:spacing w:before="0" w:after="0" w:line="240" w:lineRule="auto"/>
              <w:rPr>
                <w:rFonts w:cs="Arial"/>
                <w:bCs w:val="0"/>
                <w:color w:val="auto"/>
                <w:sz w:val="21"/>
                <w:szCs w:val="21"/>
                <w:lang w:eastAsia="en-AU"/>
              </w:rPr>
            </w:pPr>
            <w:r w:rsidRPr="00C87B87">
              <w:rPr>
                <w:rFonts w:cs="Arial"/>
                <w:bCs w:val="0"/>
                <w:color w:val="auto"/>
                <w:sz w:val="21"/>
                <w:szCs w:val="21"/>
                <w:lang w:eastAsia="en-AU"/>
              </w:rPr>
              <w:t xml:space="preserve">First Nations </w:t>
            </w:r>
            <w:r w:rsidR="003835AB">
              <w:rPr>
                <w:rFonts w:cs="Arial"/>
                <w:bCs w:val="0"/>
                <w:color w:val="auto"/>
                <w:sz w:val="21"/>
                <w:szCs w:val="21"/>
                <w:lang w:eastAsia="en-AU"/>
              </w:rPr>
              <w:t>people</w:t>
            </w:r>
            <w:r w:rsidR="003835AB" w:rsidRPr="00C87B87">
              <w:rPr>
                <w:rFonts w:cs="Arial"/>
                <w:bCs w:val="0"/>
                <w:color w:val="auto"/>
                <w:sz w:val="21"/>
                <w:szCs w:val="21"/>
                <w:lang w:eastAsia="en-AU"/>
              </w:rPr>
              <w:t xml:space="preserve"> </w:t>
            </w:r>
            <w:r w:rsidRPr="00C87B87">
              <w:rPr>
                <w:rFonts w:cs="Arial"/>
                <w:bCs w:val="0"/>
                <w:color w:val="auto"/>
                <w:sz w:val="21"/>
                <w:szCs w:val="21"/>
                <w:lang w:eastAsia="en-AU"/>
              </w:rPr>
              <w:t>CHSP recipients</w:t>
            </w:r>
          </w:p>
        </w:tc>
        <w:tc>
          <w:tcPr>
            <w:tcW w:w="1162" w:type="dxa"/>
            <w:tcBorders>
              <w:top w:val="nil"/>
              <w:left w:val="nil"/>
              <w:bottom w:val="single" w:sz="8" w:space="0" w:color="auto"/>
              <w:right w:val="nil"/>
            </w:tcBorders>
            <w:shd w:val="clear" w:color="000000" w:fill="FFFFFF"/>
            <w:vAlign w:val="center"/>
            <w:hideMark/>
          </w:tcPr>
          <w:p w14:paraId="5D256696"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22,148</w:t>
            </w:r>
          </w:p>
        </w:tc>
        <w:tc>
          <w:tcPr>
            <w:tcW w:w="1162" w:type="dxa"/>
            <w:tcBorders>
              <w:top w:val="nil"/>
              <w:left w:val="nil"/>
              <w:bottom w:val="single" w:sz="8" w:space="0" w:color="auto"/>
              <w:right w:val="nil"/>
            </w:tcBorders>
            <w:shd w:val="clear" w:color="000000" w:fill="FFFFFF"/>
            <w:vAlign w:val="center"/>
            <w:hideMark/>
          </w:tcPr>
          <w:p w14:paraId="7EDD8159"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22,303</w:t>
            </w:r>
          </w:p>
        </w:tc>
        <w:tc>
          <w:tcPr>
            <w:tcW w:w="1163" w:type="dxa"/>
            <w:tcBorders>
              <w:top w:val="nil"/>
              <w:left w:val="nil"/>
              <w:bottom w:val="single" w:sz="8" w:space="0" w:color="auto"/>
              <w:right w:val="nil"/>
            </w:tcBorders>
            <w:shd w:val="clear" w:color="000000" w:fill="FFFFFF"/>
            <w:vAlign w:val="center"/>
            <w:hideMark/>
          </w:tcPr>
          <w:p w14:paraId="12B83303"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22,986</w:t>
            </w:r>
          </w:p>
        </w:tc>
        <w:tc>
          <w:tcPr>
            <w:tcW w:w="1162" w:type="dxa"/>
            <w:tcBorders>
              <w:top w:val="nil"/>
              <w:left w:val="nil"/>
              <w:bottom w:val="single" w:sz="8" w:space="0" w:color="auto"/>
              <w:right w:val="nil"/>
            </w:tcBorders>
            <w:shd w:val="clear" w:color="000000" w:fill="FFFFFF"/>
            <w:vAlign w:val="center"/>
            <w:hideMark/>
          </w:tcPr>
          <w:p w14:paraId="3F89C159"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22,452</w:t>
            </w:r>
          </w:p>
        </w:tc>
        <w:tc>
          <w:tcPr>
            <w:tcW w:w="1163" w:type="dxa"/>
            <w:tcBorders>
              <w:top w:val="nil"/>
              <w:left w:val="nil"/>
              <w:bottom w:val="single" w:sz="8" w:space="0" w:color="auto"/>
              <w:right w:val="nil"/>
            </w:tcBorders>
            <w:shd w:val="clear" w:color="000000" w:fill="FFFFFF"/>
            <w:vAlign w:val="center"/>
            <w:hideMark/>
          </w:tcPr>
          <w:p w14:paraId="22CB4335"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22,630</w:t>
            </w:r>
          </w:p>
        </w:tc>
      </w:tr>
      <w:tr w:rsidR="00C87B87" w:rsidRPr="00C87B87" w14:paraId="590C0A0F" w14:textId="77777777" w:rsidTr="00296309">
        <w:trPr>
          <w:trHeight w:val="300"/>
        </w:trPr>
        <w:tc>
          <w:tcPr>
            <w:tcW w:w="3397" w:type="dxa"/>
            <w:tcBorders>
              <w:top w:val="nil"/>
              <w:left w:val="nil"/>
              <w:bottom w:val="single" w:sz="8" w:space="0" w:color="auto"/>
              <w:right w:val="nil"/>
            </w:tcBorders>
            <w:shd w:val="clear" w:color="000000" w:fill="FFFFFF"/>
            <w:vAlign w:val="center"/>
            <w:hideMark/>
          </w:tcPr>
          <w:p w14:paraId="64AC9CF6" w14:textId="77777777" w:rsidR="00C87B87" w:rsidRPr="00C87B87" w:rsidRDefault="00C87B87" w:rsidP="00C87B87">
            <w:pPr>
              <w:spacing w:before="0" w:after="0" w:line="240" w:lineRule="auto"/>
              <w:rPr>
                <w:rFonts w:cs="Arial"/>
                <w:bCs w:val="0"/>
                <w:color w:val="auto"/>
                <w:sz w:val="21"/>
                <w:szCs w:val="21"/>
                <w:lang w:eastAsia="en-AU"/>
              </w:rPr>
            </w:pPr>
            <w:r w:rsidRPr="00C87B87">
              <w:rPr>
                <w:rFonts w:cs="Arial"/>
                <w:bCs w:val="0"/>
                <w:color w:val="auto"/>
                <w:sz w:val="21"/>
                <w:szCs w:val="21"/>
                <w:lang w:eastAsia="en-AU"/>
              </w:rPr>
              <w:t xml:space="preserve">Other CHSP recipients </w:t>
            </w:r>
          </w:p>
        </w:tc>
        <w:tc>
          <w:tcPr>
            <w:tcW w:w="1162" w:type="dxa"/>
            <w:tcBorders>
              <w:top w:val="nil"/>
              <w:left w:val="nil"/>
              <w:bottom w:val="single" w:sz="8" w:space="0" w:color="auto"/>
              <w:right w:val="nil"/>
            </w:tcBorders>
            <w:shd w:val="clear" w:color="000000" w:fill="FFFFFF"/>
            <w:vAlign w:val="center"/>
            <w:hideMark/>
          </w:tcPr>
          <w:p w14:paraId="4D0E727E"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652,081</w:t>
            </w:r>
          </w:p>
        </w:tc>
        <w:tc>
          <w:tcPr>
            <w:tcW w:w="1162" w:type="dxa"/>
            <w:tcBorders>
              <w:top w:val="nil"/>
              <w:left w:val="nil"/>
              <w:bottom w:val="single" w:sz="8" w:space="0" w:color="auto"/>
              <w:right w:val="nil"/>
            </w:tcBorders>
            <w:shd w:val="clear" w:color="000000" w:fill="FFFFFF"/>
            <w:vAlign w:val="center"/>
            <w:hideMark/>
          </w:tcPr>
          <w:p w14:paraId="3E4B1F8B"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645,064</w:t>
            </w:r>
          </w:p>
        </w:tc>
        <w:tc>
          <w:tcPr>
            <w:tcW w:w="1163" w:type="dxa"/>
            <w:tcBorders>
              <w:top w:val="nil"/>
              <w:left w:val="nil"/>
              <w:bottom w:val="single" w:sz="8" w:space="0" w:color="auto"/>
              <w:right w:val="nil"/>
            </w:tcBorders>
            <w:shd w:val="clear" w:color="000000" w:fill="FFFFFF"/>
            <w:vAlign w:val="center"/>
            <w:hideMark/>
          </w:tcPr>
          <w:p w14:paraId="6305F42E"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635,454</w:t>
            </w:r>
          </w:p>
        </w:tc>
        <w:tc>
          <w:tcPr>
            <w:tcW w:w="1162" w:type="dxa"/>
            <w:tcBorders>
              <w:top w:val="nil"/>
              <w:left w:val="nil"/>
              <w:bottom w:val="single" w:sz="8" w:space="0" w:color="auto"/>
              <w:right w:val="nil"/>
            </w:tcBorders>
            <w:shd w:val="clear" w:color="000000" w:fill="FFFFFF"/>
            <w:vAlign w:val="center"/>
            <w:hideMark/>
          </w:tcPr>
          <w:p w14:paraId="76757CFF"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628,946</w:t>
            </w:r>
          </w:p>
        </w:tc>
        <w:tc>
          <w:tcPr>
            <w:tcW w:w="1163" w:type="dxa"/>
            <w:tcBorders>
              <w:top w:val="nil"/>
              <w:left w:val="nil"/>
              <w:bottom w:val="single" w:sz="8" w:space="0" w:color="auto"/>
              <w:right w:val="nil"/>
            </w:tcBorders>
            <w:shd w:val="clear" w:color="000000" w:fill="FFFFFF"/>
            <w:vAlign w:val="center"/>
            <w:hideMark/>
          </w:tcPr>
          <w:p w14:paraId="14493F3F" w14:textId="77777777" w:rsidR="00C87B87" w:rsidRPr="00C87B87" w:rsidRDefault="00C87B87" w:rsidP="00C87B87">
            <w:pPr>
              <w:spacing w:before="0" w:after="0" w:line="240" w:lineRule="auto"/>
              <w:jc w:val="right"/>
              <w:rPr>
                <w:rFonts w:cs="Arial"/>
                <w:bCs w:val="0"/>
                <w:color w:val="auto"/>
                <w:sz w:val="21"/>
                <w:szCs w:val="21"/>
                <w:lang w:eastAsia="en-AU"/>
              </w:rPr>
            </w:pPr>
            <w:r w:rsidRPr="00C87B87">
              <w:rPr>
                <w:rFonts w:cs="Arial"/>
                <w:bCs w:val="0"/>
                <w:color w:val="auto"/>
                <w:sz w:val="21"/>
                <w:szCs w:val="21"/>
                <w:lang w:eastAsia="en-AU"/>
              </w:rPr>
              <w:t>627,808</w:t>
            </w:r>
          </w:p>
        </w:tc>
      </w:tr>
      <w:tr w:rsidR="00C87B87" w:rsidRPr="00C87B87" w14:paraId="7FEC8C14" w14:textId="77777777" w:rsidTr="00296309">
        <w:trPr>
          <w:trHeight w:val="300"/>
        </w:trPr>
        <w:tc>
          <w:tcPr>
            <w:tcW w:w="3397" w:type="dxa"/>
            <w:tcBorders>
              <w:top w:val="nil"/>
              <w:left w:val="nil"/>
              <w:bottom w:val="single" w:sz="8" w:space="0" w:color="auto"/>
              <w:right w:val="nil"/>
            </w:tcBorders>
            <w:shd w:val="clear" w:color="000000" w:fill="D8DADA"/>
            <w:vAlign w:val="center"/>
            <w:hideMark/>
          </w:tcPr>
          <w:p w14:paraId="3DEAC7CD" w14:textId="77777777" w:rsidR="00C87B87" w:rsidRPr="00C87B87" w:rsidRDefault="00C87B87" w:rsidP="00C87B87">
            <w:pPr>
              <w:spacing w:before="0" w:after="0" w:line="240" w:lineRule="auto"/>
              <w:rPr>
                <w:rFonts w:cs="Arial"/>
                <w:b/>
                <w:color w:val="auto"/>
                <w:sz w:val="21"/>
                <w:szCs w:val="21"/>
                <w:lang w:eastAsia="en-AU"/>
              </w:rPr>
            </w:pPr>
            <w:r w:rsidRPr="00C87B87">
              <w:rPr>
                <w:rFonts w:cs="Arial"/>
                <w:b/>
                <w:color w:val="auto"/>
                <w:sz w:val="21"/>
                <w:szCs w:val="21"/>
                <w:lang w:eastAsia="en-AU"/>
              </w:rPr>
              <w:t>Total CHSP recipients</w:t>
            </w:r>
          </w:p>
        </w:tc>
        <w:tc>
          <w:tcPr>
            <w:tcW w:w="1162" w:type="dxa"/>
            <w:tcBorders>
              <w:top w:val="nil"/>
              <w:left w:val="nil"/>
              <w:bottom w:val="single" w:sz="8" w:space="0" w:color="auto"/>
              <w:right w:val="nil"/>
            </w:tcBorders>
            <w:shd w:val="clear" w:color="000000" w:fill="D8DADA"/>
            <w:vAlign w:val="center"/>
            <w:hideMark/>
          </w:tcPr>
          <w:p w14:paraId="72FFE1F4" w14:textId="77777777" w:rsidR="00C87B87" w:rsidRPr="00C87B87" w:rsidRDefault="00C87B87" w:rsidP="00C87B87">
            <w:pPr>
              <w:spacing w:before="0" w:after="0" w:line="240" w:lineRule="auto"/>
              <w:jc w:val="right"/>
              <w:rPr>
                <w:rFonts w:cs="Arial"/>
                <w:b/>
                <w:color w:val="auto"/>
                <w:sz w:val="21"/>
                <w:szCs w:val="21"/>
                <w:lang w:eastAsia="en-AU"/>
              </w:rPr>
            </w:pPr>
            <w:r w:rsidRPr="00C87B87">
              <w:rPr>
                <w:rFonts w:cs="Arial"/>
                <w:b/>
                <w:color w:val="auto"/>
                <w:sz w:val="21"/>
                <w:szCs w:val="21"/>
                <w:lang w:eastAsia="en-AU"/>
              </w:rPr>
              <w:t>840,984</w:t>
            </w:r>
          </w:p>
        </w:tc>
        <w:tc>
          <w:tcPr>
            <w:tcW w:w="1162" w:type="dxa"/>
            <w:tcBorders>
              <w:top w:val="nil"/>
              <w:left w:val="nil"/>
              <w:bottom w:val="single" w:sz="8" w:space="0" w:color="auto"/>
              <w:right w:val="nil"/>
            </w:tcBorders>
            <w:shd w:val="clear" w:color="000000" w:fill="D8DADA"/>
            <w:vAlign w:val="center"/>
            <w:hideMark/>
          </w:tcPr>
          <w:p w14:paraId="5D8C4FB7" w14:textId="77777777" w:rsidR="00C87B87" w:rsidRPr="00C87B87" w:rsidRDefault="00C87B87" w:rsidP="00C87B87">
            <w:pPr>
              <w:spacing w:before="0" w:after="0" w:line="240" w:lineRule="auto"/>
              <w:jc w:val="right"/>
              <w:rPr>
                <w:rFonts w:cs="Arial"/>
                <w:b/>
                <w:color w:val="auto"/>
                <w:sz w:val="21"/>
                <w:szCs w:val="21"/>
                <w:lang w:eastAsia="en-AU"/>
              </w:rPr>
            </w:pPr>
            <w:r w:rsidRPr="00C87B87">
              <w:rPr>
                <w:rFonts w:cs="Arial"/>
                <w:b/>
                <w:color w:val="auto"/>
                <w:sz w:val="21"/>
                <w:szCs w:val="21"/>
                <w:lang w:eastAsia="en-AU"/>
              </w:rPr>
              <w:t>839,373</w:t>
            </w:r>
          </w:p>
        </w:tc>
        <w:tc>
          <w:tcPr>
            <w:tcW w:w="1163" w:type="dxa"/>
            <w:tcBorders>
              <w:top w:val="nil"/>
              <w:left w:val="nil"/>
              <w:bottom w:val="single" w:sz="8" w:space="0" w:color="auto"/>
              <w:right w:val="nil"/>
            </w:tcBorders>
            <w:shd w:val="clear" w:color="000000" w:fill="D8DADA"/>
            <w:vAlign w:val="center"/>
            <w:hideMark/>
          </w:tcPr>
          <w:p w14:paraId="6ADB05E8" w14:textId="77777777" w:rsidR="00C87B87" w:rsidRPr="00C87B87" w:rsidRDefault="00C87B87" w:rsidP="00C87B87">
            <w:pPr>
              <w:spacing w:before="0" w:after="0" w:line="240" w:lineRule="auto"/>
              <w:jc w:val="right"/>
              <w:rPr>
                <w:rFonts w:cs="Arial"/>
                <w:b/>
                <w:color w:val="auto"/>
                <w:sz w:val="21"/>
                <w:szCs w:val="21"/>
                <w:lang w:eastAsia="en-AU"/>
              </w:rPr>
            </w:pPr>
            <w:r w:rsidRPr="00C87B87">
              <w:rPr>
                <w:rFonts w:cs="Arial"/>
                <w:b/>
                <w:color w:val="auto"/>
                <w:sz w:val="21"/>
                <w:szCs w:val="21"/>
                <w:lang w:eastAsia="en-AU"/>
              </w:rPr>
              <w:t>825,383</w:t>
            </w:r>
          </w:p>
        </w:tc>
        <w:tc>
          <w:tcPr>
            <w:tcW w:w="1162" w:type="dxa"/>
            <w:tcBorders>
              <w:top w:val="nil"/>
              <w:left w:val="nil"/>
              <w:bottom w:val="single" w:sz="8" w:space="0" w:color="auto"/>
              <w:right w:val="nil"/>
            </w:tcBorders>
            <w:shd w:val="clear" w:color="000000" w:fill="D8DADA"/>
            <w:vAlign w:val="center"/>
            <w:hideMark/>
          </w:tcPr>
          <w:p w14:paraId="6F7E7ABB" w14:textId="77777777" w:rsidR="00C87B87" w:rsidRPr="00C87B87" w:rsidRDefault="00C87B87" w:rsidP="00C87B87">
            <w:pPr>
              <w:spacing w:before="0" w:after="0" w:line="240" w:lineRule="auto"/>
              <w:jc w:val="right"/>
              <w:rPr>
                <w:rFonts w:cs="Arial"/>
                <w:b/>
                <w:color w:val="auto"/>
                <w:sz w:val="21"/>
                <w:szCs w:val="21"/>
                <w:lang w:eastAsia="en-AU"/>
              </w:rPr>
            </w:pPr>
            <w:r w:rsidRPr="00C87B87">
              <w:rPr>
                <w:rFonts w:cs="Arial"/>
                <w:b/>
                <w:color w:val="auto"/>
                <w:sz w:val="21"/>
                <w:szCs w:val="21"/>
                <w:lang w:eastAsia="en-AU"/>
              </w:rPr>
              <w:t>818,228</w:t>
            </w:r>
          </w:p>
        </w:tc>
        <w:tc>
          <w:tcPr>
            <w:tcW w:w="1163" w:type="dxa"/>
            <w:tcBorders>
              <w:top w:val="nil"/>
              <w:left w:val="nil"/>
              <w:bottom w:val="single" w:sz="8" w:space="0" w:color="auto"/>
              <w:right w:val="nil"/>
            </w:tcBorders>
            <w:shd w:val="clear" w:color="000000" w:fill="D8DADA"/>
            <w:vAlign w:val="center"/>
            <w:hideMark/>
          </w:tcPr>
          <w:p w14:paraId="62375609" w14:textId="77777777" w:rsidR="00C87B87" w:rsidRPr="00C87B87" w:rsidRDefault="00C87B87" w:rsidP="00C87B87">
            <w:pPr>
              <w:spacing w:before="0" w:after="0" w:line="240" w:lineRule="auto"/>
              <w:jc w:val="right"/>
              <w:rPr>
                <w:rFonts w:cs="Arial"/>
                <w:b/>
                <w:color w:val="auto"/>
                <w:sz w:val="21"/>
                <w:szCs w:val="21"/>
                <w:lang w:eastAsia="en-AU"/>
              </w:rPr>
            </w:pPr>
            <w:r w:rsidRPr="00C87B87">
              <w:rPr>
                <w:rFonts w:cs="Arial"/>
                <w:b/>
                <w:color w:val="auto"/>
                <w:sz w:val="21"/>
                <w:szCs w:val="21"/>
                <w:lang w:eastAsia="en-AU"/>
              </w:rPr>
              <w:t>816,132</w:t>
            </w:r>
          </w:p>
        </w:tc>
      </w:tr>
    </w:tbl>
    <w:p w14:paraId="3224F58B" w14:textId="77777777" w:rsidR="00560557" w:rsidRPr="005D08AA" w:rsidRDefault="00560557" w:rsidP="00560557">
      <w:pPr>
        <w:pStyle w:val="Heading2"/>
      </w:pPr>
      <w:bookmarkStart w:id="211" w:name="_Toc149245329"/>
      <w:bookmarkStart w:id="212" w:name="_Toc173428612"/>
      <w:r w:rsidRPr="005D08AA">
        <w:t>Providers</w:t>
      </w:r>
      <w:bookmarkEnd w:id="211"/>
      <w:bookmarkEnd w:id="212"/>
    </w:p>
    <w:p w14:paraId="4A221123" w14:textId="2657FE50" w:rsidR="00991BE8" w:rsidRPr="005D08AA" w:rsidRDefault="00171F31" w:rsidP="00991BE8">
      <w:pPr>
        <w:rPr>
          <w:color w:val="1E1545"/>
        </w:rPr>
      </w:pPr>
      <w:r>
        <w:rPr>
          <w:color w:val="1E1545"/>
        </w:rPr>
        <w:t>In 2022-23, t</w:t>
      </w:r>
      <w:r w:rsidRPr="005D08AA">
        <w:rPr>
          <w:color w:val="1E1545"/>
        </w:rPr>
        <w:t xml:space="preserve">he number of CHSP providers continued to decline slightly. </w:t>
      </w:r>
    </w:p>
    <w:p w14:paraId="17F84136" w14:textId="2C163CB1" w:rsidR="00171F31" w:rsidRPr="005D08AA" w:rsidRDefault="00AF7205" w:rsidP="00171F31">
      <w:pPr>
        <w:rPr>
          <w:color w:val="1E1545"/>
        </w:rPr>
      </w:pPr>
      <w:r>
        <w:rPr>
          <w:color w:val="1E1545"/>
        </w:rPr>
        <w:fldChar w:fldCharType="begin"/>
      </w:r>
      <w:r>
        <w:rPr>
          <w:color w:val="1E1545"/>
        </w:rPr>
        <w:instrText xml:space="preserve"> REF _Ref161388826 \h </w:instrText>
      </w:r>
      <w:r>
        <w:rPr>
          <w:color w:val="1E1545"/>
        </w:rPr>
      </w:r>
      <w:r>
        <w:rPr>
          <w:color w:val="1E1545"/>
        </w:rPr>
        <w:fldChar w:fldCharType="separate"/>
      </w:r>
      <w:r w:rsidR="001377BE">
        <w:t xml:space="preserve">Chart </w:t>
      </w:r>
      <w:r w:rsidR="001377BE">
        <w:rPr>
          <w:noProof/>
        </w:rPr>
        <w:t>5</w:t>
      </w:r>
      <w:r w:rsidR="001377BE">
        <w:t>.</w:t>
      </w:r>
      <w:r w:rsidR="001377BE">
        <w:rPr>
          <w:noProof/>
        </w:rPr>
        <w:t>1</w:t>
      </w:r>
      <w:r>
        <w:rPr>
          <w:color w:val="1E1545"/>
        </w:rPr>
        <w:fldChar w:fldCharType="end"/>
      </w:r>
      <w:r>
        <w:rPr>
          <w:color w:val="1E1545"/>
        </w:rPr>
        <w:t xml:space="preserve"> </w:t>
      </w:r>
      <w:r w:rsidR="00171F31" w:rsidRPr="005D08AA">
        <w:rPr>
          <w:color w:val="1E1545"/>
        </w:rPr>
        <w:t xml:space="preserve">shows there </w:t>
      </w:r>
      <w:r w:rsidR="00171F31">
        <w:rPr>
          <w:color w:val="1E1545"/>
        </w:rPr>
        <w:t>were</w:t>
      </w:r>
      <w:r w:rsidR="00171F31" w:rsidRPr="005D08AA">
        <w:rPr>
          <w:color w:val="1E1545"/>
        </w:rPr>
        <w:t xml:space="preserve"> 1,</w:t>
      </w:r>
      <w:r>
        <w:rPr>
          <w:color w:val="1E1545"/>
        </w:rPr>
        <w:t>334</w:t>
      </w:r>
      <w:r w:rsidR="00171F31" w:rsidRPr="005D08AA">
        <w:rPr>
          <w:color w:val="1E1545"/>
        </w:rPr>
        <w:t xml:space="preserve"> CHSP providers in 2022</w:t>
      </w:r>
      <w:r>
        <w:rPr>
          <w:color w:val="1E1545"/>
        </w:rPr>
        <w:t>-23</w:t>
      </w:r>
      <w:r w:rsidR="00171F31" w:rsidRPr="005D08AA">
        <w:rPr>
          <w:color w:val="1E1545"/>
        </w:rPr>
        <w:t xml:space="preserve">, down </w:t>
      </w:r>
      <w:r w:rsidR="00DC02C7">
        <w:rPr>
          <w:color w:val="1E1545"/>
        </w:rPr>
        <w:t>73</w:t>
      </w:r>
      <w:r w:rsidR="00171F31" w:rsidRPr="005D08AA">
        <w:rPr>
          <w:color w:val="1E1545"/>
        </w:rPr>
        <w:t xml:space="preserve"> providers </w:t>
      </w:r>
      <w:r w:rsidR="00F966D6">
        <w:rPr>
          <w:color w:val="1E1545"/>
        </w:rPr>
        <w:t>from</w:t>
      </w:r>
      <w:r w:rsidR="00171F31" w:rsidRPr="005D08AA">
        <w:rPr>
          <w:color w:val="1E1545"/>
        </w:rPr>
        <w:t xml:space="preserve"> 2021</w:t>
      </w:r>
      <w:r w:rsidR="00DC02C7">
        <w:rPr>
          <w:color w:val="1E1545"/>
        </w:rPr>
        <w:t>-22</w:t>
      </w:r>
      <w:r w:rsidR="00171F31" w:rsidRPr="005D08AA">
        <w:rPr>
          <w:color w:val="1E1545"/>
        </w:rPr>
        <w:t>.</w:t>
      </w:r>
    </w:p>
    <w:p w14:paraId="573FF3C6" w14:textId="4C34056F" w:rsidR="00D057E4" w:rsidRDefault="00171F31" w:rsidP="00171F31">
      <w:r>
        <w:rPr>
          <w:color w:val="1E1545" w:themeColor="text2"/>
        </w:rPr>
        <w:t>T</w:t>
      </w:r>
      <w:r w:rsidRPr="1D879BD6">
        <w:rPr>
          <w:color w:val="1E1545" w:themeColor="text2"/>
        </w:rPr>
        <w:t>he proportion</w:t>
      </w:r>
      <w:r>
        <w:rPr>
          <w:color w:val="1E1545" w:themeColor="text2"/>
        </w:rPr>
        <w:t xml:space="preserve"> of</w:t>
      </w:r>
      <w:r w:rsidRPr="1D879BD6">
        <w:rPr>
          <w:color w:val="1E1545" w:themeColor="text2"/>
        </w:rPr>
        <w:t xml:space="preserve"> for-profit providers </w:t>
      </w:r>
      <w:r w:rsidR="005743FC">
        <w:rPr>
          <w:color w:val="1E1545" w:themeColor="text2"/>
        </w:rPr>
        <w:t>de</w:t>
      </w:r>
      <w:r w:rsidRPr="1D879BD6">
        <w:rPr>
          <w:color w:val="1E1545" w:themeColor="text2"/>
        </w:rPr>
        <w:t xml:space="preserve">creased from </w:t>
      </w:r>
      <w:r w:rsidR="005743FC">
        <w:rPr>
          <w:color w:val="1E1545" w:themeColor="text2"/>
        </w:rPr>
        <w:t>11%</w:t>
      </w:r>
      <w:r w:rsidRPr="1D879BD6">
        <w:rPr>
          <w:color w:val="1E1545" w:themeColor="text2"/>
        </w:rPr>
        <w:t xml:space="preserve"> to </w:t>
      </w:r>
      <w:r w:rsidR="005743FC">
        <w:rPr>
          <w:color w:val="1E1545" w:themeColor="text2"/>
        </w:rPr>
        <w:t>9%</w:t>
      </w:r>
      <w:r>
        <w:rPr>
          <w:color w:val="1E1545" w:themeColor="text2"/>
        </w:rPr>
        <w:t>,</w:t>
      </w:r>
      <w:r w:rsidR="004756B7">
        <w:rPr>
          <w:color w:val="1E1545" w:themeColor="text2"/>
        </w:rPr>
        <w:t xml:space="preserve"> and</w:t>
      </w:r>
      <w:r w:rsidR="006A4980">
        <w:rPr>
          <w:color w:val="1E1545" w:themeColor="text2"/>
        </w:rPr>
        <w:t xml:space="preserve"> the proportion of</w:t>
      </w:r>
      <w:r w:rsidR="004756B7">
        <w:rPr>
          <w:color w:val="1E1545" w:themeColor="text2"/>
        </w:rPr>
        <w:t xml:space="preserve"> local sta</w:t>
      </w:r>
      <w:r w:rsidR="006A4980">
        <w:rPr>
          <w:color w:val="1E1545" w:themeColor="text2"/>
        </w:rPr>
        <w:t>te</w:t>
      </w:r>
      <w:r w:rsidR="004756B7">
        <w:rPr>
          <w:color w:val="1E1545" w:themeColor="text2"/>
        </w:rPr>
        <w:t xml:space="preserve"> and territory government providers </w:t>
      </w:r>
      <w:r w:rsidR="006A4980">
        <w:rPr>
          <w:color w:val="1E1545" w:themeColor="text2"/>
        </w:rPr>
        <w:t xml:space="preserve">also </w:t>
      </w:r>
      <w:r w:rsidR="004756B7">
        <w:rPr>
          <w:color w:val="1E1545" w:themeColor="text2"/>
        </w:rPr>
        <w:t xml:space="preserve">decreased </w:t>
      </w:r>
      <w:r w:rsidR="007120FD">
        <w:rPr>
          <w:color w:val="1E1545" w:themeColor="text2"/>
        </w:rPr>
        <w:t xml:space="preserve">from 22% to </w:t>
      </w:r>
      <w:r w:rsidR="00EC2EA5">
        <w:rPr>
          <w:color w:val="1E1545" w:themeColor="text2"/>
        </w:rPr>
        <w:t>21%</w:t>
      </w:r>
      <w:r w:rsidR="006A4980">
        <w:rPr>
          <w:color w:val="1E1545" w:themeColor="text2"/>
        </w:rPr>
        <w:t xml:space="preserve">. </w:t>
      </w:r>
      <w:r w:rsidR="00CE7B86">
        <w:rPr>
          <w:color w:val="1E1545" w:themeColor="text2"/>
        </w:rPr>
        <w:t>N</w:t>
      </w:r>
      <w:r w:rsidRPr="1D879BD6">
        <w:rPr>
          <w:color w:val="1E1545" w:themeColor="text2"/>
        </w:rPr>
        <w:t xml:space="preserve">ot-for-profit </w:t>
      </w:r>
      <w:r w:rsidR="00CE7B86">
        <w:rPr>
          <w:color w:val="1E1545" w:themeColor="text2"/>
        </w:rPr>
        <w:t xml:space="preserve">providers </w:t>
      </w:r>
      <w:r w:rsidR="005743FC">
        <w:rPr>
          <w:color w:val="1E1545" w:themeColor="text2"/>
        </w:rPr>
        <w:t>in</w:t>
      </w:r>
      <w:r w:rsidRPr="1D879BD6">
        <w:rPr>
          <w:color w:val="1E1545" w:themeColor="text2"/>
        </w:rPr>
        <w:t xml:space="preserve">creased by </w:t>
      </w:r>
      <w:r w:rsidR="004A7DC1">
        <w:rPr>
          <w:color w:val="1E1545" w:themeColor="text2"/>
        </w:rPr>
        <w:t>4</w:t>
      </w:r>
      <w:r w:rsidRPr="1D879BD6">
        <w:rPr>
          <w:color w:val="1E1545" w:themeColor="text2"/>
        </w:rPr>
        <w:t xml:space="preserve"> percentage points in 2022</w:t>
      </w:r>
      <w:r w:rsidR="004A7DC1">
        <w:rPr>
          <w:color w:val="1E1545" w:themeColor="text2"/>
        </w:rPr>
        <w:t>-23</w:t>
      </w:r>
      <w:r>
        <w:rPr>
          <w:color w:val="1E1545" w:themeColor="text2"/>
        </w:rPr>
        <w:t xml:space="preserve">. </w:t>
      </w:r>
      <w:r w:rsidR="007621A8" w:rsidRPr="00620657">
        <w:rPr>
          <w:color w:val="1E1545" w:themeColor="text2"/>
        </w:rPr>
        <w:t xml:space="preserve">Although </w:t>
      </w:r>
      <w:r w:rsidR="007621A8">
        <w:rPr>
          <w:color w:val="1E1545" w:themeColor="text2"/>
        </w:rPr>
        <w:t>not-for-profit</w:t>
      </w:r>
      <w:r w:rsidR="00657E07">
        <w:rPr>
          <w:color w:val="1E1545" w:themeColor="text2"/>
        </w:rPr>
        <w:t xml:space="preserve"> providers</w:t>
      </w:r>
      <w:r w:rsidR="007621A8" w:rsidRPr="00620657">
        <w:rPr>
          <w:color w:val="1E1545" w:themeColor="text2"/>
        </w:rPr>
        <w:t xml:space="preserve"> increased by 4 percentage points, the total increase in</w:t>
      </w:r>
      <w:r w:rsidR="007621A8">
        <w:rPr>
          <w:color w:val="1E1545" w:themeColor="text2"/>
        </w:rPr>
        <w:t xml:space="preserve"> not-for-profit</w:t>
      </w:r>
      <w:r w:rsidR="00657E07">
        <w:rPr>
          <w:color w:val="1E1545" w:themeColor="text2"/>
        </w:rPr>
        <w:t>s</w:t>
      </w:r>
      <w:r w:rsidR="007621A8" w:rsidRPr="00620657">
        <w:rPr>
          <w:color w:val="1E1545" w:themeColor="text2"/>
        </w:rPr>
        <w:t xml:space="preserve"> was only 4 providers. The change in proportions is mostly driven by the decrease in </w:t>
      </w:r>
      <w:r w:rsidR="007621A8">
        <w:rPr>
          <w:color w:val="1E1545" w:themeColor="text2"/>
        </w:rPr>
        <w:t>for-profit</w:t>
      </w:r>
      <w:r w:rsidR="007621A8" w:rsidRPr="00620657">
        <w:rPr>
          <w:color w:val="1E1545" w:themeColor="text2"/>
        </w:rPr>
        <w:t xml:space="preserve"> providers (down 33 providers) and local, state or territory providers (down 28 providers)</w:t>
      </w:r>
      <w:r w:rsidR="007621A8">
        <w:rPr>
          <w:color w:val="1E1545" w:themeColor="text2"/>
        </w:rPr>
        <w:t xml:space="preserve">. </w:t>
      </w:r>
    </w:p>
    <w:p w14:paraId="380D3189" w14:textId="7384CBAA" w:rsidR="00565E8C" w:rsidRPr="00565E8C" w:rsidRDefault="00755E30" w:rsidP="00706D0A">
      <w:pPr>
        <w:pStyle w:val="Caption"/>
      </w:pPr>
      <w:bookmarkStart w:id="213" w:name="_Ref161388826"/>
      <w:bookmarkStart w:id="214" w:name="_Ref161388823"/>
      <w:bookmarkStart w:id="215" w:name="_Toc173428952"/>
      <w:r>
        <w:t xml:space="preserve">Chart </w:t>
      </w:r>
      <w:r w:rsidR="00AE19AA">
        <w:fldChar w:fldCharType="begin"/>
      </w:r>
      <w:r w:rsidR="00AE19AA">
        <w:instrText xml:space="preserve"> STYLEREF 1 \s </w:instrText>
      </w:r>
      <w:r w:rsidR="00AE19AA">
        <w:fldChar w:fldCharType="separate"/>
      </w:r>
      <w:r w:rsidR="001377BE">
        <w:rPr>
          <w:noProof/>
        </w:rPr>
        <w:t>5</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213"/>
      <w:r>
        <w:t xml:space="preserve">: </w:t>
      </w:r>
      <w:r w:rsidRPr="00F73BC9">
        <w:t>Providers of CHSP, by ownership type, 2018</w:t>
      </w:r>
      <w:r w:rsidR="00991BE8">
        <w:t>-19</w:t>
      </w:r>
      <w:r w:rsidRPr="00F73BC9">
        <w:t xml:space="preserve"> to 2022</w:t>
      </w:r>
      <w:r w:rsidR="00991BE8">
        <w:t>-23</w:t>
      </w:r>
      <w:bookmarkEnd w:id="214"/>
      <w:bookmarkEnd w:id="215"/>
    </w:p>
    <w:p w14:paraId="63C41339" w14:textId="77777777" w:rsidR="006F4F12" w:rsidRDefault="00991BE8" w:rsidP="006F4F12">
      <w:pPr>
        <w:spacing w:before="0" w:after="0" w:line="240" w:lineRule="auto"/>
      </w:pPr>
      <w:r>
        <w:rPr>
          <w:noProof/>
        </w:rPr>
        <w:drawing>
          <wp:inline distT="0" distB="0" distL="0" distR="0" wp14:anchorId="51B64092" wp14:editId="253D546C">
            <wp:extent cx="6038854" cy="3744000"/>
            <wp:effectExtent l="0" t="0" r="0" b="8890"/>
            <wp:docPr id="2" name="Picture 2" descr="Chart 5.1 is a stacked column chart titled Providers of CHSP, by ownership type, 2018-19 to 2022-23. The total number of CHSP providers has been gradually decreasing since 2018-19. In 2022-23 the total number of providers was 1,334, down from 1,458 in 2018-19. The proportion of not-for-profits increased from 67% in 2021-22 to 71% in 2022-23. For profit providers decreased from 11% in 2021-22, to 9% in 2022-23. LST government providers made up 21% of all providers, down from 22%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5.1 is a stacked column chart titled Providers of CHSP, by ownership type, 2018-19 to 2022-23. The total number of CHSP providers has been gradually decreasing since 2018-19. In 2022-23 the total number of providers was 1,334, down from 1,458 in 2018-19. The proportion of not-for-profits increased from 67% in 2021-22 to 71% in 2022-23. For profit providers decreased from 11% in 2021-22, to 9% in 2022-23. LST government providers made up 21% of all providers, down from 22% in 2021-22.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50851" cy="3751438"/>
                    </a:xfrm>
                    <a:prstGeom prst="rect">
                      <a:avLst/>
                    </a:prstGeom>
                    <a:noFill/>
                  </pic:spPr>
                </pic:pic>
              </a:graphicData>
            </a:graphic>
          </wp:inline>
        </w:drawing>
      </w:r>
      <w:r w:rsidR="006F4F12">
        <w:br w:type="page"/>
      </w:r>
    </w:p>
    <w:p w14:paraId="21227E61" w14:textId="2C8AC99D" w:rsidR="008E1D50" w:rsidRDefault="00EA0F68" w:rsidP="00706D0A">
      <w:r>
        <w:rPr>
          <w:color w:val="1E1545"/>
        </w:rPr>
        <w:fldChar w:fldCharType="begin"/>
      </w:r>
      <w:r>
        <w:rPr>
          <w:color w:val="1E1545"/>
        </w:rPr>
        <w:instrText xml:space="preserve"> REF _Ref161389176 \h </w:instrText>
      </w:r>
      <w:r>
        <w:rPr>
          <w:color w:val="1E1545"/>
        </w:rPr>
      </w:r>
      <w:r>
        <w:rPr>
          <w:color w:val="1E1545"/>
        </w:rPr>
        <w:fldChar w:fldCharType="separate"/>
      </w:r>
      <w:r w:rsidR="001377BE">
        <w:t xml:space="preserve">Chart </w:t>
      </w:r>
      <w:r w:rsidR="001377BE">
        <w:rPr>
          <w:noProof/>
        </w:rPr>
        <w:t>5</w:t>
      </w:r>
      <w:r w:rsidR="001377BE">
        <w:t>.</w:t>
      </w:r>
      <w:r w:rsidR="001377BE">
        <w:rPr>
          <w:noProof/>
        </w:rPr>
        <w:t>2</w:t>
      </w:r>
      <w:r>
        <w:rPr>
          <w:color w:val="1E1545"/>
        </w:rPr>
        <w:fldChar w:fldCharType="end"/>
      </w:r>
      <w:r>
        <w:rPr>
          <w:color w:val="1E1545"/>
        </w:rPr>
        <w:t xml:space="preserve"> </w:t>
      </w:r>
      <w:r w:rsidRPr="005D08AA">
        <w:rPr>
          <w:color w:val="1E1545"/>
        </w:rPr>
        <w:t>shows total expenditure on home support service delivery since 2020</w:t>
      </w:r>
      <w:r w:rsidR="00412EFB">
        <w:rPr>
          <w:color w:val="1E1545"/>
        </w:rPr>
        <w:t>-21</w:t>
      </w:r>
      <w:r w:rsidRPr="005D08AA">
        <w:rPr>
          <w:color w:val="1E1545"/>
        </w:rPr>
        <w:t xml:space="preserve"> along with budgeted </w:t>
      </w:r>
      <w:r w:rsidRPr="005D08AA">
        <w:rPr>
          <w:color w:val="1E1545"/>
          <w:spacing w:val="-2"/>
        </w:rPr>
        <w:t>expenditure to</w:t>
      </w:r>
      <w:r w:rsidRPr="005D08AA">
        <w:rPr>
          <w:color w:val="1E1545"/>
          <w:spacing w:val="-7"/>
        </w:rPr>
        <w:t xml:space="preserve"> </w:t>
      </w:r>
      <w:r w:rsidRPr="005D08AA">
        <w:rPr>
          <w:color w:val="1E1545"/>
          <w:spacing w:val="-2"/>
        </w:rPr>
        <w:t>2025</w:t>
      </w:r>
      <w:r w:rsidR="00412EFB">
        <w:rPr>
          <w:color w:val="1E1545"/>
          <w:spacing w:val="-2"/>
        </w:rPr>
        <w:t>-26</w:t>
      </w:r>
      <w:r w:rsidRPr="005D08AA">
        <w:rPr>
          <w:color w:val="1E1545"/>
          <w:spacing w:val="-2"/>
        </w:rPr>
        <w:t xml:space="preserve">. Australian Government </w:t>
      </w:r>
      <w:r w:rsidR="00EA56F3">
        <w:rPr>
          <w:color w:val="1E1545"/>
        </w:rPr>
        <w:t>expenditure</w:t>
      </w:r>
      <w:r w:rsidR="00EA56F3" w:rsidRPr="005D08AA">
        <w:rPr>
          <w:color w:val="1E1545"/>
        </w:rPr>
        <w:t xml:space="preserve"> </w:t>
      </w:r>
      <w:r w:rsidRPr="005D08AA">
        <w:rPr>
          <w:color w:val="1E1545"/>
        </w:rPr>
        <w:t>for home support continues to increase each</w:t>
      </w:r>
      <w:r w:rsidRPr="005D08AA">
        <w:rPr>
          <w:color w:val="1E1545"/>
          <w:spacing w:val="-11"/>
        </w:rPr>
        <w:t xml:space="preserve"> </w:t>
      </w:r>
      <w:r w:rsidRPr="005D08AA">
        <w:rPr>
          <w:color w:val="1E1545"/>
        </w:rPr>
        <w:t>year.</w:t>
      </w:r>
      <w:r w:rsidRPr="005D08AA">
        <w:rPr>
          <w:color w:val="1E1545"/>
          <w:spacing w:val="-11"/>
        </w:rPr>
        <w:t xml:space="preserve"> </w:t>
      </w:r>
      <w:r w:rsidRPr="005D08AA">
        <w:rPr>
          <w:color w:val="1E1545"/>
        </w:rPr>
        <w:t>In</w:t>
      </w:r>
      <w:r w:rsidRPr="005D08AA">
        <w:rPr>
          <w:color w:val="1E1545"/>
          <w:spacing w:val="-11"/>
        </w:rPr>
        <w:t xml:space="preserve"> </w:t>
      </w:r>
      <w:r w:rsidRPr="005D08AA">
        <w:rPr>
          <w:color w:val="1E1545"/>
        </w:rPr>
        <w:t>2022</w:t>
      </w:r>
      <w:r w:rsidR="001A5AED">
        <w:rPr>
          <w:color w:val="1E1545"/>
        </w:rPr>
        <w:t>-23</w:t>
      </w:r>
      <w:r w:rsidRPr="005D08AA">
        <w:rPr>
          <w:color w:val="1E1545"/>
        </w:rPr>
        <w:t>,</w:t>
      </w:r>
      <w:r w:rsidRPr="005D08AA">
        <w:rPr>
          <w:color w:val="1E1545"/>
          <w:spacing w:val="-11"/>
        </w:rPr>
        <w:t xml:space="preserve"> </w:t>
      </w:r>
      <w:r w:rsidRPr="005D08AA">
        <w:rPr>
          <w:color w:val="1E1545"/>
        </w:rPr>
        <w:t>Australian</w:t>
      </w:r>
      <w:r w:rsidRPr="005D08AA">
        <w:rPr>
          <w:color w:val="1E1545"/>
          <w:spacing w:val="-11"/>
        </w:rPr>
        <w:t xml:space="preserve"> </w:t>
      </w:r>
      <w:r w:rsidRPr="005D08AA">
        <w:rPr>
          <w:color w:val="1E1545"/>
        </w:rPr>
        <w:t xml:space="preserve">Government expenditure on the CHSP </w:t>
      </w:r>
      <w:r w:rsidRPr="004552D7">
        <w:rPr>
          <w:color w:val="1E1545"/>
        </w:rPr>
        <w:t>was $2.</w:t>
      </w:r>
      <w:r w:rsidR="001A5AED">
        <w:rPr>
          <w:color w:val="1E1545"/>
        </w:rPr>
        <w:t>9</w:t>
      </w:r>
      <w:r w:rsidR="006E6A3B">
        <w:rPr>
          <w:color w:val="1E1545"/>
        </w:rPr>
        <w:t>6</w:t>
      </w:r>
      <w:r w:rsidRPr="005D08AA">
        <w:rPr>
          <w:color w:val="1E1545"/>
        </w:rPr>
        <w:t xml:space="preserve"> billion, up from $2.</w:t>
      </w:r>
      <w:r w:rsidR="001A5AED">
        <w:rPr>
          <w:color w:val="1E1545"/>
        </w:rPr>
        <w:t>86</w:t>
      </w:r>
      <w:r w:rsidRPr="005D08AA">
        <w:rPr>
          <w:color w:val="1E1545"/>
        </w:rPr>
        <w:t xml:space="preserve"> billion in 2021</w:t>
      </w:r>
      <w:r w:rsidR="001C7A01">
        <w:rPr>
          <w:color w:val="1E1545"/>
        </w:rPr>
        <w:t>-22</w:t>
      </w:r>
      <w:r w:rsidRPr="005D08AA">
        <w:rPr>
          <w:color w:val="1E1545"/>
        </w:rPr>
        <w:t xml:space="preserve">. </w:t>
      </w:r>
      <w:r w:rsidR="003E2F83">
        <w:t>An additional $53.4 million was also provided by the Australian Government to support initiatives in support of the CHSP</w:t>
      </w:r>
      <w:r w:rsidR="00DC5C21">
        <w:t>,</w:t>
      </w:r>
      <w:r w:rsidR="00807987">
        <w:t xml:space="preserve"> </w:t>
      </w:r>
      <w:r w:rsidR="0048589A">
        <w:t>which brings the total funding to $3.0</w:t>
      </w:r>
      <w:r w:rsidR="0000173E">
        <w:t>1</w:t>
      </w:r>
      <w:r w:rsidR="0048589A">
        <w:t xml:space="preserve"> billion. </w:t>
      </w:r>
      <w:r w:rsidR="00DC5C21">
        <w:t xml:space="preserve"> </w:t>
      </w:r>
    </w:p>
    <w:p w14:paraId="70B0184D" w14:textId="32730873" w:rsidR="008E1D50" w:rsidRDefault="00921A62" w:rsidP="00706D0A">
      <w:pPr>
        <w:pStyle w:val="Caption"/>
      </w:pPr>
      <w:bookmarkStart w:id="216" w:name="_Ref161389176"/>
      <w:bookmarkStart w:id="217" w:name="_Toc173428953"/>
      <w:r>
        <w:t xml:space="preserve">Chart </w:t>
      </w:r>
      <w:r w:rsidR="00AE19AA">
        <w:fldChar w:fldCharType="begin"/>
      </w:r>
      <w:r w:rsidR="00AE19AA">
        <w:instrText xml:space="preserve"> STYLEREF 1 \s </w:instrText>
      </w:r>
      <w:r w:rsidR="00AE19AA">
        <w:fldChar w:fldCharType="separate"/>
      </w:r>
      <w:r w:rsidR="001377BE">
        <w:rPr>
          <w:noProof/>
        </w:rPr>
        <w:t>5</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bookmarkEnd w:id="216"/>
      <w:r>
        <w:t xml:space="preserve">: </w:t>
      </w:r>
      <w:r w:rsidRPr="00785499">
        <w:t>Australian Government expenditure and budgeted expenditure for service delivery of CHSP, 2019-20 to 2024-25</w:t>
      </w:r>
      <w:bookmarkEnd w:id="217"/>
    </w:p>
    <w:p w14:paraId="597603F1" w14:textId="56BFFDA6" w:rsidR="002C1DA3" w:rsidRPr="002C1DA3" w:rsidRDefault="002C1DA3" w:rsidP="002C1DA3">
      <w:pPr>
        <w:pStyle w:val="Caption"/>
      </w:pPr>
      <w:r>
        <w:rPr>
          <w:noProof/>
        </w:rPr>
        <w:drawing>
          <wp:inline distT="0" distB="0" distL="0" distR="0" wp14:anchorId="2694A428" wp14:editId="026407DB">
            <wp:extent cx="5870988" cy="3211200"/>
            <wp:effectExtent l="0" t="0" r="0" b="8255"/>
            <wp:docPr id="1465481037" name="Picture 1465481037" descr="Chart 5.2 is a stacked column chart titled Australian Government expenditure and budgeted expenditure for service delivery of CHSP, 2019-20 to 2024-25. The total Australian Government funding has increased from $2.71 billion in 2020-21 to $2.96 billion in 2022-23. It is expected to increase over the next 3 years to $3.65 billion in 2025-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7" name="Picture 1465481037" descr="Chart 5.2 is a stacked column chart titled Australian Government expenditure and budgeted expenditure for service delivery of CHSP, 2019-20 to 2024-25. The total Australian Government funding has increased from $2.71 billion in 2020-21 to $2.96 billion in 2022-23. It is expected to increase over the next 3 years to $3.65 billion in 2025-26.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81612" cy="3217011"/>
                    </a:xfrm>
                    <a:prstGeom prst="rect">
                      <a:avLst/>
                    </a:prstGeom>
                    <a:noFill/>
                  </pic:spPr>
                </pic:pic>
              </a:graphicData>
            </a:graphic>
          </wp:inline>
        </w:drawing>
      </w:r>
    </w:p>
    <w:p w14:paraId="5C22FABC" w14:textId="77777777" w:rsidR="006F4F12" w:rsidRDefault="006F4F12" w:rsidP="006F4F12">
      <w:pPr>
        <w:spacing w:before="0" w:after="0" w:line="240" w:lineRule="auto"/>
      </w:pPr>
      <w:r>
        <w:br w:type="page"/>
      </w:r>
    </w:p>
    <w:p w14:paraId="27EA9299" w14:textId="288B48D2" w:rsidR="00BC6737" w:rsidRPr="00514D38" w:rsidRDefault="00BC6737" w:rsidP="00BC6737">
      <w:pPr>
        <w:rPr>
          <w:b/>
          <w:bCs w:val="0"/>
        </w:rPr>
      </w:pPr>
      <w:r w:rsidRPr="00514D38">
        <w:t>CHSP expenditure for 2020</w:t>
      </w:r>
      <w:r>
        <w:t>-21</w:t>
      </w:r>
      <w:r w:rsidRPr="00514D38">
        <w:t xml:space="preserve"> to 2022</w:t>
      </w:r>
      <w:r>
        <w:t>-23</w:t>
      </w:r>
      <w:r w:rsidRPr="00514D38">
        <w:t xml:space="preserve"> on each of the major service types is detailed in</w:t>
      </w:r>
      <w:r>
        <w:rPr>
          <w:b/>
          <w:bCs w:val="0"/>
        </w:rPr>
        <w:t xml:space="preserve"> </w:t>
      </w:r>
      <w:r>
        <w:rPr>
          <w:b/>
          <w:bCs w:val="0"/>
        </w:rPr>
        <w:fldChar w:fldCharType="begin"/>
      </w:r>
      <w:r>
        <w:rPr>
          <w:b/>
          <w:bCs w:val="0"/>
        </w:rPr>
        <w:instrText xml:space="preserve"> REF _Ref161389776 \h </w:instrText>
      </w:r>
      <w:r>
        <w:rPr>
          <w:b/>
          <w:bCs w:val="0"/>
        </w:rPr>
      </w:r>
      <w:r>
        <w:rPr>
          <w:b/>
          <w:bCs w:val="0"/>
        </w:rPr>
        <w:fldChar w:fldCharType="separate"/>
      </w:r>
      <w:r w:rsidR="001377BE">
        <w:t xml:space="preserve">Table </w:t>
      </w:r>
      <w:r w:rsidR="001377BE">
        <w:rPr>
          <w:noProof/>
        </w:rPr>
        <w:t>5</w:t>
      </w:r>
      <w:r w:rsidR="001377BE">
        <w:t>.</w:t>
      </w:r>
      <w:r w:rsidR="001377BE">
        <w:rPr>
          <w:noProof/>
        </w:rPr>
        <w:t>2</w:t>
      </w:r>
      <w:r>
        <w:rPr>
          <w:b/>
          <w:bCs w:val="0"/>
        </w:rPr>
        <w:fldChar w:fldCharType="end"/>
      </w:r>
      <w:r w:rsidRPr="00514D38">
        <w:t>. In 2022</w:t>
      </w:r>
      <w:r>
        <w:t>-23</w:t>
      </w:r>
      <w:r w:rsidRPr="00514D38">
        <w:t>, domestic assistance services was the largest expenditure category (20</w:t>
      </w:r>
      <w:r w:rsidR="008A7928">
        <w:t>%</w:t>
      </w:r>
      <w:r w:rsidRPr="00514D38">
        <w:t>) with $</w:t>
      </w:r>
      <w:r w:rsidR="00A44282">
        <w:t>573.6</w:t>
      </w:r>
      <w:r w:rsidRPr="00514D38">
        <w:t xml:space="preserve"> million in grant funding, up from </w:t>
      </w:r>
      <w:r w:rsidR="005E36A6">
        <w:br/>
      </w:r>
      <w:r w:rsidRPr="00514D38">
        <w:t>$</w:t>
      </w:r>
      <w:r w:rsidR="00340C71">
        <w:t>558.4</w:t>
      </w:r>
      <w:r w:rsidRPr="00514D38">
        <w:t xml:space="preserve"> million the prior year. Social support services was the next largest category, accounting for </w:t>
      </w:r>
      <w:r w:rsidR="00701F42">
        <w:t>18%</w:t>
      </w:r>
      <w:r w:rsidRPr="00514D38">
        <w:t xml:space="preserve"> of expenditure, followed by respite services (12</w:t>
      </w:r>
      <w:r w:rsidR="006D6CAE">
        <w:t>%</w:t>
      </w:r>
      <w:r w:rsidRPr="00514D38">
        <w:t>), nursing services (</w:t>
      </w:r>
      <w:r w:rsidR="00EB0CCA">
        <w:t>10%</w:t>
      </w:r>
      <w:r w:rsidRPr="00514D38">
        <w:t>) and allied health and therapy services (10</w:t>
      </w:r>
      <w:r w:rsidR="00B03243">
        <w:t>%</w:t>
      </w:r>
      <w:r w:rsidRPr="00514D38">
        <w:t>).</w:t>
      </w:r>
    </w:p>
    <w:p w14:paraId="6D06CEDF" w14:textId="02C142AD" w:rsidR="00BC6737" w:rsidRDefault="44718CFC" w:rsidP="00BC6737">
      <w:r>
        <w:t xml:space="preserve">Meals and other food services </w:t>
      </w:r>
      <w:r w:rsidR="3050148C">
        <w:t xml:space="preserve">had the largest increase, up </w:t>
      </w:r>
      <w:r>
        <w:t>9%</w:t>
      </w:r>
      <w:r w:rsidR="3050148C">
        <w:t xml:space="preserve"> on </w:t>
      </w:r>
      <w:r>
        <w:t>2021-22</w:t>
      </w:r>
      <w:r w:rsidR="3050148C">
        <w:t xml:space="preserve"> expenditure. </w:t>
      </w:r>
      <w:r w:rsidR="6518DF1C">
        <w:t xml:space="preserve">Assistance with Care and Housing </w:t>
      </w:r>
      <w:r w:rsidR="46F7A3D9">
        <w:t>was the category with the largest decrease in expenditure</w:t>
      </w:r>
      <w:r w:rsidR="589F080B">
        <w:t xml:space="preserve">, down </w:t>
      </w:r>
      <w:r w:rsidR="2313E6B1">
        <w:t>36%</w:t>
      </w:r>
      <w:r w:rsidR="6518DF1C">
        <w:t xml:space="preserve"> from 2021-22 expenditure</w:t>
      </w:r>
      <w:r w:rsidR="2B92C600">
        <w:t xml:space="preserve"> due to </w:t>
      </w:r>
      <w:r w:rsidR="762A942E">
        <w:t>the</w:t>
      </w:r>
      <w:r w:rsidR="7A5BF0A6">
        <w:t xml:space="preserve"> transition of a number of services </w:t>
      </w:r>
      <w:r w:rsidR="08783DA6">
        <w:t xml:space="preserve">to </w:t>
      </w:r>
      <w:r w:rsidR="142B711D">
        <w:t xml:space="preserve">the </w:t>
      </w:r>
      <w:r w:rsidR="3EC1AB18">
        <w:t>Care</w:t>
      </w:r>
      <w:r w:rsidR="7AC92C67">
        <w:t xml:space="preserve"> f</w:t>
      </w:r>
      <w:r w:rsidR="3EC1AB18">
        <w:t>inder</w:t>
      </w:r>
      <w:r w:rsidR="142B711D">
        <w:t xml:space="preserve"> program</w:t>
      </w:r>
      <w:r w:rsidR="284047C7">
        <w:t xml:space="preserve"> from 1 January 2023</w:t>
      </w:r>
      <w:r w:rsidR="2313E6B1">
        <w:t>. In addition,</w:t>
      </w:r>
      <w:r w:rsidR="52B58A23">
        <w:t xml:space="preserve"> sector support and development</w:t>
      </w:r>
      <w:r w:rsidR="2313E6B1">
        <w:t xml:space="preserve"> </w:t>
      </w:r>
      <w:r w:rsidR="52B58A23">
        <w:t xml:space="preserve">was the other category that had a decrease of </w:t>
      </w:r>
      <w:r w:rsidR="771EDF6F">
        <w:t xml:space="preserve">19% </w:t>
      </w:r>
      <w:r w:rsidR="7F36067B">
        <w:t xml:space="preserve">from 2021-22 expenditure. </w:t>
      </w:r>
    </w:p>
    <w:p w14:paraId="0702B091" w14:textId="19F92D76" w:rsidR="00A32448" w:rsidRDefault="00A32448" w:rsidP="00706D0A">
      <w:pPr>
        <w:pStyle w:val="Caption"/>
      </w:pPr>
      <w:bookmarkStart w:id="218" w:name="_Ref161389776"/>
      <w:bookmarkStart w:id="219" w:name="_Toc173428899"/>
      <w:r>
        <w:t xml:space="preserve">Table </w:t>
      </w:r>
      <w:r w:rsidR="00AE19AA">
        <w:fldChar w:fldCharType="begin"/>
      </w:r>
      <w:r w:rsidR="00AE19AA">
        <w:instrText xml:space="preserve"> STYLEREF 1 \s </w:instrText>
      </w:r>
      <w:r w:rsidR="00AE19AA">
        <w:fldChar w:fldCharType="separate"/>
      </w:r>
      <w:r w:rsidR="001377BE">
        <w:rPr>
          <w:noProof/>
        </w:rPr>
        <w:t>5</w:t>
      </w:r>
      <w:r w:rsidR="00AE19AA">
        <w:rPr>
          <w:noProof/>
        </w:rPr>
        <w:fldChar w:fldCharType="end"/>
      </w:r>
      <w:r w:rsidR="008E638F">
        <w:t>.</w:t>
      </w:r>
      <w:r w:rsidR="00AE19AA">
        <w:fldChar w:fldCharType="begin"/>
      </w:r>
      <w:r w:rsidR="00AE19AA">
        <w:instrText xml:space="preserve"> SEQ Table \* ARABIC \s 1 </w:instrText>
      </w:r>
      <w:r w:rsidR="00AE19AA">
        <w:fldChar w:fldCharType="separate"/>
      </w:r>
      <w:r w:rsidR="001377BE">
        <w:rPr>
          <w:noProof/>
        </w:rPr>
        <w:t>2</w:t>
      </w:r>
      <w:r w:rsidR="00AE19AA">
        <w:rPr>
          <w:noProof/>
        </w:rPr>
        <w:fldChar w:fldCharType="end"/>
      </w:r>
      <w:bookmarkEnd w:id="218"/>
      <w:r>
        <w:t xml:space="preserve">: </w:t>
      </w:r>
      <w:r w:rsidRPr="00241DF9">
        <w:t>CHSP expenditure by service type 2020</w:t>
      </w:r>
      <w:r w:rsidR="00DA51F4">
        <w:t>-21</w:t>
      </w:r>
      <w:r w:rsidRPr="00241DF9">
        <w:t xml:space="preserve"> to 2022</w:t>
      </w:r>
      <w:r w:rsidR="00DA51F4">
        <w:t>-23</w:t>
      </w:r>
      <w:bookmarkEnd w:id="219"/>
    </w:p>
    <w:tbl>
      <w:tblPr>
        <w:tblW w:w="9204" w:type="dxa"/>
        <w:tblLayout w:type="fixed"/>
        <w:tblLook w:val="04A0" w:firstRow="1" w:lastRow="0" w:firstColumn="1" w:lastColumn="0" w:noHBand="0" w:noVBand="1"/>
      </w:tblPr>
      <w:tblGrid>
        <w:gridCol w:w="4243"/>
        <w:gridCol w:w="1653"/>
        <w:gridCol w:w="1654"/>
        <w:gridCol w:w="1654"/>
      </w:tblGrid>
      <w:tr w:rsidR="00105EE7" w:rsidRPr="00105EE7" w14:paraId="01FF7502" w14:textId="77777777" w:rsidTr="00296309">
        <w:trPr>
          <w:trHeight w:val="540"/>
        </w:trPr>
        <w:tc>
          <w:tcPr>
            <w:tcW w:w="4243" w:type="dxa"/>
            <w:tcBorders>
              <w:top w:val="single" w:sz="8" w:space="0" w:color="1E1545"/>
              <w:left w:val="single" w:sz="8" w:space="0" w:color="1E1545"/>
              <w:bottom w:val="single" w:sz="4" w:space="0" w:color="auto"/>
              <w:right w:val="nil"/>
            </w:tcBorders>
            <w:shd w:val="clear" w:color="000000" w:fill="1E1545"/>
            <w:vAlign w:val="center"/>
            <w:hideMark/>
          </w:tcPr>
          <w:p w14:paraId="6F29376C" w14:textId="77777777" w:rsidR="00105EE7" w:rsidRPr="00105EE7" w:rsidRDefault="00105EE7" w:rsidP="00105EE7">
            <w:pPr>
              <w:spacing w:before="0" w:after="0" w:line="240" w:lineRule="auto"/>
              <w:rPr>
                <w:rFonts w:cs="Arial"/>
                <w:b/>
                <w:color w:val="F1F2F2"/>
                <w:sz w:val="21"/>
                <w:szCs w:val="21"/>
                <w:lang w:eastAsia="en-AU"/>
              </w:rPr>
            </w:pPr>
            <w:r w:rsidRPr="00105EE7">
              <w:rPr>
                <w:rFonts w:cs="Arial"/>
                <w:b/>
                <w:color w:val="F1F2F2"/>
                <w:sz w:val="21"/>
                <w:szCs w:val="21"/>
                <w:lang w:eastAsia="en-AU"/>
              </w:rPr>
              <w:t xml:space="preserve">Service </w:t>
            </w:r>
          </w:p>
        </w:tc>
        <w:tc>
          <w:tcPr>
            <w:tcW w:w="1653" w:type="dxa"/>
            <w:tcBorders>
              <w:top w:val="single" w:sz="8" w:space="0" w:color="1E1545"/>
              <w:left w:val="nil"/>
              <w:bottom w:val="single" w:sz="4" w:space="0" w:color="auto"/>
              <w:right w:val="nil"/>
            </w:tcBorders>
            <w:shd w:val="clear" w:color="000000" w:fill="1E1545"/>
            <w:vAlign w:val="center"/>
            <w:hideMark/>
          </w:tcPr>
          <w:p w14:paraId="1B401AA1" w14:textId="77777777" w:rsidR="00105EE7" w:rsidRPr="00105EE7" w:rsidRDefault="00105EE7" w:rsidP="00105EE7">
            <w:pPr>
              <w:spacing w:before="0" w:after="0" w:line="240" w:lineRule="auto"/>
              <w:jc w:val="right"/>
              <w:rPr>
                <w:rFonts w:cs="Arial"/>
                <w:b/>
                <w:color w:val="F1F2F2"/>
                <w:sz w:val="21"/>
                <w:szCs w:val="21"/>
                <w:lang w:eastAsia="en-AU"/>
              </w:rPr>
            </w:pPr>
            <w:r w:rsidRPr="00105EE7">
              <w:rPr>
                <w:rFonts w:cs="Arial"/>
                <w:b/>
                <w:color w:val="F1F2F2"/>
                <w:sz w:val="21"/>
                <w:szCs w:val="21"/>
                <w:lang w:eastAsia="en-AU"/>
              </w:rPr>
              <w:t>2020-21 ($m)</w:t>
            </w:r>
          </w:p>
        </w:tc>
        <w:tc>
          <w:tcPr>
            <w:tcW w:w="1654" w:type="dxa"/>
            <w:tcBorders>
              <w:top w:val="single" w:sz="8" w:space="0" w:color="1E1545"/>
              <w:left w:val="nil"/>
              <w:bottom w:val="single" w:sz="4" w:space="0" w:color="auto"/>
              <w:right w:val="nil"/>
            </w:tcBorders>
            <w:shd w:val="clear" w:color="000000" w:fill="1E1545"/>
            <w:vAlign w:val="center"/>
            <w:hideMark/>
          </w:tcPr>
          <w:p w14:paraId="054A57A7" w14:textId="77777777" w:rsidR="00105EE7" w:rsidRPr="00105EE7" w:rsidRDefault="00105EE7" w:rsidP="00105EE7">
            <w:pPr>
              <w:spacing w:before="0" w:after="0" w:line="240" w:lineRule="auto"/>
              <w:jc w:val="right"/>
              <w:rPr>
                <w:rFonts w:cs="Arial"/>
                <w:b/>
                <w:color w:val="F1F2F2"/>
                <w:sz w:val="21"/>
                <w:szCs w:val="21"/>
                <w:lang w:eastAsia="en-AU"/>
              </w:rPr>
            </w:pPr>
            <w:r w:rsidRPr="00105EE7">
              <w:rPr>
                <w:rFonts w:cs="Arial"/>
                <w:b/>
                <w:color w:val="F1F2F2"/>
                <w:sz w:val="21"/>
                <w:szCs w:val="21"/>
                <w:lang w:eastAsia="en-AU"/>
              </w:rPr>
              <w:t>2021-22 ($m)</w:t>
            </w:r>
          </w:p>
        </w:tc>
        <w:tc>
          <w:tcPr>
            <w:tcW w:w="1654" w:type="dxa"/>
            <w:tcBorders>
              <w:top w:val="single" w:sz="8" w:space="0" w:color="1E1545"/>
              <w:left w:val="nil"/>
              <w:bottom w:val="single" w:sz="4" w:space="0" w:color="auto"/>
              <w:right w:val="nil"/>
            </w:tcBorders>
            <w:shd w:val="clear" w:color="000000" w:fill="1E1545"/>
            <w:vAlign w:val="center"/>
            <w:hideMark/>
          </w:tcPr>
          <w:p w14:paraId="101147E2" w14:textId="77777777" w:rsidR="00105EE7" w:rsidRPr="00105EE7" w:rsidRDefault="00105EE7" w:rsidP="00105EE7">
            <w:pPr>
              <w:spacing w:before="0" w:after="0" w:line="240" w:lineRule="auto"/>
              <w:jc w:val="right"/>
              <w:rPr>
                <w:rFonts w:cs="Arial"/>
                <w:b/>
                <w:color w:val="F1F2F2"/>
                <w:sz w:val="21"/>
                <w:szCs w:val="21"/>
                <w:lang w:eastAsia="en-AU"/>
              </w:rPr>
            </w:pPr>
            <w:r w:rsidRPr="00105EE7">
              <w:rPr>
                <w:rFonts w:cs="Arial"/>
                <w:b/>
                <w:color w:val="F1F2F2"/>
                <w:sz w:val="21"/>
                <w:szCs w:val="21"/>
                <w:lang w:eastAsia="en-AU"/>
              </w:rPr>
              <w:t>2022-23 ($m)</w:t>
            </w:r>
          </w:p>
        </w:tc>
      </w:tr>
      <w:tr w:rsidR="00105EE7" w:rsidRPr="00105EE7" w14:paraId="300389F4" w14:textId="77777777" w:rsidTr="00296309">
        <w:trPr>
          <w:trHeight w:val="320"/>
        </w:trPr>
        <w:tc>
          <w:tcPr>
            <w:tcW w:w="4243" w:type="dxa"/>
            <w:tcBorders>
              <w:top w:val="nil"/>
              <w:left w:val="nil"/>
              <w:bottom w:val="single" w:sz="8" w:space="0" w:color="1E1545"/>
              <w:right w:val="nil"/>
            </w:tcBorders>
            <w:shd w:val="clear" w:color="000000" w:fill="FFFFFF"/>
            <w:vAlign w:val="bottom"/>
            <w:hideMark/>
          </w:tcPr>
          <w:p w14:paraId="40388147" w14:textId="4FFF6924"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Social support (</w:t>
            </w:r>
            <w:r>
              <w:rPr>
                <w:rFonts w:cs="Arial"/>
                <w:bCs w:val="0"/>
                <w:color w:val="1E1545"/>
                <w:sz w:val="21"/>
                <w:szCs w:val="21"/>
                <w:lang w:eastAsia="en-AU"/>
              </w:rPr>
              <w:t>1</w:t>
            </w:r>
            <w:r w:rsidRPr="00105EE7">
              <w:rPr>
                <w:rFonts w:cs="Arial"/>
                <w:bCs w:val="0"/>
                <w:color w:val="1E1545"/>
                <w:sz w:val="21"/>
                <w:szCs w:val="21"/>
                <w:lang w:eastAsia="en-AU"/>
              </w:rPr>
              <w:t>)</w:t>
            </w:r>
          </w:p>
        </w:tc>
        <w:tc>
          <w:tcPr>
            <w:tcW w:w="1653" w:type="dxa"/>
            <w:tcBorders>
              <w:top w:val="nil"/>
              <w:left w:val="nil"/>
              <w:bottom w:val="single" w:sz="8" w:space="0" w:color="auto"/>
              <w:right w:val="nil"/>
            </w:tcBorders>
            <w:shd w:val="clear" w:color="000000" w:fill="FFFFFF"/>
            <w:noWrap/>
            <w:vAlign w:val="center"/>
            <w:hideMark/>
          </w:tcPr>
          <w:p w14:paraId="52C4596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$477.3 </w:t>
            </w:r>
          </w:p>
        </w:tc>
        <w:tc>
          <w:tcPr>
            <w:tcW w:w="1654" w:type="dxa"/>
            <w:tcBorders>
              <w:top w:val="nil"/>
              <w:left w:val="nil"/>
              <w:bottom w:val="single" w:sz="8" w:space="0" w:color="auto"/>
              <w:right w:val="nil"/>
            </w:tcBorders>
            <w:shd w:val="clear" w:color="000000" w:fill="FFFFFF"/>
            <w:noWrap/>
            <w:vAlign w:val="center"/>
            <w:hideMark/>
          </w:tcPr>
          <w:p w14:paraId="51A7E398"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$513.5 </w:t>
            </w:r>
          </w:p>
        </w:tc>
        <w:tc>
          <w:tcPr>
            <w:tcW w:w="1654" w:type="dxa"/>
            <w:tcBorders>
              <w:top w:val="nil"/>
              <w:left w:val="nil"/>
              <w:bottom w:val="single" w:sz="8" w:space="0" w:color="auto"/>
              <w:right w:val="nil"/>
            </w:tcBorders>
            <w:shd w:val="clear" w:color="000000" w:fill="FFFFFF"/>
            <w:noWrap/>
            <w:vAlign w:val="center"/>
            <w:hideMark/>
          </w:tcPr>
          <w:p w14:paraId="30D32A1E"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$535.4 </w:t>
            </w:r>
          </w:p>
        </w:tc>
      </w:tr>
      <w:tr w:rsidR="00105EE7" w:rsidRPr="00105EE7" w14:paraId="465076EF" w14:textId="77777777" w:rsidTr="00296309">
        <w:trPr>
          <w:trHeight w:val="320"/>
        </w:trPr>
        <w:tc>
          <w:tcPr>
            <w:tcW w:w="4243" w:type="dxa"/>
            <w:tcBorders>
              <w:top w:val="nil"/>
              <w:left w:val="nil"/>
              <w:bottom w:val="nil"/>
              <w:right w:val="nil"/>
            </w:tcBorders>
            <w:shd w:val="clear" w:color="000000" w:fill="FFFFFF"/>
            <w:vAlign w:val="bottom"/>
            <w:hideMark/>
          </w:tcPr>
          <w:p w14:paraId="12D0334E"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Domestic assistance</w:t>
            </w:r>
          </w:p>
        </w:tc>
        <w:tc>
          <w:tcPr>
            <w:tcW w:w="1653" w:type="dxa"/>
            <w:tcBorders>
              <w:top w:val="nil"/>
              <w:left w:val="nil"/>
              <w:bottom w:val="single" w:sz="8" w:space="0" w:color="auto"/>
              <w:right w:val="nil"/>
            </w:tcBorders>
            <w:shd w:val="clear" w:color="000000" w:fill="FFFFFF"/>
            <w:noWrap/>
            <w:vAlign w:val="center"/>
            <w:hideMark/>
          </w:tcPr>
          <w:p w14:paraId="584CECC2"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$536.1 </w:t>
            </w:r>
          </w:p>
        </w:tc>
        <w:tc>
          <w:tcPr>
            <w:tcW w:w="1654" w:type="dxa"/>
            <w:tcBorders>
              <w:top w:val="nil"/>
              <w:left w:val="nil"/>
              <w:bottom w:val="single" w:sz="8" w:space="0" w:color="auto"/>
              <w:right w:val="nil"/>
            </w:tcBorders>
            <w:shd w:val="clear" w:color="000000" w:fill="FFFFFF"/>
            <w:noWrap/>
            <w:vAlign w:val="center"/>
            <w:hideMark/>
          </w:tcPr>
          <w:p w14:paraId="1A23BBE0"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$558.4 </w:t>
            </w:r>
          </w:p>
        </w:tc>
        <w:tc>
          <w:tcPr>
            <w:tcW w:w="1654" w:type="dxa"/>
            <w:tcBorders>
              <w:top w:val="nil"/>
              <w:left w:val="nil"/>
              <w:bottom w:val="single" w:sz="8" w:space="0" w:color="auto"/>
              <w:right w:val="nil"/>
            </w:tcBorders>
            <w:shd w:val="clear" w:color="000000" w:fill="FFFFFF"/>
            <w:noWrap/>
            <w:vAlign w:val="center"/>
            <w:hideMark/>
          </w:tcPr>
          <w:p w14:paraId="67EB3B57"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$573.6 </w:t>
            </w:r>
          </w:p>
        </w:tc>
      </w:tr>
      <w:tr w:rsidR="00105EE7" w:rsidRPr="00105EE7" w14:paraId="284947FB" w14:textId="77777777" w:rsidTr="00296309">
        <w:trPr>
          <w:trHeight w:val="320"/>
        </w:trPr>
        <w:tc>
          <w:tcPr>
            <w:tcW w:w="4243" w:type="dxa"/>
            <w:tcBorders>
              <w:top w:val="single" w:sz="8" w:space="0" w:color="1E1545"/>
              <w:left w:val="nil"/>
              <w:bottom w:val="single" w:sz="8" w:space="0" w:color="1E1545"/>
              <w:right w:val="nil"/>
            </w:tcBorders>
            <w:shd w:val="clear" w:color="000000" w:fill="FFFFFF"/>
            <w:vAlign w:val="bottom"/>
            <w:hideMark/>
          </w:tcPr>
          <w:p w14:paraId="17EF921B"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Nursing</w:t>
            </w:r>
          </w:p>
        </w:tc>
        <w:tc>
          <w:tcPr>
            <w:tcW w:w="1653" w:type="dxa"/>
            <w:tcBorders>
              <w:top w:val="nil"/>
              <w:left w:val="nil"/>
              <w:bottom w:val="single" w:sz="8" w:space="0" w:color="auto"/>
              <w:right w:val="nil"/>
            </w:tcBorders>
            <w:shd w:val="clear" w:color="000000" w:fill="FFFFFF"/>
            <w:noWrap/>
            <w:vAlign w:val="center"/>
            <w:hideMark/>
          </w:tcPr>
          <w:p w14:paraId="5CC4E322"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$283.1 </w:t>
            </w:r>
          </w:p>
        </w:tc>
        <w:tc>
          <w:tcPr>
            <w:tcW w:w="1654" w:type="dxa"/>
            <w:tcBorders>
              <w:top w:val="nil"/>
              <w:left w:val="nil"/>
              <w:bottom w:val="single" w:sz="8" w:space="0" w:color="auto"/>
              <w:right w:val="nil"/>
            </w:tcBorders>
            <w:shd w:val="clear" w:color="000000" w:fill="FFFFFF"/>
            <w:noWrap/>
            <w:vAlign w:val="center"/>
            <w:hideMark/>
          </w:tcPr>
          <w:p w14:paraId="084A7A94"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$292.8 </w:t>
            </w:r>
          </w:p>
        </w:tc>
        <w:tc>
          <w:tcPr>
            <w:tcW w:w="1654" w:type="dxa"/>
            <w:tcBorders>
              <w:top w:val="nil"/>
              <w:left w:val="nil"/>
              <w:bottom w:val="single" w:sz="8" w:space="0" w:color="auto"/>
              <w:right w:val="nil"/>
            </w:tcBorders>
            <w:shd w:val="clear" w:color="000000" w:fill="FFFFFF"/>
            <w:noWrap/>
            <w:vAlign w:val="center"/>
            <w:hideMark/>
          </w:tcPr>
          <w:p w14:paraId="2C4D3078"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$302.0 </w:t>
            </w:r>
          </w:p>
        </w:tc>
      </w:tr>
      <w:tr w:rsidR="00105EE7" w:rsidRPr="00105EE7" w14:paraId="7635A395" w14:textId="77777777" w:rsidTr="00296309">
        <w:trPr>
          <w:trHeight w:val="320"/>
        </w:trPr>
        <w:tc>
          <w:tcPr>
            <w:tcW w:w="4243" w:type="dxa"/>
            <w:tcBorders>
              <w:top w:val="nil"/>
              <w:left w:val="nil"/>
              <w:bottom w:val="nil"/>
              <w:right w:val="nil"/>
            </w:tcBorders>
            <w:shd w:val="clear" w:color="000000" w:fill="FFFFFF"/>
            <w:vAlign w:val="bottom"/>
            <w:hideMark/>
          </w:tcPr>
          <w:p w14:paraId="1E5B409A" w14:textId="2F47EB9E"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Respite (</w:t>
            </w:r>
            <w:r>
              <w:rPr>
                <w:rFonts w:cs="Arial"/>
                <w:bCs w:val="0"/>
                <w:color w:val="1E1545"/>
                <w:sz w:val="21"/>
                <w:szCs w:val="21"/>
                <w:lang w:eastAsia="en-AU"/>
              </w:rPr>
              <w:t>2</w:t>
            </w:r>
            <w:r w:rsidRPr="00105EE7">
              <w:rPr>
                <w:rFonts w:cs="Arial"/>
                <w:bCs w:val="0"/>
                <w:color w:val="1E1545"/>
                <w:sz w:val="21"/>
                <w:szCs w:val="21"/>
                <w:lang w:eastAsia="en-AU"/>
              </w:rPr>
              <w:t>)</w:t>
            </w:r>
          </w:p>
        </w:tc>
        <w:tc>
          <w:tcPr>
            <w:tcW w:w="1653" w:type="dxa"/>
            <w:tcBorders>
              <w:top w:val="nil"/>
              <w:left w:val="nil"/>
              <w:bottom w:val="single" w:sz="8" w:space="0" w:color="auto"/>
              <w:right w:val="nil"/>
            </w:tcBorders>
            <w:shd w:val="clear" w:color="000000" w:fill="FFFFFF"/>
            <w:noWrap/>
            <w:vAlign w:val="center"/>
            <w:hideMark/>
          </w:tcPr>
          <w:p w14:paraId="2DCA144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$301.3 </w:t>
            </w:r>
          </w:p>
        </w:tc>
        <w:tc>
          <w:tcPr>
            <w:tcW w:w="1654" w:type="dxa"/>
            <w:tcBorders>
              <w:top w:val="nil"/>
              <w:left w:val="nil"/>
              <w:bottom w:val="single" w:sz="8" w:space="0" w:color="auto"/>
              <w:right w:val="nil"/>
            </w:tcBorders>
            <w:shd w:val="clear" w:color="000000" w:fill="FFFFFF"/>
            <w:noWrap/>
            <w:vAlign w:val="center"/>
            <w:hideMark/>
          </w:tcPr>
          <w:p w14:paraId="3C79F5AA"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$336.6 </w:t>
            </w:r>
          </w:p>
        </w:tc>
        <w:tc>
          <w:tcPr>
            <w:tcW w:w="1654" w:type="dxa"/>
            <w:tcBorders>
              <w:top w:val="nil"/>
              <w:left w:val="nil"/>
              <w:bottom w:val="single" w:sz="8" w:space="0" w:color="auto"/>
              <w:right w:val="nil"/>
            </w:tcBorders>
            <w:shd w:val="clear" w:color="000000" w:fill="FFFFFF"/>
            <w:noWrap/>
            <w:vAlign w:val="center"/>
            <w:hideMark/>
          </w:tcPr>
          <w:p w14:paraId="2DD241DE"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$357.3 </w:t>
            </w:r>
          </w:p>
        </w:tc>
      </w:tr>
      <w:tr w:rsidR="00105EE7" w:rsidRPr="00105EE7" w14:paraId="3E11BD13" w14:textId="77777777" w:rsidTr="00296309">
        <w:trPr>
          <w:trHeight w:val="320"/>
        </w:trPr>
        <w:tc>
          <w:tcPr>
            <w:tcW w:w="4243" w:type="dxa"/>
            <w:tcBorders>
              <w:top w:val="single" w:sz="8" w:space="0" w:color="1E1545"/>
              <w:left w:val="nil"/>
              <w:bottom w:val="single" w:sz="8" w:space="0" w:color="1E1545"/>
              <w:right w:val="nil"/>
            </w:tcBorders>
            <w:shd w:val="clear" w:color="000000" w:fill="FFFFFF"/>
            <w:vAlign w:val="bottom"/>
            <w:hideMark/>
          </w:tcPr>
          <w:p w14:paraId="02D18557" w14:textId="5A1CED68"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 xml:space="preserve">Allied </w:t>
            </w:r>
            <w:r w:rsidR="009136C3">
              <w:rPr>
                <w:rFonts w:cs="Arial"/>
                <w:bCs w:val="0"/>
                <w:color w:val="1E1545"/>
                <w:sz w:val="21"/>
                <w:szCs w:val="21"/>
                <w:lang w:eastAsia="en-AU"/>
              </w:rPr>
              <w:t>H</w:t>
            </w:r>
            <w:r w:rsidRPr="00105EE7">
              <w:rPr>
                <w:rFonts w:cs="Arial"/>
                <w:bCs w:val="0"/>
                <w:color w:val="1E1545"/>
                <w:sz w:val="21"/>
                <w:szCs w:val="21"/>
                <w:lang w:eastAsia="en-AU"/>
              </w:rPr>
              <w:t xml:space="preserve">ealth and </w:t>
            </w:r>
            <w:r w:rsidR="009136C3">
              <w:rPr>
                <w:rFonts w:cs="Arial"/>
                <w:bCs w:val="0"/>
                <w:color w:val="1E1545"/>
                <w:sz w:val="21"/>
                <w:szCs w:val="21"/>
                <w:lang w:eastAsia="en-AU"/>
              </w:rPr>
              <w:t>T</w:t>
            </w:r>
            <w:r w:rsidRPr="00105EE7">
              <w:rPr>
                <w:rFonts w:cs="Arial"/>
                <w:bCs w:val="0"/>
                <w:color w:val="1E1545"/>
                <w:sz w:val="21"/>
                <w:szCs w:val="21"/>
                <w:lang w:eastAsia="en-AU"/>
              </w:rPr>
              <w:t xml:space="preserve">herapy </w:t>
            </w:r>
            <w:r w:rsidR="009136C3">
              <w:rPr>
                <w:rFonts w:cs="Arial"/>
                <w:bCs w:val="0"/>
                <w:color w:val="1E1545"/>
                <w:sz w:val="21"/>
                <w:szCs w:val="21"/>
                <w:lang w:eastAsia="en-AU"/>
              </w:rPr>
              <w:t>S</w:t>
            </w:r>
            <w:r w:rsidRPr="00105EE7">
              <w:rPr>
                <w:rFonts w:cs="Arial"/>
                <w:bCs w:val="0"/>
                <w:color w:val="1E1545"/>
                <w:sz w:val="21"/>
                <w:szCs w:val="21"/>
                <w:lang w:eastAsia="en-AU"/>
              </w:rPr>
              <w:t>ervices</w:t>
            </w:r>
          </w:p>
        </w:tc>
        <w:tc>
          <w:tcPr>
            <w:tcW w:w="1653" w:type="dxa"/>
            <w:tcBorders>
              <w:top w:val="nil"/>
              <w:left w:val="nil"/>
              <w:bottom w:val="single" w:sz="8" w:space="0" w:color="auto"/>
              <w:right w:val="nil"/>
            </w:tcBorders>
            <w:shd w:val="clear" w:color="000000" w:fill="FFFFFF"/>
            <w:noWrap/>
            <w:vAlign w:val="center"/>
            <w:hideMark/>
          </w:tcPr>
          <w:p w14:paraId="3AF517F9"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$263.0 </w:t>
            </w:r>
          </w:p>
        </w:tc>
        <w:tc>
          <w:tcPr>
            <w:tcW w:w="1654" w:type="dxa"/>
            <w:tcBorders>
              <w:top w:val="nil"/>
              <w:left w:val="nil"/>
              <w:bottom w:val="single" w:sz="8" w:space="0" w:color="auto"/>
              <w:right w:val="nil"/>
            </w:tcBorders>
            <w:shd w:val="clear" w:color="000000" w:fill="FFFFFF"/>
            <w:noWrap/>
            <w:vAlign w:val="center"/>
            <w:hideMark/>
          </w:tcPr>
          <w:p w14:paraId="67A57C3B"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$283.6 </w:t>
            </w:r>
          </w:p>
        </w:tc>
        <w:tc>
          <w:tcPr>
            <w:tcW w:w="1654" w:type="dxa"/>
            <w:tcBorders>
              <w:top w:val="nil"/>
              <w:left w:val="nil"/>
              <w:bottom w:val="single" w:sz="8" w:space="0" w:color="auto"/>
              <w:right w:val="nil"/>
            </w:tcBorders>
            <w:shd w:val="clear" w:color="000000" w:fill="FFFFFF"/>
            <w:noWrap/>
            <w:vAlign w:val="center"/>
            <w:hideMark/>
          </w:tcPr>
          <w:p w14:paraId="529BCCE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$294.1 </w:t>
            </w:r>
          </w:p>
        </w:tc>
      </w:tr>
      <w:tr w:rsidR="00105EE7" w:rsidRPr="00105EE7" w14:paraId="60204470" w14:textId="77777777" w:rsidTr="00296309">
        <w:trPr>
          <w:trHeight w:val="320"/>
        </w:trPr>
        <w:tc>
          <w:tcPr>
            <w:tcW w:w="4243" w:type="dxa"/>
            <w:tcBorders>
              <w:top w:val="nil"/>
              <w:left w:val="nil"/>
              <w:bottom w:val="nil"/>
              <w:right w:val="nil"/>
            </w:tcBorders>
            <w:shd w:val="clear" w:color="000000" w:fill="FFFFFF"/>
            <w:vAlign w:val="bottom"/>
            <w:hideMark/>
          </w:tcPr>
          <w:p w14:paraId="498F49FC"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Personal care</w:t>
            </w:r>
          </w:p>
        </w:tc>
        <w:tc>
          <w:tcPr>
            <w:tcW w:w="1653" w:type="dxa"/>
            <w:tcBorders>
              <w:top w:val="nil"/>
              <w:left w:val="nil"/>
              <w:bottom w:val="single" w:sz="8" w:space="0" w:color="auto"/>
              <w:right w:val="nil"/>
            </w:tcBorders>
            <w:shd w:val="clear" w:color="000000" w:fill="FFFFFF"/>
            <w:noWrap/>
            <w:vAlign w:val="center"/>
            <w:hideMark/>
          </w:tcPr>
          <w:p w14:paraId="19161859"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$210.1 </w:t>
            </w:r>
          </w:p>
        </w:tc>
        <w:tc>
          <w:tcPr>
            <w:tcW w:w="1654" w:type="dxa"/>
            <w:tcBorders>
              <w:top w:val="nil"/>
              <w:left w:val="nil"/>
              <w:bottom w:val="single" w:sz="8" w:space="0" w:color="auto"/>
              <w:right w:val="nil"/>
            </w:tcBorders>
            <w:shd w:val="clear" w:color="000000" w:fill="FFFFFF"/>
            <w:noWrap/>
            <w:vAlign w:val="center"/>
            <w:hideMark/>
          </w:tcPr>
          <w:p w14:paraId="7FB0D2F6"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$219.8 </w:t>
            </w:r>
          </w:p>
        </w:tc>
        <w:tc>
          <w:tcPr>
            <w:tcW w:w="1654" w:type="dxa"/>
            <w:tcBorders>
              <w:top w:val="nil"/>
              <w:left w:val="nil"/>
              <w:bottom w:val="single" w:sz="8" w:space="0" w:color="auto"/>
              <w:right w:val="nil"/>
            </w:tcBorders>
            <w:shd w:val="clear" w:color="000000" w:fill="FFFFFF"/>
            <w:noWrap/>
            <w:vAlign w:val="center"/>
            <w:hideMark/>
          </w:tcPr>
          <w:p w14:paraId="3D9A3642"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$225.4 </w:t>
            </w:r>
          </w:p>
        </w:tc>
      </w:tr>
      <w:tr w:rsidR="00105EE7" w:rsidRPr="00105EE7" w14:paraId="5B2AE6C2" w14:textId="77777777" w:rsidTr="00296309">
        <w:trPr>
          <w:trHeight w:val="320"/>
        </w:trPr>
        <w:tc>
          <w:tcPr>
            <w:tcW w:w="4243" w:type="dxa"/>
            <w:tcBorders>
              <w:top w:val="single" w:sz="8" w:space="0" w:color="1E1545"/>
              <w:left w:val="nil"/>
              <w:bottom w:val="single" w:sz="8" w:space="0" w:color="1E1545"/>
              <w:right w:val="nil"/>
            </w:tcBorders>
            <w:shd w:val="clear" w:color="000000" w:fill="FFFFFF"/>
            <w:vAlign w:val="bottom"/>
            <w:hideMark/>
          </w:tcPr>
          <w:p w14:paraId="50EE5AF2"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Transport</w:t>
            </w:r>
          </w:p>
        </w:tc>
        <w:tc>
          <w:tcPr>
            <w:tcW w:w="1653" w:type="dxa"/>
            <w:tcBorders>
              <w:top w:val="nil"/>
              <w:left w:val="nil"/>
              <w:bottom w:val="single" w:sz="8" w:space="0" w:color="auto"/>
              <w:right w:val="nil"/>
            </w:tcBorders>
            <w:shd w:val="clear" w:color="000000" w:fill="FFFFFF"/>
            <w:noWrap/>
            <w:vAlign w:val="center"/>
            <w:hideMark/>
          </w:tcPr>
          <w:p w14:paraId="6323E315"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$195.7 </w:t>
            </w:r>
          </w:p>
        </w:tc>
        <w:tc>
          <w:tcPr>
            <w:tcW w:w="1654" w:type="dxa"/>
            <w:tcBorders>
              <w:top w:val="nil"/>
              <w:left w:val="nil"/>
              <w:bottom w:val="single" w:sz="8" w:space="0" w:color="auto"/>
              <w:right w:val="nil"/>
            </w:tcBorders>
            <w:shd w:val="clear" w:color="000000" w:fill="FFFFFF"/>
            <w:noWrap/>
            <w:vAlign w:val="center"/>
            <w:hideMark/>
          </w:tcPr>
          <w:p w14:paraId="72CB8F6B"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$212.8 </w:t>
            </w:r>
          </w:p>
        </w:tc>
        <w:tc>
          <w:tcPr>
            <w:tcW w:w="1654" w:type="dxa"/>
            <w:tcBorders>
              <w:top w:val="nil"/>
              <w:left w:val="nil"/>
              <w:bottom w:val="single" w:sz="8" w:space="0" w:color="auto"/>
              <w:right w:val="nil"/>
            </w:tcBorders>
            <w:shd w:val="clear" w:color="000000" w:fill="FFFFFF"/>
            <w:noWrap/>
            <w:vAlign w:val="center"/>
            <w:hideMark/>
          </w:tcPr>
          <w:p w14:paraId="0649E034"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$218.0 </w:t>
            </w:r>
          </w:p>
        </w:tc>
      </w:tr>
      <w:tr w:rsidR="00105EE7" w:rsidRPr="00105EE7" w14:paraId="6DFA1F8C" w14:textId="77777777" w:rsidTr="00296309">
        <w:trPr>
          <w:trHeight w:val="360"/>
        </w:trPr>
        <w:tc>
          <w:tcPr>
            <w:tcW w:w="4243" w:type="dxa"/>
            <w:tcBorders>
              <w:top w:val="nil"/>
              <w:left w:val="nil"/>
              <w:bottom w:val="nil"/>
              <w:right w:val="nil"/>
            </w:tcBorders>
            <w:shd w:val="clear" w:color="000000" w:fill="FFFFFF"/>
            <w:vAlign w:val="bottom"/>
            <w:hideMark/>
          </w:tcPr>
          <w:p w14:paraId="17E37F57" w14:textId="2F8BC30A"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Home modifications and maintenance (</w:t>
            </w:r>
            <w:r>
              <w:rPr>
                <w:rFonts w:cs="Arial"/>
                <w:bCs w:val="0"/>
                <w:color w:val="1E1545"/>
                <w:sz w:val="21"/>
                <w:szCs w:val="21"/>
                <w:lang w:eastAsia="en-AU"/>
              </w:rPr>
              <w:t>3</w:t>
            </w:r>
            <w:r w:rsidRPr="00105EE7">
              <w:rPr>
                <w:rFonts w:cs="Arial"/>
                <w:bCs w:val="0"/>
                <w:color w:val="1E1545"/>
                <w:sz w:val="21"/>
                <w:szCs w:val="21"/>
                <w:lang w:eastAsia="en-AU"/>
              </w:rPr>
              <w:t>)</w:t>
            </w:r>
          </w:p>
        </w:tc>
        <w:tc>
          <w:tcPr>
            <w:tcW w:w="1653" w:type="dxa"/>
            <w:tcBorders>
              <w:top w:val="nil"/>
              <w:left w:val="nil"/>
              <w:bottom w:val="single" w:sz="8" w:space="0" w:color="auto"/>
              <w:right w:val="nil"/>
            </w:tcBorders>
            <w:shd w:val="clear" w:color="000000" w:fill="FFFFFF"/>
            <w:noWrap/>
            <w:vAlign w:val="center"/>
            <w:hideMark/>
          </w:tcPr>
          <w:p w14:paraId="0D98DE70"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$163.2 </w:t>
            </w:r>
          </w:p>
        </w:tc>
        <w:tc>
          <w:tcPr>
            <w:tcW w:w="1654" w:type="dxa"/>
            <w:tcBorders>
              <w:top w:val="nil"/>
              <w:left w:val="nil"/>
              <w:bottom w:val="single" w:sz="8" w:space="0" w:color="auto"/>
              <w:right w:val="nil"/>
            </w:tcBorders>
            <w:shd w:val="clear" w:color="000000" w:fill="FFFFFF"/>
            <w:noWrap/>
            <w:vAlign w:val="center"/>
            <w:hideMark/>
          </w:tcPr>
          <w:p w14:paraId="3C9A1A25"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$183.1 </w:t>
            </w:r>
          </w:p>
        </w:tc>
        <w:tc>
          <w:tcPr>
            <w:tcW w:w="1654" w:type="dxa"/>
            <w:tcBorders>
              <w:top w:val="nil"/>
              <w:left w:val="nil"/>
              <w:bottom w:val="single" w:sz="8" w:space="0" w:color="auto"/>
              <w:right w:val="nil"/>
            </w:tcBorders>
            <w:shd w:val="clear" w:color="000000" w:fill="FFFFFF"/>
            <w:noWrap/>
            <w:vAlign w:val="center"/>
            <w:hideMark/>
          </w:tcPr>
          <w:p w14:paraId="7EE9E4C4"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$190.3 </w:t>
            </w:r>
          </w:p>
        </w:tc>
      </w:tr>
      <w:tr w:rsidR="00105EE7" w:rsidRPr="00105EE7" w14:paraId="6320A905" w14:textId="77777777" w:rsidTr="00296309">
        <w:trPr>
          <w:trHeight w:val="320"/>
        </w:trPr>
        <w:tc>
          <w:tcPr>
            <w:tcW w:w="4243" w:type="dxa"/>
            <w:tcBorders>
              <w:top w:val="single" w:sz="8" w:space="0" w:color="1E1545"/>
              <w:left w:val="nil"/>
              <w:bottom w:val="single" w:sz="8" w:space="0" w:color="1E1545"/>
              <w:right w:val="nil"/>
            </w:tcBorders>
            <w:shd w:val="clear" w:color="000000" w:fill="FFFFFF"/>
            <w:vAlign w:val="bottom"/>
            <w:hideMark/>
          </w:tcPr>
          <w:p w14:paraId="2F9930E0" w14:textId="279621E5"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Meals and other food services (</w:t>
            </w:r>
            <w:r>
              <w:rPr>
                <w:rFonts w:cs="Arial"/>
                <w:bCs w:val="0"/>
                <w:color w:val="1E1545"/>
                <w:sz w:val="21"/>
                <w:szCs w:val="21"/>
                <w:lang w:eastAsia="en-AU"/>
              </w:rPr>
              <w:t>4</w:t>
            </w:r>
            <w:r w:rsidRPr="00105EE7">
              <w:rPr>
                <w:rFonts w:cs="Arial"/>
                <w:bCs w:val="0"/>
                <w:color w:val="1E1545"/>
                <w:sz w:val="21"/>
                <w:szCs w:val="21"/>
                <w:lang w:eastAsia="en-AU"/>
              </w:rPr>
              <w:t>)</w:t>
            </w:r>
          </w:p>
        </w:tc>
        <w:tc>
          <w:tcPr>
            <w:tcW w:w="1653" w:type="dxa"/>
            <w:tcBorders>
              <w:top w:val="nil"/>
              <w:left w:val="nil"/>
              <w:bottom w:val="single" w:sz="8" w:space="0" w:color="auto"/>
              <w:right w:val="nil"/>
            </w:tcBorders>
            <w:shd w:val="clear" w:color="000000" w:fill="FFFFFF"/>
            <w:noWrap/>
            <w:vAlign w:val="center"/>
            <w:hideMark/>
          </w:tcPr>
          <w:p w14:paraId="22F4D453"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$89.1 </w:t>
            </w:r>
          </w:p>
        </w:tc>
        <w:tc>
          <w:tcPr>
            <w:tcW w:w="1654" w:type="dxa"/>
            <w:tcBorders>
              <w:top w:val="nil"/>
              <w:left w:val="nil"/>
              <w:bottom w:val="single" w:sz="8" w:space="0" w:color="auto"/>
              <w:right w:val="nil"/>
            </w:tcBorders>
            <w:shd w:val="clear" w:color="000000" w:fill="FFFFFF"/>
            <w:noWrap/>
            <w:vAlign w:val="center"/>
            <w:hideMark/>
          </w:tcPr>
          <w:p w14:paraId="25822A8D"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$99.3 </w:t>
            </w:r>
          </w:p>
        </w:tc>
        <w:tc>
          <w:tcPr>
            <w:tcW w:w="1654" w:type="dxa"/>
            <w:tcBorders>
              <w:top w:val="nil"/>
              <w:left w:val="nil"/>
              <w:bottom w:val="single" w:sz="8" w:space="0" w:color="auto"/>
              <w:right w:val="nil"/>
            </w:tcBorders>
            <w:shd w:val="clear" w:color="000000" w:fill="FFFFFF"/>
            <w:noWrap/>
            <w:vAlign w:val="center"/>
            <w:hideMark/>
          </w:tcPr>
          <w:p w14:paraId="0DA7381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$108.6 </w:t>
            </w:r>
          </w:p>
        </w:tc>
      </w:tr>
      <w:tr w:rsidR="00105EE7" w:rsidRPr="00105EE7" w14:paraId="7D4B2843" w14:textId="77777777" w:rsidTr="00296309">
        <w:trPr>
          <w:trHeight w:val="320"/>
        </w:trPr>
        <w:tc>
          <w:tcPr>
            <w:tcW w:w="4243" w:type="dxa"/>
            <w:tcBorders>
              <w:top w:val="nil"/>
              <w:left w:val="nil"/>
              <w:bottom w:val="nil"/>
              <w:right w:val="nil"/>
            </w:tcBorders>
            <w:shd w:val="clear" w:color="000000" w:fill="FFFFFF"/>
            <w:vAlign w:val="bottom"/>
            <w:hideMark/>
          </w:tcPr>
          <w:p w14:paraId="770101A6"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Sector support and development</w:t>
            </w:r>
          </w:p>
        </w:tc>
        <w:tc>
          <w:tcPr>
            <w:tcW w:w="1653" w:type="dxa"/>
            <w:tcBorders>
              <w:top w:val="nil"/>
              <w:left w:val="nil"/>
              <w:bottom w:val="single" w:sz="8" w:space="0" w:color="auto"/>
              <w:right w:val="nil"/>
            </w:tcBorders>
            <w:shd w:val="clear" w:color="000000" w:fill="FFFFFF"/>
            <w:noWrap/>
            <w:vAlign w:val="center"/>
            <w:hideMark/>
          </w:tcPr>
          <w:p w14:paraId="7CA93F87"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$40.9 </w:t>
            </w:r>
          </w:p>
        </w:tc>
        <w:tc>
          <w:tcPr>
            <w:tcW w:w="1654" w:type="dxa"/>
            <w:tcBorders>
              <w:top w:val="nil"/>
              <w:left w:val="nil"/>
              <w:bottom w:val="single" w:sz="8" w:space="0" w:color="auto"/>
              <w:right w:val="nil"/>
            </w:tcBorders>
            <w:shd w:val="clear" w:color="000000" w:fill="FFFFFF"/>
            <w:noWrap/>
            <w:vAlign w:val="center"/>
            <w:hideMark/>
          </w:tcPr>
          <w:p w14:paraId="03F7128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$42.9 </w:t>
            </w:r>
          </w:p>
        </w:tc>
        <w:tc>
          <w:tcPr>
            <w:tcW w:w="1654" w:type="dxa"/>
            <w:tcBorders>
              <w:top w:val="nil"/>
              <w:left w:val="nil"/>
              <w:bottom w:val="single" w:sz="8" w:space="0" w:color="auto"/>
              <w:right w:val="nil"/>
            </w:tcBorders>
            <w:shd w:val="clear" w:color="000000" w:fill="FFFFFF"/>
            <w:noWrap/>
            <w:vAlign w:val="center"/>
            <w:hideMark/>
          </w:tcPr>
          <w:p w14:paraId="388FBCCF"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$34.6 </w:t>
            </w:r>
          </w:p>
        </w:tc>
      </w:tr>
      <w:tr w:rsidR="00105EE7" w:rsidRPr="00105EE7" w14:paraId="66DECA00" w14:textId="77777777" w:rsidTr="00296309">
        <w:trPr>
          <w:trHeight w:val="320"/>
        </w:trPr>
        <w:tc>
          <w:tcPr>
            <w:tcW w:w="4243" w:type="dxa"/>
            <w:tcBorders>
              <w:top w:val="single" w:sz="8" w:space="0" w:color="1E1545"/>
              <w:left w:val="nil"/>
              <w:bottom w:val="single" w:sz="8" w:space="0" w:color="1E1545"/>
              <w:right w:val="nil"/>
            </w:tcBorders>
            <w:shd w:val="clear" w:color="000000" w:fill="FFFFFF"/>
            <w:vAlign w:val="bottom"/>
            <w:hideMark/>
          </w:tcPr>
          <w:p w14:paraId="47549517"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Assistance with Care and Housing</w:t>
            </w:r>
          </w:p>
        </w:tc>
        <w:tc>
          <w:tcPr>
            <w:tcW w:w="1653" w:type="dxa"/>
            <w:tcBorders>
              <w:top w:val="nil"/>
              <w:left w:val="nil"/>
              <w:bottom w:val="single" w:sz="8" w:space="0" w:color="auto"/>
              <w:right w:val="nil"/>
            </w:tcBorders>
            <w:shd w:val="clear" w:color="000000" w:fill="FFFFFF"/>
            <w:noWrap/>
            <w:vAlign w:val="center"/>
            <w:hideMark/>
          </w:tcPr>
          <w:p w14:paraId="12E86BD9"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$21.2 </w:t>
            </w:r>
          </w:p>
        </w:tc>
        <w:tc>
          <w:tcPr>
            <w:tcW w:w="1654" w:type="dxa"/>
            <w:tcBorders>
              <w:top w:val="nil"/>
              <w:left w:val="nil"/>
              <w:bottom w:val="single" w:sz="8" w:space="0" w:color="auto"/>
              <w:right w:val="nil"/>
            </w:tcBorders>
            <w:shd w:val="clear" w:color="000000" w:fill="FFFFFF"/>
            <w:noWrap/>
            <w:vAlign w:val="center"/>
            <w:hideMark/>
          </w:tcPr>
          <w:p w14:paraId="797E2B29"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$22.9 </w:t>
            </w:r>
          </w:p>
        </w:tc>
        <w:tc>
          <w:tcPr>
            <w:tcW w:w="1654" w:type="dxa"/>
            <w:tcBorders>
              <w:top w:val="nil"/>
              <w:left w:val="nil"/>
              <w:bottom w:val="single" w:sz="8" w:space="0" w:color="auto"/>
              <w:right w:val="nil"/>
            </w:tcBorders>
            <w:shd w:val="clear" w:color="000000" w:fill="FFFFFF"/>
            <w:noWrap/>
            <w:vAlign w:val="center"/>
            <w:hideMark/>
          </w:tcPr>
          <w:p w14:paraId="784AC119"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$14.7 </w:t>
            </w:r>
          </w:p>
        </w:tc>
      </w:tr>
      <w:tr w:rsidR="00105EE7" w:rsidRPr="00105EE7" w14:paraId="0B3A92CA" w14:textId="77777777" w:rsidTr="00296309">
        <w:trPr>
          <w:trHeight w:val="320"/>
        </w:trPr>
        <w:tc>
          <w:tcPr>
            <w:tcW w:w="4243" w:type="dxa"/>
            <w:tcBorders>
              <w:top w:val="nil"/>
              <w:left w:val="nil"/>
              <w:bottom w:val="nil"/>
              <w:right w:val="nil"/>
            </w:tcBorders>
            <w:shd w:val="clear" w:color="000000" w:fill="FFFFFF"/>
            <w:vAlign w:val="bottom"/>
            <w:hideMark/>
          </w:tcPr>
          <w:p w14:paraId="0BF84DD3" w14:textId="0201186C"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Specialised Support Services (</w:t>
            </w:r>
            <w:r>
              <w:rPr>
                <w:rFonts w:cs="Arial"/>
                <w:bCs w:val="0"/>
                <w:color w:val="1E1545"/>
                <w:sz w:val="21"/>
                <w:szCs w:val="21"/>
                <w:lang w:eastAsia="en-AU"/>
              </w:rPr>
              <w:t>5</w:t>
            </w:r>
            <w:r w:rsidRPr="00105EE7">
              <w:rPr>
                <w:rFonts w:cs="Arial"/>
                <w:bCs w:val="0"/>
                <w:color w:val="1E1545"/>
                <w:sz w:val="21"/>
                <w:szCs w:val="21"/>
                <w:lang w:eastAsia="en-AU"/>
              </w:rPr>
              <w:t>)</w:t>
            </w:r>
          </w:p>
        </w:tc>
        <w:tc>
          <w:tcPr>
            <w:tcW w:w="1653" w:type="dxa"/>
            <w:tcBorders>
              <w:top w:val="nil"/>
              <w:left w:val="nil"/>
              <w:bottom w:val="single" w:sz="8" w:space="0" w:color="auto"/>
              <w:right w:val="nil"/>
            </w:tcBorders>
            <w:shd w:val="clear" w:color="000000" w:fill="FFFFFF"/>
            <w:noWrap/>
            <w:vAlign w:val="center"/>
            <w:hideMark/>
          </w:tcPr>
          <w:p w14:paraId="4FCE59BD"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$67.5 </w:t>
            </w:r>
          </w:p>
        </w:tc>
        <w:tc>
          <w:tcPr>
            <w:tcW w:w="1654" w:type="dxa"/>
            <w:tcBorders>
              <w:top w:val="nil"/>
              <w:left w:val="nil"/>
              <w:bottom w:val="single" w:sz="8" w:space="0" w:color="auto"/>
              <w:right w:val="nil"/>
            </w:tcBorders>
            <w:shd w:val="clear" w:color="000000" w:fill="FFFFFF"/>
            <w:noWrap/>
            <w:vAlign w:val="center"/>
            <w:hideMark/>
          </w:tcPr>
          <w:p w14:paraId="3A558971"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$59.5 </w:t>
            </w:r>
          </w:p>
        </w:tc>
        <w:tc>
          <w:tcPr>
            <w:tcW w:w="1654" w:type="dxa"/>
            <w:tcBorders>
              <w:top w:val="nil"/>
              <w:left w:val="nil"/>
              <w:bottom w:val="single" w:sz="8" w:space="0" w:color="auto"/>
              <w:right w:val="nil"/>
            </w:tcBorders>
            <w:shd w:val="clear" w:color="000000" w:fill="FFFFFF"/>
            <w:noWrap/>
            <w:vAlign w:val="center"/>
            <w:hideMark/>
          </w:tcPr>
          <w:p w14:paraId="7E868F76"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$59.5 </w:t>
            </w:r>
          </w:p>
        </w:tc>
      </w:tr>
      <w:tr w:rsidR="00105EE7" w:rsidRPr="00105EE7" w14:paraId="6108BE1F" w14:textId="77777777" w:rsidTr="00296309">
        <w:trPr>
          <w:trHeight w:val="560"/>
        </w:trPr>
        <w:tc>
          <w:tcPr>
            <w:tcW w:w="4243" w:type="dxa"/>
            <w:tcBorders>
              <w:top w:val="single" w:sz="8" w:space="0" w:color="1E1545"/>
              <w:left w:val="nil"/>
              <w:bottom w:val="single" w:sz="8" w:space="0" w:color="1E1545"/>
              <w:right w:val="nil"/>
            </w:tcBorders>
            <w:shd w:val="clear" w:color="000000" w:fill="FFFFFF"/>
            <w:vAlign w:val="bottom"/>
            <w:hideMark/>
          </w:tcPr>
          <w:p w14:paraId="611DF8AB" w14:textId="77777777" w:rsidR="00105EE7" w:rsidRPr="00105EE7" w:rsidRDefault="00105EE7" w:rsidP="00105EE7">
            <w:pPr>
              <w:spacing w:before="0" w:after="0" w:line="240" w:lineRule="auto"/>
              <w:rPr>
                <w:rFonts w:cs="Arial"/>
                <w:bCs w:val="0"/>
                <w:color w:val="1E1545"/>
                <w:sz w:val="21"/>
                <w:szCs w:val="21"/>
                <w:lang w:eastAsia="en-AU"/>
              </w:rPr>
            </w:pPr>
            <w:r w:rsidRPr="00105EE7">
              <w:rPr>
                <w:rFonts w:cs="Arial"/>
                <w:bCs w:val="0"/>
                <w:color w:val="1E1545"/>
                <w:sz w:val="21"/>
                <w:szCs w:val="21"/>
                <w:lang w:eastAsia="en-AU"/>
              </w:rPr>
              <w:t>Goods, Equipment and Assistive Technology</w:t>
            </w:r>
          </w:p>
        </w:tc>
        <w:tc>
          <w:tcPr>
            <w:tcW w:w="1653" w:type="dxa"/>
            <w:tcBorders>
              <w:top w:val="nil"/>
              <w:left w:val="nil"/>
              <w:bottom w:val="single" w:sz="8" w:space="0" w:color="auto"/>
              <w:right w:val="nil"/>
            </w:tcBorders>
            <w:shd w:val="clear" w:color="000000" w:fill="FFFFFF"/>
            <w:noWrap/>
            <w:vAlign w:val="center"/>
            <w:hideMark/>
          </w:tcPr>
          <w:p w14:paraId="55D9952E"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$11.7 </w:t>
            </w:r>
          </w:p>
        </w:tc>
        <w:tc>
          <w:tcPr>
            <w:tcW w:w="1654" w:type="dxa"/>
            <w:tcBorders>
              <w:top w:val="nil"/>
              <w:left w:val="nil"/>
              <w:bottom w:val="single" w:sz="8" w:space="0" w:color="auto"/>
              <w:right w:val="nil"/>
            </w:tcBorders>
            <w:shd w:val="clear" w:color="000000" w:fill="FFFFFF"/>
            <w:noWrap/>
            <w:vAlign w:val="center"/>
            <w:hideMark/>
          </w:tcPr>
          <w:p w14:paraId="173CF67B"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$12.2 </w:t>
            </w:r>
          </w:p>
        </w:tc>
        <w:tc>
          <w:tcPr>
            <w:tcW w:w="1654" w:type="dxa"/>
            <w:tcBorders>
              <w:top w:val="nil"/>
              <w:left w:val="nil"/>
              <w:bottom w:val="single" w:sz="8" w:space="0" w:color="auto"/>
              <w:right w:val="nil"/>
            </w:tcBorders>
            <w:shd w:val="clear" w:color="000000" w:fill="FFFFFF"/>
            <w:noWrap/>
            <w:vAlign w:val="center"/>
            <w:hideMark/>
          </w:tcPr>
          <w:p w14:paraId="18C88E53" w14:textId="77777777" w:rsidR="00105EE7" w:rsidRPr="00105EE7" w:rsidRDefault="00105EE7" w:rsidP="00105EE7">
            <w:pPr>
              <w:spacing w:before="0" w:after="0" w:line="240" w:lineRule="auto"/>
              <w:jc w:val="right"/>
              <w:rPr>
                <w:rFonts w:cs="Arial"/>
                <w:bCs w:val="0"/>
                <w:color w:val="1E1545"/>
                <w:sz w:val="21"/>
                <w:szCs w:val="21"/>
                <w:lang w:eastAsia="en-AU"/>
              </w:rPr>
            </w:pPr>
            <w:r w:rsidRPr="00105EE7">
              <w:rPr>
                <w:rFonts w:cs="Arial"/>
                <w:bCs w:val="0"/>
                <w:color w:val="1E1545"/>
                <w:sz w:val="21"/>
                <w:szCs w:val="21"/>
                <w:lang w:eastAsia="en-AU"/>
              </w:rPr>
              <w:t xml:space="preserve">$12.7 </w:t>
            </w:r>
          </w:p>
        </w:tc>
      </w:tr>
    </w:tbl>
    <w:p w14:paraId="49CEC3A5" w14:textId="77777777" w:rsidR="003A4BBD" w:rsidRDefault="003A4BBD" w:rsidP="00DA51F4">
      <w:pPr>
        <w:pStyle w:val="FootnoteText"/>
      </w:pPr>
    </w:p>
    <w:p w14:paraId="229FAF18" w14:textId="283D1155" w:rsidR="00856691" w:rsidRPr="005D08AA" w:rsidRDefault="00856691" w:rsidP="00DA51F4">
      <w:pPr>
        <w:pStyle w:val="FootnoteText"/>
      </w:pPr>
      <w:r w:rsidRPr="005D08AA">
        <w:t>Notes:</w:t>
      </w:r>
    </w:p>
    <w:p w14:paraId="630CDD8B" w14:textId="77777777" w:rsidR="00856691" w:rsidRPr="00471B52" w:rsidRDefault="00856691" w:rsidP="0054105B">
      <w:pPr>
        <w:pStyle w:val="FootnoteText"/>
        <w:numPr>
          <w:ilvl w:val="0"/>
          <w:numId w:val="41"/>
        </w:numPr>
      </w:pPr>
      <w:r w:rsidRPr="00471B52">
        <w:t>Social support includes social support group and social support individual</w:t>
      </w:r>
    </w:p>
    <w:p w14:paraId="7F9C15AD" w14:textId="77777777" w:rsidR="00856691" w:rsidRPr="00471B52" w:rsidRDefault="00856691" w:rsidP="0054105B">
      <w:pPr>
        <w:pStyle w:val="FootnoteText"/>
        <w:numPr>
          <w:ilvl w:val="0"/>
          <w:numId w:val="41"/>
        </w:numPr>
      </w:pPr>
      <w:r w:rsidRPr="00471B52">
        <w:t>Respite includes centre-based respite, cottage respite and flexible respite</w:t>
      </w:r>
    </w:p>
    <w:p w14:paraId="21F89B8A" w14:textId="77777777" w:rsidR="00856691" w:rsidRPr="00471B52" w:rsidRDefault="00856691" w:rsidP="0054105B">
      <w:pPr>
        <w:pStyle w:val="FootnoteText"/>
        <w:numPr>
          <w:ilvl w:val="0"/>
          <w:numId w:val="41"/>
        </w:numPr>
      </w:pPr>
      <w:r w:rsidRPr="00471B52">
        <w:t>Home modifications and maintenance are 2 separate services in CHSP</w:t>
      </w:r>
    </w:p>
    <w:p w14:paraId="5973C331" w14:textId="77777777" w:rsidR="00856691" w:rsidRPr="00471B52" w:rsidRDefault="00856691" w:rsidP="0054105B">
      <w:pPr>
        <w:pStyle w:val="FootnoteText"/>
        <w:numPr>
          <w:ilvl w:val="0"/>
          <w:numId w:val="41"/>
        </w:numPr>
      </w:pPr>
      <w:r w:rsidRPr="00471B52">
        <w:t>Meals and other food services are 2 separate services in CHSP</w:t>
      </w:r>
    </w:p>
    <w:p w14:paraId="49140245" w14:textId="4F28D636" w:rsidR="00856691" w:rsidRPr="00471B52" w:rsidRDefault="00856691" w:rsidP="0054105B">
      <w:pPr>
        <w:pStyle w:val="FootnoteText"/>
        <w:numPr>
          <w:ilvl w:val="0"/>
          <w:numId w:val="41"/>
        </w:numPr>
      </w:pPr>
      <w:r w:rsidRPr="00471B52">
        <w:t>Specialised support services provides services that meet the specialised needs of older people living at home with a particular condition such as dementia or vision impairment</w:t>
      </w:r>
    </w:p>
    <w:p w14:paraId="72327EE5" w14:textId="77777777" w:rsidR="008956A0" w:rsidRDefault="008956A0" w:rsidP="00706D0A">
      <w:pPr>
        <w:rPr>
          <w:b/>
        </w:rPr>
      </w:pPr>
      <w:r>
        <w:br w:type="page"/>
      </w:r>
    </w:p>
    <w:p w14:paraId="00195BAE" w14:textId="77777777" w:rsidR="00B92B4E" w:rsidRDefault="00B92B4E" w:rsidP="00706D0A">
      <w:pPr>
        <w:pStyle w:val="Caption"/>
        <w:sectPr w:rsidR="00B92B4E" w:rsidSect="006B7D78">
          <w:headerReference w:type="even" r:id="rId117"/>
          <w:headerReference w:type="default" r:id="rId118"/>
          <w:footerReference w:type="default" r:id="rId119"/>
          <w:headerReference w:type="first" r:id="rId120"/>
          <w:type w:val="continuous"/>
          <w:pgSz w:w="11906" w:h="16838"/>
          <w:pgMar w:top="1701" w:right="1418" w:bottom="1418" w:left="1418" w:header="709" w:footer="709" w:gutter="0"/>
          <w:cols w:space="708"/>
          <w:docGrid w:linePitch="360"/>
        </w:sectPr>
      </w:pPr>
    </w:p>
    <w:p w14:paraId="605071D2" w14:textId="15A4D921" w:rsidR="00A32448" w:rsidRDefault="000A5300" w:rsidP="006A0CED">
      <w:pPr>
        <w:pStyle w:val="Caption"/>
        <w:tabs>
          <w:tab w:val="right" w:pos="9070"/>
        </w:tabs>
      </w:pPr>
      <w:r>
        <w:rPr>
          <w:noProof/>
        </w:rPr>
        <w:drawing>
          <wp:anchor distT="0" distB="0" distL="114300" distR="114300" simplePos="0" relativeHeight="251658245" behindDoc="0" locked="0" layoutInCell="1" allowOverlap="1" wp14:anchorId="0353813D" wp14:editId="6BFBA674">
            <wp:simplePos x="0" y="0"/>
            <wp:positionH relativeFrom="column">
              <wp:posOffset>-900430</wp:posOffset>
            </wp:positionH>
            <wp:positionV relativeFrom="page">
              <wp:posOffset>19050</wp:posOffset>
            </wp:positionV>
            <wp:extent cx="7556500" cy="9810115"/>
            <wp:effectExtent l="0" t="0" r="6350" b="635"/>
            <wp:wrapTopAndBottom/>
            <wp:docPr id="1322519782" name="Picture 1322519782" descr="The picture at the beginning of chapter 6 titled Future demand for aged care shows two elderly people looking at tablet with a younger wom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82" name="Picture 1322519782" descr="The picture at the beginning of chapter 6 titled Future demand for aged care shows two elderly people looking at tablet with a younger woman.">
                      <a:extLst>
                        <a:ext uri="{C183D7F6-B498-43B3-948B-1728B52AA6E4}">
                          <adec:decorative xmlns:adec="http://schemas.microsoft.com/office/drawing/2017/decorative" val="0"/>
                        </a:ext>
                      </a:extLst>
                    </pic:cNvPr>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56500" cy="9810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2448">
        <w:br w:type="page"/>
      </w:r>
    </w:p>
    <w:p w14:paraId="635DB853" w14:textId="77777777" w:rsidR="00DF6497" w:rsidRDefault="00DF6497" w:rsidP="00DF6497">
      <w:pPr>
        <w:pStyle w:val="Heading1"/>
      </w:pPr>
      <w:bookmarkStart w:id="220" w:name="_Toc149245330"/>
      <w:bookmarkStart w:id="221" w:name="_Toc173428613"/>
      <w:r>
        <w:t>Future demand for aged care</w:t>
      </w:r>
      <w:bookmarkEnd w:id="220"/>
      <w:bookmarkEnd w:id="221"/>
    </w:p>
    <w:p w14:paraId="0C2DAA22" w14:textId="4B27A809" w:rsidR="00AD6C11" w:rsidRPr="00F75842" w:rsidRDefault="00AD6C11" w:rsidP="00706D0A">
      <w:r w:rsidRPr="00F75842">
        <w:t>The</w:t>
      </w:r>
      <w:r w:rsidRPr="00F75842">
        <w:rPr>
          <w:spacing w:val="-7"/>
        </w:rPr>
        <w:t xml:space="preserve"> </w:t>
      </w:r>
      <w:r w:rsidRPr="00F75842">
        <w:t>demand</w:t>
      </w:r>
      <w:r w:rsidRPr="00F75842">
        <w:rPr>
          <w:spacing w:val="-7"/>
        </w:rPr>
        <w:t xml:space="preserve"> </w:t>
      </w:r>
      <w:r w:rsidRPr="00F75842">
        <w:t>for</w:t>
      </w:r>
      <w:r w:rsidRPr="00F75842">
        <w:rPr>
          <w:spacing w:val="-7"/>
        </w:rPr>
        <w:t xml:space="preserve"> </w:t>
      </w:r>
      <w:r w:rsidRPr="00F75842">
        <w:t>aged</w:t>
      </w:r>
      <w:r w:rsidRPr="00F75842">
        <w:rPr>
          <w:spacing w:val="-7"/>
        </w:rPr>
        <w:t xml:space="preserve"> </w:t>
      </w:r>
      <w:r w:rsidRPr="00F75842">
        <w:t>care</w:t>
      </w:r>
      <w:r w:rsidRPr="00F75842">
        <w:rPr>
          <w:spacing w:val="-7"/>
        </w:rPr>
        <w:t xml:space="preserve"> </w:t>
      </w:r>
      <w:r w:rsidRPr="00F75842">
        <w:t>services</w:t>
      </w:r>
      <w:r w:rsidRPr="00F75842">
        <w:rPr>
          <w:spacing w:val="-7"/>
        </w:rPr>
        <w:t xml:space="preserve"> </w:t>
      </w:r>
      <w:r w:rsidRPr="00F75842">
        <w:t>will</w:t>
      </w:r>
      <w:r w:rsidRPr="00F75842">
        <w:rPr>
          <w:spacing w:val="-7"/>
        </w:rPr>
        <w:t xml:space="preserve"> </w:t>
      </w:r>
      <w:r w:rsidRPr="00F75842">
        <w:t>expand</w:t>
      </w:r>
      <w:r w:rsidRPr="00F75842">
        <w:rPr>
          <w:spacing w:val="-7"/>
        </w:rPr>
        <w:t xml:space="preserve"> </w:t>
      </w:r>
      <w:r w:rsidRPr="00F75842">
        <w:t>with</w:t>
      </w:r>
      <w:r w:rsidRPr="00F75842">
        <w:rPr>
          <w:spacing w:val="-7"/>
        </w:rPr>
        <w:t xml:space="preserve"> </w:t>
      </w:r>
      <w:r w:rsidRPr="00F75842">
        <w:t>the ageing of the population. This chapter discusses factors that affect demand for relevant aged care types and how this may to look in the future.</w:t>
      </w:r>
    </w:p>
    <w:p w14:paraId="4EE47F24" w14:textId="4B2C0BB7" w:rsidR="00AD6C11" w:rsidRPr="00F75842" w:rsidRDefault="00AD6C11" w:rsidP="00706D0A">
      <w:r w:rsidRPr="00F75842">
        <w:t>The analysis in this chapter focuses on projections based on current use of aged care and population growth</w:t>
      </w:r>
      <w:r w:rsidR="00E542E2">
        <w:t>,</w:t>
      </w:r>
      <w:r w:rsidRPr="00F75842">
        <w:t xml:space="preserve"> and</w:t>
      </w:r>
      <w:r w:rsidRPr="00F75842">
        <w:rPr>
          <w:spacing w:val="-7"/>
        </w:rPr>
        <w:t xml:space="preserve"> </w:t>
      </w:r>
      <w:r w:rsidRPr="00F75842">
        <w:t>should</w:t>
      </w:r>
      <w:r w:rsidRPr="00F75842">
        <w:rPr>
          <w:spacing w:val="-7"/>
        </w:rPr>
        <w:t xml:space="preserve"> </w:t>
      </w:r>
      <w:r w:rsidRPr="00F75842">
        <w:t>not</w:t>
      </w:r>
      <w:r w:rsidRPr="00F75842">
        <w:rPr>
          <w:spacing w:val="-7"/>
        </w:rPr>
        <w:t xml:space="preserve"> </w:t>
      </w:r>
      <w:r w:rsidRPr="00F75842">
        <w:t>be</w:t>
      </w:r>
      <w:r w:rsidRPr="00F75842">
        <w:rPr>
          <w:spacing w:val="-7"/>
        </w:rPr>
        <w:t xml:space="preserve"> </w:t>
      </w:r>
      <w:r w:rsidRPr="00F75842">
        <w:t>treated</w:t>
      </w:r>
      <w:r w:rsidRPr="00F75842">
        <w:rPr>
          <w:spacing w:val="-7"/>
        </w:rPr>
        <w:t xml:space="preserve"> </w:t>
      </w:r>
      <w:r w:rsidRPr="00F75842">
        <w:t>as</w:t>
      </w:r>
      <w:r w:rsidRPr="00F75842">
        <w:rPr>
          <w:spacing w:val="-7"/>
        </w:rPr>
        <w:t xml:space="preserve"> </w:t>
      </w:r>
      <w:r w:rsidRPr="00F75842">
        <w:t>forecasts</w:t>
      </w:r>
      <w:r w:rsidRPr="00F75842">
        <w:rPr>
          <w:spacing w:val="-7"/>
        </w:rPr>
        <w:t xml:space="preserve"> </w:t>
      </w:r>
      <w:r w:rsidRPr="00F75842">
        <w:t>of</w:t>
      </w:r>
      <w:r w:rsidRPr="00F75842">
        <w:rPr>
          <w:spacing w:val="-7"/>
        </w:rPr>
        <w:t xml:space="preserve"> </w:t>
      </w:r>
      <w:r w:rsidRPr="00F75842">
        <w:t>future</w:t>
      </w:r>
      <w:r w:rsidRPr="00F75842">
        <w:rPr>
          <w:spacing w:val="-1"/>
        </w:rPr>
        <w:t xml:space="preserve"> </w:t>
      </w:r>
      <w:r w:rsidRPr="00F75842">
        <w:t>uptake of aged care services.</w:t>
      </w:r>
    </w:p>
    <w:p w14:paraId="1D8857B9" w14:textId="7D0C6FBE" w:rsidR="004642CA" w:rsidRDefault="004642CA" w:rsidP="004642CA">
      <w:r>
        <w:t xml:space="preserve">The Australian Government recognises it has an important role in stewarding the aged care market to ensure older people in Australia have access to </w:t>
      </w:r>
      <w:r w:rsidR="000B2B35">
        <w:t xml:space="preserve">the </w:t>
      </w:r>
      <w:r>
        <w:t xml:space="preserve">aged care services they need now and into the future. To do this, the Government monitors supply and demand to ensure the aged care market provides the range of services </w:t>
      </w:r>
      <w:r w:rsidR="00185DBF">
        <w:t xml:space="preserve">older people in </w:t>
      </w:r>
      <w:r w:rsidR="00E830B3">
        <w:t>Australia</w:t>
      </w:r>
      <w:r w:rsidR="005D6DFE">
        <w:t xml:space="preserve"> </w:t>
      </w:r>
      <w:r>
        <w:t xml:space="preserve">need and expect in the places where they need them. </w:t>
      </w:r>
    </w:p>
    <w:p w14:paraId="2EEE6909" w14:textId="514C7ED5" w:rsidR="00AD6C11" w:rsidRPr="00F75842" w:rsidRDefault="00204CF8" w:rsidP="00706D0A">
      <w:r>
        <w:t>In its role as market steward</w:t>
      </w:r>
      <w:r w:rsidR="00EC7C41">
        <w:t>,</w:t>
      </w:r>
      <w:r>
        <w:t xml:space="preserve"> t</w:t>
      </w:r>
      <w:r w:rsidR="004A13C3">
        <w:t xml:space="preserve">he department continues to expand its market analysis and monitoring capabilities </w:t>
      </w:r>
      <w:r w:rsidR="00641ED0">
        <w:t>and is exploring ways to</w:t>
      </w:r>
      <w:r w:rsidR="00CE3599">
        <w:t xml:space="preserve"> ensure that market intelligence</w:t>
      </w:r>
      <w:r w:rsidR="00EC7C41">
        <w:t xml:space="preserve"> can be shared </w:t>
      </w:r>
      <w:r w:rsidR="00C725EC">
        <w:t>with the sector to inform service planning</w:t>
      </w:r>
      <w:r w:rsidR="00BF5CC7">
        <w:t xml:space="preserve">. This will strengthen the ability of aged care providers to deliver services that meet the needs and preferences of older people in Australia. </w:t>
      </w:r>
    </w:p>
    <w:p w14:paraId="183DA6FC" w14:textId="77777777" w:rsidR="00537588" w:rsidRPr="007E3291" w:rsidRDefault="00537588" w:rsidP="004E0C89">
      <w:pPr>
        <w:rPr>
          <w:szCs w:val="28"/>
        </w:rPr>
      </w:pPr>
      <w:r w:rsidRPr="004E0C89">
        <w:rPr>
          <w:b/>
          <w:sz w:val="28"/>
          <w:szCs w:val="28"/>
        </w:rPr>
        <w:t>Determinants</w:t>
      </w:r>
      <w:r w:rsidRPr="004E0C89">
        <w:rPr>
          <w:b/>
          <w:spacing w:val="-9"/>
          <w:sz w:val="28"/>
          <w:szCs w:val="28"/>
        </w:rPr>
        <w:t xml:space="preserve"> </w:t>
      </w:r>
      <w:r w:rsidRPr="004E0C89">
        <w:rPr>
          <w:b/>
          <w:sz w:val="28"/>
          <w:szCs w:val="28"/>
        </w:rPr>
        <w:t>of</w:t>
      </w:r>
      <w:r w:rsidRPr="004E0C89">
        <w:rPr>
          <w:b/>
          <w:spacing w:val="-6"/>
          <w:sz w:val="28"/>
          <w:szCs w:val="28"/>
        </w:rPr>
        <w:t xml:space="preserve"> </w:t>
      </w:r>
      <w:r w:rsidRPr="004E0C89">
        <w:rPr>
          <w:b/>
          <w:spacing w:val="-2"/>
          <w:sz w:val="28"/>
          <w:szCs w:val="28"/>
        </w:rPr>
        <w:t>demand</w:t>
      </w:r>
    </w:p>
    <w:p w14:paraId="38531015" w14:textId="0757B86F" w:rsidR="006735F7" w:rsidRDefault="00537588" w:rsidP="00706D0A">
      <w:r w:rsidRPr="00A06F44">
        <w:t>Demand for aged care services is complex and dependent on a range of demographic, service needs and economic factors.</w:t>
      </w:r>
      <w:r w:rsidR="00E457B3">
        <w:t xml:space="preserve"> The department </w:t>
      </w:r>
      <w:r w:rsidR="001568BA">
        <w:t xml:space="preserve">recognises </w:t>
      </w:r>
      <w:r w:rsidR="006C02B5">
        <w:t xml:space="preserve">that Australians are living longer than ever </w:t>
      </w:r>
      <w:r w:rsidR="00BF0F6B">
        <w:t>before,</w:t>
      </w:r>
      <w:r w:rsidR="003F1C05">
        <w:t xml:space="preserve"> and this means demand for aged care is increasing</w:t>
      </w:r>
      <w:r w:rsidR="00BF0F6B">
        <w:t xml:space="preserve">. </w:t>
      </w:r>
      <w:r w:rsidR="00DA704D">
        <w:t>In its final report, the</w:t>
      </w:r>
      <w:r w:rsidR="00002C64">
        <w:t xml:space="preserve"> Aged Care Taskforce (</w:t>
      </w:r>
      <w:r w:rsidR="00F03DB6">
        <w:t xml:space="preserve">the Taskforce) </w:t>
      </w:r>
      <w:r w:rsidR="00265939">
        <w:t xml:space="preserve">noted </w:t>
      </w:r>
      <w:r w:rsidR="00265939" w:rsidRPr="004E0C89">
        <w:t>‘</w:t>
      </w:r>
      <w:r w:rsidR="005C2D02">
        <w:t>Australia’s aged care needs are increasing as the population ages, and expectations of quality improvements are high.</w:t>
      </w:r>
      <w:r w:rsidR="00887773">
        <w:t>’</w:t>
      </w:r>
      <w:r w:rsidR="005C2D02" w:rsidRPr="004E0C89">
        <w:t xml:space="preserve"> </w:t>
      </w:r>
      <w:r w:rsidR="006735F7">
        <w:t xml:space="preserve">It went on to say </w:t>
      </w:r>
      <w:r w:rsidR="00887773">
        <w:t>‘</w:t>
      </w:r>
      <w:r w:rsidR="004472CF">
        <w:t>w</w:t>
      </w:r>
      <w:r w:rsidR="004747BA">
        <w:t>ith more people living longer and requiring a range of care in their later years, services will need to continue to expand and improve.</w:t>
      </w:r>
      <w:r w:rsidR="00887773">
        <w:t>’</w:t>
      </w:r>
      <w:r w:rsidR="00887773" w:rsidDel="00887773">
        <w:t xml:space="preserve"> </w:t>
      </w:r>
    </w:p>
    <w:p w14:paraId="7138A319" w14:textId="77777777" w:rsidR="006F4F12" w:rsidRDefault="006F4F12" w:rsidP="006F4F12">
      <w:pPr>
        <w:spacing w:before="0" w:after="0" w:line="240" w:lineRule="auto"/>
      </w:pPr>
      <w:r>
        <w:br w:type="page"/>
      </w:r>
    </w:p>
    <w:p w14:paraId="5CCA30D1" w14:textId="01A13644" w:rsidR="009D45F0" w:rsidRPr="00E94564" w:rsidRDefault="009D45F0" w:rsidP="00093E72">
      <w:pPr>
        <w:rPr>
          <w:szCs w:val="28"/>
        </w:rPr>
      </w:pPr>
      <w:r w:rsidRPr="00093E72">
        <w:rPr>
          <w:b/>
          <w:sz w:val="28"/>
          <w:szCs w:val="28"/>
          <w:shd w:val="clear" w:color="auto" w:fill="FFFFFF"/>
        </w:rPr>
        <w:t>An ageing population – older people demand more aged care</w:t>
      </w:r>
    </w:p>
    <w:p w14:paraId="225DD935" w14:textId="5D545A9F" w:rsidR="00744DD9" w:rsidRDefault="0031621C" w:rsidP="00744DD9">
      <w:r>
        <w:fldChar w:fldCharType="begin"/>
      </w:r>
      <w:r>
        <w:instrText xml:space="preserve"> REF _Ref172017754 \h </w:instrText>
      </w:r>
      <w:r>
        <w:fldChar w:fldCharType="separate"/>
      </w:r>
      <w:r w:rsidR="001377BE">
        <w:t xml:space="preserve">Chart </w:t>
      </w:r>
      <w:r w:rsidR="001377BE">
        <w:rPr>
          <w:noProof/>
        </w:rPr>
        <w:t>6</w:t>
      </w:r>
      <w:r w:rsidR="001377BE">
        <w:t>.</w:t>
      </w:r>
      <w:r w:rsidR="001377BE">
        <w:rPr>
          <w:noProof/>
        </w:rPr>
        <w:t>1</w:t>
      </w:r>
      <w:r>
        <w:fldChar w:fldCharType="end"/>
      </w:r>
      <w:r w:rsidR="00B11627">
        <w:t xml:space="preserve"> </w:t>
      </w:r>
      <w:r w:rsidR="009D45F0" w:rsidRPr="00F1370D">
        <w:t>s</w:t>
      </w:r>
      <w:r w:rsidR="009D45F0" w:rsidRPr="00CC4DBD">
        <w:t xml:space="preserve">hows the number of people aged 70 years and over for the next 20 years. The ageing of the Australian population over the next 20 years will see the size of the 70 years and over cohort increase by around 1 million people each decade. The older age groups will more than double over this period. The 85 years and over cohort will increase from just over </w:t>
      </w:r>
      <w:r w:rsidR="00B05FB2" w:rsidRPr="00CC4DBD">
        <w:t>56</w:t>
      </w:r>
      <w:r w:rsidR="009713DA" w:rsidRPr="00CC4DBD">
        <w:t>5</w:t>
      </w:r>
      <w:r w:rsidR="009D45F0" w:rsidRPr="00CC4DBD">
        <w:t xml:space="preserve">,000 people in </w:t>
      </w:r>
      <w:r w:rsidR="009713DA" w:rsidRPr="00CC4DBD">
        <w:t>2023</w:t>
      </w:r>
      <w:r w:rsidR="009D45F0" w:rsidRPr="00CC4DBD">
        <w:t xml:space="preserve"> to just over 1.</w:t>
      </w:r>
      <w:r w:rsidR="004B3E04" w:rsidRPr="00CC4DBD">
        <w:t>3</w:t>
      </w:r>
      <w:r w:rsidR="009D45F0" w:rsidRPr="00CC4DBD">
        <w:t xml:space="preserve"> million people by </w:t>
      </w:r>
      <w:r w:rsidR="0086185B" w:rsidRPr="00CC4DBD">
        <w:t>2043</w:t>
      </w:r>
      <w:r w:rsidR="009D45F0" w:rsidRPr="00CC4DBD">
        <w:t>.</w:t>
      </w:r>
      <w:bookmarkStart w:id="222" w:name="_Ref161396105"/>
    </w:p>
    <w:p w14:paraId="32B8D4FF" w14:textId="0C315ACD" w:rsidR="00744DD9" w:rsidRPr="00744DD9" w:rsidRDefault="00744DD9" w:rsidP="00744DD9">
      <w:pPr>
        <w:pStyle w:val="Caption"/>
      </w:pPr>
      <w:bookmarkStart w:id="223" w:name="_Ref172017754"/>
      <w:bookmarkStart w:id="224" w:name="_Toc173428954"/>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t>.</w:t>
      </w:r>
      <w:r w:rsidR="00AE19AA">
        <w:fldChar w:fldCharType="begin"/>
      </w:r>
      <w:r w:rsidR="00AE19AA">
        <w:instrText xml:space="preserve"> SEQ Chart \* ARABIC \s 1 </w:instrText>
      </w:r>
      <w:r w:rsidR="00AE19AA">
        <w:fldChar w:fldCharType="separate"/>
      </w:r>
      <w:r w:rsidR="001377BE">
        <w:rPr>
          <w:noProof/>
        </w:rPr>
        <w:t>1</w:t>
      </w:r>
      <w:r w:rsidR="00AE19AA">
        <w:rPr>
          <w:noProof/>
        </w:rPr>
        <w:fldChar w:fldCharType="end"/>
      </w:r>
      <w:bookmarkEnd w:id="223"/>
      <w:r>
        <w:t xml:space="preserve">: </w:t>
      </w:r>
      <w:r w:rsidRPr="00032435">
        <w:t>Number of people aged 70 years and over, by 5 year age cohort, 2023 to 2043</w:t>
      </w:r>
      <w:bookmarkEnd w:id="224"/>
    </w:p>
    <w:bookmarkEnd w:id="222"/>
    <w:p w14:paraId="494369DA" w14:textId="1BC0925A" w:rsidR="000F0270" w:rsidRDefault="0050038F" w:rsidP="00F91BBB">
      <w:pPr>
        <w:pStyle w:val="Caption"/>
      </w:pPr>
      <w:r>
        <w:rPr>
          <w:noProof/>
        </w:rPr>
        <w:drawing>
          <wp:inline distT="0" distB="0" distL="0" distR="0" wp14:anchorId="4504023E" wp14:editId="16CABAC0">
            <wp:extent cx="5929107" cy="3446060"/>
            <wp:effectExtent l="0" t="0" r="0" b="2540"/>
            <wp:docPr id="1271021923" name="Picture 1271021923" descr="Chart 6.1 is a stacked column chart titled Number of people aged 70 years and over, by 5 year age cohort, 2023 to 2043. The size of the 70 years and over cohort increase by around 1 million people each decade while the older age groups will more than double over this period. The 85 years and over cohort will increase from just over 565,000 people in 2023 to just over 1.3 million people by 2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3" name="Picture 1271021923" descr="Chart 6.1 is a stacked column chart titled Number of people aged 70 years and over, by 5 year age cohort, 2023 to 2043. The size of the 70 years and over cohort increase by around 1 million people each decade while the older age groups will more than double over this period. The 85 years and over cohort will increase from just over 565,000 people in 2023 to just over 1.3 million people by 2043.&#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682" cy="3449882"/>
                    </a:xfrm>
                    <a:prstGeom prst="rect">
                      <a:avLst/>
                    </a:prstGeom>
                    <a:noFill/>
                  </pic:spPr>
                </pic:pic>
              </a:graphicData>
            </a:graphic>
          </wp:inline>
        </w:drawing>
      </w:r>
    </w:p>
    <w:p w14:paraId="049D1C66" w14:textId="77777777" w:rsidR="006F4F12" w:rsidRDefault="006F4F12" w:rsidP="006F4F12">
      <w:pPr>
        <w:spacing w:before="0" w:after="0" w:line="240" w:lineRule="auto"/>
      </w:pPr>
      <w:r>
        <w:br w:type="page"/>
      </w:r>
    </w:p>
    <w:p w14:paraId="5655156A" w14:textId="4DD3E56D" w:rsidR="002C0AB1" w:rsidRPr="00514D38" w:rsidRDefault="00744DD9" w:rsidP="00335F6D">
      <w:r>
        <w:fldChar w:fldCharType="begin"/>
      </w:r>
      <w:r>
        <w:instrText xml:space="preserve"> REF _Ref160792606 \h </w:instrText>
      </w:r>
      <w:r>
        <w:fldChar w:fldCharType="separate"/>
      </w:r>
      <w:r w:rsidR="001377BE">
        <w:t xml:space="preserve">Chart </w:t>
      </w:r>
      <w:r w:rsidR="001377BE">
        <w:rPr>
          <w:noProof/>
        </w:rPr>
        <w:t>6</w:t>
      </w:r>
      <w:r w:rsidR="001377BE">
        <w:t>.</w:t>
      </w:r>
      <w:r w:rsidR="001377BE">
        <w:rPr>
          <w:noProof/>
        </w:rPr>
        <w:t>2</w:t>
      </w:r>
      <w:r>
        <w:fldChar w:fldCharType="end"/>
      </w:r>
      <w:r w:rsidR="00335F6D">
        <w:t xml:space="preserve"> </w:t>
      </w:r>
      <w:r w:rsidR="002C0AB1" w:rsidRPr="00514D38">
        <w:t>shows the proportion of the 70 years and over age group who are aged 85 and over for the next 20 years. The proportion of the 70 and over population who are aged 85 and over will increase from 2027 onwards.</w:t>
      </w:r>
    </w:p>
    <w:p w14:paraId="4340352A" w14:textId="2C611AB6" w:rsidR="00744DD9" w:rsidRDefault="005B1CCA" w:rsidP="00F91BBB">
      <w:pPr>
        <w:pStyle w:val="Caption"/>
      </w:pPr>
      <w:bookmarkStart w:id="225" w:name="_Ref160792606"/>
      <w:bookmarkStart w:id="226" w:name="_Toc173428955"/>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2</w:t>
      </w:r>
      <w:r w:rsidR="00AE19AA">
        <w:rPr>
          <w:noProof/>
        </w:rPr>
        <w:fldChar w:fldCharType="end"/>
      </w:r>
      <w:bookmarkEnd w:id="225"/>
      <w:r>
        <w:t xml:space="preserve">: </w:t>
      </w:r>
      <w:r w:rsidRPr="00FA1290">
        <w:t>Proportion of the 70 years and over age group aged 85 and over, 202</w:t>
      </w:r>
      <w:r>
        <w:t>3</w:t>
      </w:r>
      <w:r w:rsidRPr="00FA1290">
        <w:t xml:space="preserve"> to 204</w:t>
      </w:r>
      <w:r>
        <w:t>3</w:t>
      </w:r>
      <w:bookmarkEnd w:id="226"/>
    </w:p>
    <w:p w14:paraId="3467DCA3" w14:textId="6F4849B2" w:rsidR="006C6555" w:rsidRPr="006C6555" w:rsidRDefault="008228E6" w:rsidP="00F91BBB">
      <w:pPr>
        <w:pStyle w:val="Caption"/>
      </w:pPr>
      <w:r>
        <w:rPr>
          <w:noProof/>
        </w:rPr>
        <w:drawing>
          <wp:inline distT="0" distB="0" distL="0" distR="0" wp14:anchorId="2BF39A72" wp14:editId="6ECDC0D9">
            <wp:extent cx="5911200" cy="3622571"/>
            <wp:effectExtent l="0" t="0" r="0" b="0"/>
            <wp:docPr id="1271021925" name="Picture 1271021925" descr="Chart 6.2 is a line chart titled Proportion of the 70 years and over age group who are aged 85 and over, 2023 to 2043. The proportion of the 70 and over population who are aged 85 and over will increase from 2027 onwar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25" name="Picture 1271021925" descr="Chart 6.2 is a line chart titled Proportion of the 70 years and over age group who are aged 85 and over, 2023 to 2043. The proportion of the 70 and over population who are aged 85 and over will increase from 2027 onwards.&#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85869" cy="3668331"/>
                    </a:xfrm>
                    <a:prstGeom prst="rect">
                      <a:avLst/>
                    </a:prstGeom>
                    <a:noFill/>
                  </pic:spPr>
                </pic:pic>
              </a:graphicData>
            </a:graphic>
          </wp:inline>
        </w:drawing>
      </w:r>
    </w:p>
    <w:p w14:paraId="50B87706" w14:textId="77777777" w:rsidR="006F4F12" w:rsidRDefault="006F4F12" w:rsidP="006F4F12">
      <w:pPr>
        <w:spacing w:before="0" w:after="0" w:line="240" w:lineRule="auto"/>
      </w:pPr>
      <w:r>
        <w:br w:type="page"/>
      </w:r>
    </w:p>
    <w:p w14:paraId="1A7BF35C" w14:textId="467ACFD6" w:rsidR="00FA2639" w:rsidRDefault="005910CC" w:rsidP="000F0270">
      <w:r>
        <w:fldChar w:fldCharType="begin"/>
      </w:r>
      <w:r>
        <w:instrText xml:space="preserve"> REF _Ref172017792 \h </w:instrText>
      </w:r>
      <w:r>
        <w:fldChar w:fldCharType="separate"/>
      </w:r>
      <w:r w:rsidR="001377BE">
        <w:t xml:space="preserve">Chart </w:t>
      </w:r>
      <w:r w:rsidR="001377BE">
        <w:rPr>
          <w:noProof/>
        </w:rPr>
        <w:t>6</w:t>
      </w:r>
      <w:r w:rsidR="001377BE">
        <w:t>.</w:t>
      </w:r>
      <w:r w:rsidR="001377BE">
        <w:rPr>
          <w:noProof/>
        </w:rPr>
        <w:t>3</w:t>
      </w:r>
      <w:r>
        <w:fldChar w:fldCharType="end"/>
      </w:r>
      <w:r w:rsidR="00D947B2" w:rsidRPr="00D947B2">
        <w:t xml:space="preserve"> and </w:t>
      </w:r>
      <w:r>
        <w:fldChar w:fldCharType="begin"/>
      </w:r>
      <w:r>
        <w:instrText xml:space="preserve"> REF _Ref172017801 \h </w:instrText>
      </w:r>
      <w:r>
        <w:fldChar w:fldCharType="separate"/>
      </w:r>
      <w:r w:rsidR="001377BE">
        <w:t xml:space="preserve">Chart </w:t>
      </w:r>
      <w:r w:rsidR="001377BE">
        <w:rPr>
          <w:noProof/>
        </w:rPr>
        <w:t>6</w:t>
      </w:r>
      <w:r w:rsidR="001377BE">
        <w:t>.</w:t>
      </w:r>
      <w:r w:rsidR="001377BE">
        <w:rPr>
          <w:noProof/>
        </w:rPr>
        <w:t>4</w:t>
      </w:r>
      <w:r>
        <w:fldChar w:fldCharType="end"/>
      </w:r>
      <w:r w:rsidR="00D947B2" w:rsidRPr="00CC4DBD">
        <w:t xml:space="preserve"> </w:t>
      </w:r>
      <w:r w:rsidR="006C6555" w:rsidRPr="00CC4DBD">
        <w:t xml:space="preserve">shows the proportion of people using residential care and home care, for females and males, at 30 June </w:t>
      </w:r>
      <w:r w:rsidR="00412B2D" w:rsidRPr="00CC4DBD">
        <w:t>2023</w:t>
      </w:r>
      <w:r w:rsidR="006C6555" w:rsidRPr="00CC4DBD">
        <w:t xml:space="preserve">. The proportion of people who currently use residential and home care package services increases dramatically with age. By age 80, the proportion of </w:t>
      </w:r>
      <w:r w:rsidR="00040A05">
        <w:t xml:space="preserve">older </w:t>
      </w:r>
      <w:r w:rsidR="00185DBF">
        <w:t>people in Australia</w:t>
      </w:r>
      <w:r w:rsidR="006C6555" w:rsidRPr="00CC4DBD">
        <w:t xml:space="preserve"> accessing aged care, either through permanent residential care or a home care package is around </w:t>
      </w:r>
      <w:r w:rsidR="00253E0A" w:rsidRPr="00CC4DBD">
        <w:t>14</w:t>
      </w:r>
      <w:r w:rsidR="00A009B7">
        <w:t>.2</w:t>
      </w:r>
      <w:r w:rsidR="00BF2B5A" w:rsidRPr="00CC4DBD">
        <w:t>%</w:t>
      </w:r>
      <w:r w:rsidR="006C6555">
        <w:t xml:space="preserve"> </w:t>
      </w:r>
      <w:r w:rsidR="006C6555" w:rsidRPr="00CC4DBD">
        <w:t xml:space="preserve">of females and </w:t>
      </w:r>
      <w:r w:rsidR="00F50E60" w:rsidRPr="00CC4DBD">
        <w:t>9.</w:t>
      </w:r>
      <w:r w:rsidR="00562A30">
        <w:t>2</w:t>
      </w:r>
      <w:r w:rsidR="00BF2B5A" w:rsidRPr="00CC4DBD">
        <w:t>%</w:t>
      </w:r>
      <w:r w:rsidR="006C6555">
        <w:t xml:space="preserve"> </w:t>
      </w:r>
      <w:r w:rsidR="006C6555" w:rsidRPr="00CC4DBD">
        <w:t xml:space="preserve">of males. This doubles by age 85 (to </w:t>
      </w:r>
      <w:r w:rsidR="002D5C92" w:rsidRPr="00CC4DBD">
        <w:t>28.</w:t>
      </w:r>
      <w:r w:rsidR="00012BC3">
        <w:t>5</w:t>
      </w:r>
      <w:r w:rsidR="00BF2B5A" w:rsidRPr="00CC4DBD">
        <w:t>%</w:t>
      </w:r>
      <w:r w:rsidR="006C6555">
        <w:t xml:space="preserve"> </w:t>
      </w:r>
      <w:r w:rsidR="006C6555" w:rsidRPr="00CC4DBD">
        <w:t xml:space="preserve">of females, and </w:t>
      </w:r>
      <w:r w:rsidR="0005756E" w:rsidRPr="00CC4DBD">
        <w:t>18.7</w:t>
      </w:r>
      <w:r w:rsidR="00BF2B5A" w:rsidRPr="00CC4DBD">
        <w:t>%</w:t>
      </w:r>
      <w:r w:rsidR="006C6555">
        <w:t xml:space="preserve"> </w:t>
      </w:r>
      <w:r w:rsidR="006C6555" w:rsidRPr="00CC4DBD">
        <w:t xml:space="preserve">of males) and nearly doubles again by age 92 (to </w:t>
      </w:r>
      <w:r w:rsidR="00605525" w:rsidRPr="00CC4DBD">
        <w:t>53</w:t>
      </w:r>
      <w:r w:rsidR="005A340E">
        <w:t>.</w:t>
      </w:r>
      <w:r w:rsidR="006D7B13">
        <w:t>1</w:t>
      </w:r>
      <w:r w:rsidR="00BF2B5A" w:rsidRPr="00CC4DBD">
        <w:t>%</w:t>
      </w:r>
      <w:r w:rsidR="006C6555">
        <w:t xml:space="preserve"> </w:t>
      </w:r>
      <w:r w:rsidR="006C6555" w:rsidRPr="00CC4DBD">
        <w:t xml:space="preserve">of females and </w:t>
      </w:r>
      <w:r w:rsidR="00051D49">
        <w:t>39.9</w:t>
      </w:r>
      <w:r w:rsidR="008264F1" w:rsidRPr="00CC4DBD">
        <w:t xml:space="preserve"> </w:t>
      </w:r>
      <w:r w:rsidR="00BF2B5A" w:rsidRPr="00CC4DBD">
        <w:t>%</w:t>
      </w:r>
      <w:r w:rsidR="006C6555">
        <w:t xml:space="preserve"> </w:t>
      </w:r>
      <w:r w:rsidR="006C6555" w:rsidRPr="00CC4DBD">
        <w:t xml:space="preserve">of males). This projection is based on current usage, which may not reflect individual preferences or future demand requirements as the preferences of </w:t>
      </w:r>
      <w:r w:rsidR="00E830B3">
        <w:t xml:space="preserve">older people in </w:t>
      </w:r>
      <w:r w:rsidR="00040A05">
        <w:t xml:space="preserve">Australia </w:t>
      </w:r>
      <w:r w:rsidR="006C6555" w:rsidRPr="00CC4DBD">
        <w:t>change</w:t>
      </w:r>
      <w:r w:rsidR="006C6555" w:rsidRPr="008E2604">
        <w:t>.</w:t>
      </w:r>
      <w:bookmarkStart w:id="227" w:name="_Ref160792674"/>
    </w:p>
    <w:p w14:paraId="7640FB95" w14:textId="1291483D" w:rsidR="006C6555" w:rsidRDefault="00056D04" w:rsidP="00706D0A">
      <w:pPr>
        <w:pStyle w:val="Caption"/>
      </w:pPr>
      <w:bookmarkStart w:id="228" w:name="_Ref172017792"/>
      <w:bookmarkStart w:id="229" w:name="_Toc173428956"/>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3</w:t>
      </w:r>
      <w:r w:rsidR="00AE19AA">
        <w:rPr>
          <w:noProof/>
        </w:rPr>
        <w:fldChar w:fldCharType="end"/>
      </w:r>
      <w:bookmarkEnd w:id="227"/>
      <w:bookmarkEnd w:id="228"/>
      <w:r>
        <w:t xml:space="preserve">: </w:t>
      </w:r>
      <w:r w:rsidRPr="00814B66">
        <w:t>Proportion of females of each age using residential care and home care, 30 June 202</w:t>
      </w:r>
      <w:r>
        <w:t>3</w:t>
      </w:r>
      <w:bookmarkEnd w:id="229"/>
    </w:p>
    <w:p w14:paraId="2FD7DA03" w14:textId="48EA33C1" w:rsidR="00056D04" w:rsidRDefault="009F366F" w:rsidP="00706D0A">
      <w:r>
        <w:rPr>
          <w:noProof/>
        </w:rPr>
        <w:drawing>
          <wp:inline distT="0" distB="0" distL="0" distR="0" wp14:anchorId="4D9C7E45" wp14:editId="27DEADEB">
            <wp:extent cx="5904000" cy="3171981"/>
            <wp:effectExtent l="0" t="0" r="1905" b="0"/>
            <wp:docPr id="1465481030" name="Picture 1465481030" descr="Chart 6.3 is a stacked column chart titled Proportion of females of each age using residential care and home care, 30 June 2023. The proportion of females who currently use residential and home care package services increases dramatically with age. By age 80, the proportion of females using either permanent residential care or a home care package is around 14.2%; this doubles by age 85 (28.5%); and nearly doubles again by age 92 (53.1%).&#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0" name="Picture 1465481030" descr="Chart 6.3 is a stacked column chart titled Proportion of females of each age using residential care and home care, 30 June 2023. The proportion of females who currently use residential and home care package services increases dramatically with age. By age 80, the proportion of females using either permanent residential care or a home care package is around 14.2%; this doubles by age 85 (28.5%); and nearly doubles again by age 92 (53.1%).&#10;&#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04000" cy="3171981"/>
                    </a:xfrm>
                    <a:prstGeom prst="rect">
                      <a:avLst/>
                    </a:prstGeom>
                    <a:noFill/>
                  </pic:spPr>
                </pic:pic>
              </a:graphicData>
            </a:graphic>
          </wp:inline>
        </w:drawing>
      </w:r>
    </w:p>
    <w:p w14:paraId="2BC74791" w14:textId="77777777" w:rsidR="006F4F12" w:rsidRDefault="006F4F12" w:rsidP="006F4F12">
      <w:pPr>
        <w:spacing w:before="0" w:after="0" w:line="240" w:lineRule="auto"/>
      </w:pPr>
      <w:bookmarkStart w:id="230" w:name="_Ref160792676"/>
      <w:r>
        <w:br w:type="page"/>
      </w:r>
    </w:p>
    <w:p w14:paraId="73936AE7" w14:textId="37CAD55E" w:rsidR="00654CEA" w:rsidRDefault="00C12878" w:rsidP="00706D0A">
      <w:pPr>
        <w:pStyle w:val="Caption"/>
      </w:pPr>
      <w:bookmarkStart w:id="231" w:name="_Ref172017801"/>
      <w:bookmarkStart w:id="232" w:name="_Toc173428957"/>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4</w:t>
      </w:r>
      <w:r w:rsidR="00AE19AA">
        <w:rPr>
          <w:noProof/>
        </w:rPr>
        <w:fldChar w:fldCharType="end"/>
      </w:r>
      <w:bookmarkEnd w:id="230"/>
      <w:bookmarkEnd w:id="231"/>
      <w:r>
        <w:t xml:space="preserve">: </w:t>
      </w:r>
      <w:r w:rsidRPr="001B5A25">
        <w:t>Proportion of males of each age using residential care and home care, 30 June 202</w:t>
      </w:r>
      <w:r>
        <w:t>3</w:t>
      </w:r>
      <w:bookmarkEnd w:id="232"/>
    </w:p>
    <w:p w14:paraId="79BF2D62" w14:textId="656BCC8F" w:rsidR="00056D04" w:rsidRPr="00056D04" w:rsidRDefault="00F11328" w:rsidP="00654CEA">
      <w:r>
        <w:rPr>
          <w:noProof/>
        </w:rPr>
        <w:drawing>
          <wp:inline distT="0" distB="0" distL="0" distR="0" wp14:anchorId="0EBA9D7F" wp14:editId="4042161D">
            <wp:extent cx="5904000" cy="3194096"/>
            <wp:effectExtent l="0" t="0" r="1905" b="6350"/>
            <wp:docPr id="1465481029" name="Picture 1465481029" descr="Chart 6.4 is a stacked column chart titled Proportion of males of each age using residential care and home care, 30 June 2023. The proportion of males who currently use residential and home care package services increases dramatically with age. By age 80, the proportion of males using either permanent residential care or a home care package is around 9.2%; this doubles by aged 85 (18.7%); and nearly doubles again by age 92 (3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9" name="Picture 1465481029" descr="Chart 6.4 is a stacked column chart titled Proportion of males of each age using residential care and home care, 30 June 2023. The proportion of males who currently use residential and home care package services increases dramatically with age. By age 80, the proportion of males using either permanent residential care or a home care package is around 9.2%; this doubles by aged 85 (18.7%); and nearly doubles again by age 92 (39.9%).&#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04000" cy="3194096"/>
                    </a:xfrm>
                    <a:prstGeom prst="rect">
                      <a:avLst/>
                    </a:prstGeom>
                    <a:noFill/>
                  </pic:spPr>
                </pic:pic>
              </a:graphicData>
            </a:graphic>
          </wp:inline>
        </w:drawing>
      </w:r>
    </w:p>
    <w:p w14:paraId="28B05DCE" w14:textId="243E1E7E" w:rsidR="005E6F99" w:rsidRPr="00E94564" w:rsidRDefault="005E6F99" w:rsidP="00093E72">
      <w:pPr>
        <w:rPr>
          <w:szCs w:val="28"/>
        </w:rPr>
      </w:pPr>
      <w:r w:rsidRPr="00093E72">
        <w:rPr>
          <w:b/>
          <w:sz w:val="28"/>
          <w:szCs w:val="28"/>
        </w:rPr>
        <w:t>Substitution of residential care and home care</w:t>
      </w:r>
    </w:p>
    <w:p w14:paraId="36ACF96D" w14:textId="445006DA" w:rsidR="00210AAE" w:rsidRDefault="00DA7739" w:rsidP="007B4055">
      <w:pPr>
        <w:pStyle w:val="Caption"/>
      </w:pPr>
      <w:r w:rsidRPr="005910CC">
        <w:rPr>
          <w:b w:val="0"/>
          <w:bCs/>
        </w:rPr>
        <w:t>One of the factors that has to be taken into account in projecting demand for aged care is the potential substitutability of service types.</w:t>
      </w:r>
      <w:r w:rsidR="00F91BBB">
        <w:t xml:space="preserve"> </w:t>
      </w:r>
    </w:p>
    <w:p w14:paraId="3C80E5C9" w14:textId="51B03769" w:rsidR="00DA7739" w:rsidRPr="00F91BBB" w:rsidRDefault="00F91BBB" w:rsidP="00706D0A">
      <w:r>
        <w:fldChar w:fldCharType="begin"/>
      </w:r>
      <w:r>
        <w:instrText xml:space="preserve"> REF _Ref170393129 \h </w:instrText>
      </w:r>
      <w:r>
        <w:fldChar w:fldCharType="separate"/>
      </w:r>
      <w:r w:rsidR="001377BE">
        <w:t xml:space="preserve">Chart </w:t>
      </w:r>
      <w:r w:rsidR="001377BE">
        <w:rPr>
          <w:noProof/>
        </w:rPr>
        <w:t>6</w:t>
      </w:r>
      <w:r w:rsidR="001377BE">
        <w:t>.</w:t>
      </w:r>
      <w:r w:rsidR="001377BE">
        <w:rPr>
          <w:noProof/>
        </w:rPr>
        <w:t>5</w:t>
      </w:r>
      <w:r>
        <w:fldChar w:fldCharType="end"/>
      </w:r>
      <w:r w:rsidR="00D947B2" w:rsidRPr="00F9784A">
        <w:t xml:space="preserve"> </w:t>
      </w:r>
      <w:r w:rsidR="00DA7739" w:rsidRPr="00F9784A">
        <w:t xml:space="preserve">shows the utilisation of residential care and home care for the 70 to 99 year old cohort for 20 years to </w:t>
      </w:r>
      <w:r w:rsidR="004D30F0" w:rsidRPr="00F9784A">
        <w:t>2023</w:t>
      </w:r>
      <w:r w:rsidR="00DA7739" w:rsidRPr="00F9784A">
        <w:t xml:space="preserve">. These cross-sections of data show an increase in the number of </w:t>
      </w:r>
      <w:r w:rsidR="00E830B3">
        <w:t>older people in Australia</w:t>
      </w:r>
      <w:r w:rsidR="00DA7739" w:rsidRPr="00F9784A">
        <w:t xml:space="preserve"> in home care across all age groups and genders. The utilisation of home care has more than doubled across all age groups for both male and females since </w:t>
      </w:r>
      <w:r w:rsidR="00926A94" w:rsidRPr="00F9784A">
        <w:t>2003</w:t>
      </w:r>
      <w:r w:rsidR="00DA7739" w:rsidRPr="00F9784A">
        <w:t>. The highest increase for males was in the 95 to 99 year old age group, increasing from 3.</w:t>
      </w:r>
      <w:r w:rsidR="009849EF" w:rsidRPr="00F9784A">
        <w:t>7</w:t>
      </w:r>
      <w:r w:rsidR="00CC41E2" w:rsidRPr="00F9784A">
        <w:t>%</w:t>
      </w:r>
      <w:r w:rsidR="00DA7739" w:rsidRPr="00F9784A">
        <w:t xml:space="preserve"> in </w:t>
      </w:r>
      <w:r w:rsidR="009849EF" w:rsidRPr="00F9784A">
        <w:t>2003</w:t>
      </w:r>
      <w:r w:rsidR="00DA7739" w:rsidRPr="00F9784A">
        <w:t xml:space="preserve"> to </w:t>
      </w:r>
      <w:r w:rsidR="000D3550" w:rsidRPr="00F9784A">
        <w:t>19</w:t>
      </w:r>
      <w:r w:rsidR="00DA7739" w:rsidRPr="00F9784A">
        <w:t>.8</w:t>
      </w:r>
      <w:r w:rsidR="000D3550" w:rsidRPr="00F9784A">
        <w:t>%</w:t>
      </w:r>
      <w:r w:rsidR="00DA7739" w:rsidRPr="00F9784A">
        <w:t xml:space="preserve"> in 202</w:t>
      </w:r>
      <w:r w:rsidR="00423D5D" w:rsidRPr="00F9784A">
        <w:t>3</w:t>
      </w:r>
      <w:r w:rsidR="00DA7739" w:rsidRPr="00F9784A">
        <w:t xml:space="preserve"> (an increase in utilisation of home care by 1</w:t>
      </w:r>
      <w:r w:rsidR="009849EF" w:rsidRPr="00F9784A">
        <w:t>6.</w:t>
      </w:r>
      <w:r w:rsidR="005B1FEE">
        <w:t>1</w:t>
      </w:r>
      <w:r w:rsidR="00DA7739" w:rsidRPr="00F9784A">
        <w:t xml:space="preserve"> percentage points). For females, </w:t>
      </w:r>
      <w:r w:rsidR="00A509CC">
        <w:t>the highest increase</w:t>
      </w:r>
      <w:r w:rsidR="00DA7739" w:rsidRPr="00F9784A">
        <w:t xml:space="preserve"> was </w:t>
      </w:r>
      <w:r w:rsidR="002867CF">
        <w:t>in</w:t>
      </w:r>
      <w:r w:rsidR="00DA7739" w:rsidRPr="00F9784A">
        <w:t xml:space="preserve"> the 90 to 94 year old age group, increasing from </w:t>
      </w:r>
      <w:r w:rsidR="00926A94" w:rsidRPr="00F9784A">
        <w:t>4.1%</w:t>
      </w:r>
      <w:r w:rsidR="00DA7739" w:rsidRPr="00F9784A">
        <w:t xml:space="preserve"> to </w:t>
      </w:r>
      <w:r w:rsidR="00FC1A2E" w:rsidRPr="00F9784A">
        <w:t>22</w:t>
      </w:r>
      <w:r w:rsidR="00B30F97">
        <w:t>.0</w:t>
      </w:r>
      <w:r w:rsidR="00FC1A2E" w:rsidRPr="00F9784A">
        <w:t>%</w:t>
      </w:r>
      <w:r w:rsidR="00DA7739" w:rsidRPr="00F9784A">
        <w:t xml:space="preserve">, (equating to a </w:t>
      </w:r>
      <w:r w:rsidR="00FC1A2E" w:rsidRPr="00F9784A">
        <w:t>17.9</w:t>
      </w:r>
      <w:r w:rsidR="00DA7739" w:rsidRPr="00F9784A">
        <w:t xml:space="preserve"> percentage point increase).</w:t>
      </w:r>
    </w:p>
    <w:p w14:paraId="37FC2E48" w14:textId="77D00C1B" w:rsidR="00DA7739" w:rsidRPr="00D7287C" w:rsidRDefault="00DA7739" w:rsidP="00706D0A">
      <w:r w:rsidRPr="00272917">
        <w:t>Residential care utilisation declined across all age groups</w:t>
      </w:r>
      <w:r w:rsidR="00B01B51">
        <w:t xml:space="preserve"> for the past 20 years</w:t>
      </w:r>
      <w:r w:rsidRPr="00272917">
        <w:t xml:space="preserve">, reflecting the ability for </w:t>
      </w:r>
      <w:r w:rsidR="00E830B3">
        <w:t>older people in Australia</w:t>
      </w:r>
      <w:r w:rsidRPr="00272917">
        <w:t xml:space="preserve"> to access more home care packages. </w:t>
      </w:r>
      <w:r w:rsidRPr="006D0C49">
        <w:t>For males, the utilisation rate in the 90</w:t>
      </w:r>
      <w:r w:rsidR="00A9776E">
        <w:t xml:space="preserve"> to </w:t>
      </w:r>
      <w:r w:rsidRPr="006D0C49">
        <w:t>94 year old age group fell from 24.</w:t>
      </w:r>
      <w:r w:rsidR="006802B2" w:rsidRPr="006D0C49">
        <w:t>2%</w:t>
      </w:r>
      <w:r w:rsidRPr="006D0C49">
        <w:t xml:space="preserve"> in 200</w:t>
      </w:r>
      <w:r w:rsidR="006802B2" w:rsidRPr="006D0C49">
        <w:t>3</w:t>
      </w:r>
      <w:r>
        <w:t xml:space="preserve"> </w:t>
      </w:r>
      <w:r w:rsidRPr="006D0C49">
        <w:t>to 19.</w:t>
      </w:r>
      <w:r w:rsidR="00180AF6" w:rsidRPr="006D0C49">
        <w:t>4%</w:t>
      </w:r>
      <w:r w:rsidRPr="006D0C49">
        <w:t xml:space="preserve"> in </w:t>
      </w:r>
      <w:r w:rsidR="00180AF6" w:rsidRPr="006D0C49">
        <w:t>2023</w:t>
      </w:r>
      <w:r w:rsidRPr="006D0C49">
        <w:t xml:space="preserve"> which represents </w:t>
      </w:r>
      <w:r w:rsidR="00C527BE">
        <w:t>the largest</w:t>
      </w:r>
      <w:r w:rsidRPr="006D0C49">
        <w:t xml:space="preserve"> decrease of </w:t>
      </w:r>
      <w:r w:rsidR="00180AF6" w:rsidRPr="006D0C49">
        <w:t>4.8</w:t>
      </w:r>
      <w:r w:rsidRPr="006D0C49">
        <w:t xml:space="preserve"> percentage points. For females, the largest decrease in the utilisation of residential aged care was also the 90 to 94 age group, falling from </w:t>
      </w:r>
      <w:r w:rsidR="002C6416" w:rsidRPr="006D0C49">
        <w:t>40.3%</w:t>
      </w:r>
      <w:r w:rsidRPr="006D0C49">
        <w:t xml:space="preserve"> in </w:t>
      </w:r>
      <w:r w:rsidR="002C6416" w:rsidRPr="006D0C49">
        <w:t>2003</w:t>
      </w:r>
      <w:r w:rsidRPr="006D0C49">
        <w:t xml:space="preserve"> to 30.</w:t>
      </w:r>
      <w:r w:rsidR="002C6416" w:rsidRPr="006D0C49">
        <w:t>3% in 2023</w:t>
      </w:r>
      <w:r w:rsidRPr="006D0C49">
        <w:t xml:space="preserve">; equating to a decrease of </w:t>
      </w:r>
      <w:r w:rsidR="006D0C49" w:rsidRPr="006D0C49">
        <w:t>10</w:t>
      </w:r>
      <w:r w:rsidR="00703157">
        <w:t>.0</w:t>
      </w:r>
      <w:r w:rsidRPr="006D0C49">
        <w:t xml:space="preserve"> percentage points.</w:t>
      </w:r>
    </w:p>
    <w:p w14:paraId="744FFCA1" w14:textId="77777777" w:rsidR="006F4F12" w:rsidRDefault="006F4F12" w:rsidP="006F4F12">
      <w:pPr>
        <w:spacing w:before="0" w:after="0" w:line="240" w:lineRule="auto"/>
      </w:pPr>
      <w:bookmarkStart w:id="233" w:name="_Ref160792832"/>
      <w:r>
        <w:br w:type="page"/>
      </w:r>
    </w:p>
    <w:p w14:paraId="2586BD99" w14:textId="3D5EE9A4" w:rsidR="0042048B" w:rsidRPr="0042048B" w:rsidRDefault="009B5526" w:rsidP="0042048B">
      <w:pPr>
        <w:pStyle w:val="Caption"/>
        <w:rPr>
          <w:bCs/>
        </w:rPr>
      </w:pPr>
      <w:bookmarkStart w:id="234" w:name="_Ref170393129"/>
      <w:bookmarkStart w:id="235" w:name="_Toc173428958"/>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5</w:t>
      </w:r>
      <w:r w:rsidR="00AE19AA">
        <w:rPr>
          <w:noProof/>
        </w:rPr>
        <w:fldChar w:fldCharType="end"/>
      </w:r>
      <w:bookmarkEnd w:id="234"/>
      <w:r w:rsidRPr="008546E7">
        <w:t>: Utilisation of residential care and home care, 70 to 99 year olds, by gender, 200</w:t>
      </w:r>
      <w:r w:rsidR="000004B2" w:rsidRPr="008546E7">
        <w:t>3</w:t>
      </w:r>
      <w:r w:rsidRPr="008546E7">
        <w:t xml:space="preserve"> to </w:t>
      </w:r>
      <w:r w:rsidR="000004B2" w:rsidRPr="008546E7">
        <w:t xml:space="preserve">2023 </w:t>
      </w:r>
      <w:r w:rsidRPr="00C00A22">
        <w:rPr>
          <w:b w:val="0"/>
          <w:bCs/>
        </w:rPr>
        <w:t xml:space="preserve">(Please take note of the vertical axis percentage </w:t>
      </w:r>
      <w:r w:rsidR="007B53C7">
        <w:rPr>
          <w:b w:val="0"/>
          <w:bCs/>
        </w:rPr>
        <w:t xml:space="preserve">scale </w:t>
      </w:r>
      <w:r w:rsidRPr="00C00A22">
        <w:rPr>
          <w:b w:val="0"/>
          <w:bCs/>
        </w:rPr>
        <w:t>changes for each of the charts. The changes have been made to make the data more readable)</w:t>
      </w:r>
      <w:r w:rsidR="007B53C7">
        <w:rPr>
          <w:b w:val="0"/>
          <w:bCs/>
        </w:rPr>
        <w:t>.</w:t>
      </w:r>
      <w:bookmarkEnd w:id="235"/>
      <w:r w:rsidR="001331DA" w:rsidRPr="00C00A22">
        <w:rPr>
          <w:b w:val="0"/>
          <w:bCs/>
        </w:rPr>
        <w:t xml:space="preserve"> </w:t>
      </w:r>
    </w:p>
    <w:p w14:paraId="27302198" w14:textId="77777777" w:rsidR="006F4F12" w:rsidRDefault="00FD0CD5" w:rsidP="006F4F12">
      <w:pPr>
        <w:spacing w:before="0" w:after="0" w:line="240" w:lineRule="auto"/>
      </w:pPr>
      <w:r>
        <w:rPr>
          <w:noProof/>
        </w:rPr>
        <w:drawing>
          <wp:inline distT="0" distB="0" distL="0" distR="0" wp14:anchorId="55C1A9B0" wp14:editId="77995480">
            <wp:extent cx="5727647" cy="2556000"/>
            <wp:effectExtent l="0" t="0" r="6985" b="0"/>
            <wp:docPr id="1271021950" name="Picture 1271021950" descr="Chart 6.5 is a multiple stacked column charts titled Utilisation of residential care and home care, 70 to 99 year olds, by gender, 2003 to 2023 Chart 6.5 shows the utilisation of residential care and home care for the 70 to 99 year old cohort for 20 years to 2023. Residential care utilisation decreased for females in all age groups. The decrease ranges from 0.5 to 10  percentage points since 2003. On the other hand, home care utilisation increased for female in all age groups, increase ranging  from 2.6 to 17.9 percentage points. For males, residential care utilisation also decreased for all age groups, ranging from 0.2 to 4.8 percentage points. Home care utilisation increased for males in all age groups. The increase ranges from 1.7 to 16.1 percentage poi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50" name="Picture 1271021950" descr="Chart 6.5 is a multiple stacked column charts titled Utilisation of residential care and home care, 70 to 99 year olds, by gender, 2003 to 2023 Chart 6.5 shows the utilisation of residential care and home care for the 70 to 99 year old cohort for 20 years to 2023. Residential care utilisation decreased for females in all age groups. The decrease ranges from 0.5 to 10  percentage points since 2003. On the other hand, home care utilisation increased for female in all age groups, increase ranging  from 2.6 to 17.9 percentage points. For males, residential care utilisation also decreased for all age groups, ranging from 0.2 to 4.8 percentage points. Home care utilisation increased for males in all age groups. The increase ranges from 1.7 to 16.1 percentage points.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7647" cy="2556000"/>
                    </a:xfrm>
                    <a:prstGeom prst="rect">
                      <a:avLst/>
                    </a:prstGeom>
                    <a:noFill/>
                  </pic:spPr>
                </pic:pic>
              </a:graphicData>
            </a:graphic>
          </wp:inline>
        </w:drawing>
      </w:r>
      <w:r w:rsidR="00EC2C40">
        <w:rPr>
          <w:noProof/>
        </w:rPr>
        <w:drawing>
          <wp:inline distT="0" distB="0" distL="0" distR="0" wp14:anchorId="27765FCC" wp14:editId="47763BCC">
            <wp:extent cx="5741921" cy="2556000"/>
            <wp:effectExtent l="0" t="0" r="0" b="0"/>
            <wp:docPr id="1271021951" name="Picture 1271021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1951" name="Picture 1271021951">
                      <a:extLst>
                        <a:ext uri="{C183D7F6-B498-43B3-948B-1728B52AA6E4}">
                          <adec:decorative xmlns:adec="http://schemas.microsoft.com/office/drawing/2017/decorative" val="1"/>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41921" cy="2556000"/>
                    </a:xfrm>
                    <a:prstGeom prst="rect">
                      <a:avLst/>
                    </a:prstGeom>
                    <a:noFill/>
                  </pic:spPr>
                </pic:pic>
              </a:graphicData>
            </a:graphic>
          </wp:inline>
        </w:drawing>
      </w:r>
      <w:r w:rsidR="00012F1D">
        <w:rPr>
          <w:noProof/>
        </w:rPr>
        <w:drawing>
          <wp:inline distT="0" distB="0" distL="0" distR="0" wp14:anchorId="29F5FE1A" wp14:editId="1DE0DD59">
            <wp:extent cx="5708463" cy="2556000"/>
            <wp:effectExtent l="0" t="0" r="6985" b="0"/>
            <wp:docPr id="1465481031" name="Picture 146548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1" name="Picture 1465481031">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8463" cy="2556000"/>
                    </a:xfrm>
                    <a:prstGeom prst="rect">
                      <a:avLst/>
                    </a:prstGeom>
                    <a:noFill/>
                  </pic:spPr>
                </pic:pic>
              </a:graphicData>
            </a:graphic>
          </wp:inline>
        </w:drawing>
      </w:r>
      <w:r w:rsidR="00C93C81">
        <w:rPr>
          <w:noProof/>
        </w:rPr>
        <w:drawing>
          <wp:inline distT="0" distB="0" distL="0" distR="0" wp14:anchorId="3C3EEE39" wp14:editId="569869CF">
            <wp:extent cx="5708463" cy="2556000"/>
            <wp:effectExtent l="0" t="0" r="6985" b="0"/>
            <wp:docPr id="1465481032" name="Picture 1465481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2" name="Picture 1465481032">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08463" cy="2556000"/>
                    </a:xfrm>
                    <a:prstGeom prst="rect">
                      <a:avLst/>
                    </a:prstGeom>
                    <a:noFill/>
                  </pic:spPr>
                </pic:pic>
              </a:graphicData>
            </a:graphic>
          </wp:inline>
        </w:drawing>
      </w:r>
      <w:r w:rsidR="00FF51B1">
        <w:rPr>
          <w:noProof/>
        </w:rPr>
        <w:drawing>
          <wp:inline distT="0" distB="0" distL="0" distR="0" wp14:anchorId="599CD250" wp14:editId="3020192B">
            <wp:extent cx="5727649" cy="2556000"/>
            <wp:effectExtent l="0" t="0" r="6985" b="0"/>
            <wp:docPr id="1465481027" name="Picture 14654810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7" name="Picture 1465481027">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7649" cy="2556000"/>
                    </a:xfrm>
                    <a:prstGeom prst="rect">
                      <a:avLst/>
                    </a:prstGeom>
                    <a:noFill/>
                  </pic:spPr>
                </pic:pic>
              </a:graphicData>
            </a:graphic>
          </wp:inline>
        </w:drawing>
      </w:r>
      <w:r w:rsidR="00FF51B1">
        <w:rPr>
          <w:noProof/>
        </w:rPr>
        <w:drawing>
          <wp:inline distT="0" distB="0" distL="0" distR="0" wp14:anchorId="239585A1" wp14:editId="5A7260D5">
            <wp:extent cx="5727649" cy="2556000"/>
            <wp:effectExtent l="0" t="0" r="6985" b="0"/>
            <wp:docPr id="1465481028" name="Picture 1465481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28" name="Picture 1465481028">
                      <a:extLst>
                        <a:ext uri="{C183D7F6-B498-43B3-948B-1728B52AA6E4}">
                          <adec:decorative xmlns:adec="http://schemas.microsoft.com/office/drawing/2017/decorative" val="1"/>
                        </a:ext>
                      </a:extLs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7649" cy="2556000"/>
                    </a:xfrm>
                    <a:prstGeom prst="rect">
                      <a:avLst/>
                    </a:prstGeom>
                    <a:noFill/>
                  </pic:spPr>
                </pic:pic>
              </a:graphicData>
            </a:graphic>
          </wp:inline>
        </w:drawing>
      </w:r>
      <w:bookmarkEnd w:id="233"/>
      <w:r w:rsidR="006F4F12">
        <w:br w:type="page"/>
      </w:r>
    </w:p>
    <w:p w14:paraId="08514130" w14:textId="17F68442" w:rsidR="004209B4" w:rsidRPr="001D67EE" w:rsidRDefault="004209B4" w:rsidP="00093E72">
      <w:r w:rsidRPr="00551E50">
        <w:rPr>
          <w:b/>
          <w:sz w:val="28"/>
          <w:szCs w:val="28"/>
        </w:rPr>
        <w:t>Updated projections</w:t>
      </w:r>
    </w:p>
    <w:p w14:paraId="31D0DADF" w14:textId="69E2D73E" w:rsidR="00705CDA" w:rsidRPr="00093E72" w:rsidRDefault="00267D0F" w:rsidP="00706D0A">
      <w:r>
        <w:rPr>
          <w:highlight w:val="yellow"/>
        </w:rPr>
        <w:fldChar w:fldCharType="begin"/>
      </w:r>
      <w:r>
        <w:rPr>
          <w:highlight w:val="yellow"/>
        </w:rPr>
        <w:instrText xml:space="preserve"> REF _Ref160792874 \h </w:instrText>
      </w:r>
      <w:r>
        <w:rPr>
          <w:highlight w:val="yellow"/>
        </w:rPr>
      </w:r>
      <w:r>
        <w:rPr>
          <w:highlight w:val="yellow"/>
        </w:rPr>
        <w:fldChar w:fldCharType="separate"/>
      </w:r>
      <w:r w:rsidR="001377BE">
        <w:t xml:space="preserve">Chart </w:t>
      </w:r>
      <w:r w:rsidR="001377BE">
        <w:rPr>
          <w:noProof/>
        </w:rPr>
        <w:t>6</w:t>
      </w:r>
      <w:r w:rsidR="001377BE">
        <w:t>.</w:t>
      </w:r>
      <w:r w:rsidR="001377BE">
        <w:rPr>
          <w:noProof/>
        </w:rPr>
        <w:t>6</w:t>
      </w:r>
      <w:r>
        <w:rPr>
          <w:highlight w:val="yellow"/>
        </w:rPr>
        <w:fldChar w:fldCharType="end"/>
      </w:r>
      <w:r w:rsidRPr="00093E72">
        <w:t xml:space="preserve"> </w:t>
      </w:r>
      <w:r w:rsidR="00705CDA" w:rsidRPr="00093E72">
        <w:t>shows the number of people projected to be using residential care if the same proportion of people in each age-sex group at 30 June 202</w:t>
      </w:r>
      <w:r w:rsidR="00F943C1" w:rsidRPr="00093E72">
        <w:t>3</w:t>
      </w:r>
      <w:r w:rsidR="00705CDA" w:rsidRPr="00093E72">
        <w:t xml:space="preserve"> were to continue to use care and allowed to grow in line with population (using Australian Bureau of Statistics single-year-age and sex population projections). </w:t>
      </w:r>
    </w:p>
    <w:p w14:paraId="77164FAE" w14:textId="1322D594" w:rsidR="00B53680" w:rsidRDefault="00705CDA" w:rsidP="00B53680">
      <w:r w:rsidRPr="004976EC">
        <w:t xml:space="preserve">The estimates of future demand for residential care have been revised </w:t>
      </w:r>
      <w:r w:rsidR="00B10D7B" w:rsidRPr="004976EC">
        <w:t>up</w:t>
      </w:r>
      <w:r w:rsidRPr="004976EC">
        <w:t xml:space="preserve"> from previous published estimates. A major driver of the </w:t>
      </w:r>
      <w:r w:rsidR="00B10D7B" w:rsidRPr="004976EC">
        <w:t xml:space="preserve">increase </w:t>
      </w:r>
      <w:r w:rsidRPr="004976EC">
        <w:t>in estimated demand is</w:t>
      </w:r>
      <w:r w:rsidR="001D6E41" w:rsidRPr="004976EC">
        <w:t xml:space="preserve"> </w:t>
      </w:r>
      <w:r w:rsidR="00876FD5" w:rsidRPr="004976EC">
        <w:t>the rates of age-specific usage</w:t>
      </w:r>
      <w:r w:rsidR="00A1625F">
        <w:t>. R</w:t>
      </w:r>
      <w:r w:rsidR="00876FD5" w:rsidRPr="004976EC">
        <w:t xml:space="preserve">esidential care </w:t>
      </w:r>
      <w:r w:rsidR="005A3ACD" w:rsidRPr="004976EC">
        <w:t xml:space="preserve">largely stayed the same </w:t>
      </w:r>
      <w:r w:rsidR="00E436BC" w:rsidRPr="004976EC">
        <w:t>as the previous years</w:t>
      </w:r>
      <w:r w:rsidR="005A3ACD" w:rsidRPr="004976EC">
        <w:t xml:space="preserve"> </w:t>
      </w:r>
      <w:r w:rsidR="009D08B9">
        <w:t>(</w:t>
      </w:r>
      <w:r w:rsidR="00C11866" w:rsidRPr="004976EC">
        <w:t xml:space="preserve">or increased </w:t>
      </w:r>
      <w:r w:rsidR="00FF280F" w:rsidRPr="004976EC">
        <w:t xml:space="preserve">slightly </w:t>
      </w:r>
      <w:r w:rsidR="00C63F89" w:rsidRPr="004976EC">
        <w:t>from previous year</w:t>
      </w:r>
      <w:r w:rsidR="009D08B9">
        <w:t>)</w:t>
      </w:r>
      <w:r w:rsidR="00C63F89" w:rsidRPr="004976EC">
        <w:t xml:space="preserve"> </w:t>
      </w:r>
      <w:r w:rsidR="00FF280F" w:rsidRPr="004976EC">
        <w:t xml:space="preserve">for </w:t>
      </w:r>
      <w:r w:rsidR="00C11866" w:rsidRPr="004976EC">
        <w:t>most</w:t>
      </w:r>
      <w:r w:rsidR="00FF280F" w:rsidRPr="004976EC">
        <w:t xml:space="preserve"> age groups</w:t>
      </w:r>
      <w:r w:rsidR="00D4702D">
        <w:t>. The</w:t>
      </w:r>
      <w:r w:rsidR="0084503D" w:rsidRPr="004976EC">
        <w:t xml:space="preserve"> 90 to 94 female</w:t>
      </w:r>
      <w:r w:rsidR="00C11866" w:rsidRPr="004976EC">
        <w:t xml:space="preserve"> cohort</w:t>
      </w:r>
      <w:r w:rsidR="0084503D" w:rsidRPr="004976EC">
        <w:t xml:space="preserve"> </w:t>
      </w:r>
      <w:r w:rsidR="0050205C">
        <w:t xml:space="preserve">is the exception, </w:t>
      </w:r>
      <w:r w:rsidR="0084503D" w:rsidRPr="004976EC">
        <w:t xml:space="preserve">where </w:t>
      </w:r>
      <w:r w:rsidR="00023B9C">
        <w:t xml:space="preserve">the </w:t>
      </w:r>
      <w:r w:rsidR="0084503D" w:rsidRPr="004976EC">
        <w:t>utilisation rate slightly decreased</w:t>
      </w:r>
      <w:r w:rsidR="00CE149D" w:rsidRPr="004976EC">
        <w:t xml:space="preserve"> </w:t>
      </w:r>
      <w:r w:rsidR="00E5202E" w:rsidRPr="00CF5ED7">
        <w:t>in</w:t>
      </w:r>
      <w:r w:rsidR="00AD3DC5" w:rsidRPr="00CF5ED7">
        <w:t xml:space="preserve"> </w:t>
      </w:r>
      <w:r w:rsidR="00030241" w:rsidRPr="00CF5ED7">
        <w:t xml:space="preserve">2023 </w:t>
      </w:r>
      <w:r w:rsidR="005A3ACD" w:rsidRPr="00CF5ED7">
        <w:t xml:space="preserve">after </w:t>
      </w:r>
      <w:r w:rsidR="00961611" w:rsidRPr="00CF5ED7">
        <w:t>1</w:t>
      </w:r>
      <w:r w:rsidR="00A1625F">
        <w:t>8</w:t>
      </w:r>
      <w:r w:rsidR="00023B9C" w:rsidRPr="00CF5ED7">
        <w:t xml:space="preserve"> </w:t>
      </w:r>
      <w:r w:rsidR="00D13F6B" w:rsidRPr="00CF5ED7">
        <w:t>years</w:t>
      </w:r>
      <w:r w:rsidR="00D13F6B" w:rsidRPr="004976EC">
        <w:t xml:space="preserve"> of decline up to 2022</w:t>
      </w:r>
      <w:r w:rsidR="00E5202E" w:rsidRPr="004976EC">
        <w:t xml:space="preserve"> (see </w:t>
      </w:r>
      <w:r w:rsidR="00B53680">
        <w:fldChar w:fldCharType="begin"/>
      </w:r>
      <w:r w:rsidR="00B53680">
        <w:instrText xml:space="preserve"> REF _Ref170393129 \h </w:instrText>
      </w:r>
      <w:r w:rsidR="00B53680">
        <w:fldChar w:fldCharType="separate"/>
      </w:r>
      <w:r w:rsidR="001377BE">
        <w:t xml:space="preserve">Chart </w:t>
      </w:r>
      <w:r w:rsidR="001377BE">
        <w:rPr>
          <w:noProof/>
        </w:rPr>
        <w:t>6</w:t>
      </w:r>
      <w:r w:rsidR="001377BE">
        <w:t>.</w:t>
      </w:r>
      <w:r w:rsidR="001377BE">
        <w:rPr>
          <w:noProof/>
        </w:rPr>
        <w:t>5</w:t>
      </w:r>
      <w:r w:rsidR="00B53680">
        <w:fldChar w:fldCharType="end"/>
      </w:r>
      <w:r w:rsidR="00B53680">
        <w:t xml:space="preserve"> </w:t>
      </w:r>
      <w:r w:rsidR="00B53680" w:rsidRPr="004976EC">
        <w:t xml:space="preserve">showing the proportion of separate age groups that use residential care each year). </w:t>
      </w:r>
    </w:p>
    <w:p w14:paraId="586CCD71" w14:textId="2F89BE88" w:rsidR="009B5526" w:rsidRDefault="00A44A19" w:rsidP="00706D0A">
      <w:pPr>
        <w:pStyle w:val="Caption"/>
      </w:pPr>
      <w:bookmarkStart w:id="236" w:name="_Ref160792874"/>
      <w:bookmarkStart w:id="237" w:name="_Toc173428959"/>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6</w:t>
      </w:r>
      <w:r w:rsidR="00AE19AA">
        <w:rPr>
          <w:noProof/>
        </w:rPr>
        <w:fldChar w:fldCharType="end"/>
      </w:r>
      <w:bookmarkEnd w:id="236"/>
      <w:r>
        <w:t xml:space="preserve">: </w:t>
      </w:r>
      <w:r w:rsidRPr="00202651">
        <w:t>Projected demand for residential care places, 202</w:t>
      </w:r>
      <w:r>
        <w:t>3</w:t>
      </w:r>
      <w:r w:rsidRPr="00202651">
        <w:t xml:space="preserve"> to 204</w:t>
      </w:r>
      <w:r>
        <w:t>3</w:t>
      </w:r>
      <w:bookmarkEnd w:id="237"/>
    </w:p>
    <w:p w14:paraId="786CEB78" w14:textId="72CA4821" w:rsidR="00267D0F" w:rsidRPr="00267D0F" w:rsidRDefault="0064605A" w:rsidP="00267D0F">
      <w:r>
        <w:rPr>
          <w:noProof/>
        </w:rPr>
        <w:drawing>
          <wp:inline distT="0" distB="0" distL="0" distR="0" wp14:anchorId="2E2C10B8" wp14:editId="62226DDC">
            <wp:extent cx="5892063" cy="3592800"/>
            <wp:effectExtent l="0" t="0" r="0" b="8255"/>
            <wp:docPr id="1465481034" name="Picture 1465481034" descr="Chart 6.6 is a stacked column chart titled Projected demand for residential care places, 2023 to 2043. There is a projected increase of around 197,000 residential care residents over this period, from just over 185,000 in 2023 to over 382,000 residents in 20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034" name="Picture 1465481034" descr="Chart 6.6 is a stacked column chart titled Projected demand for residential care places, 2023 to 2043. There is a projected increase of around 197,000 residential care residents over this period, from just over 185,000 in 2023 to over 382,000 residents in 2043.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98521" cy="3596738"/>
                    </a:xfrm>
                    <a:prstGeom prst="rect">
                      <a:avLst/>
                    </a:prstGeom>
                    <a:noFill/>
                  </pic:spPr>
                </pic:pic>
              </a:graphicData>
            </a:graphic>
          </wp:inline>
        </w:drawing>
      </w:r>
    </w:p>
    <w:p w14:paraId="5C8363D2" w14:textId="77777777" w:rsidR="006F4F12" w:rsidRDefault="006F4F12" w:rsidP="006F4F12">
      <w:pPr>
        <w:spacing w:before="0" w:after="0" w:line="240" w:lineRule="auto"/>
      </w:pPr>
      <w:r>
        <w:br w:type="page"/>
      </w:r>
    </w:p>
    <w:p w14:paraId="2C7D7441" w14:textId="28697F65" w:rsidR="00A44A19" w:rsidRPr="00A44A19" w:rsidRDefault="00DB69D2" w:rsidP="00706D0A">
      <w:r w:rsidRPr="002471C5">
        <w:fldChar w:fldCharType="begin"/>
      </w:r>
      <w:r w:rsidRPr="002471C5">
        <w:instrText xml:space="preserve"> REF _Ref160792913 \h </w:instrText>
      </w:r>
      <w:r w:rsidR="003A70DE" w:rsidRPr="002471C5">
        <w:instrText xml:space="preserve"> \* MERGEFORMAT </w:instrText>
      </w:r>
      <w:r w:rsidRPr="002471C5">
        <w:fldChar w:fldCharType="separate"/>
      </w:r>
      <w:r w:rsidR="001377BE">
        <w:t xml:space="preserve">Chart </w:t>
      </w:r>
      <w:r w:rsidR="001377BE">
        <w:rPr>
          <w:noProof/>
        </w:rPr>
        <w:t>6.7</w:t>
      </w:r>
      <w:r w:rsidRPr="002471C5">
        <w:fldChar w:fldCharType="end"/>
      </w:r>
      <w:r w:rsidRPr="002471C5">
        <w:t xml:space="preserve"> </w:t>
      </w:r>
      <w:r w:rsidR="00EA6DCC" w:rsidRPr="002471C5">
        <w:t xml:space="preserve">shows the projected demand for in home aged care. This includes </w:t>
      </w:r>
      <w:r w:rsidR="001B4F81">
        <w:t>people</w:t>
      </w:r>
      <w:r w:rsidR="00EA6DCC" w:rsidRPr="002471C5">
        <w:t xml:space="preserve"> who have </w:t>
      </w:r>
      <w:r w:rsidR="00C518D8">
        <w:t>applied</w:t>
      </w:r>
      <w:r w:rsidR="00EA6DCC" w:rsidRPr="002471C5">
        <w:t xml:space="preserve"> to receive in home aged care but does not include eligible </w:t>
      </w:r>
      <w:r w:rsidR="00C70D8D">
        <w:t>people</w:t>
      </w:r>
      <w:r w:rsidR="00EA6DCC" w:rsidRPr="002471C5">
        <w:t xml:space="preserve"> who have not sought to access </w:t>
      </w:r>
      <w:r w:rsidR="00E414B3">
        <w:t xml:space="preserve">to </w:t>
      </w:r>
      <w:r w:rsidR="00EA6DCC" w:rsidRPr="002471C5">
        <w:t>in home aged care</w:t>
      </w:r>
      <w:r w:rsidR="00572005">
        <w:t xml:space="preserve"> (also referred to as latent demand)</w:t>
      </w:r>
      <w:r w:rsidR="00EA6DCC" w:rsidRPr="002471C5">
        <w:t>. Over the 20 year projection, the average year</w:t>
      </w:r>
      <w:r w:rsidR="003F30A5">
        <w:t>-</w:t>
      </w:r>
      <w:r w:rsidR="00EA6DCC" w:rsidRPr="002471C5">
        <w:t>on</w:t>
      </w:r>
      <w:r w:rsidR="003F30A5">
        <w:t>-</w:t>
      </w:r>
      <w:r w:rsidR="00EA6DCC" w:rsidRPr="002471C5">
        <w:t xml:space="preserve">year increase is approximately </w:t>
      </w:r>
      <w:r w:rsidR="00E816AA" w:rsidRPr="002471C5">
        <w:t>32</w:t>
      </w:r>
      <w:r w:rsidR="00EA6DCC" w:rsidRPr="002471C5">
        <w:t xml:space="preserve">,000 new recipients </w:t>
      </w:r>
      <w:r w:rsidR="00774D8F">
        <w:t xml:space="preserve">(or 44,000 </w:t>
      </w:r>
      <w:r w:rsidR="00446C1B">
        <w:t xml:space="preserve">new recipients </w:t>
      </w:r>
      <w:r w:rsidR="00C50DC4">
        <w:t xml:space="preserve">per year </w:t>
      </w:r>
      <w:r w:rsidR="00774D8F">
        <w:t xml:space="preserve">if latent demand is </w:t>
      </w:r>
      <w:r w:rsidR="008C6A9C">
        <w:t>included</w:t>
      </w:r>
      <w:r w:rsidR="00774D8F">
        <w:t xml:space="preserve">) </w:t>
      </w:r>
      <w:r w:rsidR="00EA6DCC" w:rsidRPr="002471C5">
        <w:t xml:space="preserve">and reaches </w:t>
      </w:r>
      <w:r w:rsidR="00D646FF">
        <w:t>over 1.7</w:t>
      </w:r>
      <w:r w:rsidR="00D646FF" w:rsidRPr="002471C5">
        <w:t xml:space="preserve"> </w:t>
      </w:r>
      <w:r w:rsidR="00EA6DCC" w:rsidRPr="002471C5">
        <w:t>million individuals by 204</w:t>
      </w:r>
      <w:r w:rsidR="00E816AA" w:rsidRPr="002471C5">
        <w:t>3</w:t>
      </w:r>
      <w:r w:rsidR="0072725F" w:rsidRPr="002471C5">
        <w:t>.</w:t>
      </w:r>
      <w:r w:rsidR="00042D66">
        <w:t xml:space="preserve"> </w:t>
      </w:r>
      <w:r w:rsidR="001269F2">
        <w:t>The</w:t>
      </w:r>
      <w:r w:rsidR="00E229E3">
        <w:t>se estimates have been revised from previous published estimates</w:t>
      </w:r>
      <w:r w:rsidR="00403E89">
        <w:t>, and now reflect an improved projection methodology</w:t>
      </w:r>
      <w:r w:rsidR="002B112A">
        <w:t xml:space="preserve">. </w:t>
      </w:r>
      <w:r w:rsidR="00A10B72">
        <w:t>The department regularly updates</w:t>
      </w:r>
      <w:r w:rsidR="00F64D3C">
        <w:t xml:space="preserve"> its demand projections to reflect the latest available data.</w:t>
      </w:r>
    </w:p>
    <w:p w14:paraId="3F7EF8D3" w14:textId="019E3B32" w:rsidR="00DB69D2" w:rsidRDefault="00DB69D2" w:rsidP="00706D0A">
      <w:pPr>
        <w:pStyle w:val="Caption"/>
      </w:pPr>
      <w:bookmarkStart w:id="238" w:name="_Ref160792913"/>
      <w:bookmarkStart w:id="239" w:name="_Toc173428960"/>
      <w:r>
        <w:t xml:space="preserve">Chart </w:t>
      </w:r>
      <w:r w:rsidR="00AE19AA">
        <w:fldChar w:fldCharType="begin"/>
      </w:r>
      <w:r w:rsidR="00AE19AA">
        <w:instrText xml:space="preserve"> STYLEREF 1 \s </w:instrText>
      </w:r>
      <w:r w:rsidR="00AE19AA">
        <w:fldChar w:fldCharType="separate"/>
      </w:r>
      <w:r w:rsidR="001377BE">
        <w:rPr>
          <w:noProof/>
        </w:rPr>
        <w:t>6</w:t>
      </w:r>
      <w:r w:rsidR="00AE19AA">
        <w:rPr>
          <w:noProof/>
        </w:rPr>
        <w:fldChar w:fldCharType="end"/>
      </w:r>
      <w:r w:rsidR="00744DD9">
        <w:t>.</w:t>
      </w:r>
      <w:r w:rsidR="00AE19AA">
        <w:fldChar w:fldCharType="begin"/>
      </w:r>
      <w:r w:rsidR="00AE19AA">
        <w:instrText xml:space="preserve"> SEQ Chart \* ARABIC \s 1 </w:instrText>
      </w:r>
      <w:r w:rsidR="00AE19AA">
        <w:fldChar w:fldCharType="separate"/>
      </w:r>
      <w:r w:rsidR="001377BE">
        <w:rPr>
          <w:noProof/>
        </w:rPr>
        <w:t>7</w:t>
      </w:r>
      <w:r w:rsidR="00AE19AA">
        <w:rPr>
          <w:noProof/>
        </w:rPr>
        <w:fldChar w:fldCharType="end"/>
      </w:r>
      <w:bookmarkEnd w:id="238"/>
      <w:r>
        <w:t xml:space="preserve">: </w:t>
      </w:r>
      <w:r w:rsidRPr="000B2A4F">
        <w:t>Projected demand for in home aged care, 202</w:t>
      </w:r>
      <w:r>
        <w:t>3</w:t>
      </w:r>
      <w:r w:rsidRPr="000B2A4F">
        <w:t xml:space="preserve"> to 204</w:t>
      </w:r>
      <w:r>
        <w:t>3</w:t>
      </w:r>
      <w:bookmarkEnd w:id="239"/>
    </w:p>
    <w:p w14:paraId="057ED96A" w14:textId="40111C58" w:rsidR="00BE79FD" w:rsidRPr="00BE79FD" w:rsidRDefault="003A70DE" w:rsidP="00BE79FD">
      <w:r>
        <w:rPr>
          <w:noProof/>
        </w:rPr>
        <w:drawing>
          <wp:inline distT="0" distB="0" distL="0" distR="0" wp14:anchorId="24405D11" wp14:editId="70218B25">
            <wp:extent cx="5871237" cy="3168000"/>
            <wp:effectExtent l="0" t="0" r="0" b="0"/>
            <wp:docPr id="20" name="Picture 20" descr="Chart 6.7 is a column chart titled Projected demand for in home aged care, 2023 to 2043. There is a projected increase demand for home care of around 632,000 new recipients between 2023 to 2043. The projected demand being just over 1.1 million recipients in 2023 to over 1.7 million recipients in 2043.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6.7 is a column chart titled Projected demand for in home aged care, 2023 to 2043. There is a projected increase demand for home care of around 632,000 new recipients between 2023 to 2043. The projected demand being just over 1.1 million recipients in 2023 to over 1.7 million recipients in 2043.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85549" cy="3175723"/>
                    </a:xfrm>
                    <a:prstGeom prst="rect">
                      <a:avLst/>
                    </a:prstGeom>
                    <a:noFill/>
                  </pic:spPr>
                </pic:pic>
              </a:graphicData>
            </a:graphic>
          </wp:inline>
        </w:drawing>
      </w:r>
    </w:p>
    <w:p w14:paraId="492B3D76" w14:textId="77777777" w:rsidR="009B3AC6" w:rsidRDefault="009B3AC6">
      <w:pPr>
        <w:spacing w:before="0" w:after="0" w:line="240" w:lineRule="auto"/>
        <w:rPr>
          <w:noProof/>
        </w:rPr>
      </w:pPr>
    </w:p>
    <w:p w14:paraId="167888C8" w14:textId="77777777" w:rsidR="009B3AC6" w:rsidRPr="009B3AC6" w:rsidRDefault="009B3AC6" w:rsidP="009B3AC6">
      <w:pPr>
        <w:sectPr w:rsidR="009B3AC6" w:rsidRPr="009B3AC6" w:rsidSect="009B3AC6">
          <w:headerReference w:type="even" r:id="rId134"/>
          <w:headerReference w:type="default" r:id="rId135"/>
          <w:footerReference w:type="even" r:id="rId136"/>
          <w:footerReference w:type="default" r:id="rId137"/>
          <w:headerReference w:type="first" r:id="rId138"/>
          <w:pgSz w:w="11906" w:h="16838"/>
          <w:pgMar w:top="1701" w:right="1418" w:bottom="1418" w:left="1418" w:header="709" w:footer="709" w:gutter="0"/>
          <w:cols w:space="708"/>
          <w:docGrid w:linePitch="360"/>
        </w:sectPr>
      </w:pPr>
    </w:p>
    <w:p w14:paraId="7BADADE7" w14:textId="5322B73F" w:rsidR="009B3AC6" w:rsidRDefault="003161A9">
      <w:pPr>
        <w:spacing w:before="0" w:after="0" w:line="240" w:lineRule="auto"/>
      </w:pPr>
      <w:r>
        <w:rPr>
          <w:noProof/>
        </w:rPr>
        <w:drawing>
          <wp:anchor distT="0" distB="0" distL="114300" distR="114300" simplePos="0" relativeHeight="251658246" behindDoc="0" locked="0" layoutInCell="1" allowOverlap="1" wp14:anchorId="7B6AE6EC" wp14:editId="20F76154">
            <wp:simplePos x="0" y="0"/>
            <wp:positionH relativeFrom="column">
              <wp:posOffset>-900430</wp:posOffset>
            </wp:positionH>
            <wp:positionV relativeFrom="page">
              <wp:posOffset>19050</wp:posOffset>
            </wp:positionV>
            <wp:extent cx="7560945" cy="9681845"/>
            <wp:effectExtent l="0" t="0" r="1905" b="0"/>
            <wp:wrapTopAndBottom/>
            <wp:docPr id="1322519783" name="Picture 13225197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9783" name="Picture 1322519783">
                      <a:extLst>
                        <a:ext uri="{C183D7F6-B498-43B3-948B-1728B52AA6E4}">
                          <adec:decorative xmlns:adec="http://schemas.microsoft.com/office/drawing/2017/decorative" val="1"/>
                        </a:ext>
                      </a:extLst>
                    </pic:cNvPr>
                    <pic:cNvPicPr/>
                  </pic:nvPicPr>
                  <pic:blipFill>
                    <a:blip r:embed="rId139">
                      <a:extLst>
                        <a:ext uri="{28A0092B-C50C-407E-A947-70E740481C1C}">
                          <a14:useLocalDpi xmlns:a14="http://schemas.microsoft.com/office/drawing/2010/main" val="0"/>
                        </a:ext>
                      </a:extLst>
                    </a:blip>
                    <a:srcRect t="1" b="1"/>
                    <a:stretch>
                      <a:fillRect/>
                    </a:stretch>
                  </pic:blipFill>
                  <pic:spPr bwMode="auto">
                    <a:xfrm>
                      <a:off x="0" y="0"/>
                      <a:ext cx="7560945" cy="9681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4E474" w14:textId="77777777" w:rsidR="008964FC" w:rsidRDefault="001A2120" w:rsidP="001A2120">
      <w:pPr>
        <w:pStyle w:val="Heading1"/>
      </w:pPr>
      <w:bookmarkStart w:id="240" w:name="_Toc173428614"/>
      <w:r>
        <w:t>Appendices</w:t>
      </w:r>
      <w:bookmarkEnd w:id="240"/>
    </w:p>
    <w:p w14:paraId="1F521A29" w14:textId="55DAF888" w:rsidR="0046425D" w:rsidRDefault="0046425D" w:rsidP="00706D0A">
      <w:pPr>
        <w:rPr>
          <w:rStyle w:val="Strong"/>
        </w:rPr>
      </w:pPr>
      <w:r>
        <w:rPr>
          <w:rStyle w:val="Strong"/>
        </w:rPr>
        <w:t xml:space="preserve">Appendix A: </w:t>
      </w:r>
      <w:r w:rsidRPr="0046425D">
        <w:rPr>
          <w:rStyle w:val="Strong"/>
          <w:b w:val="0"/>
        </w:rPr>
        <w:t>Data sources and methodology</w:t>
      </w:r>
    </w:p>
    <w:p w14:paraId="72303C7C" w14:textId="4D6B1003" w:rsidR="0087242C" w:rsidRPr="00775CDD" w:rsidRDefault="0087242C" w:rsidP="00706D0A">
      <w:pPr>
        <w:rPr>
          <w:b/>
        </w:rPr>
      </w:pPr>
      <w:r w:rsidRPr="003364A5">
        <w:rPr>
          <w:rStyle w:val="Strong"/>
        </w:rPr>
        <w:t xml:space="preserve">Appendix </w:t>
      </w:r>
      <w:r w:rsidR="0046425D">
        <w:rPr>
          <w:rStyle w:val="Strong"/>
        </w:rPr>
        <w:t>B</w:t>
      </w:r>
      <w:r w:rsidRPr="003364A5">
        <w:rPr>
          <w:rStyle w:val="Strong"/>
        </w:rPr>
        <w:t>:</w:t>
      </w:r>
      <w:r w:rsidRPr="00775CDD">
        <w:rPr>
          <w:b/>
        </w:rPr>
        <w:t xml:space="preserve"> </w:t>
      </w:r>
      <w:r w:rsidRPr="007167D8">
        <w:t>Residential Segment Income and Expense Statement, 202</w:t>
      </w:r>
      <w:r>
        <w:t>2-23</w:t>
      </w:r>
    </w:p>
    <w:p w14:paraId="3F8D435A" w14:textId="31D74EFD" w:rsidR="0087242C" w:rsidRPr="00775CDD" w:rsidRDefault="0087242C" w:rsidP="00706D0A">
      <w:r w:rsidRPr="003364A5">
        <w:rPr>
          <w:rStyle w:val="Strong"/>
        </w:rPr>
        <w:t xml:space="preserve">Appendix </w:t>
      </w:r>
      <w:r w:rsidR="0046425D">
        <w:rPr>
          <w:rStyle w:val="Strong"/>
        </w:rPr>
        <w:t>C</w:t>
      </w:r>
      <w:r w:rsidRPr="003364A5">
        <w:rPr>
          <w:rStyle w:val="Strong"/>
        </w:rPr>
        <w:t>:</w:t>
      </w:r>
      <w:r w:rsidRPr="00775CDD">
        <w:rPr>
          <w:b/>
        </w:rPr>
        <w:t xml:space="preserve"> </w:t>
      </w:r>
      <w:r w:rsidRPr="00775CDD">
        <w:t>Residential Segment Income and Expense Statement, per resident per day, 202</w:t>
      </w:r>
      <w:r>
        <w:t>2-23</w:t>
      </w:r>
    </w:p>
    <w:p w14:paraId="295DB986" w14:textId="4E79690F" w:rsidR="0087242C" w:rsidRDefault="0087242C" w:rsidP="00706D0A">
      <w:r w:rsidRPr="003364A5">
        <w:rPr>
          <w:rStyle w:val="Strong"/>
        </w:rPr>
        <w:t xml:space="preserve">Appendix </w:t>
      </w:r>
      <w:r w:rsidR="0046425D">
        <w:rPr>
          <w:rStyle w:val="Strong"/>
        </w:rPr>
        <w:t>D</w:t>
      </w:r>
      <w:r w:rsidRPr="003364A5">
        <w:rPr>
          <w:rStyle w:val="Strong"/>
        </w:rPr>
        <w:t>:</w:t>
      </w:r>
      <w:r w:rsidRPr="00775CDD">
        <w:rPr>
          <w:b/>
        </w:rPr>
        <w:t xml:space="preserve"> </w:t>
      </w:r>
      <w:r w:rsidRPr="00775CDD">
        <w:t>Financial performance results of home care providers per care recipient per day, by ownership type, by quartile, 202</w:t>
      </w:r>
      <w:r>
        <w:t>2-23</w:t>
      </w:r>
    </w:p>
    <w:p w14:paraId="0BA31DC1" w14:textId="4541E19F" w:rsidR="0087242C" w:rsidRDefault="0087242C" w:rsidP="00706D0A">
      <w:r w:rsidRPr="003364A5">
        <w:rPr>
          <w:rStyle w:val="Strong"/>
        </w:rPr>
        <w:t xml:space="preserve">Appendix </w:t>
      </w:r>
      <w:r w:rsidR="0046425D">
        <w:rPr>
          <w:rStyle w:val="Strong"/>
        </w:rPr>
        <w:t>E</w:t>
      </w:r>
      <w:r w:rsidRPr="003364A5">
        <w:rPr>
          <w:rStyle w:val="Strong"/>
        </w:rPr>
        <w:t>:</w:t>
      </w:r>
      <w:r w:rsidRPr="00775CDD">
        <w:rPr>
          <w:b/>
        </w:rPr>
        <w:t xml:space="preserve"> </w:t>
      </w:r>
      <w:r w:rsidRPr="00775CDD">
        <w:t>Financial package results for home care providers per care recipient per annum, by ownership type, by quartile, 2022</w:t>
      </w:r>
      <w:r>
        <w:t>-23</w:t>
      </w:r>
    </w:p>
    <w:p w14:paraId="0BB920F3" w14:textId="4D659752" w:rsidR="0087242C" w:rsidRDefault="0087242C" w:rsidP="00706D0A">
      <w:r w:rsidRPr="003364A5">
        <w:rPr>
          <w:rStyle w:val="Strong"/>
        </w:rPr>
        <w:t xml:space="preserve">Appendix </w:t>
      </w:r>
      <w:r w:rsidR="0046425D">
        <w:rPr>
          <w:rStyle w:val="Strong"/>
        </w:rPr>
        <w:t>F</w:t>
      </w:r>
      <w:r w:rsidRPr="003364A5">
        <w:rPr>
          <w:rStyle w:val="Strong"/>
        </w:rPr>
        <w:t>:</w:t>
      </w:r>
      <w:r w:rsidRPr="00AA4552">
        <w:rPr>
          <w:b/>
        </w:rPr>
        <w:t xml:space="preserve"> </w:t>
      </w:r>
      <w:r w:rsidRPr="007D1BF1">
        <w:t>Home Care segment income and expense statement, 2022</w:t>
      </w:r>
      <w:r>
        <w:t>-23</w:t>
      </w:r>
    </w:p>
    <w:p w14:paraId="690FD5EA" w14:textId="1850A40B" w:rsidR="002710AF" w:rsidRDefault="002710AF" w:rsidP="002710AF">
      <w:r w:rsidRPr="003364A5">
        <w:rPr>
          <w:rStyle w:val="Strong"/>
        </w:rPr>
        <w:t xml:space="preserve">Appendix </w:t>
      </w:r>
      <w:r>
        <w:rPr>
          <w:rStyle w:val="Strong"/>
        </w:rPr>
        <w:t>G</w:t>
      </w:r>
      <w:r w:rsidRPr="003364A5">
        <w:rPr>
          <w:rStyle w:val="Strong"/>
        </w:rPr>
        <w:t>:</w:t>
      </w:r>
      <w:r w:rsidRPr="00AA4552">
        <w:rPr>
          <w:b/>
        </w:rPr>
        <w:t xml:space="preserve"> </w:t>
      </w:r>
      <w:r w:rsidRPr="001D39D3">
        <w:t xml:space="preserve">Home Care segment income and expense statement, per </w:t>
      </w:r>
      <w:r>
        <w:t xml:space="preserve">care recipient </w:t>
      </w:r>
      <w:r w:rsidRPr="001D39D3">
        <w:t>per day, 2022</w:t>
      </w:r>
      <w:r>
        <w:t>-23</w:t>
      </w:r>
    </w:p>
    <w:p w14:paraId="5C53A166" w14:textId="4821A219" w:rsidR="00396716" w:rsidRDefault="00396716" w:rsidP="00396716">
      <w:r w:rsidRPr="003364A5">
        <w:rPr>
          <w:rStyle w:val="Strong"/>
        </w:rPr>
        <w:t xml:space="preserve">Appendix </w:t>
      </w:r>
      <w:r w:rsidR="001E3CB2">
        <w:rPr>
          <w:rStyle w:val="Strong"/>
        </w:rPr>
        <w:t>H</w:t>
      </w:r>
      <w:r w:rsidRPr="003364A5">
        <w:rPr>
          <w:rStyle w:val="Strong"/>
        </w:rPr>
        <w:t>:</w:t>
      </w:r>
      <w:r w:rsidRPr="00AA4552">
        <w:rPr>
          <w:b/>
        </w:rPr>
        <w:t xml:space="preserve"> </w:t>
      </w:r>
      <w:r w:rsidR="00864985" w:rsidRPr="00864985">
        <w:rPr>
          <w:bCs w:val="0"/>
        </w:rPr>
        <w:t>Updated</w:t>
      </w:r>
      <w:r w:rsidR="00864985" w:rsidRPr="00864985">
        <w:t xml:space="preserve"> </w:t>
      </w:r>
      <w:r w:rsidR="00864985" w:rsidRPr="00864985">
        <w:rPr>
          <w:bCs w:val="0"/>
        </w:rPr>
        <w:t>Chart 2.1: Average paid care minutes per resident per day, by ownership type, 202</w:t>
      </w:r>
      <w:r w:rsidR="00864985">
        <w:rPr>
          <w:bCs w:val="0"/>
        </w:rPr>
        <w:t>1-22</w:t>
      </w:r>
    </w:p>
    <w:p w14:paraId="71018BD1" w14:textId="0A192461" w:rsidR="0087242C" w:rsidRDefault="00052F87" w:rsidP="00706D0A">
      <w:pPr>
        <w:rPr>
          <w:rFonts w:cs="Arial"/>
          <w:b/>
          <w:kern w:val="28"/>
          <w:sz w:val="60"/>
          <w:szCs w:val="36"/>
        </w:rPr>
      </w:pPr>
      <w:r>
        <w:br w:type="page"/>
      </w:r>
    </w:p>
    <w:p w14:paraId="271126FD" w14:textId="0D153D45" w:rsidR="0046425D" w:rsidRPr="00525FE2" w:rsidRDefault="0046425D" w:rsidP="00525FE2">
      <w:pPr>
        <w:rPr>
          <w:bCs w:val="0"/>
          <w:szCs w:val="32"/>
        </w:rPr>
      </w:pPr>
      <w:bookmarkStart w:id="241" w:name="_Toc149245299"/>
      <w:r w:rsidRPr="00525FE2">
        <w:rPr>
          <w:b/>
          <w:bCs w:val="0"/>
          <w:sz w:val="32"/>
          <w:szCs w:val="32"/>
        </w:rPr>
        <w:t>Appendix A</w:t>
      </w:r>
    </w:p>
    <w:p w14:paraId="48538E06" w14:textId="27145466" w:rsidR="0046425D" w:rsidRPr="00674A97" w:rsidRDefault="0046425D" w:rsidP="00706D0A">
      <w:pPr>
        <w:rPr>
          <w:b/>
        </w:rPr>
      </w:pPr>
      <w:r w:rsidRPr="00674A97">
        <w:rPr>
          <w:b/>
        </w:rPr>
        <w:t>Data sources and methodology</w:t>
      </w:r>
      <w:bookmarkEnd w:id="241"/>
    </w:p>
    <w:p w14:paraId="487C5DF6" w14:textId="2F648B59" w:rsidR="0046425D" w:rsidRPr="00525FE2" w:rsidRDefault="0046425D" w:rsidP="00706D0A">
      <w:r w:rsidRPr="00674A97">
        <w:t xml:space="preserve">The </w:t>
      </w:r>
      <w:r w:rsidR="007A2D15" w:rsidRPr="00674A97">
        <w:t>2022-23</w:t>
      </w:r>
      <w:r w:rsidRPr="00674A97">
        <w:t xml:space="preserve"> </w:t>
      </w:r>
      <w:r w:rsidR="00EB5C24">
        <w:t>Financial Report on the Australian Aged Care Sector (</w:t>
      </w:r>
      <w:r w:rsidRPr="00674A97">
        <w:t>FRAACS</w:t>
      </w:r>
      <w:r w:rsidR="00EB5C24">
        <w:t>)</w:t>
      </w:r>
      <w:r w:rsidRPr="00674A97">
        <w:t xml:space="preserve"> presents and analyses </w:t>
      </w:r>
      <w:r w:rsidR="007A2D15" w:rsidRPr="00674A97">
        <w:t>2022-23</w:t>
      </w:r>
      <w:r w:rsidRPr="00674A97">
        <w:t xml:space="preserve"> financial </w:t>
      </w:r>
      <w:r w:rsidRPr="00525FE2">
        <w:t xml:space="preserve">year data provided by aged care providers and data held by the department. Data collection for the </w:t>
      </w:r>
      <w:r w:rsidR="00D278DE" w:rsidRPr="009F4CA9">
        <w:t xml:space="preserve">Aged Care Financial Report </w:t>
      </w:r>
      <w:r w:rsidR="00D278DE">
        <w:t>(</w:t>
      </w:r>
      <w:r w:rsidRPr="00525FE2">
        <w:t>ACFR</w:t>
      </w:r>
      <w:r w:rsidR="00D278DE">
        <w:t>)</w:t>
      </w:r>
      <w:r w:rsidRPr="00525FE2">
        <w:t xml:space="preserve"> opens in August and providers are required to submit information by the end of October. The department then undertakes a data cleansing and analysis process to ensure the information is accurate.</w:t>
      </w:r>
    </w:p>
    <w:p w14:paraId="662D8D3E" w14:textId="77777777" w:rsidR="0046425D" w:rsidRPr="00525FE2" w:rsidRDefault="0046425D" w:rsidP="00706D0A">
      <w:r w:rsidRPr="00525FE2">
        <w:t>The principal data sources are financial and administrative</w:t>
      </w:r>
      <w:r w:rsidRPr="00525FE2">
        <w:rPr>
          <w:spacing w:val="-11"/>
        </w:rPr>
        <w:t xml:space="preserve"> </w:t>
      </w:r>
      <w:r w:rsidRPr="00525FE2">
        <w:t>data</w:t>
      </w:r>
      <w:r w:rsidRPr="00525FE2">
        <w:rPr>
          <w:spacing w:val="-11"/>
        </w:rPr>
        <w:t xml:space="preserve"> </w:t>
      </w:r>
      <w:r w:rsidRPr="00525FE2">
        <w:t>collected</w:t>
      </w:r>
      <w:r w:rsidRPr="00525FE2">
        <w:rPr>
          <w:spacing w:val="-11"/>
        </w:rPr>
        <w:t xml:space="preserve"> </w:t>
      </w:r>
      <w:r w:rsidRPr="00525FE2">
        <w:t>by</w:t>
      </w:r>
      <w:r w:rsidRPr="00525FE2">
        <w:rPr>
          <w:spacing w:val="-11"/>
        </w:rPr>
        <w:t xml:space="preserve"> </w:t>
      </w:r>
      <w:r w:rsidRPr="00525FE2">
        <w:t>the</w:t>
      </w:r>
      <w:r w:rsidRPr="00525FE2">
        <w:rPr>
          <w:spacing w:val="-11"/>
        </w:rPr>
        <w:t xml:space="preserve"> </w:t>
      </w:r>
      <w:r w:rsidRPr="00525FE2">
        <w:t>department:</w:t>
      </w:r>
    </w:p>
    <w:p w14:paraId="7C906C6B" w14:textId="03546559" w:rsidR="0046425D" w:rsidRPr="00525FE2" w:rsidRDefault="0046425D" w:rsidP="7A092EA3">
      <w:pPr>
        <w:pStyle w:val="ListBullet"/>
        <w:numPr>
          <w:ilvl w:val="0"/>
          <w:numId w:val="0"/>
        </w:numPr>
      </w:pPr>
      <w:r w:rsidRPr="00525FE2">
        <w:t>From</w:t>
      </w:r>
      <w:r w:rsidRPr="00525FE2">
        <w:rPr>
          <w:spacing w:val="-7"/>
        </w:rPr>
        <w:t xml:space="preserve"> </w:t>
      </w:r>
      <w:r w:rsidRPr="00525FE2">
        <w:t>home</w:t>
      </w:r>
      <w:r w:rsidRPr="00525FE2">
        <w:rPr>
          <w:spacing w:val="-5"/>
        </w:rPr>
        <w:t xml:space="preserve"> </w:t>
      </w:r>
      <w:r w:rsidRPr="00525FE2">
        <w:t>care</w:t>
      </w:r>
      <w:r w:rsidRPr="00525FE2">
        <w:rPr>
          <w:spacing w:val="-4"/>
        </w:rPr>
        <w:t xml:space="preserve"> </w:t>
      </w:r>
      <w:r w:rsidRPr="00525FE2">
        <w:t>providers</w:t>
      </w:r>
      <w:r w:rsidRPr="00525FE2">
        <w:rPr>
          <w:spacing w:val="-2"/>
        </w:rPr>
        <w:t>:</w:t>
      </w:r>
    </w:p>
    <w:p w14:paraId="4B9C5076" w14:textId="77777777" w:rsidR="0046425D" w:rsidRPr="00525FE2" w:rsidRDefault="0046425D" w:rsidP="00B53680">
      <w:pPr>
        <w:pStyle w:val="ListBullet3"/>
        <w:numPr>
          <w:ilvl w:val="0"/>
          <w:numId w:val="30"/>
        </w:numPr>
      </w:pPr>
      <w:r w:rsidRPr="00525FE2">
        <w:t>ACFRs</w:t>
      </w:r>
    </w:p>
    <w:p w14:paraId="46C7A7FE" w14:textId="77777777" w:rsidR="0046425D" w:rsidRPr="00525FE2" w:rsidRDefault="0046425D" w:rsidP="7A092EA3">
      <w:pPr>
        <w:pStyle w:val="ListBullet"/>
        <w:numPr>
          <w:ilvl w:val="0"/>
          <w:numId w:val="0"/>
        </w:numPr>
      </w:pPr>
      <w:r w:rsidRPr="00525FE2">
        <w:t>From</w:t>
      </w:r>
      <w:r w:rsidRPr="00525FE2">
        <w:rPr>
          <w:spacing w:val="-10"/>
        </w:rPr>
        <w:t xml:space="preserve"> </w:t>
      </w:r>
      <w:r w:rsidRPr="00525FE2">
        <w:t>residential</w:t>
      </w:r>
      <w:r w:rsidRPr="00525FE2">
        <w:rPr>
          <w:spacing w:val="-10"/>
        </w:rPr>
        <w:t xml:space="preserve"> </w:t>
      </w:r>
      <w:r w:rsidRPr="00525FE2">
        <w:t>care</w:t>
      </w:r>
      <w:r w:rsidRPr="00525FE2">
        <w:rPr>
          <w:spacing w:val="-10"/>
        </w:rPr>
        <w:t xml:space="preserve"> </w:t>
      </w:r>
      <w:r w:rsidRPr="00525FE2">
        <w:rPr>
          <w:spacing w:val="-2"/>
        </w:rPr>
        <w:t>providers:</w:t>
      </w:r>
    </w:p>
    <w:p w14:paraId="74848F0A" w14:textId="77777777" w:rsidR="0046425D" w:rsidRPr="00525FE2" w:rsidRDefault="0046425D" w:rsidP="00B53680">
      <w:pPr>
        <w:pStyle w:val="ListBullet3"/>
        <w:numPr>
          <w:ilvl w:val="0"/>
          <w:numId w:val="30"/>
        </w:numPr>
      </w:pPr>
      <w:r w:rsidRPr="00525FE2">
        <w:t>ACFRs</w:t>
      </w:r>
    </w:p>
    <w:p w14:paraId="1C7075AF" w14:textId="509D340D" w:rsidR="0046425D" w:rsidRPr="00525FE2" w:rsidRDefault="007F30FF" w:rsidP="00B53680">
      <w:pPr>
        <w:pStyle w:val="ListBullet3"/>
        <w:numPr>
          <w:ilvl w:val="0"/>
          <w:numId w:val="30"/>
        </w:numPr>
      </w:pPr>
      <w:r w:rsidRPr="00206602">
        <w:t xml:space="preserve">General Purpose Financial Report </w:t>
      </w:r>
      <w:r>
        <w:t>(</w:t>
      </w:r>
      <w:r w:rsidR="0046425D" w:rsidRPr="00525FE2">
        <w:t>GPFR</w:t>
      </w:r>
      <w:r>
        <w:t>)</w:t>
      </w:r>
      <w:r w:rsidR="0046425D" w:rsidRPr="00525FE2">
        <w:t xml:space="preserve"> </w:t>
      </w:r>
    </w:p>
    <w:p w14:paraId="215F8894" w14:textId="77777777" w:rsidR="0046425D" w:rsidRPr="00525FE2" w:rsidRDefault="0046425D" w:rsidP="00B53680">
      <w:pPr>
        <w:pStyle w:val="ListBullet3"/>
        <w:numPr>
          <w:ilvl w:val="0"/>
          <w:numId w:val="30"/>
        </w:numPr>
      </w:pPr>
      <w:r w:rsidRPr="00525FE2">
        <w:t>Annual Survey of Aged Care Homes (SACH) and</w:t>
      </w:r>
    </w:p>
    <w:p w14:paraId="69074C9C" w14:textId="77777777" w:rsidR="0046425D" w:rsidRPr="00525FE2" w:rsidRDefault="0046425D" w:rsidP="00B53680">
      <w:pPr>
        <w:pStyle w:val="ListBullet3"/>
        <w:numPr>
          <w:ilvl w:val="0"/>
          <w:numId w:val="30"/>
        </w:numPr>
      </w:pPr>
      <w:r w:rsidRPr="00525FE2">
        <w:t>Published aged care accommodation prices (My Aged Care website)</w:t>
      </w:r>
    </w:p>
    <w:p w14:paraId="5812FB60" w14:textId="3B991489" w:rsidR="0046425D" w:rsidRPr="00525FE2" w:rsidRDefault="0046425D" w:rsidP="7A092EA3">
      <w:pPr>
        <w:pStyle w:val="ListBullet"/>
        <w:numPr>
          <w:ilvl w:val="0"/>
          <w:numId w:val="0"/>
        </w:numPr>
      </w:pPr>
      <w:r w:rsidRPr="00525FE2">
        <w:t xml:space="preserve">From </w:t>
      </w:r>
      <w:r w:rsidR="00CD45FE">
        <w:t>Commonwealth Home Support Programme (CHSP)</w:t>
      </w:r>
      <w:r w:rsidRPr="00525FE2">
        <w:t xml:space="preserve"> providers: </w:t>
      </w:r>
    </w:p>
    <w:p w14:paraId="6B4271A2" w14:textId="5A0395C3" w:rsidR="0046425D" w:rsidRPr="00525FE2" w:rsidRDefault="0046425D" w:rsidP="00B53680">
      <w:pPr>
        <w:pStyle w:val="ListBullet3"/>
        <w:numPr>
          <w:ilvl w:val="0"/>
          <w:numId w:val="31"/>
        </w:numPr>
      </w:pPr>
      <w:r w:rsidRPr="00525FE2">
        <w:t>CHSP</w:t>
      </w:r>
      <w:r w:rsidRPr="00525FE2">
        <w:rPr>
          <w:spacing w:val="-10"/>
        </w:rPr>
        <w:t xml:space="preserve"> </w:t>
      </w:r>
      <w:r w:rsidRPr="00525FE2">
        <w:t>Data</w:t>
      </w:r>
      <w:r w:rsidRPr="00525FE2">
        <w:rPr>
          <w:spacing w:val="-8"/>
        </w:rPr>
        <w:t xml:space="preserve"> </w:t>
      </w:r>
      <w:r w:rsidRPr="00525FE2">
        <w:t>Exchange</w:t>
      </w:r>
      <w:r w:rsidRPr="00525FE2">
        <w:rPr>
          <w:spacing w:val="-7"/>
        </w:rPr>
        <w:t xml:space="preserve"> </w:t>
      </w:r>
    </w:p>
    <w:p w14:paraId="6F0E32EF" w14:textId="77777777" w:rsidR="0046425D" w:rsidRPr="00525FE2" w:rsidRDefault="0046425D" w:rsidP="7A092EA3">
      <w:pPr>
        <w:pStyle w:val="ListBullet"/>
        <w:numPr>
          <w:ilvl w:val="0"/>
          <w:numId w:val="0"/>
        </w:numPr>
      </w:pPr>
      <w:r w:rsidRPr="00525FE2">
        <w:t>Other</w:t>
      </w:r>
      <w:r w:rsidRPr="00525FE2">
        <w:rPr>
          <w:spacing w:val="-5"/>
        </w:rPr>
        <w:t xml:space="preserve"> </w:t>
      </w:r>
      <w:r w:rsidRPr="00525FE2">
        <w:t>general</w:t>
      </w:r>
      <w:r w:rsidRPr="00525FE2">
        <w:rPr>
          <w:spacing w:val="-4"/>
        </w:rPr>
        <w:t xml:space="preserve"> </w:t>
      </w:r>
      <w:r w:rsidRPr="00525FE2">
        <w:rPr>
          <w:spacing w:val="-2"/>
        </w:rPr>
        <w:t>data:</w:t>
      </w:r>
    </w:p>
    <w:p w14:paraId="0EC4E800" w14:textId="4B309A8C" w:rsidR="0046425D" w:rsidRPr="00525FE2" w:rsidRDefault="0046425D" w:rsidP="00B53680">
      <w:pPr>
        <w:pStyle w:val="ListBullet3"/>
        <w:numPr>
          <w:ilvl w:val="0"/>
          <w:numId w:val="31"/>
        </w:numPr>
      </w:pPr>
      <w:r w:rsidRPr="00525FE2">
        <w:t>the 20</w:t>
      </w:r>
      <w:r w:rsidRPr="000A51C6">
        <w:t>2</w:t>
      </w:r>
      <w:r w:rsidR="00ED1B16" w:rsidRPr="000A51C6">
        <w:t>2-23</w:t>
      </w:r>
      <w:r w:rsidR="000A51C6">
        <w:t xml:space="preserve"> </w:t>
      </w:r>
      <w:r w:rsidRPr="000A51C6">
        <w:t xml:space="preserve">Report </w:t>
      </w:r>
      <w:r w:rsidRPr="00525FE2">
        <w:t xml:space="preserve">on the Operation of the </w:t>
      </w:r>
      <w:r w:rsidRPr="00973480">
        <w:rPr>
          <w:i/>
        </w:rPr>
        <w:t>Aged Care Act 1997</w:t>
      </w:r>
      <w:r w:rsidRPr="00525FE2">
        <w:t xml:space="preserve"> (ROACA), and previous editions</w:t>
      </w:r>
    </w:p>
    <w:p w14:paraId="3304EE24" w14:textId="05A0DDDB" w:rsidR="0046425D" w:rsidRPr="000A51C6" w:rsidRDefault="0046425D" w:rsidP="00B53680">
      <w:pPr>
        <w:pStyle w:val="ListBullet3"/>
        <w:numPr>
          <w:ilvl w:val="0"/>
          <w:numId w:val="31"/>
        </w:numPr>
      </w:pPr>
      <w:r w:rsidRPr="000A51C6">
        <w:t>quarterly home care data reports</w:t>
      </w:r>
      <w:r w:rsidR="008443C0">
        <w:t xml:space="preserve"> (My Aged Care website)</w:t>
      </w:r>
    </w:p>
    <w:p w14:paraId="4EF6BAA2" w14:textId="77777777" w:rsidR="00C14133" w:rsidRDefault="00C14133" w:rsidP="00B45F71">
      <w:pPr>
        <w:pStyle w:val="ListBullet3"/>
        <w:ind w:left="0" w:firstLine="0"/>
        <w:rPr>
          <w:i/>
          <w:iCs/>
        </w:rPr>
      </w:pPr>
    </w:p>
    <w:p w14:paraId="0FCE25D6" w14:textId="18F2166E" w:rsidR="008023F7" w:rsidRPr="000A51C6" w:rsidRDefault="00C14133" w:rsidP="00B45F71">
      <w:pPr>
        <w:pStyle w:val="ListBullet3"/>
        <w:ind w:left="0" w:firstLine="0"/>
      </w:pPr>
      <w:r w:rsidRPr="00C14133">
        <w:t xml:space="preserve">In previous FRAACS editions, the department has included data on aged care workforce figures from the Aged Care Workforce Census report. The 2023 Aged Care Provider Workforce Survey Summary Report results will be published in August 2024 on </w:t>
      </w:r>
      <w:hyperlink r:id="rId140">
        <w:r w:rsidR="00A42DB4" w:rsidRPr="58D45EB3">
          <w:rPr>
            <w:rStyle w:val="Hyperlink"/>
          </w:rPr>
          <w:t>GEN Aged Care</w:t>
        </w:r>
      </w:hyperlink>
      <w:r>
        <w:t>.</w:t>
      </w:r>
    </w:p>
    <w:p w14:paraId="2BEE4785" w14:textId="47355CAE" w:rsidR="008023F7" w:rsidRDefault="008023F7" w:rsidP="008023F7">
      <w:r w:rsidRPr="00736F3D">
        <w:t>There are a small number of residential aged care providers that report data in the ACFR on a non-standard financial year. To support the timely reporting of the 202</w:t>
      </w:r>
      <w:r>
        <w:t>2-23</w:t>
      </w:r>
      <w:r w:rsidRPr="00736F3D">
        <w:t xml:space="preserve"> FRAACS, the data collected for these providers will be taken from the 2021-22 ACFR.</w:t>
      </w:r>
      <w:r>
        <w:t xml:space="preserve"> This is consistent with the approach used in the 2021-22 FRAACS. </w:t>
      </w:r>
    </w:p>
    <w:p w14:paraId="6777711F" w14:textId="134C4710" w:rsidR="0046425D" w:rsidRPr="0042633E" w:rsidRDefault="0046425D" w:rsidP="00706D0A">
      <w:r w:rsidRPr="0042633E">
        <w:t xml:space="preserve">National Aboriginal and Torres Strait Islander Flexible Aged Care </w:t>
      </w:r>
      <w:r w:rsidR="00791B8C">
        <w:t xml:space="preserve">(NATSIFAC) </w:t>
      </w:r>
      <w:r w:rsidRPr="0042633E">
        <w:t>program providers do not currently report financial data via ACFRs or GPFRs, therefore data for this program is not included in the 202</w:t>
      </w:r>
      <w:r w:rsidR="0042633E">
        <w:t>2-23</w:t>
      </w:r>
      <w:r w:rsidRPr="0042633E">
        <w:t xml:space="preserve"> FRAACS.</w:t>
      </w:r>
    </w:p>
    <w:p w14:paraId="6C3BB0E3" w14:textId="704EEC87" w:rsidR="0046425D" w:rsidRPr="0042633E" w:rsidRDefault="0046425D" w:rsidP="00706D0A">
      <w:r w:rsidRPr="0042633E">
        <w:t>Multi-</w:t>
      </w:r>
      <w:r w:rsidR="00D607BB">
        <w:t>P</w:t>
      </w:r>
      <w:r w:rsidRPr="0042633E">
        <w:t xml:space="preserve">urpose </w:t>
      </w:r>
      <w:r w:rsidR="00D607BB">
        <w:t>S</w:t>
      </w:r>
      <w:r w:rsidRPr="0042633E">
        <w:t>ervices</w:t>
      </w:r>
      <w:r w:rsidR="00D607BB">
        <w:t xml:space="preserve"> (MPS)</w:t>
      </w:r>
      <w:r w:rsidRPr="0042633E">
        <w:t xml:space="preserve"> or providers under the Short-term Restorative Care </w:t>
      </w:r>
      <w:r w:rsidR="00D607BB">
        <w:t>(STRC)</w:t>
      </w:r>
      <w:r w:rsidRPr="0042633E">
        <w:t xml:space="preserve"> Programme are only required to complete the Annual Prudential Compliance Statement (APCS) component of the ACFR</w:t>
      </w:r>
      <w:r w:rsidR="009E1D17">
        <w:t xml:space="preserve"> </w:t>
      </w:r>
      <w:r w:rsidR="009A361D">
        <w:t>where they choose to collect a</w:t>
      </w:r>
      <w:r w:rsidR="000C2EF7">
        <w:t xml:space="preserve"> </w:t>
      </w:r>
      <w:r w:rsidR="00E573B1">
        <w:t>Refundable Accommodation Deposit (</w:t>
      </w:r>
      <w:r w:rsidR="009A361D">
        <w:t>RAD</w:t>
      </w:r>
      <w:r w:rsidR="00E573B1">
        <w:t>)</w:t>
      </w:r>
      <w:r w:rsidR="009A361D">
        <w:t xml:space="preserve"> from their clients</w:t>
      </w:r>
      <w:r w:rsidRPr="0042633E">
        <w:t>. Short-term Restorative Care providers also must complete an income and expense statement. However, analysis of this data is not included in this report.</w:t>
      </w:r>
      <w:r w:rsidR="00520E36">
        <w:t xml:space="preserve"> </w:t>
      </w:r>
      <w:r w:rsidR="0018561C">
        <w:t xml:space="preserve">The only exception to this </w:t>
      </w:r>
      <w:r w:rsidR="00A80881">
        <w:t xml:space="preserve">is </w:t>
      </w:r>
      <w:r w:rsidR="00D73316">
        <w:t>the figures provided for workforce included in the report summary</w:t>
      </w:r>
      <w:r w:rsidR="002B5EA8">
        <w:t>, which includes MPS.</w:t>
      </w:r>
    </w:p>
    <w:p w14:paraId="48FDF39E" w14:textId="71712E7E" w:rsidR="0046425D" w:rsidRPr="00BB6629" w:rsidRDefault="0046425D" w:rsidP="00706D0A">
      <w:r w:rsidRPr="00BB6629">
        <w:t>When</w:t>
      </w:r>
      <w:r w:rsidRPr="00BB6629">
        <w:rPr>
          <w:spacing w:val="-11"/>
        </w:rPr>
        <w:t xml:space="preserve"> </w:t>
      </w:r>
      <w:r w:rsidRPr="00BB6629">
        <w:t>discussing</w:t>
      </w:r>
      <w:r w:rsidRPr="00BB6629">
        <w:rPr>
          <w:spacing w:val="-11"/>
        </w:rPr>
        <w:t xml:space="preserve"> </w:t>
      </w:r>
      <w:r w:rsidRPr="00BB6629">
        <w:t>the</w:t>
      </w:r>
      <w:r w:rsidRPr="00BB6629">
        <w:rPr>
          <w:spacing w:val="-11"/>
        </w:rPr>
        <w:t xml:space="preserve"> </w:t>
      </w:r>
      <w:r w:rsidRPr="00BB6629">
        <w:t>financial</w:t>
      </w:r>
      <w:r w:rsidRPr="00BB6629">
        <w:rPr>
          <w:spacing w:val="-11"/>
        </w:rPr>
        <w:t xml:space="preserve"> </w:t>
      </w:r>
      <w:r w:rsidRPr="00BB6629">
        <w:t>performance</w:t>
      </w:r>
      <w:r w:rsidRPr="00BB6629">
        <w:rPr>
          <w:spacing w:val="-11"/>
        </w:rPr>
        <w:t xml:space="preserve"> </w:t>
      </w:r>
      <w:r w:rsidRPr="00BB6629">
        <w:t>of</w:t>
      </w:r>
      <w:r w:rsidRPr="00BB6629">
        <w:rPr>
          <w:spacing w:val="-10"/>
        </w:rPr>
        <w:t xml:space="preserve"> </w:t>
      </w:r>
      <w:r w:rsidRPr="00BB6629">
        <w:t xml:space="preserve">providers in this report, </w:t>
      </w:r>
      <w:r w:rsidR="00056444">
        <w:t>earni</w:t>
      </w:r>
      <w:r w:rsidR="00D84BC8">
        <w:t xml:space="preserve">ngs </w:t>
      </w:r>
      <w:r w:rsidR="007F30FF">
        <w:t>before interest, taxes, depreciation and amortisation (</w:t>
      </w:r>
      <w:r w:rsidRPr="00BB6629">
        <w:t>EBITDA</w:t>
      </w:r>
      <w:r w:rsidR="007F30FF">
        <w:t>)</w:t>
      </w:r>
      <w:r w:rsidRPr="00BB6629">
        <w:rPr>
          <w:spacing w:val="-2"/>
        </w:rPr>
        <w:t xml:space="preserve"> </w:t>
      </w:r>
      <w:r w:rsidRPr="00BB6629">
        <w:t>is</w:t>
      </w:r>
      <w:r w:rsidRPr="00BB6629">
        <w:rPr>
          <w:spacing w:val="-2"/>
        </w:rPr>
        <w:t xml:space="preserve"> </w:t>
      </w:r>
      <w:r w:rsidRPr="00BB6629">
        <w:t>the</w:t>
      </w:r>
      <w:r w:rsidRPr="00BB6629">
        <w:rPr>
          <w:spacing w:val="-2"/>
        </w:rPr>
        <w:t xml:space="preserve"> </w:t>
      </w:r>
      <w:r w:rsidRPr="00BB6629">
        <w:t>main</w:t>
      </w:r>
      <w:r w:rsidRPr="00BB6629">
        <w:rPr>
          <w:spacing w:val="-2"/>
        </w:rPr>
        <w:t xml:space="preserve"> </w:t>
      </w:r>
      <w:r w:rsidRPr="00BB6629">
        <w:t>measure</w:t>
      </w:r>
      <w:r w:rsidRPr="00BB6629">
        <w:rPr>
          <w:spacing w:val="-2"/>
        </w:rPr>
        <w:t xml:space="preserve"> </w:t>
      </w:r>
      <w:r w:rsidRPr="00BB6629">
        <w:t>used</w:t>
      </w:r>
      <w:r w:rsidRPr="00BB6629">
        <w:rPr>
          <w:spacing w:val="-2"/>
        </w:rPr>
        <w:t xml:space="preserve"> </w:t>
      </w:r>
      <w:r w:rsidRPr="00BB6629">
        <w:t>to analyse profitability. This is because EBITDA excludes items such as interest (both income and expense) and tax expenditures, which can vary depending on the financing decisions of an organisation; and non-cash expenses, such as depreciation and amortisation which can vary greatly based on the size and age of facilities</w:t>
      </w:r>
      <w:r w:rsidRPr="00BB6629">
        <w:rPr>
          <w:spacing w:val="-7"/>
        </w:rPr>
        <w:t xml:space="preserve"> </w:t>
      </w:r>
      <w:r w:rsidRPr="00BB6629">
        <w:t>and</w:t>
      </w:r>
      <w:r w:rsidRPr="00BB6629">
        <w:rPr>
          <w:spacing w:val="-7"/>
        </w:rPr>
        <w:t xml:space="preserve"> </w:t>
      </w:r>
      <w:r w:rsidRPr="00BB6629">
        <w:t>other</w:t>
      </w:r>
      <w:r w:rsidRPr="00BB6629">
        <w:rPr>
          <w:spacing w:val="-7"/>
        </w:rPr>
        <w:t xml:space="preserve"> </w:t>
      </w:r>
      <w:r w:rsidRPr="00BB6629">
        <w:t>assets,</w:t>
      </w:r>
      <w:r w:rsidRPr="00BB6629">
        <w:rPr>
          <w:spacing w:val="-7"/>
        </w:rPr>
        <w:t xml:space="preserve"> </w:t>
      </w:r>
      <w:r w:rsidRPr="00BB6629">
        <w:t>and</w:t>
      </w:r>
      <w:r w:rsidRPr="00BB6629">
        <w:rPr>
          <w:spacing w:val="-7"/>
        </w:rPr>
        <w:t xml:space="preserve"> </w:t>
      </w:r>
      <w:r w:rsidRPr="00BB6629">
        <w:t>on</w:t>
      </w:r>
      <w:r w:rsidRPr="00BB6629">
        <w:rPr>
          <w:spacing w:val="-7"/>
        </w:rPr>
        <w:t xml:space="preserve"> </w:t>
      </w:r>
      <w:r w:rsidRPr="00BB6629">
        <w:t>ownership</w:t>
      </w:r>
      <w:r w:rsidRPr="00BB6629">
        <w:rPr>
          <w:spacing w:val="-7"/>
        </w:rPr>
        <w:t xml:space="preserve"> </w:t>
      </w:r>
      <w:r w:rsidRPr="00BB6629">
        <w:t>type</w:t>
      </w:r>
      <w:r w:rsidRPr="00BB6629">
        <w:rPr>
          <w:spacing w:val="-7"/>
        </w:rPr>
        <w:t xml:space="preserve"> </w:t>
      </w:r>
      <w:r w:rsidRPr="00BB6629">
        <w:t>and depreciation methods.</w:t>
      </w:r>
    </w:p>
    <w:p w14:paraId="5177D7AD" w14:textId="77777777" w:rsidR="0046425D" w:rsidRPr="00BB6629" w:rsidRDefault="0046425D" w:rsidP="00706D0A">
      <w:r w:rsidRPr="00BB6629">
        <w:t>EBITDA can be used to compare organisations with each</w:t>
      </w:r>
      <w:r w:rsidRPr="00BB6629">
        <w:rPr>
          <w:spacing w:val="-7"/>
        </w:rPr>
        <w:t xml:space="preserve"> </w:t>
      </w:r>
      <w:r w:rsidRPr="00BB6629">
        <w:t>other</w:t>
      </w:r>
      <w:r w:rsidRPr="00BB6629">
        <w:rPr>
          <w:spacing w:val="-7"/>
        </w:rPr>
        <w:t xml:space="preserve"> </w:t>
      </w:r>
      <w:r w:rsidRPr="00BB6629">
        <w:t>and</w:t>
      </w:r>
      <w:r w:rsidRPr="00BB6629">
        <w:rPr>
          <w:spacing w:val="-7"/>
        </w:rPr>
        <w:t xml:space="preserve"> </w:t>
      </w:r>
      <w:r w:rsidRPr="00BB6629">
        <w:t>against</w:t>
      </w:r>
      <w:r w:rsidRPr="00BB6629">
        <w:rPr>
          <w:spacing w:val="-7"/>
        </w:rPr>
        <w:t xml:space="preserve"> </w:t>
      </w:r>
      <w:r w:rsidRPr="00BB6629">
        <w:t>industry</w:t>
      </w:r>
      <w:r w:rsidRPr="00BB6629">
        <w:rPr>
          <w:spacing w:val="-7"/>
        </w:rPr>
        <w:t xml:space="preserve"> </w:t>
      </w:r>
      <w:r w:rsidRPr="00BB6629">
        <w:t>averages</w:t>
      </w:r>
      <w:r w:rsidRPr="00BB6629">
        <w:rPr>
          <w:spacing w:val="-7"/>
        </w:rPr>
        <w:t xml:space="preserve"> </w:t>
      </w:r>
      <w:r w:rsidRPr="00BB6629">
        <w:t>and</w:t>
      </w:r>
      <w:r w:rsidRPr="00BB6629">
        <w:rPr>
          <w:spacing w:val="-7"/>
        </w:rPr>
        <w:t xml:space="preserve"> </w:t>
      </w:r>
      <w:r w:rsidRPr="00BB6629">
        <w:t>is</w:t>
      </w:r>
      <w:r w:rsidRPr="00BB6629">
        <w:rPr>
          <w:spacing w:val="-7"/>
        </w:rPr>
        <w:t xml:space="preserve"> </w:t>
      </w:r>
      <w:r w:rsidRPr="00BB6629">
        <w:t>a</w:t>
      </w:r>
      <w:r w:rsidRPr="00BB6629">
        <w:rPr>
          <w:spacing w:val="-7"/>
        </w:rPr>
        <w:t xml:space="preserve"> </w:t>
      </w:r>
      <w:r w:rsidRPr="00BB6629">
        <w:t>useful measure of core profit trends because it eliminates some of the extraneous factors mentioned above. This</w:t>
      </w:r>
      <w:r w:rsidRPr="00BB6629">
        <w:rPr>
          <w:spacing w:val="-9"/>
        </w:rPr>
        <w:t xml:space="preserve"> </w:t>
      </w:r>
      <w:r w:rsidRPr="00BB6629">
        <w:t>is</w:t>
      </w:r>
      <w:r w:rsidRPr="00BB6629">
        <w:rPr>
          <w:spacing w:val="-9"/>
        </w:rPr>
        <w:t xml:space="preserve"> </w:t>
      </w:r>
      <w:r w:rsidRPr="00BB6629">
        <w:t>particularly</w:t>
      </w:r>
      <w:r w:rsidRPr="00BB6629">
        <w:rPr>
          <w:spacing w:val="-9"/>
        </w:rPr>
        <w:t xml:space="preserve"> </w:t>
      </w:r>
      <w:r w:rsidRPr="00BB6629">
        <w:t>important</w:t>
      </w:r>
      <w:r w:rsidRPr="00BB6629">
        <w:rPr>
          <w:spacing w:val="-9"/>
        </w:rPr>
        <w:t xml:space="preserve"> </w:t>
      </w:r>
      <w:r w:rsidRPr="00BB6629">
        <w:t>when</w:t>
      </w:r>
      <w:r w:rsidRPr="00BB6629">
        <w:rPr>
          <w:spacing w:val="-9"/>
        </w:rPr>
        <w:t xml:space="preserve"> </w:t>
      </w:r>
      <w:r w:rsidRPr="00BB6629">
        <w:t>analysing</w:t>
      </w:r>
      <w:r w:rsidRPr="00BB6629">
        <w:rPr>
          <w:spacing w:val="-9"/>
        </w:rPr>
        <w:t xml:space="preserve"> </w:t>
      </w:r>
      <w:r w:rsidRPr="00BB6629">
        <w:t>aged</w:t>
      </w:r>
      <w:r w:rsidRPr="00BB6629">
        <w:rPr>
          <w:spacing w:val="-9"/>
        </w:rPr>
        <w:t xml:space="preserve"> </w:t>
      </w:r>
      <w:r w:rsidRPr="00BB6629">
        <w:t>care given</w:t>
      </w:r>
      <w:r w:rsidRPr="00BB6629">
        <w:rPr>
          <w:spacing w:val="-8"/>
        </w:rPr>
        <w:t xml:space="preserve"> </w:t>
      </w:r>
      <w:r w:rsidRPr="00BB6629">
        <w:t>the</w:t>
      </w:r>
      <w:r w:rsidRPr="00BB6629">
        <w:rPr>
          <w:spacing w:val="-8"/>
        </w:rPr>
        <w:t xml:space="preserve"> </w:t>
      </w:r>
      <w:r w:rsidRPr="00BB6629">
        <w:t>diversity</w:t>
      </w:r>
      <w:r w:rsidRPr="00BB6629">
        <w:rPr>
          <w:spacing w:val="-8"/>
        </w:rPr>
        <w:t xml:space="preserve"> </w:t>
      </w:r>
      <w:r w:rsidRPr="00BB6629">
        <w:t>of</w:t>
      </w:r>
      <w:r w:rsidRPr="00BB6629">
        <w:rPr>
          <w:spacing w:val="-8"/>
        </w:rPr>
        <w:t xml:space="preserve"> </w:t>
      </w:r>
      <w:r w:rsidRPr="00BB6629">
        <w:t>ownership</w:t>
      </w:r>
      <w:r w:rsidRPr="00BB6629">
        <w:rPr>
          <w:spacing w:val="-8"/>
        </w:rPr>
        <w:t xml:space="preserve"> </w:t>
      </w:r>
      <w:r w:rsidRPr="00BB6629">
        <w:t>and</w:t>
      </w:r>
      <w:r w:rsidRPr="00BB6629">
        <w:rPr>
          <w:spacing w:val="-8"/>
        </w:rPr>
        <w:t xml:space="preserve"> </w:t>
      </w:r>
      <w:r w:rsidRPr="00BB6629">
        <w:t>capital</w:t>
      </w:r>
      <w:r w:rsidRPr="00BB6629">
        <w:rPr>
          <w:spacing w:val="-8"/>
        </w:rPr>
        <w:t xml:space="preserve"> </w:t>
      </w:r>
      <w:r w:rsidRPr="00BB6629">
        <w:t>structures. EBITDA helps to smooth out these factors.</w:t>
      </w:r>
    </w:p>
    <w:p w14:paraId="7D99FB89" w14:textId="7F530072" w:rsidR="0046425D" w:rsidRDefault="0046425D" w:rsidP="00706D0A">
      <w:r w:rsidRPr="00BB6629">
        <w:t xml:space="preserve">This report also refers to </w:t>
      </w:r>
      <w:r w:rsidR="007F30FF">
        <w:t>net profit before tax (</w:t>
      </w:r>
      <w:r w:rsidRPr="00BB6629">
        <w:t>NPBT</w:t>
      </w:r>
      <w:r w:rsidR="007F30FF">
        <w:t>)</w:t>
      </w:r>
      <w:r w:rsidRPr="00BB6629">
        <w:t xml:space="preserve"> which assists in making comparisons between organisations that are subject to different tax treatments. </w:t>
      </w:r>
    </w:p>
    <w:p w14:paraId="26D40315" w14:textId="1115FB09" w:rsidR="003F159F" w:rsidRPr="00BB6629" w:rsidRDefault="003F159F" w:rsidP="00706D0A">
      <w:r>
        <w:t>When calculating average care minutes</w:t>
      </w:r>
      <w:r w:rsidR="00005CA7">
        <w:t xml:space="preserve">, occupied beds days was used. </w:t>
      </w:r>
      <w:r w:rsidR="00A54AF9">
        <w:t>In previous FRAACS, the methodology used to calculate care minu</w:t>
      </w:r>
      <w:r w:rsidR="00210368">
        <w:t>tes was claim days.</w:t>
      </w:r>
    </w:p>
    <w:p w14:paraId="1753A1FF" w14:textId="77777777" w:rsidR="0046425D" w:rsidRPr="00BB6629" w:rsidRDefault="0046425D" w:rsidP="00706D0A">
      <w:r w:rsidRPr="00BB6629">
        <w:t xml:space="preserve">Financial information on home care and residential care included in this report is collected through the ACFR. The </w:t>
      </w:r>
      <w:r w:rsidRPr="00BB6629">
        <w:rPr>
          <w:i/>
        </w:rPr>
        <w:t>Accountability Principles 2014</w:t>
      </w:r>
      <w:r w:rsidRPr="00BB6629">
        <w:t xml:space="preserve">, made under Section 96–1 of the </w:t>
      </w:r>
      <w:r w:rsidRPr="00BB6629">
        <w:rPr>
          <w:i/>
        </w:rPr>
        <w:t>Aged Care Act 1997</w:t>
      </w:r>
      <w:r w:rsidRPr="00BB6629">
        <w:t>, require approved providers to submit a financial report in</w:t>
      </w:r>
      <w:r w:rsidRPr="00BB6629">
        <w:rPr>
          <w:spacing w:val="-5"/>
        </w:rPr>
        <w:t xml:space="preserve"> </w:t>
      </w:r>
      <w:r w:rsidRPr="00BB6629">
        <w:t>a</w:t>
      </w:r>
      <w:r w:rsidRPr="00BB6629">
        <w:rPr>
          <w:spacing w:val="-5"/>
        </w:rPr>
        <w:t xml:space="preserve"> </w:t>
      </w:r>
      <w:r w:rsidRPr="00BB6629">
        <w:t>form</w:t>
      </w:r>
      <w:r w:rsidRPr="00BB6629">
        <w:rPr>
          <w:spacing w:val="-5"/>
        </w:rPr>
        <w:t xml:space="preserve"> </w:t>
      </w:r>
      <w:r w:rsidRPr="00BB6629">
        <w:t>approved</w:t>
      </w:r>
      <w:r w:rsidRPr="00BB6629">
        <w:rPr>
          <w:spacing w:val="-5"/>
        </w:rPr>
        <w:t xml:space="preserve"> </w:t>
      </w:r>
      <w:r w:rsidRPr="00BB6629">
        <w:t>by</w:t>
      </w:r>
      <w:r w:rsidRPr="00BB6629">
        <w:rPr>
          <w:spacing w:val="-5"/>
        </w:rPr>
        <w:t xml:space="preserve"> </w:t>
      </w:r>
      <w:r w:rsidRPr="00BB6629">
        <w:t>the</w:t>
      </w:r>
      <w:r w:rsidRPr="00BB6629">
        <w:rPr>
          <w:spacing w:val="-5"/>
        </w:rPr>
        <w:t xml:space="preserve"> </w:t>
      </w:r>
      <w:r w:rsidRPr="00BB6629">
        <w:t>Secretary</w:t>
      </w:r>
      <w:r w:rsidRPr="00BB6629">
        <w:rPr>
          <w:spacing w:val="-5"/>
        </w:rPr>
        <w:t xml:space="preserve"> </w:t>
      </w:r>
      <w:r w:rsidRPr="00BB6629">
        <w:t>of</w:t>
      </w:r>
      <w:r w:rsidRPr="00BB6629">
        <w:rPr>
          <w:spacing w:val="-5"/>
        </w:rPr>
        <w:t xml:space="preserve"> </w:t>
      </w:r>
      <w:r w:rsidRPr="00BB6629">
        <w:t>the</w:t>
      </w:r>
      <w:r w:rsidRPr="00BB6629">
        <w:rPr>
          <w:spacing w:val="-5"/>
        </w:rPr>
        <w:t xml:space="preserve"> </w:t>
      </w:r>
      <w:r w:rsidRPr="00BB6629">
        <w:t>department. For providers of residential care, the ACFR must be accompanied by an audited GPFR and accompanying audit opinion. The ACFR submitted by home care providers is not required to be audited and should not be considered a GPFR.</w:t>
      </w:r>
    </w:p>
    <w:p w14:paraId="7E7A6469" w14:textId="77777777" w:rsidR="0046425D" w:rsidRDefault="0046425D" w:rsidP="00706D0A">
      <w:r w:rsidRPr="00BB6629">
        <w:t>It</w:t>
      </w:r>
      <w:r w:rsidRPr="00BB6629">
        <w:rPr>
          <w:spacing w:val="-8"/>
        </w:rPr>
        <w:t xml:space="preserve"> </w:t>
      </w:r>
      <w:r w:rsidRPr="00BB6629">
        <w:t>is</w:t>
      </w:r>
      <w:r w:rsidRPr="00BB6629">
        <w:rPr>
          <w:spacing w:val="-8"/>
        </w:rPr>
        <w:t xml:space="preserve"> </w:t>
      </w:r>
      <w:r w:rsidRPr="00BB6629">
        <w:t>important</w:t>
      </w:r>
      <w:r w:rsidRPr="00BB6629">
        <w:rPr>
          <w:spacing w:val="-8"/>
        </w:rPr>
        <w:t xml:space="preserve"> </w:t>
      </w:r>
      <w:r w:rsidRPr="00BB6629">
        <w:t>to</w:t>
      </w:r>
      <w:r w:rsidRPr="00BB6629">
        <w:rPr>
          <w:spacing w:val="-8"/>
        </w:rPr>
        <w:t xml:space="preserve"> </w:t>
      </w:r>
      <w:r w:rsidRPr="00BB6629">
        <w:t>be</w:t>
      </w:r>
      <w:r w:rsidRPr="00BB6629">
        <w:rPr>
          <w:spacing w:val="-8"/>
        </w:rPr>
        <w:t xml:space="preserve"> </w:t>
      </w:r>
      <w:r w:rsidRPr="00BB6629">
        <w:t>mindful</w:t>
      </w:r>
      <w:r w:rsidRPr="00BB6629">
        <w:rPr>
          <w:spacing w:val="-8"/>
        </w:rPr>
        <w:t xml:space="preserve"> </w:t>
      </w:r>
      <w:r w:rsidRPr="00BB6629">
        <w:t>of</w:t>
      </w:r>
      <w:r w:rsidRPr="00BB6629">
        <w:rPr>
          <w:spacing w:val="-8"/>
        </w:rPr>
        <w:t xml:space="preserve"> </w:t>
      </w:r>
      <w:r w:rsidRPr="00BB6629">
        <w:t>the</w:t>
      </w:r>
      <w:r w:rsidRPr="00BB6629">
        <w:rPr>
          <w:spacing w:val="-8"/>
        </w:rPr>
        <w:t xml:space="preserve"> </w:t>
      </w:r>
      <w:r w:rsidRPr="00BB6629">
        <w:t>sector</w:t>
      </w:r>
      <w:r w:rsidRPr="00BB6629">
        <w:rPr>
          <w:spacing w:val="-8"/>
        </w:rPr>
        <w:t xml:space="preserve"> </w:t>
      </w:r>
      <w:r w:rsidRPr="00BB6629">
        <w:t xml:space="preserve">composition and the varying objectives of providers when interpreting the data. The aged care sector continues </w:t>
      </w:r>
      <w:r w:rsidRPr="00BB6629">
        <w:rPr>
          <w:spacing w:val="-2"/>
        </w:rPr>
        <w:t xml:space="preserve">to be dominated by not-for-profit providers. Traditional </w:t>
      </w:r>
      <w:r w:rsidRPr="00BB6629">
        <w:t>profit-based</w:t>
      </w:r>
      <w:r w:rsidRPr="00BB6629">
        <w:rPr>
          <w:spacing w:val="-2"/>
        </w:rPr>
        <w:t xml:space="preserve"> </w:t>
      </w:r>
      <w:r w:rsidRPr="00BB6629">
        <w:t>measures</w:t>
      </w:r>
      <w:r w:rsidRPr="00BB6629">
        <w:rPr>
          <w:spacing w:val="-2"/>
        </w:rPr>
        <w:t xml:space="preserve"> </w:t>
      </w:r>
      <w:r w:rsidRPr="00BB6629">
        <w:t>are</w:t>
      </w:r>
      <w:r w:rsidRPr="00BB6629">
        <w:rPr>
          <w:spacing w:val="-2"/>
        </w:rPr>
        <w:t xml:space="preserve"> </w:t>
      </w:r>
      <w:r w:rsidRPr="00BB6629">
        <w:t>not</w:t>
      </w:r>
      <w:r w:rsidRPr="00BB6629">
        <w:rPr>
          <w:spacing w:val="-2"/>
        </w:rPr>
        <w:t xml:space="preserve"> </w:t>
      </w:r>
      <w:r w:rsidRPr="00BB6629">
        <w:t>always</w:t>
      </w:r>
      <w:r w:rsidRPr="00BB6629">
        <w:rPr>
          <w:spacing w:val="-2"/>
        </w:rPr>
        <w:t xml:space="preserve"> </w:t>
      </w:r>
      <w:r w:rsidRPr="00BB6629">
        <w:t>consistent</w:t>
      </w:r>
      <w:r w:rsidRPr="00BB6629">
        <w:rPr>
          <w:spacing w:val="-2"/>
        </w:rPr>
        <w:t xml:space="preserve"> </w:t>
      </w:r>
      <w:r w:rsidRPr="00BB6629">
        <w:t>with the mission and objectives of not-for-profit providers.</w:t>
      </w:r>
    </w:p>
    <w:p w14:paraId="59E9A3AF" w14:textId="73395533" w:rsidR="0046425D" w:rsidRDefault="0046425D" w:rsidP="00706D0A">
      <w:pPr>
        <w:rPr>
          <w:rFonts w:cs="Arial"/>
          <w:b/>
          <w:sz w:val="32"/>
          <w:szCs w:val="28"/>
        </w:rPr>
      </w:pPr>
      <w:r>
        <w:br w:type="page"/>
      </w:r>
    </w:p>
    <w:p w14:paraId="19983052" w14:textId="27320542" w:rsidR="00352E52" w:rsidRPr="00525FE2" w:rsidRDefault="00352E52" w:rsidP="00525FE2">
      <w:pPr>
        <w:rPr>
          <w:bCs w:val="0"/>
          <w:sz w:val="28"/>
        </w:rPr>
      </w:pPr>
      <w:r w:rsidRPr="00525FE2" w:rsidDel="00F3566D">
        <w:rPr>
          <w:b/>
          <w:bCs w:val="0"/>
          <w:sz w:val="28"/>
          <w:szCs w:val="28"/>
        </w:rPr>
        <w:t xml:space="preserve">Appendix </w:t>
      </w:r>
      <w:r w:rsidR="0046425D" w:rsidRPr="00525FE2">
        <w:rPr>
          <w:b/>
          <w:bCs w:val="0"/>
          <w:sz w:val="28"/>
          <w:szCs w:val="28"/>
        </w:rPr>
        <w:t>B</w:t>
      </w:r>
    </w:p>
    <w:p w14:paraId="7A90C70E" w14:textId="28259791" w:rsidR="006673B6" w:rsidRDefault="006673B6" w:rsidP="00706D0A">
      <w:r w:rsidRPr="0065435A">
        <w:t xml:space="preserve">Residential </w:t>
      </w:r>
      <w:r>
        <w:t>s</w:t>
      </w:r>
      <w:r w:rsidRPr="0065435A">
        <w:t xml:space="preserve">egment </w:t>
      </w:r>
      <w:r>
        <w:t>i</w:t>
      </w:r>
      <w:r w:rsidRPr="0065435A">
        <w:t xml:space="preserve">ncome and </w:t>
      </w:r>
      <w:r>
        <w:t>e</w:t>
      </w:r>
      <w:r w:rsidRPr="0065435A">
        <w:t xml:space="preserve">xpense </w:t>
      </w:r>
      <w:r>
        <w:t>s</w:t>
      </w:r>
      <w:r w:rsidRPr="0065435A">
        <w:t>tatement, 2022</w:t>
      </w:r>
      <w:r>
        <w:t>-23</w:t>
      </w:r>
    </w:p>
    <w:tbl>
      <w:tblPr>
        <w:tblW w:w="9200" w:type="dxa"/>
        <w:tblLook w:val="04A0" w:firstRow="1" w:lastRow="0" w:firstColumn="1" w:lastColumn="0" w:noHBand="0" w:noVBand="1"/>
      </w:tblPr>
      <w:tblGrid>
        <w:gridCol w:w="3840"/>
        <w:gridCol w:w="1340"/>
        <w:gridCol w:w="1340"/>
        <w:gridCol w:w="1340"/>
        <w:gridCol w:w="1340"/>
      </w:tblGrid>
      <w:tr w:rsidR="00913FE0" w:rsidRPr="00913FE0" w14:paraId="26F4E018" w14:textId="77777777" w:rsidTr="00913FE0">
        <w:trPr>
          <w:trHeight w:val="830"/>
        </w:trPr>
        <w:tc>
          <w:tcPr>
            <w:tcW w:w="3840" w:type="dxa"/>
            <w:tcBorders>
              <w:top w:val="single" w:sz="12" w:space="0" w:color="1E1545"/>
              <w:left w:val="nil"/>
              <w:bottom w:val="single" w:sz="12" w:space="0" w:color="1E1545"/>
              <w:right w:val="nil"/>
            </w:tcBorders>
            <w:shd w:val="clear" w:color="000000" w:fill="1E1545"/>
            <w:vAlign w:val="center"/>
            <w:hideMark/>
          </w:tcPr>
          <w:p w14:paraId="47DF7431" w14:textId="77777777" w:rsidR="00913FE0" w:rsidRPr="00913FE0" w:rsidRDefault="00913FE0" w:rsidP="00913FE0">
            <w:pPr>
              <w:spacing w:before="0" w:after="0" w:line="240" w:lineRule="auto"/>
              <w:rPr>
                <w:rFonts w:cs="Arial"/>
                <w:b/>
                <w:color w:val="F1F2F2"/>
                <w:sz w:val="21"/>
                <w:szCs w:val="21"/>
                <w:lang w:eastAsia="en-AU"/>
              </w:rPr>
            </w:pPr>
            <w:r w:rsidRPr="00913FE0">
              <w:rPr>
                <w:rFonts w:cs="Arial"/>
                <w:b/>
                <w:color w:val="F1F2F2"/>
                <w:sz w:val="21"/>
                <w:szCs w:val="21"/>
                <w:lang w:eastAsia="en-AU"/>
              </w:rPr>
              <w:t> </w:t>
            </w:r>
          </w:p>
        </w:tc>
        <w:tc>
          <w:tcPr>
            <w:tcW w:w="1340" w:type="dxa"/>
            <w:tcBorders>
              <w:top w:val="single" w:sz="12" w:space="0" w:color="1E1545"/>
              <w:left w:val="nil"/>
              <w:bottom w:val="single" w:sz="12" w:space="0" w:color="1E1545"/>
              <w:right w:val="nil"/>
            </w:tcBorders>
            <w:shd w:val="clear" w:color="000000" w:fill="1E1545"/>
            <w:vAlign w:val="center"/>
            <w:hideMark/>
          </w:tcPr>
          <w:p w14:paraId="6279527E" w14:textId="77777777" w:rsidR="00913FE0" w:rsidRPr="00913FE0" w:rsidRDefault="00913FE0" w:rsidP="00913FE0">
            <w:pPr>
              <w:spacing w:before="0" w:after="0" w:line="240" w:lineRule="auto"/>
              <w:jc w:val="right"/>
              <w:rPr>
                <w:rFonts w:cs="Arial"/>
                <w:b/>
                <w:color w:val="F1F2F2"/>
                <w:sz w:val="21"/>
                <w:szCs w:val="21"/>
                <w:lang w:eastAsia="en-AU"/>
              </w:rPr>
            </w:pPr>
            <w:r w:rsidRPr="00913FE0">
              <w:rPr>
                <w:rFonts w:cs="Arial"/>
                <w:b/>
                <w:color w:val="F1F2F2"/>
                <w:sz w:val="21"/>
                <w:szCs w:val="21"/>
                <w:lang w:eastAsia="en-AU"/>
              </w:rPr>
              <w:t>For-profit ($m)</w:t>
            </w:r>
          </w:p>
        </w:tc>
        <w:tc>
          <w:tcPr>
            <w:tcW w:w="1340" w:type="dxa"/>
            <w:tcBorders>
              <w:top w:val="single" w:sz="12" w:space="0" w:color="1E1545"/>
              <w:left w:val="nil"/>
              <w:bottom w:val="single" w:sz="12" w:space="0" w:color="1E1545"/>
              <w:right w:val="nil"/>
            </w:tcBorders>
            <w:shd w:val="clear" w:color="000000" w:fill="1E1545"/>
            <w:vAlign w:val="center"/>
            <w:hideMark/>
          </w:tcPr>
          <w:p w14:paraId="635E8BAE" w14:textId="77777777" w:rsidR="00913FE0" w:rsidRPr="00913FE0" w:rsidRDefault="00913FE0" w:rsidP="00913FE0">
            <w:pPr>
              <w:spacing w:before="0" w:after="0" w:line="240" w:lineRule="auto"/>
              <w:jc w:val="right"/>
              <w:rPr>
                <w:rFonts w:cs="Arial"/>
                <w:b/>
                <w:color w:val="F1F2F2"/>
                <w:sz w:val="21"/>
                <w:szCs w:val="21"/>
                <w:lang w:eastAsia="en-AU"/>
              </w:rPr>
            </w:pPr>
            <w:r w:rsidRPr="00913FE0">
              <w:rPr>
                <w:rFonts w:cs="Arial"/>
                <w:b/>
                <w:color w:val="F1F2F2"/>
                <w:sz w:val="21"/>
                <w:szCs w:val="21"/>
                <w:lang w:eastAsia="en-AU"/>
              </w:rPr>
              <w:t>Not-for-profit ($m)</w:t>
            </w:r>
          </w:p>
        </w:tc>
        <w:tc>
          <w:tcPr>
            <w:tcW w:w="1340" w:type="dxa"/>
            <w:tcBorders>
              <w:top w:val="single" w:sz="12" w:space="0" w:color="1E1545"/>
              <w:left w:val="nil"/>
              <w:bottom w:val="single" w:sz="12" w:space="0" w:color="1E1545"/>
              <w:right w:val="nil"/>
            </w:tcBorders>
            <w:shd w:val="clear" w:color="000000" w:fill="1E1545"/>
            <w:vAlign w:val="center"/>
            <w:hideMark/>
          </w:tcPr>
          <w:p w14:paraId="3D217F3B" w14:textId="77777777" w:rsidR="00913FE0" w:rsidRPr="00913FE0" w:rsidRDefault="00913FE0" w:rsidP="00913FE0">
            <w:pPr>
              <w:spacing w:before="0" w:after="0" w:line="240" w:lineRule="auto"/>
              <w:jc w:val="right"/>
              <w:rPr>
                <w:rFonts w:cs="Arial"/>
                <w:b/>
                <w:color w:val="F1F2F2"/>
                <w:sz w:val="21"/>
                <w:szCs w:val="21"/>
                <w:lang w:eastAsia="en-AU"/>
              </w:rPr>
            </w:pPr>
            <w:r w:rsidRPr="00913FE0">
              <w:rPr>
                <w:rFonts w:cs="Arial"/>
                <w:b/>
                <w:color w:val="F1F2F2"/>
                <w:sz w:val="21"/>
                <w:szCs w:val="21"/>
                <w:lang w:eastAsia="en-AU"/>
              </w:rPr>
              <w:t>LST providers ($m)</w:t>
            </w:r>
          </w:p>
        </w:tc>
        <w:tc>
          <w:tcPr>
            <w:tcW w:w="1340" w:type="dxa"/>
            <w:tcBorders>
              <w:top w:val="single" w:sz="12" w:space="0" w:color="1E1545"/>
              <w:left w:val="nil"/>
              <w:bottom w:val="single" w:sz="12" w:space="0" w:color="1E1545"/>
              <w:right w:val="nil"/>
            </w:tcBorders>
            <w:shd w:val="clear" w:color="000000" w:fill="1E1545"/>
            <w:vAlign w:val="center"/>
            <w:hideMark/>
          </w:tcPr>
          <w:p w14:paraId="491ADF49" w14:textId="77777777" w:rsidR="00913FE0" w:rsidRPr="00913FE0" w:rsidRDefault="00913FE0" w:rsidP="00913FE0">
            <w:pPr>
              <w:spacing w:before="0" w:after="0" w:line="240" w:lineRule="auto"/>
              <w:jc w:val="right"/>
              <w:rPr>
                <w:rFonts w:cs="Arial"/>
                <w:b/>
                <w:color w:val="F1F2F2"/>
                <w:sz w:val="21"/>
                <w:szCs w:val="21"/>
                <w:lang w:eastAsia="en-AU"/>
              </w:rPr>
            </w:pPr>
            <w:r w:rsidRPr="00913FE0">
              <w:rPr>
                <w:rFonts w:cs="Arial"/>
                <w:b/>
                <w:color w:val="F1F2F2"/>
                <w:sz w:val="21"/>
                <w:szCs w:val="21"/>
                <w:lang w:eastAsia="en-AU"/>
              </w:rPr>
              <w:t>All providers ($m)</w:t>
            </w:r>
          </w:p>
        </w:tc>
      </w:tr>
      <w:tr w:rsidR="00913FE0" w:rsidRPr="00913FE0" w14:paraId="13A57CD9" w14:textId="77777777" w:rsidTr="00913FE0">
        <w:trPr>
          <w:trHeight w:val="330"/>
        </w:trPr>
        <w:tc>
          <w:tcPr>
            <w:tcW w:w="3840" w:type="dxa"/>
            <w:tcBorders>
              <w:top w:val="single" w:sz="8" w:space="0" w:color="auto"/>
              <w:left w:val="nil"/>
              <w:bottom w:val="single" w:sz="8" w:space="0" w:color="auto"/>
              <w:right w:val="nil"/>
            </w:tcBorders>
            <w:shd w:val="clear" w:color="000000" w:fill="D8DADA"/>
            <w:vAlign w:val="center"/>
            <w:hideMark/>
          </w:tcPr>
          <w:p w14:paraId="1B45B3C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Income</w:t>
            </w:r>
          </w:p>
        </w:tc>
        <w:tc>
          <w:tcPr>
            <w:tcW w:w="1340" w:type="dxa"/>
            <w:tcBorders>
              <w:top w:val="single" w:sz="8" w:space="0" w:color="auto"/>
              <w:left w:val="nil"/>
              <w:bottom w:val="single" w:sz="8" w:space="0" w:color="auto"/>
              <w:right w:val="nil"/>
            </w:tcBorders>
            <w:shd w:val="clear" w:color="000000" w:fill="D8DADA"/>
            <w:noWrap/>
            <w:vAlign w:val="center"/>
            <w:hideMark/>
          </w:tcPr>
          <w:p w14:paraId="5C0E1EC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single" w:sz="8" w:space="0" w:color="auto"/>
              <w:left w:val="nil"/>
              <w:bottom w:val="single" w:sz="8" w:space="0" w:color="auto"/>
              <w:right w:val="nil"/>
            </w:tcBorders>
            <w:shd w:val="clear" w:color="000000" w:fill="D8DADA"/>
            <w:noWrap/>
            <w:vAlign w:val="center"/>
            <w:hideMark/>
          </w:tcPr>
          <w:p w14:paraId="24BF711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single" w:sz="8" w:space="0" w:color="auto"/>
              <w:left w:val="nil"/>
              <w:bottom w:val="single" w:sz="8" w:space="0" w:color="auto"/>
              <w:right w:val="nil"/>
            </w:tcBorders>
            <w:shd w:val="clear" w:color="000000" w:fill="D8DADA"/>
            <w:noWrap/>
            <w:vAlign w:val="center"/>
            <w:hideMark/>
          </w:tcPr>
          <w:p w14:paraId="5F624D0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single" w:sz="8" w:space="0" w:color="auto"/>
              <w:left w:val="nil"/>
              <w:bottom w:val="single" w:sz="8" w:space="0" w:color="auto"/>
              <w:right w:val="nil"/>
            </w:tcBorders>
            <w:shd w:val="clear" w:color="000000" w:fill="D8DADA"/>
            <w:noWrap/>
            <w:vAlign w:val="center"/>
            <w:hideMark/>
          </w:tcPr>
          <w:p w14:paraId="5932F9C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0BBFA1A0"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EB348B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Recurrent income</w:t>
            </w:r>
          </w:p>
        </w:tc>
        <w:tc>
          <w:tcPr>
            <w:tcW w:w="1340" w:type="dxa"/>
            <w:tcBorders>
              <w:top w:val="nil"/>
              <w:left w:val="nil"/>
              <w:bottom w:val="single" w:sz="8" w:space="0" w:color="auto"/>
              <w:right w:val="nil"/>
            </w:tcBorders>
            <w:shd w:val="clear" w:color="000000" w:fill="D8DADA"/>
            <w:noWrap/>
            <w:vAlign w:val="center"/>
            <w:hideMark/>
          </w:tcPr>
          <w:p w14:paraId="4EF9F4B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62EE97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30BEC51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19C7EF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592F1D7C"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1A82D1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Care income</w:t>
            </w:r>
          </w:p>
        </w:tc>
        <w:tc>
          <w:tcPr>
            <w:tcW w:w="1340" w:type="dxa"/>
            <w:tcBorders>
              <w:top w:val="nil"/>
              <w:left w:val="nil"/>
              <w:bottom w:val="single" w:sz="8" w:space="0" w:color="auto"/>
              <w:right w:val="nil"/>
            </w:tcBorders>
            <w:shd w:val="clear" w:color="000000" w:fill="D8DADA"/>
            <w:noWrap/>
            <w:vAlign w:val="center"/>
            <w:hideMark/>
          </w:tcPr>
          <w:p w14:paraId="3BD6035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C4B582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182B74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EBECF9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3C38D548"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7F8B166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Subsidies and supplements (Australian Government)</w:t>
            </w:r>
          </w:p>
        </w:tc>
        <w:tc>
          <w:tcPr>
            <w:tcW w:w="1340" w:type="dxa"/>
            <w:tcBorders>
              <w:top w:val="nil"/>
              <w:left w:val="nil"/>
              <w:bottom w:val="single" w:sz="8" w:space="0" w:color="auto"/>
              <w:right w:val="nil"/>
            </w:tcBorders>
            <w:shd w:val="clear" w:color="000000" w:fill="FFFFFF"/>
            <w:noWrap/>
            <w:vAlign w:val="center"/>
            <w:hideMark/>
          </w:tcPr>
          <w:p w14:paraId="15E67C8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$5,414</w:t>
            </w:r>
          </w:p>
        </w:tc>
        <w:tc>
          <w:tcPr>
            <w:tcW w:w="1340" w:type="dxa"/>
            <w:tcBorders>
              <w:top w:val="nil"/>
              <w:left w:val="nil"/>
              <w:bottom w:val="single" w:sz="8" w:space="0" w:color="auto"/>
              <w:right w:val="nil"/>
            </w:tcBorders>
            <w:shd w:val="clear" w:color="000000" w:fill="FFFFFF"/>
            <w:noWrap/>
            <w:vAlign w:val="center"/>
            <w:hideMark/>
          </w:tcPr>
          <w:p w14:paraId="46431EA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$7,941</w:t>
            </w:r>
          </w:p>
        </w:tc>
        <w:tc>
          <w:tcPr>
            <w:tcW w:w="1340" w:type="dxa"/>
            <w:tcBorders>
              <w:top w:val="nil"/>
              <w:left w:val="nil"/>
              <w:bottom w:val="single" w:sz="8" w:space="0" w:color="auto"/>
              <w:right w:val="nil"/>
            </w:tcBorders>
            <w:shd w:val="clear" w:color="000000" w:fill="FFFFFF"/>
            <w:noWrap/>
            <w:vAlign w:val="center"/>
            <w:hideMark/>
          </w:tcPr>
          <w:p w14:paraId="17FCCD6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$504</w:t>
            </w:r>
          </w:p>
        </w:tc>
        <w:tc>
          <w:tcPr>
            <w:tcW w:w="1340" w:type="dxa"/>
            <w:tcBorders>
              <w:top w:val="nil"/>
              <w:left w:val="nil"/>
              <w:bottom w:val="single" w:sz="8" w:space="0" w:color="auto"/>
              <w:right w:val="nil"/>
            </w:tcBorders>
            <w:shd w:val="clear" w:color="000000" w:fill="FFFFFF"/>
            <w:noWrap/>
            <w:vAlign w:val="center"/>
            <w:hideMark/>
          </w:tcPr>
          <w:p w14:paraId="5861D51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$13,859</w:t>
            </w:r>
          </w:p>
        </w:tc>
      </w:tr>
      <w:tr w:rsidR="00913FE0" w:rsidRPr="00913FE0" w14:paraId="256C24C4"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B5B03A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Subsidies and supplements (State/Territory)</w:t>
            </w:r>
          </w:p>
        </w:tc>
        <w:tc>
          <w:tcPr>
            <w:tcW w:w="1340" w:type="dxa"/>
            <w:tcBorders>
              <w:top w:val="nil"/>
              <w:left w:val="nil"/>
              <w:bottom w:val="single" w:sz="8" w:space="0" w:color="auto"/>
              <w:right w:val="nil"/>
            </w:tcBorders>
            <w:shd w:val="clear" w:color="000000" w:fill="FFFFFF"/>
            <w:noWrap/>
            <w:vAlign w:val="center"/>
            <w:hideMark/>
          </w:tcPr>
          <w:p w14:paraId="1DA7BEA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47494A0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$29</w:t>
            </w:r>
          </w:p>
        </w:tc>
        <w:tc>
          <w:tcPr>
            <w:tcW w:w="1340" w:type="dxa"/>
            <w:tcBorders>
              <w:top w:val="nil"/>
              <w:left w:val="nil"/>
              <w:bottom w:val="single" w:sz="8" w:space="0" w:color="auto"/>
              <w:right w:val="nil"/>
            </w:tcBorders>
            <w:shd w:val="clear" w:color="000000" w:fill="FFFFFF"/>
            <w:noWrap/>
            <w:vAlign w:val="center"/>
            <w:hideMark/>
          </w:tcPr>
          <w:p w14:paraId="61AAE8E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$223</w:t>
            </w:r>
          </w:p>
        </w:tc>
        <w:tc>
          <w:tcPr>
            <w:tcW w:w="1340" w:type="dxa"/>
            <w:tcBorders>
              <w:top w:val="nil"/>
              <w:left w:val="nil"/>
              <w:bottom w:val="single" w:sz="8" w:space="0" w:color="auto"/>
              <w:right w:val="nil"/>
            </w:tcBorders>
            <w:shd w:val="clear" w:color="000000" w:fill="FFFFFF"/>
            <w:noWrap/>
            <w:vAlign w:val="center"/>
            <w:hideMark/>
          </w:tcPr>
          <w:p w14:paraId="74B6D73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$256</w:t>
            </w:r>
          </w:p>
        </w:tc>
      </w:tr>
      <w:tr w:rsidR="00913FE0" w:rsidRPr="00913FE0" w14:paraId="206B517F"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0CB325E"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Resident fees: means-tested care fee</w:t>
            </w:r>
          </w:p>
        </w:tc>
        <w:tc>
          <w:tcPr>
            <w:tcW w:w="1340" w:type="dxa"/>
            <w:tcBorders>
              <w:top w:val="nil"/>
              <w:left w:val="nil"/>
              <w:bottom w:val="single" w:sz="8" w:space="0" w:color="auto"/>
              <w:right w:val="nil"/>
            </w:tcBorders>
            <w:shd w:val="clear" w:color="000000" w:fill="FFFFFF"/>
            <w:noWrap/>
            <w:vAlign w:val="center"/>
            <w:hideMark/>
          </w:tcPr>
          <w:p w14:paraId="4E581EB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$349</w:t>
            </w:r>
          </w:p>
        </w:tc>
        <w:tc>
          <w:tcPr>
            <w:tcW w:w="1340" w:type="dxa"/>
            <w:tcBorders>
              <w:top w:val="nil"/>
              <w:left w:val="nil"/>
              <w:bottom w:val="single" w:sz="8" w:space="0" w:color="auto"/>
              <w:right w:val="nil"/>
            </w:tcBorders>
            <w:shd w:val="clear" w:color="000000" w:fill="FFFFFF"/>
            <w:noWrap/>
            <w:vAlign w:val="center"/>
            <w:hideMark/>
          </w:tcPr>
          <w:p w14:paraId="259EE87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$424</w:t>
            </w:r>
          </w:p>
        </w:tc>
        <w:tc>
          <w:tcPr>
            <w:tcW w:w="1340" w:type="dxa"/>
            <w:tcBorders>
              <w:top w:val="nil"/>
              <w:left w:val="nil"/>
              <w:bottom w:val="single" w:sz="8" w:space="0" w:color="auto"/>
              <w:right w:val="nil"/>
            </w:tcBorders>
            <w:shd w:val="clear" w:color="000000" w:fill="FFFFFF"/>
            <w:noWrap/>
            <w:vAlign w:val="center"/>
            <w:hideMark/>
          </w:tcPr>
          <w:p w14:paraId="5C47CCA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w:t>
            </w:r>
          </w:p>
        </w:tc>
        <w:tc>
          <w:tcPr>
            <w:tcW w:w="1340" w:type="dxa"/>
            <w:tcBorders>
              <w:top w:val="nil"/>
              <w:left w:val="nil"/>
              <w:bottom w:val="single" w:sz="8" w:space="0" w:color="auto"/>
              <w:right w:val="nil"/>
            </w:tcBorders>
            <w:shd w:val="clear" w:color="000000" w:fill="FFFFFF"/>
            <w:noWrap/>
            <w:vAlign w:val="center"/>
            <w:hideMark/>
          </w:tcPr>
          <w:p w14:paraId="498222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$793</w:t>
            </w:r>
          </w:p>
        </w:tc>
      </w:tr>
      <w:tr w:rsidR="00913FE0" w:rsidRPr="00913FE0" w14:paraId="0E51C1BD"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022475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Grants: recurrent</w:t>
            </w:r>
          </w:p>
        </w:tc>
        <w:tc>
          <w:tcPr>
            <w:tcW w:w="1340" w:type="dxa"/>
            <w:tcBorders>
              <w:top w:val="nil"/>
              <w:left w:val="nil"/>
              <w:bottom w:val="single" w:sz="8" w:space="0" w:color="auto"/>
              <w:right w:val="nil"/>
            </w:tcBorders>
            <w:shd w:val="clear" w:color="000000" w:fill="FFFFFF"/>
            <w:noWrap/>
            <w:vAlign w:val="center"/>
            <w:hideMark/>
          </w:tcPr>
          <w:p w14:paraId="4E176BA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738AF05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$61</w:t>
            </w:r>
          </w:p>
        </w:tc>
        <w:tc>
          <w:tcPr>
            <w:tcW w:w="1340" w:type="dxa"/>
            <w:tcBorders>
              <w:top w:val="nil"/>
              <w:left w:val="nil"/>
              <w:bottom w:val="single" w:sz="8" w:space="0" w:color="auto"/>
              <w:right w:val="nil"/>
            </w:tcBorders>
            <w:shd w:val="clear" w:color="000000" w:fill="FFFFFF"/>
            <w:noWrap/>
            <w:vAlign w:val="center"/>
            <w:hideMark/>
          </w:tcPr>
          <w:p w14:paraId="343221C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w:t>
            </w:r>
          </w:p>
        </w:tc>
        <w:tc>
          <w:tcPr>
            <w:tcW w:w="1340" w:type="dxa"/>
            <w:tcBorders>
              <w:top w:val="nil"/>
              <w:left w:val="nil"/>
              <w:bottom w:val="single" w:sz="8" w:space="0" w:color="auto"/>
              <w:right w:val="nil"/>
            </w:tcBorders>
            <w:shd w:val="clear" w:color="000000" w:fill="FFFFFF"/>
            <w:noWrap/>
            <w:vAlign w:val="center"/>
            <w:hideMark/>
          </w:tcPr>
          <w:p w14:paraId="02478F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$67</w:t>
            </w:r>
          </w:p>
        </w:tc>
      </w:tr>
      <w:tr w:rsidR="00913FE0" w:rsidRPr="00913FE0" w14:paraId="0D373588"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18222B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care income</w:t>
            </w:r>
          </w:p>
        </w:tc>
        <w:tc>
          <w:tcPr>
            <w:tcW w:w="1340" w:type="dxa"/>
            <w:tcBorders>
              <w:top w:val="nil"/>
              <w:left w:val="nil"/>
              <w:bottom w:val="single" w:sz="8" w:space="0" w:color="auto"/>
              <w:right w:val="nil"/>
            </w:tcBorders>
            <w:shd w:val="clear" w:color="000000" w:fill="FFFFFF"/>
            <w:noWrap/>
            <w:vAlign w:val="center"/>
            <w:hideMark/>
          </w:tcPr>
          <w:p w14:paraId="28799F2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$45</w:t>
            </w:r>
          </w:p>
        </w:tc>
        <w:tc>
          <w:tcPr>
            <w:tcW w:w="1340" w:type="dxa"/>
            <w:tcBorders>
              <w:top w:val="nil"/>
              <w:left w:val="nil"/>
              <w:bottom w:val="single" w:sz="8" w:space="0" w:color="auto"/>
              <w:right w:val="nil"/>
            </w:tcBorders>
            <w:shd w:val="clear" w:color="000000" w:fill="FFFFFF"/>
            <w:noWrap/>
            <w:vAlign w:val="center"/>
            <w:hideMark/>
          </w:tcPr>
          <w:p w14:paraId="5CDBF76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c>
          <w:tcPr>
            <w:tcW w:w="1340" w:type="dxa"/>
            <w:tcBorders>
              <w:top w:val="nil"/>
              <w:left w:val="nil"/>
              <w:bottom w:val="single" w:sz="8" w:space="0" w:color="auto"/>
              <w:right w:val="nil"/>
            </w:tcBorders>
            <w:shd w:val="clear" w:color="000000" w:fill="FFFFFF"/>
            <w:noWrap/>
            <w:vAlign w:val="center"/>
            <w:hideMark/>
          </w:tcPr>
          <w:p w14:paraId="7DAE3E5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c>
          <w:tcPr>
            <w:tcW w:w="1340" w:type="dxa"/>
            <w:tcBorders>
              <w:top w:val="nil"/>
              <w:left w:val="nil"/>
              <w:bottom w:val="single" w:sz="8" w:space="0" w:color="auto"/>
              <w:right w:val="nil"/>
            </w:tcBorders>
            <w:shd w:val="clear" w:color="000000" w:fill="FFFFFF"/>
            <w:noWrap/>
            <w:vAlign w:val="center"/>
            <w:hideMark/>
          </w:tcPr>
          <w:p w14:paraId="209B9F3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$76</w:t>
            </w:r>
          </w:p>
        </w:tc>
      </w:tr>
      <w:tr w:rsidR="00913FE0" w:rsidRPr="00913FE0" w14:paraId="425C4906"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1A0D594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care income</w:t>
            </w:r>
          </w:p>
        </w:tc>
        <w:tc>
          <w:tcPr>
            <w:tcW w:w="1340" w:type="dxa"/>
            <w:tcBorders>
              <w:top w:val="nil"/>
              <w:left w:val="nil"/>
              <w:bottom w:val="single" w:sz="8" w:space="0" w:color="auto"/>
              <w:right w:val="nil"/>
            </w:tcBorders>
            <w:shd w:val="clear" w:color="000000" w:fill="D8DADA"/>
            <w:noWrap/>
            <w:vAlign w:val="center"/>
            <w:hideMark/>
          </w:tcPr>
          <w:p w14:paraId="0D25EAF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$5,814</w:t>
            </w:r>
          </w:p>
        </w:tc>
        <w:tc>
          <w:tcPr>
            <w:tcW w:w="1340" w:type="dxa"/>
            <w:tcBorders>
              <w:top w:val="nil"/>
              <w:left w:val="nil"/>
              <w:bottom w:val="single" w:sz="8" w:space="0" w:color="auto"/>
              <w:right w:val="nil"/>
            </w:tcBorders>
            <w:shd w:val="clear" w:color="000000" w:fill="D8DADA"/>
            <w:noWrap/>
            <w:vAlign w:val="center"/>
            <w:hideMark/>
          </w:tcPr>
          <w:p w14:paraId="02B3726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$8,477</w:t>
            </w:r>
          </w:p>
        </w:tc>
        <w:tc>
          <w:tcPr>
            <w:tcW w:w="1340" w:type="dxa"/>
            <w:tcBorders>
              <w:top w:val="nil"/>
              <w:left w:val="nil"/>
              <w:bottom w:val="single" w:sz="8" w:space="0" w:color="auto"/>
              <w:right w:val="nil"/>
            </w:tcBorders>
            <w:shd w:val="clear" w:color="000000" w:fill="D8DADA"/>
            <w:noWrap/>
            <w:vAlign w:val="center"/>
            <w:hideMark/>
          </w:tcPr>
          <w:p w14:paraId="3938922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$760</w:t>
            </w:r>
          </w:p>
        </w:tc>
        <w:tc>
          <w:tcPr>
            <w:tcW w:w="1340" w:type="dxa"/>
            <w:tcBorders>
              <w:top w:val="nil"/>
              <w:left w:val="nil"/>
              <w:bottom w:val="single" w:sz="8" w:space="0" w:color="auto"/>
              <w:right w:val="nil"/>
            </w:tcBorders>
            <w:shd w:val="clear" w:color="000000" w:fill="D8DADA"/>
            <w:noWrap/>
            <w:vAlign w:val="center"/>
            <w:hideMark/>
          </w:tcPr>
          <w:p w14:paraId="4A4B35D0"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$15,051</w:t>
            </w:r>
          </w:p>
        </w:tc>
      </w:tr>
      <w:tr w:rsidR="00913FE0" w:rsidRPr="00913FE0" w14:paraId="1B62DDCA"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696A4A9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Hotel services income</w:t>
            </w:r>
          </w:p>
        </w:tc>
        <w:tc>
          <w:tcPr>
            <w:tcW w:w="1340" w:type="dxa"/>
            <w:tcBorders>
              <w:top w:val="nil"/>
              <w:left w:val="nil"/>
              <w:bottom w:val="single" w:sz="8" w:space="0" w:color="auto"/>
              <w:right w:val="nil"/>
            </w:tcBorders>
            <w:shd w:val="clear" w:color="000000" w:fill="D8DADA"/>
            <w:noWrap/>
            <w:vAlign w:val="center"/>
            <w:hideMark/>
          </w:tcPr>
          <w:p w14:paraId="2DBB58E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74F0AB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E5AABB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779EC15"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11ACA06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AE3411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Basic daily fee</w:t>
            </w:r>
          </w:p>
        </w:tc>
        <w:tc>
          <w:tcPr>
            <w:tcW w:w="1340" w:type="dxa"/>
            <w:tcBorders>
              <w:top w:val="nil"/>
              <w:left w:val="nil"/>
              <w:bottom w:val="single" w:sz="8" w:space="0" w:color="auto"/>
              <w:right w:val="nil"/>
            </w:tcBorders>
            <w:shd w:val="clear" w:color="000000" w:fill="FFFFFF"/>
            <w:noWrap/>
            <w:vAlign w:val="center"/>
            <w:hideMark/>
          </w:tcPr>
          <w:p w14:paraId="3B45A7E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$1,548</w:t>
            </w:r>
          </w:p>
        </w:tc>
        <w:tc>
          <w:tcPr>
            <w:tcW w:w="1340" w:type="dxa"/>
            <w:tcBorders>
              <w:top w:val="nil"/>
              <w:left w:val="nil"/>
              <w:bottom w:val="single" w:sz="8" w:space="0" w:color="auto"/>
              <w:right w:val="nil"/>
            </w:tcBorders>
            <w:shd w:val="clear" w:color="000000" w:fill="FFFFFF"/>
            <w:noWrap/>
            <w:vAlign w:val="center"/>
            <w:hideMark/>
          </w:tcPr>
          <w:p w14:paraId="7A468BB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$2,169</w:t>
            </w:r>
          </w:p>
        </w:tc>
        <w:tc>
          <w:tcPr>
            <w:tcW w:w="1340" w:type="dxa"/>
            <w:tcBorders>
              <w:top w:val="nil"/>
              <w:left w:val="nil"/>
              <w:bottom w:val="single" w:sz="8" w:space="0" w:color="auto"/>
              <w:right w:val="nil"/>
            </w:tcBorders>
            <w:shd w:val="clear" w:color="000000" w:fill="FFFFFF"/>
            <w:noWrap/>
            <w:vAlign w:val="center"/>
            <w:hideMark/>
          </w:tcPr>
          <w:p w14:paraId="7F6A42D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$137</w:t>
            </w:r>
          </w:p>
        </w:tc>
        <w:tc>
          <w:tcPr>
            <w:tcW w:w="1340" w:type="dxa"/>
            <w:tcBorders>
              <w:top w:val="nil"/>
              <w:left w:val="nil"/>
              <w:bottom w:val="single" w:sz="8" w:space="0" w:color="auto"/>
              <w:right w:val="nil"/>
            </w:tcBorders>
            <w:shd w:val="clear" w:color="000000" w:fill="FFFFFF"/>
            <w:noWrap/>
            <w:vAlign w:val="center"/>
            <w:hideMark/>
          </w:tcPr>
          <w:p w14:paraId="2A942DC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$3,854</w:t>
            </w:r>
          </w:p>
        </w:tc>
      </w:tr>
      <w:tr w:rsidR="00913FE0" w:rsidRPr="00913FE0" w14:paraId="11C54026"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69368D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BDF supplement </w:t>
            </w:r>
          </w:p>
        </w:tc>
        <w:tc>
          <w:tcPr>
            <w:tcW w:w="1340" w:type="dxa"/>
            <w:tcBorders>
              <w:top w:val="nil"/>
              <w:left w:val="nil"/>
              <w:bottom w:val="single" w:sz="8" w:space="0" w:color="auto"/>
              <w:right w:val="nil"/>
            </w:tcBorders>
            <w:shd w:val="clear" w:color="000000" w:fill="FFFFFF"/>
            <w:noWrap/>
            <w:vAlign w:val="center"/>
            <w:hideMark/>
          </w:tcPr>
          <w:p w14:paraId="0029C18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$66</w:t>
            </w:r>
          </w:p>
        </w:tc>
        <w:tc>
          <w:tcPr>
            <w:tcW w:w="1340" w:type="dxa"/>
            <w:tcBorders>
              <w:top w:val="nil"/>
              <w:left w:val="nil"/>
              <w:bottom w:val="single" w:sz="8" w:space="0" w:color="auto"/>
              <w:right w:val="nil"/>
            </w:tcBorders>
            <w:shd w:val="clear" w:color="000000" w:fill="FFFFFF"/>
            <w:noWrap/>
            <w:vAlign w:val="center"/>
            <w:hideMark/>
          </w:tcPr>
          <w:p w14:paraId="5CF1D4B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$93</w:t>
            </w:r>
          </w:p>
        </w:tc>
        <w:tc>
          <w:tcPr>
            <w:tcW w:w="1340" w:type="dxa"/>
            <w:tcBorders>
              <w:top w:val="nil"/>
              <w:left w:val="nil"/>
              <w:bottom w:val="single" w:sz="8" w:space="0" w:color="auto"/>
              <w:right w:val="nil"/>
            </w:tcBorders>
            <w:shd w:val="clear" w:color="000000" w:fill="FFFFFF"/>
            <w:noWrap/>
            <w:vAlign w:val="center"/>
            <w:hideMark/>
          </w:tcPr>
          <w:p w14:paraId="447B7D8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508B79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$165</w:t>
            </w:r>
          </w:p>
        </w:tc>
      </w:tr>
      <w:tr w:rsidR="00913FE0" w:rsidRPr="00913FE0" w14:paraId="6F748A8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73AA98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Extra service fees</w:t>
            </w:r>
          </w:p>
        </w:tc>
        <w:tc>
          <w:tcPr>
            <w:tcW w:w="1340" w:type="dxa"/>
            <w:tcBorders>
              <w:top w:val="nil"/>
              <w:left w:val="nil"/>
              <w:bottom w:val="single" w:sz="8" w:space="0" w:color="auto"/>
              <w:right w:val="nil"/>
            </w:tcBorders>
            <w:shd w:val="clear" w:color="000000" w:fill="FFFFFF"/>
            <w:noWrap/>
            <w:vAlign w:val="center"/>
            <w:hideMark/>
          </w:tcPr>
          <w:p w14:paraId="0087657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$97</w:t>
            </w:r>
          </w:p>
        </w:tc>
        <w:tc>
          <w:tcPr>
            <w:tcW w:w="1340" w:type="dxa"/>
            <w:tcBorders>
              <w:top w:val="nil"/>
              <w:left w:val="nil"/>
              <w:bottom w:val="single" w:sz="8" w:space="0" w:color="auto"/>
              <w:right w:val="nil"/>
            </w:tcBorders>
            <w:shd w:val="clear" w:color="000000" w:fill="FFFFFF"/>
            <w:noWrap/>
            <w:vAlign w:val="center"/>
            <w:hideMark/>
          </w:tcPr>
          <w:p w14:paraId="654C0E2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$28</w:t>
            </w:r>
          </w:p>
        </w:tc>
        <w:tc>
          <w:tcPr>
            <w:tcW w:w="1340" w:type="dxa"/>
            <w:tcBorders>
              <w:top w:val="nil"/>
              <w:left w:val="nil"/>
              <w:bottom w:val="single" w:sz="8" w:space="0" w:color="auto"/>
              <w:right w:val="nil"/>
            </w:tcBorders>
            <w:shd w:val="clear" w:color="000000" w:fill="FFFFFF"/>
            <w:noWrap/>
            <w:vAlign w:val="center"/>
            <w:hideMark/>
          </w:tcPr>
          <w:p w14:paraId="31C8919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68535F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$125</w:t>
            </w:r>
          </w:p>
        </w:tc>
      </w:tr>
      <w:tr w:rsidR="00913FE0" w:rsidRPr="00913FE0" w14:paraId="53D5EE3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4F3BE5A"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Additional service fees</w:t>
            </w:r>
          </w:p>
        </w:tc>
        <w:tc>
          <w:tcPr>
            <w:tcW w:w="1340" w:type="dxa"/>
            <w:tcBorders>
              <w:top w:val="nil"/>
              <w:left w:val="nil"/>
              <w:bottom w:val="single" w:sz="8" w:space="0" w:color="auto"/>
              <w:right w:val="nil"/>
            </w:tcBorders>
            <w:shd w:val="clear" w:color="000000" w:fill="FFFFFF"/>
            <w:noWrap/>
            <w:vAlign w:val="center"/>
            <w:hideMark/>
          </w:tcPr>
          <w:p w14:paraId="75DA640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$125</w:t>
            </w:r>
          </w:p>
        </w:tc>
        <w:tc>
          <w:tcPr>
            <w:tcW w:w="1340" w:type="dxa"/>
            <w:tcBorders>
              <w:top w:val="nil"/>
              <w:left w:val="nil"/>
              <w:bottom w:val="single" w:sz="8" w:space="0" w:color="auto"/>
              <w:right w:val="nil"/>
            </w:tcBorders>
            <w:shd w:val="clear" w:color="000000" w:fill="FFFFFF"/>
            <w:noWrap/>
            <w:vAlign w:val="center"/>
            <w:hideMark/>
          </w:tcPr>
          <w:p w14:paraId="563C388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$75</w:t>
            </w:r>
          </w:p>
        </w:tc>
        <w:tc>
          <w:tcPr>
            <w:tcW w:w="1340" w:type="dxa"/>
            <w:tcBorders>
              <w:top w:val="nil"/>
              <w:left w:val="nil"/>
              <w:bottom w:val="single" w:sz="8" w:space="0" w:color="auto"/>
              <w:right w:val="nil"/>
            </w:tcBorders>
            <w:shd w:val="clear" w:color="000000" w:fill="FFFFFF"/>
            <w:noWrap/>
            <w:vAlign w:val="center"/>
            <w:hideMark/>
          </w:tcPr>
          <w:p w14:paraId="5F50B6A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367C264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$201</w:t>
            </w:r>
          </w:p>
        </w:tc>
      </w:tr>
      <w:tr w:rsidR="00913FE0" w:rsidRPr="00913FE0" w14:paraId="36B98DE4"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120FEE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hotel services Income</w:t>
            </w:r>
          </w:p>
        </w:tc>
        <w:tc>
          <w:tcPr>
            <w:tcW w:w="1340" w:type="dxa"/>
            <w:tcBorders>
              <w:top w:val="nil"/>
              <w:left w:val="nil"/>
              <w:bottom w:val="single" w:sz="8" w:space="0" w:color="auto"/>
              <w:right w:val="nil"/>
            </w:tcBorders>
            <w:shd w:val="clear" w:color="000000" w:fill="FFFFFF"/>
            <w:noWrap/>
            <w:vAlign w:val="center"/>
            <w:hideMark/>
          </w:tcPr>
          <w:p w14:paraId="79DF1FC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w:t>
            </w:r>
          </w:p>
        </w:tc>
        <w:tc>
          <w:tcPr>
            <w:tcW w:w="1340" w:type="dxa"/>
            <w:tcBorders>
              <w:top w:val="nil"/>
              <w:left w:val="nil"/>
              <w:bottom w:val="single" w:sz="8" w:space="0" w:color="auto"/>
              <w:right w:val="nil"/>
            </w:tcBorders>
            <w:shd w:val="clear" w:color="000000" w:fill="FFFFFF"/>
            <w:noWrap/>
            <w:vAlign w:val="center"/>
            <w:hideMark/>
          </w:tcPr>
          <w:p w14:paraId="7FD41DC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$40</w:t>
            </w:r>
          </w:p>
        </w:tc>
        <w:tc>
          <w:tcPr>
            <w:tcW w:w="1340" w:type="dxa"/>
            <w:tcBorders>
              <w:top w:val="nil"/>
              <w:left w:val="nil"/>
              <w:bottom w:val="single" w:sz="8" w:space="0" w:color="auto"/>
              <w:right w:val="nil"/>
            </w:tcBorders>
            <w:shd w:val="clear" w:color="000000" w:fill="FFFFFF"/>
            <w:noWrap/>
            <w:vAlign w:val="center"/>
            <w:hideMark/>
          </w:tcPr>
          <w:p w14:paraId="0786D2D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5A52D4C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$53</w:t>
            </w:r>
          </w:p>
        </w:tc>
      </w:tr>
      <w:tr w:rsidR="00913FE0" w:rsidRPr="00913FE0" w14:paraId="44AFD50E"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785352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hotel services income</w:t>
            </w:r>
          </w:p>
        </w:tc>
        <w:tc>
          <w:tcPr>
            <w:tcW w:w="1340" w:type="dxa"/>
            <w:tcBorders>
              <w:top w:val="nil"/>
              <w:left w:val="nil"/>
              <w:bottom w:val="single" w:sz="8" w:space="0" w:color="auto"/>
              <w:right w:val="nil"/>
            </w:tcBorders>
            <w:shd w:val="clear" w:color="000000" w:fill="D8DADA"/>
            <w:noWrap/>
            <w:vAlign w:val="center"/>
            <w:hideMark/>
          </w:tcPr>
          <w:p w14:paraId="1C53E98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$1,849</w:t>
            </w:r>
          </w:p>
        </w:tc>
        <w:tc>
          <w:tcPr>
            <w:tcW w:w="1340" w:type="dxa"/>
            <w:tcBorders>
              <w:top w:val="nil"/>
              <w:left w:val="nil"/>
              <w:bottom w:val="single" w:sz="8" w:space="0" w:color="auto"/>
              <w:right w:val="nil"/>
            </w:tcBorders>
            <w:shd w:val="clear" w:color="000000" w:fill="D8DADA"/>
            <w:noWrap/>
            <w:vAlign w:val="center"/>
            <w:hideMark/>
          </w:tcPr>
          <w:p w14:paraId="5A330F9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$2,404</w:t>
            </w:r>
          </w:p>
        </w:tc>
        <w:tc>
          <w:tcPr>
            <w:tcW w:w="1340" w:type="dxa"/>
            <w:tcBorders>
              <w:top w:val="nil"/>
              <w:left w:val="nil"/>
              <w:bottom w:val="single" w:sz="8" w:space="0" w:color="auto"/>
              <w:right w:val="nil"/>
            </w:tcBorders>
            <w:shd w:val="clear" w:color="000000" w:fill="D8DADA"/>
            <w:noWrap/>
            <w:vAlign w:val="center"/>
            <w:hideMark/>
          </w:tcPr>
          <w:p w14:paraId="73EA50D2"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$144</w:t>
            </w:r>
          </w:p>
        </w:tc>
        <w:tc>
          <w:tcPr>
            <w:tcW w:w="1340" w:type="dxa"/>
            <w:tcBorders>
              <w:top w:val="nil"/>
              <w:left w:val="nil"/>
              <w:bottom w:val="single" w:sz="8" w:space="0" w:color="auto"/>
              <w:right w:val="nil"/>
            </w:tcBorders>
            <w:shd w:val="clear" w:color="000000" w:fill="D8DADA"/>
            <w:noWrap/>
            <w:vAlign w:val="center"/>
            <w:hideMark/>
          </w:tcPr>
          <w:p w14:paraId="7F2B8C3C"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$4,398</w:t>
            </w:r>
          </w:p>
        </w:tc>
      </w:tr>
      <w:tr w:rsidR="00913FE0" w:rsidRPr="00913FE0" w14:paraId="112C0AF7" w14:textId="77777777" w:rsidTr="00913FE0">
        <w:trPr>
          <w:trHeight w:val="550"/>
        </w:trPr>
        <w:tc>
          <w:tcPr>
            <w:tcW w:w="3840" w:type="dxa"/>
            <w:tcBorders>
              <w:top w:val="nil"/>
              <w:left w:val="nil"/>
              <w:bottom w:val="single" w:sz="8" w:space="0" w:color="auto"/>
              <w:right w:val="nil"/>
            </w:tcBorders>
            <w:shd w:val="clear" w:color="000000" w:fill="D8DADA"/>
            <w:vAlign w:val="center"/>
            <w:hideMark/>
          </w:tcPr>
          <w:p w14:paraId="288D4C4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Accommodation and finance income</w:t>
            </w:r>
          </w:p>
        </w:tc>
        <w:tc>
          <w:tcPr>
            <w:tcW w:w="1340" w:type="dxa"/>
            <w:tcBorders>
              <w:top w:val="nil"/>
              <w:left w:val="nil"/>
              <w:bottom w:val="single" w:sz="8" w:space="0" w:color="auto"/>
              <w:right w:val="nil"/>
            </w:tcBorders>
            <w:shd w:val="clear" w:color="000000" w:fill="D8DADA"/>
            <w:noWrap/>
            <w:vAlign w:val="center"/>
            <w:hideMark/>
          </w:tcPr>
          <w:p w14:paraId="4FB449F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2863A1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270128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0845E8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1F081186"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1AD51A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Subsidies and supplements (Australian Government)</w:t>
            </w:r>
          </w:p>
        </w:tc>
        <w:tc>
          <w:tcPr>
            <w:tcW w:w="1340" w:type="dxa"/>
            <w:tcBorders>
              <w:top w:val="nil"/>
              <w:left w:val="nil"/>
              <w:bottom w:val="single" w:sz="8" w:space="0" w:color="auto"/>
              <w:right w:val="nil"/>
            </w:tcBorders>
            <w:shd w:val="clear" w:color="000000" w:fill="FFFFFF"/>
            <w:noWrap/>
            <w:vAlign w:val="center"/>
            <w:hideMark/>
          </w:tcPr>
          <w:p w14:paraId="5121C4F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$506</w:t>
            </w:r>
          </w:p>
        </w:tc>
        <w:tc>
          <w:tcPr>
            <w:tcW w:w="1340" w:type="dxa"/>
            <w:tcBorders>
              <w:top w:val="nil"/>
              <w:left w:val="nil"/>
              <w:bottom w:val="single" w:sz="8" w:space="0" w:color="auto"/>
              <w:right w:val="nil"/>
            </w:tcBorders>
            <w:shd w:val="clear" w:color="000000" w:fill="FFFFFF"/>
            <w:noWrap/>
            <w:vAlign w:val="center"/>
            <w:hideMark/>
          </w:tcPr>
          <w:p w14:paraId="178EF18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$839</w:t>
            </w:r>
          </w:p>
        </w:tc>
        <w:tc>
          <w:tcPr>
            <w:tcW w:w="1340" w:type="dxa"/>
            <w:tcBorders>
              <w:top w:val="nil"/>
              <w:left w:val="nil"/>
              <w:bottom w:val="single" w:sz="8" w:space="0" w:color="auto"/>
              <w:right w:val="nil"/>
            </w:tcBorders>
            <w:shd w:val="clear" w:color="000000" w:fill="FFFFFF"/>
            <w:noWrap/>
            <w:vAlign w:val="center"/>
            <w:hideMark/>
          </w:tcPr>
          <w:p w14:paraId="61D4BD2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$50</w:t>
            </w:r>
          </w:p>
        </w:tc>
        <w:tc>
          <w:tcPr>
            <w:tcW w:w="1340" w:type="dxa"/>
            <w:tcBorders>
              <w:top w:val="nil"/>
              <w:left w:val="nil"/>
              <w:bottom w:val="single" w:sz="8" w:space="0" w:color="auto"/>
              <w:right w:val="nil"/>
            </w:tcBorders>
            <w:shd w:val="clear" w:color="000000" w:fill="FFFFFF"/>
            <w:noWrap/>
            <w:vAlign w:val="center"/>
            <w:hideMark/>
          </w:tcPr>
          <w:p w14:paraId="39697DB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$1,394</w:t>
            </w:r>
          </w:p>
        </w:tc>
      </w:tr>
      <w:tr w:rsidR="00913FE0" w:rsidRPr="00913FE0" w14:paraId="2706E1D7"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1394FED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Subsidies and supplements (state / territory)</w:t>
            </w:r>
          </w:p>
        </w:tc>
        <w:tc>
          <w:tcPr>
            <w:tcW w:w="1340" w:type="dxa"/>
            <w:tcBorders>
              <w:top w:val="nil"/>
              <w:left w:val="nil"/>
              <w:bottom w:val="single" w:sz="8" w:space="0" w:color="auto"/>
              <w:right w:val="nil"/>
            </w:tcBorders>
            <w:shd w:val="clear" w:color="000000" w:fill="FFFFFF"/>
            <w:noWrap/>
            <w:vAlign w:val="center"/>
            <w:hideMark/>
          </w:tcPr>
          <w:p w14:paraId="5600A08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11AED2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3109AF8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5BA0130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r>
      <w:tr w:rsidR="00913FE0" w:rsidRPr="00913FE0" w14:paraId="0F67A0F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E12B6F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Daily accommodation payments</w:t>
            </w:r>
          </w:p>
        </w:tc>
        <w:tc>
          <w:tcPr>
            <w:tcW w:w="1340" w:type="dxa"/>
            <w:tcBorders>
              <w:top w:val="nil"/>
              <w:left w:val="nil"/>
              <w:bottom w:val="single" w:sz="8" w:space="0" w:color="auto"/>
              <w:right w:val="nil"/>
            </w:tcBorders>
            <w:shd w:val="clear" w:color="000000" w:fill="FFFFFF"/>
            <w:noWrap/>
            <w:vAlign w:val="center"/>
            <w:hideMark/>
          </w:tcPr>
          <w:p w14:paraId="3F0214F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$385</w:t>
            </w:r>
          </w:p>
        </w:tc>
        <w:tc>
          <w:tcPr>
            <w:tcW w:w="1340" w:type="dxa"/>
            <w:tcBorders>
              <w:top w:val="nil"/>
              <w:left w:val="nil"/>
              <w:bottom w:val="single" w:sz="8" w:space="0" w:color="auto"/>
              <w:right w:val="nil"/>
            </w:tcBorders>
            <w:shd w:val="clear" w:color="000000" w:fill="FFFFFF"/>
            <w:noWrap/>
            <w:vAlign w:val="center"/>
            <w:hideMark/>
          </w:tcPr>
          <w:p w14:paraId="4DEB55D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$528</w:t>
            </w:r>
          </w:p>
        </w:tc>
        <w:tc>
          <w:tcPr>
            <w:tcW w:w="1340" w:type="dxa"/>
            <w:tcBorders>
              <w:top w:val="nil"/>
              <w:left w:val="nil"/>
              <w:bottom w:val="single" w:sz="8" w:space="0" w:color="auto"/>
              <w:right w:val="nil"/>
            </w:tcBorders>
            <w:shd w:val="clear" w:color="000000" w:fill="FFFFFF"/>
            <w:noWrap/>
            <w:vAlign w:val="center"/>
            <w:hideMark/>
          </w:tcPr>
          <w:p w14:paraId="584A157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w:t>
            </w:r>
          </w:p>
        </w:tc>
        <w:tc>
          <w:tcPr>
            <w:tcW w:w="1340" w:type="dxa"/>
            <w:tcBorders>
              <w:top w:val="nil"/>
              <w:left w:val="nil"/>
              <w:bottom w:val="single" w:sz="8" w:space="0" w:color="auto"/>
              <w:right w:val="nil"/>
            </w:tcBorders>
            <w:shd w:val="clear" w:color="000000" w:fill="FFFFFF"/>
            <w:noWrap/>
            <w:vAlign w:val="center"/>
            <w:hideMark/>
          </w:tcPr>
          <w:p w14:paraId="2D256A3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$938</w:t>
            </w:r>
          </w:p>
        </w:tc>
      </w:tr>
      <w:tr w:rsidR="00913FE0" w:rsidRPr="00913FE0" w14:paraId="2A3456B2"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597AC74"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Accommodation charges</w:t>
            </w:r>
          </w:p>
        </w:tc>
        <w:tc>
          <w:tcPr>
            <w:tcW w:w="1340" w:type="dxa"/>
            <w:tcBorders>
              <w:top w:val="nil"/>
              <w:left w:val="nil"/>
              <w:bottom w:val="single" w:sz="8" w:space="0" w:color="auto"/>
              <w:right w:val="nil"/>
            </w:tcBorders>
            <w:shd w:val="clear" w:color="000000" w:fill="FFFFFF"/>
            <w:noWrap/>
            <w:vAlign w:val="center"/>
            <w:hideMark/>
          </w:tcPr>
          <w:p w14:paraId="76BFADD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$54</w:t>
            </w:r>
          </w:p>
        </w:tc>
        <w:tc>
          <w:tcPr>
            <w:tcW w:w="1340" w:type="dxa"/>
            <w:tcBorders>
              <w:top w:val="nil"/>
              <w:left w:val="nil"/>
              <w:bottom w:val="single" w:sz="8" w:space="0" w:color="auto"/>
              <w:right w:val="nil"/>
            </w:tcBorders>
            <w:shd w:val="clear" w:color="000000" w:fill="FFFFFF"/>
            <w:noWrap/>
            <w:vAlign w:val="center"/>
            <w:hideMark/>
          </w:tcPr>
          <w:p w14:paraId="327DDB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w:t>
            </w:r>
          </w:p>
        </w:tc>
        <w:tc>
          <w:tcPr>
            <w:tcW w:w="1340" w:type="dxa"/>
            <w:tcBorders>
              <w:top w:val="nil"/>
              <w:left w:val="nil"/>
              <w:bottom w:val="single" w:sz="8" w:space="0" w:color="auto"/>
              <w:right w:val="nil"/>
            </w:tcBorders>
            <w:shd w:val="clear" w:color="000000" w:fill="FFFFFF"/>
            <w:noWrap/>
            <w:vAlign w:val="center"/>
            <w:hideMark/>
          </w:tcPr>
          <w:p w14:paraId="215378C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1A4D800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$82</w:t>
            </w:r>
          </w:p>
        </w:tc>
      </w:tr>
      <w:tr w:rsidR="00913FE0" w:rsidRPr="00913FE0" w14:paraId="2339F7C2"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34EEA43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Interest received - accommodation payments</w:t>
            </w:r>
          </w:p>
        </w:tc>
        <w:tc>
          <w:tcPr>
            <w:tcW w:w="1340" w:type="dxa"/>
            <w:tcBorders>
              <w:top w:val="nil"/>
              <w:left w:val="nil"/>
              <w:bottom w:val="single" w:sz="8" w:space="0" w:color="auto"/>
              <w:right w:val="nil"/>
            </w:tcBorders>
            <w:shd w:val="clear" w:color="000000" w:fill="FFFFFF"/>
            <w:noWrap/>
            <w:vAlign w:val="center"/>
            <w:hideMark/>
          </w:tcPr>
          <w:p w14:paraId="421E724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$43</w:t>
            </w:r>
          </w:p>
        </w:tc>
        <w:tc>
          <w:tcPr>
            <w:tcW w:w="1340" w:type="dxa"/>
            <w:tcBorders>
              <w:top w:val="nil"/>
              <w:left w:val="nil"/>
              <w:bottom w:val="single" w:sz="8" w:space="0" w:color="auto"/>
              <w:right w:val="nil"/>
            </w:tcBorders>
            <w:shd w:val="clear" w:color="000000" w:fill="FFFFFF"/>
            <w:noWrap/>
            <w:vAlign w:val="center"/>
            <w:hideMark/>
          </w:tcPr>
          <w:p w14:paraId="2512CC4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$49</w:t>
            </w:r>
          </w:p>
        </w:tc>
        <w:tc>
          <w:tcPr>
            <w:tcW w:w="1340" w:type="dxa"/>
            <w:tcBorders>
              <w:top w:val="nil"/>
              <w:left w:val="nil"/>
              <w:bottom w:val="single" w:sz="8" w:space="0" w:color="auto"/>
              <w:right w:val="nil"/>
            </w:tcBorders>
            <w:shd w:val="clear" w:color="000000" w:fill="FFFFFF"/>
            <w:noWrap/>
            <w:vAlign w:val="center"/>
            <w:hideMark/>
          </w:tcPr>
          <w:p w14:paraId="5D33D2B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c>
          <w:tcPr>
            <w:tcW w:w="1340" w:type="dxa"/>
            <w:tcBorders>
              <w:top w:val="nil"/>
              <w:left w:val="nil"/>
              <w:bottom w:val="single" w:sz="8" w:space="0" w:color="auto"/>
              <w:right w:val="nil"/>
            </w:tcBorders>
            <w:shd w:val="clear" w:color="000000" w:fill="FFFFFF"/>
            <w:noWrap/>
            <w:vAlign w:val="center"/>
            <w:hideMark/>
          </w:tcPr>
          <w:p w14:paraId="28280AF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$99</w:t>
            </w:r>
          </w:p>
        </w:tc>
      </w:tr>
      <w:tr w:rsidR="00913FE0" w:rsidRPr="00913FE0" w14:paraId="5F6611C2"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1E2864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accommodation income</w:t>
            </w:r>
          </w:p>
        </w:tc>
        <w:tc>
          <w:tcPr>
            <w:tcW w:w="1340" w:type="dxa"/>
            <w:tcBorders>
              <w:top w:val="nil"/>
              <w:left w:val="nil"/>
              <w:bottom w:val="single" w:sz="8" w:space="0" w:color="auto"/>
              <w:right w:val="nil"/>
            </w:tcBorders>
            <w:shd w:val="clear" w:color="000000" w:fill="FFFFFF"/>
            <w:noWrap/>
            <w:vAlign w:val="center"/>
            <w:hideMark/>
          </w:tcPr>
          <w:p w14:paraId="6A45F92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w:t>
            </w:r>
          </w:p>
        </w:tc>
        <w:tc>
          <w:tcPr>
            <w:tcW w:w="1340" w:type="dxa"/>
            <w:tcBorders>
              <w:top w:val="nil"/>
              <w:left w:val="nil"/>
              <w:bottom w:val="single" w:sz="8" w:space="0" w:color="auto"/>
              <w:right w:val="nil"/>
            </w:tcBorders>
            <w:shd w:val="clear" w:color="000000" w:fill="FFFFFF"/>
            <w:noWrap/>
            <w:vAlign w:val="center"/>
            <w:hideMark/>
          </w:tcPr>
          <w:p w14:paraId="19734EB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$28</w:t>
            </w:r>
          </w:p>
        </w:tc>
        <w:tc>
          <w:tcPr>
            <w:tcW w:w="1340" w:type="dxa"/>
            <w:tcBorders>
              <w:top w:val="nil"/>
              <w:left w:val="nil"/>
              <w:bottom w:val="single" w:sz="8" w:space="0" w:color="auto"/>
              <w:right w:val="nil"/>
            </w:tcBorders>
            <w:shd w:val="clear" w:color="000000" w:fill="FFFFFF"/>
            <w:noWrap/>
            <w:vAlign w:val="center"/>
            <w:hideMark/>
          </w:tcPr>
          <w:p w14:paraId="779EB5C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1EAFF56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$43</w:t>
            </w:r>
          </w:p>
        </w:tc>
      </w:tr>
      <w:tr w:rsidR="00913FE0" w:rsidRPr="00913FE0" w14:paraId="4251F43B"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9C4392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Interest and investment income</w:t>
            </w:r>
          </w:p>
        </w:tc>
        <w:tc>
          <w:tcPr>
            <w:tcW w:w="1340" w:type="dxa"/>
            <w:tcBorders>
              <w:top w:val="nil"/>
              <w:left w:val="nil"/>
              <w:bottom w:val="single" w:sz="8" w:space="0" w:color="auto"/>
              <w:right w:val="nil"/>
            </w:tcBorders>
            <w:shd w:val="clear" w:color="000000" w:fill="FFFFFF"/>
            <w:noWrap/>
            <w:vAlign w:val="center"/>
            <w:hideMark/>
          </w:tcPr>
          <w:p w14:paraId="27D1B32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$186</w:t>
            </w:r>
          </w:p>
        </w:tc>
        <w:tc>
          <w:tcPr>
            <w:tcW w:w="1340" w:type="dxa"/>
            <w:tcBorders>
              <w:top w:val="nil"/>
              <w:left w:val="nil"/>
              <w:bottom w:val="single" w:sz="8" w:space="0" w:color="auto"/>
              <w:right w:val="nil"/>
            </w:tcBorders>
            <w:shd w:val="clear" w:color="000000" w:fill="FFFFFF"/>
            <w:noWrap/>
            <w:vAlign w:val="center"/>
            <w:hideMark/>
          </w:tcPr>
          <w:p w14:paraId="32D2060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$177</w:t>
            </w:r>
          </w:p>
        </w:tc>
        <w:tc>
          <w:tcPr>
            <w:tcW w:w="1340" w:type="dxa"/>
            <w:tcBorders>
              <w:top w:val="nil"/>
              <w:left w:val="nil"/>
              <w:bottom w:val="single" w:sz="8" w:space="0" w:color="auto"/>
              <w:right w:val="nil"/>
            </w:tcBorders>
            <w:shd w:val="clear" w:color="000000" w:fill="FFFFFF"/>
            <w:noWrap/>
            <w:vAlign w:val="center"/>
            <w:hideMark/>
          </w:tcPr>
          <w:p w14:paraId="3E3D285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w:t>
            </w:r>
          </w:p>
        </w:tc>
        <w:tc>
          <w:tcPr>
            <w:tcW w:w="1340" w:type="dxa"/>
            <w:tcBorders>
              <w:top w:val="nil"/>
              <w:left w:val="nil"/>
              <w:bottom w:val="single" w:sz="8" w:space="0" w:color="auto"/>
              <w:right w:val="nil"/>
            </w:tcBorders>
            <w:shd w:val="clear" w:color="000000" w:fill="FFFFFF"/>
            <w:noWrap/>
            <w:vAlign w:val="center"/>
            <w:hideMark/>
          </w:tcPr>
          <w:p w14:paraId="4B421CA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$374</w:t>
            </w:r>
          </w:p>
        </w:tc>
      </w:tr>
      <w:tr w:rsidR="00913FE0" w:rsidRPr="00913FE0" w14:paraId="21498EC5" w14:textId="77777777" w:rsidTr="00913FE0">
        <w:trPr>
          <w:trHeight w:val="550"/>
        </w:trPr>
        <w:tc>
          <w:tcPr>
            <w:tcW w:w="3840" w:type="dxa"/>
            <w:tcBorders>
              <w:top w:val="nil"/>
              <w:left w:val="nil"/>
              <w:bottom w:val="single" w:sz="8" w:space="0" w:color="auto"/>
              <w:right w:val="nil"/>
            </w:tcBorders>
            <w:shd w:val="clear" w:color="000000" w:fill="D8DADA"/>
            <w:vAlign w:val="center"/>
            <w:hideMark/>
          </w:tcPr>
          <w:p w14:paraId="5D1352C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accommodation and finance income</w:t>
            </w:r>
          </w:p>
        </w:tc>
        <w:tc>
          <w:tcPr>
            <w:tcW w:w="1340" w:type="dxa"/>
            <w:tcBorders>
              <w:top w:val="nil"/>
              <w:left w:val="nil"/>
              <w:bottom w:val="single" w:sz="8" w:space="0" w:color="auto"/>
              <w:right w:val="nil"/>
            </w:tcBorders>
            <w:shd w:val="clear" w:color="000000" w:fill="D8DADA"/>
            <w:noWrap/>
            <w:vAlign w:val="center"/>
            <w:hideMark/>
          </w:tcPr>
          <w:p w14:paraId="495C545E"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$1,189</w:t>
            </w:r>
          </w:p>
        </w:tc>
        <w:tc>
          <w:tcPr>
            <w:tcW w:w="1340" w:type="dxa"/>
            <w:tcBorders>
              <w:top w:val="nil"/>
              <w:left w:val="nil"/>
              <w:bottom w:val="single" w:sz="8" w:space="0" w:color="auto"/>
              <w:right w:val="nil"/>
            </w:tcBorders>
            <w:shd w:val="clear" w:color="000000" w:fill="D8DADA"/>
            <w:noWrap/>
            <w:vAlign w:val="center"/>
            <w:hideMark/>
          </w:tcPr>
          <w:p w14:paraId="761D8871"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$1,644</w:t>
            </w:r>
          </w:p>
        </w:tc>
        <w:tc>
          <w:tcPr>
            <w:tcW w:w="1340" w:type="dxa"/>
            <w:tcBorders>
              <w:top w:val="nil"/>
              <w:left w:val="nil"/>
              <w:bottom w:val="single" w:sz="8" w:space="0" w:color="auto"/>
              <w:right w:val="nil"/>
            </w:tcBorders>
            <w:shd w:val="clear" w:color="000000" w:fill="D8DADA"/>
            <w:noWrap/>
            <w:vAlign w:val="center"/>
            <w:hideMark/>
          </w:tcPr>
          <w:p w14:paraId="66083F4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$103</w:t>
            </w:r>
          </w:p>
        </w:tc>
        <w:tc>
          <w:tcPr>
            <w:tcW w:w="1340" w:type="dxa"/>
            <w:tcBorders>
              <w:top w:val="nil"/>
              <w:left w:val="nil"/>
              <w:bottom w:val="single" w:sz="8" w:space="0" w:color="auto"/>
              <w:right w:val="nil"/>
            </w:tcBorders>
            <w:shd w:val="clear" w:color="000000" w:fill="D8DADA"/>
            <w:noWrap/>
            <w:vAlign w:val="center"/>
            <w:hideMark/>
          </w:tcPr>
          <w:p w14:paraId="657053BE"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$2,937</w:t>
            </w:r>
          </w:p>
        </w:tc>
      </w:tr>
      <w:tr w:rsidR="00913FE0" w:rsidRPr="00913FE0" w14:paraId="2E71E9FF"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1DF6E0E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COVID-19 income</w:t>
            </w:r>
          </w:p>
        </w:tc>
        <w:tc>
          <w:tcPr>
            <w:tcW w:w="1340" w:type="dxa"/>
            <w:tcBorders>
              <w:top w:val="nil"/>
              <w:left w:val="nil"/>
              <w:bottom w:val="single" w:sz="8" w:space="0" w:color="auto"/>
              <w:right w:val="nil"/>
            </w:tcBorders>
            <w:shd w:val="clear" w:color="000000" w:fill="D8DADA"/>
            <w:noWrap/>
            <w:vAlign w:val="center"/>
            <w:hideMark/>
          </w:tcPr>
          <w:p w14:paraId="231DCBE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923AD7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8C36F1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C88FD7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17FB4747"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32AB50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COVID-19 Income</w:t>
            </w:r>
          </w:p>
        </w:tc>
        <w:tc>
          <w:tcPr>
            <w:tcW w:w="1340" w:type="dxa"/>
            <w:tcBorders>
              <w:top w:val="nil"/>
              <w:left w:val="nil"/>
              <w:bottom w:val="single" w:sz="8" w:space="0" w:color="auto"/>
              <w:right w:val="nil"/>
            </w:tcBorders>
            <w:shd w:val="clear" w:color="000000" w:fill="FFFFFF"/>
            <w:noWrap/>
            <w:vAlign w:val="center"/>
            <w:hideMark/>
          </w:tcPr>
          <w:p w14:paraId="786F9BC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$262</w:t>
            </w:r>
          </w:p>
        </w:tc>
        <w:tc>
          <w:tcPr>
            <w:tcW w:w="1340" w:type="dxa"/>
            <w:tcBorders>
              <w:top w:val="nil"/>
              <w:left w:val="nil"/>
              <w:bottom w:val="single" w:sz="8" w:space="0" w:color="auto"/>
              <w:right w:val="nil"/>
            </w:tcBorders>
            <w:shd w:val="clear" w:color="000000" w:fill="FFFFFF"/>
            <w:noWrap/>
            <w:vAlign w:val="center"/>
            <w:hideMark/>
          </w:tcPr>
          <w:p w14:paraId="6CB7A0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$243</w:t>
            </w:r>
          </w:p>
        </w:tc>
        <w:tc>
          <w:tcPr>
            <w:tcW w:w="1340" w:type="dxa"/>
            <w:tcBorders>
              <w:top w:val="nil"/>
              <w:left w:val="nil"/>
              <w:bottom w:val="single" w:sz="8" w:space="0" w:color="auto"/>
              <w:right w:val="nil"/>
            </w:tcBorders>
            <w:shd w:val="clear" w:color="000000" w:fill="FFFFFF"/>
            <w:noWrap/>
            <w:vAlign w:val="center"/>
            <w:hideMark/>
          </w:tcPr>
          <w:p w14:paraId="5B8E35D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c>
          <w:tcPr>
            <w:tcW w:w="1340" w:type="dxa"/>
            <w:tcBorders>
              <w:top w:val="nil"/>
              <w:left w:val="nil"/>
              <w:bottom w:val="single" w:sz="8" w:space="0" w:color="auto"/>
              <w:right w:val="nil"/>
            </w:tcBorders>
            <w:shd w:val="clear" w:color="000000" w:fill="FFFFFF"/>
            <w:noWrap/>
            <w:vAlign w:val="center"/>
            <w:hideMark/>
          </w:tcPr>
          <w:p w14:paraId="79B4610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$515</w:t>
            </w:r>
          </w:p>
        </w:tc>
      </w:tr>
      <w:tr w:rsidR="00913FE0" w:rsidRPr="00913FE0" w14:paraId="66A32CB0"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1DEA1A7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COVID-19 income</w:t>
            </w:r>
          </w:p>
        </w:tc>
        <w:tc>
          <w:tcPr>
            <w:tcW w:w="1340" w:type="dxa"/>
            <w:tcBorders>
              <w:top w:val="nil"/>
              <w:left w:val="nil"/>
              <w:bottom w:val="single" w:sz="8" w:space="0" w:color="auto"/>
              <w:right w:val="nil"/>
            </w:tcBorders>
            <w:shd w:val="clear" w:color="000000" w:fill="D8DADA"/>
            <w:noWrap/>
            <w:vAlign w:val="center"/>
            <w:hideMark/>
          </w:tcPr>
          <w:p w14:paraId="39069030"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$262</w:t>
            </w:r>
          </w:p>
        </w:tc>
        <w:tc>
          <w:tcPr>
            <w:tcW w:w="1340" w:type="dxa"/>
            <w:tcBorders>
              <w:top w:val="nil"/>
              <w:left w:val="nil"/>
              <w:bottom w:val="single" w:sz="8" w:space="0" w:color="auto"/>
              <w:right w:val="nil"/>
            </w:tcBorders>
            <w:shd w:val="clear" w:color="000000" w:fill="D8DADA"/>
            <w:noWrap/>
            <w:vAlign w:val="center"/>
            <w:hideMark/>
          </w:tcPr>
          <w:p w14:paraId="4BD6616C"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$243</w:t>
            </w:r>
          </w:p>
        </w:tc>
        <w:tc>
          <w:tcPr>
            <w:tcW w:w="1340" w:type="dxa"/>
            <w:tcBorders>
              <w:top w:val="nil"/>
              <w:left w:val="nil"/>
              <w:bottom w:val="single" w:sz="8" w:space="0" w:color="auto"/>
              <w:right w:val="nil"/>
            </w:tcBorders>
            <w:shd w:val="clear" w:color="000000" w:fill="D8DADA"/>
            <w:noWrap/>
            <w:vAlign w:val="center"/>
            <w:hideMark/>
          </w:tcPr>
          <w:p w14:paraId="7A6439D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w:t>
            </w:r>
          </w:p>
        </w:tc>
        <w:tc>
          <w:tcPr>
            <w:tcW w:w="1340" w:type="dxa"/>
            <w:tcBorders>
              <w:top w:val="nil"/>
              <w:left w:val="nil"/>
              <w:bottom w:val="single" w:sz="8" w:space="0" w:color="auto"/>
              <w:right w:val="nil"/>
            </w:tcBorders>
            <w:shd w:val="clear" w:color="000000" w:fill="D8DADA"/>
            <w:noWrap/>
            <w:vAlign w:val="center"/>
            <w:hideMark/>
          </w:tcPr>
          <w:p w14:paraId="720C8DA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$515</w:t>
            </w:r>
          </w:p>
        </w:tc>
      </w:tr>
      <w:tr w:rsidR="00913FE0" w:rsidRPr="00913FE0" w14:paraId="6C2A906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1CF640D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recurrent income</w:t>
            </w:r>
          </w:p>
        </w:tc>
        <w:tc>
          <w:tcPr>
            <w:tcW w:w="1340" w:type="dxa"/>
            <w:tcBorders>
              <w:top w:val="nil"/>
              <w:left w:val="nil"/>
              <w:bottom w:val="single" w:sz="8" w:space="0" w:color="auto"/>
              <w:right w:val="nil"/>
            </w:tcBorders>
            <w:shd w:val="clear" w:color="000000" w:fill="D8DADA"/>
            <w:noWrap/>
            <w:vAlign w:val="center"/>
            <w:hideMark/>
          </w:tcPr>
          <w:p w14:paraId="2E2351D3"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$9,114</w:t>
            </w:r>
          </w:p>
        </w:tc>
        <w:tc>
          <w:tcPr>
            <w:tcW w:w="1340" w:type="dxa"/>
            <w:tcBorders>
              <w:top w:val="nil"/>
              <w:left w:val="nil"/>
              <w:bottom w:val="single" w:sz="8" w:space="0" w:color="auto"/>
              <w:right w:val="nil"/>
            </w:tcBorders>
            <w:shd w:val="clear" w:color="000000" w:fill="D8DADA"/>
            <w:noWrap/>
            <w:vAlign w:val="center"/>
            <w:hideMark/>
          </w:tcPr>
          <w:p w14:paraId="1C06E8F1"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$12,769</w:t>
            </w:r>
          </w:p>
        </w:tc>
        <w:tc>
          <w:tcPr>
            <w:tcW w:w="1340" w:type="dxa"/>
            <w:tcBorders>
              <w:top w:val="nil"/>
              <w:left w:val="nil"/>
              <w:bottom w:val="single" w:sz="8" w:space="0" w:color="auto"/>
              <w:right w:val="nil"/>
            </w:tcBorders>
            <w:shd w:val="clear" w:color="000000" w:fill="D8DADA"/>
            <w:noWrap/>
            <w:vAlign w:val="center"/>
            <w:hideMark/>
          </w:tcPr>
          <w:p w14:paraId="50231E7F"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$1,018</w:t>
            </w:r>
          </w:p>
        </w:tc>
        <w:tc>
          <w:tcPr>
            <w:tcW w:w="1340" w:type="dxa"/>
            <w:tcBorders>
              <w:top w:val="nil"/>
              <w:left w:val="nil"/>
              <w:bottom w:val="single" w:sz="8" w:space="0" w:color="auto"/>
              <w:right w:val="nil"/>
            </w:tcBorders>
            <w:shd w:val="clear" w:color="000000" w:fill="D8DADA"/>
            <w:noWrap/>
            <w:vAlign w:val="center"/>
            <w:hideMark/>
          </w:tcPr>
          <w:p w14:paraId="6E55C9C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$22,901</w:t>
            </w:r>
          </w:p>
        </w:tc>
      </w:tr>
      <w:tr w:rsidR="00913FE0" w:rsidRPr="00913FE0" w14:paraId="07954E41"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37F20FB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Non-Recurrent Income</w:t>
            </w:r>
          </w:p>
        </w:tc>
        <w:tc>
          <w:tcPr>
            <w:tcW w:w="1340" w:type="dxa"/>
            <w:tcBorders>
              <w:top w:val="nil"/>
              <w:left w:val="nil"/>
              <w:bottom w:val="single" w:sz="8" w:space="0" w:color="auto"/>
              <w:right w:val="nil"/>
            </w:tcBorders>
            <w:shd w:val="clear" w:color="000000" w:fill="D8DADA"/>
            <w:noWrap/>
            <w:vAlign w:val="center"/>
            <w:hideMark/>
          </w:tcPr>
          <w:p w14:paraId="5C50B82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FB60C4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602FF8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C10B24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6B5FE664"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5E7C70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Donations, bequests and fundraising</w:t>
            </w:r>
          </w:p>
        </w:tc>
        <w:tc>
          <w:tcPr>
            <w:tcW w:w="1340" w:type="dxa"/>
            <w:tcBorders>
              <w:top w:val="nil"/>
              <w:left w:val="nil"/>
              <w:bottom w:val="single" w:sz="8" w:space="0" w:color="auto"/>
              <w:right w:val="nil"/>
            </w:tcBorders>
            <w:shd w:val="clear" w:color="000000" w:fill="FFFFFF"/>
            <w:noWrap/>
            <w:vAlign w:val="center"/>
            <w:hideMark/>
          </w:tcPr>
          <w:p w14:paraId="27CAAF2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25AE6F0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c>
          <w:tcPr>
            <w:tcW w:w="1340" w:type="dxa"/>
            <w:tcBorders>
              <w:top w:val="nil"/>
              <w:left w:val="nil"/>
              <w:bottom w:val="single" w:sz="8" w:space="0" w:color="auto"/>
              <w:right w:val="nil"/>
            </w:tcBorders>
            <w:shd w:val="clear" w:color="000000" w:fill="FFFFFF"/>
            <w:noWrap/>
            <w:vAlign w:val="center"/>
            <w:hideMark/>
          </w:tcPr>
          <w:p w14:paraId="2FE6C6D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4367421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w:t>
            </w:r>
          </w:p>
        </w:tc>
      </w:tr>
      <w:tr w:rsidR="00913FE0" w:rsidRPr="00913FE0" w14:paraId="4C704D5B"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916695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Fair value gains on financial assets</w:t>
            </w:r>
          </w:p>
        </w:tc>
        <w:tc>
          <w:tcPr>
            <w:tcW w:w="1340" w:type="dxa"/>
            <w:tcBorders>
              <w:top w:val="nil"/>
              <w:left w:val="nil"/>
              <w:bottom w:val="single" w:sz="8" w:space="0" w:color="auto"/>
              <w:right w:val="nil"/>
            </w:tcBorders>
            <w:shd w:val="clear" w:color="000000" w:fill="FFFFFF"/>
            <w:noWrap/>
            <w:vAlign w:val="center"/>
            <w:hideMark/>
          </w:tcPr>
          <w:p w14:paraId="4BD3EE5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1C6C7C1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$42</w:t>
            </w:r>
          </w:p>
        </w:tc>
        <w:tc>
          <w:tcPr>
            <w:tcW w:w="1340" w:type="dxa"/>
            <w:tcBorders>
              <w:top w:val="nil"/>
              <w:left w:val="nil"/>
              <w:bottom w:val="single" w:sz="8" w:space="0" w:color="auto"/>
              <w:right w:val="nil"/>
            </w:tcBorders>
            <w:shd w:val="clear" w:color="000000" w:fill="FFFFFF"/>
            <w:noWrap/>
            <w:vAlign w:val="center"/>
            <w:hideMark/>
          </w:tcPr>
          <w:p w14:paraId="08E1666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A236F4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$46</w:t>
            </w:r>
          </w:p>
        </w:tc>
      </w:tr>
      <w:tr w:rsidR="00913FE0" w:rsidRPr="00913FE0" w14:paraId="7284D953"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0B548B1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Fair value gain / asset revaluation increase - other assets</w:t>
            </w:r>
          </w:p>
        </w:tc>
        <w:tc>
          <w:tcPr>
            <w:tcW w:w="1340" w:type="dxa"/>
            <w:tcBorders>
              <w:top w:val="nil"/>
              <w:left w:val="nil"/>
              <w:bottom w:val="single" w:sz="8" w:space="0" w:color="auto"/>
              <w:right w:val="nil"/>
            </w:tcBorders>
            <w:shd w:val="clear" w:color="000000" w:fill="FFFFFF"/>
            <w:noWrap/>
            <w:vAlign w:val="center"/>
            <w:hideMark/>
          </w:tcPr>
          <w:p w14:paraId="456945A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$32</w:t>
            </w:r>
          </w:p>
        </w:tc>
        <w:tc>
          <w:tcPr>
            <w:tcW w:w="1340" w:type="dxa"/>
            <w:tcBorders>
              <w:top w:val="nil"/>
              <w:left w:val="nil"/>
              <w:bottom w:val="single" w:sz="8" w:space="0" w:color="auto"/>
              <w:right w:val="nil"/>
            </w:tcBorders>
            <w:shd w:val="clear" w:color="000000" w:fill="FFFFFF"/>
            <w:noWrap/>
            <w:vAlign w:val="center"/>
            <w:hideMark/>
          </w:tcPr>
          <w:p w14:paraId="72A0FB8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$35</w:t>
            </w:r>
          </w:p>
        </w:tc>
        <w:tc>
          <w:tcPr>
            <w:tcW w:w="1340" w:type="dxa"/>
            <w:tcBorders>
              <w:top w:val="nil"/>
              <w:left w:val="nil"/>
              <w:bottom w:val="single" w:sz="8" w:space="0" w:color="auto"/>
              <w:right w:val="nil"/>
            </w:tcBorders>
            <w:shd w:val="clear" w:color="000000" w:fill="FFFFFF"/>
            <w:noWrap/>
            <w:vAlign w:val="center"/>
            <w:hideMark/>
          </w:tcPr>
          <w:p w14:paraId="24DDE27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c>
          <w:tcPr>
            <w:tcW w:w="1340" w:type="dxa"/>
            <w:tcBorders>
              <w:top w:val="nil"/>
              <w:left w:val="nil"/>
              <w:bottom w:val="single" w:sz="8" w:space="0" w:color="auto"/>
              <w:right w:val="nil"/>
            </w:tcBorders>
            <w:shd w:val="clear" w:color="000000" w:fill="FFFFFF"/>
            <w:noWrap/>
            <w:vAlign w:val="center"/>
            <w:hideMark/>
          </w:tcPr>
          <w:p w14:paraId="6F462EF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$76</w:t>
            </w:r>
          </w:p>
        </w:tc>
      </w:tr>
      <w:tr w:rsidR="00913FE0" w:rsidRPr="00913FE0" w14:paraId="4CBC4E81"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D92417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Capital grants (Australian Government and LST)</w:t>
            </w:r>
          </w:p>
        </w:tc>
        <w:tc>
          <w:tcPr>
            <w:tcW w:w="1340" w:type="dxa"/>
            <w:tcBorders>
              <w:top w:val="nil"/>
              <w:left w:val="nil"/>
              <w:bottom w:val="single" w:sz="8" w:space="0" w:color="auto"/>
              <w:right w:val="nil"/>
            </w:tcBorders>
            <w:shd w:val="clear" w:color="000000" w:fill="FFFFFF"/>
            <w:noWrap/>
            <w:vAlign w:val="center"/>
            <w:hideMark/>
          </w:tcPr>
          <w:p w14:paraId="1EE60C8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w:t>
            </w:r>
          </w:p>
        </w:tc>
        <w:tc>
          <w:tcPr>
            <w:tcW w:w="1340" w:type="dxa"/>
            <w:tcBorders>
              <w:top w:val="nil"/>
              <w:left w:val="nil"/>
              <w:bottom w:val="single" w:sz="8" w:space="0" w:color="auto"/>
              <w:right w:val="nil"/>
            </w:tcBorders>
            <w:shd w:val="clear" w:color="000000" w:fill="FFFFFF"/>
            <w:noWrap/>
            <w:vAlign w:val="center"/>
            <w:hideMark/>
          </w:tcPr>
          <w:p w14:paraId="7A7B8DF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$94</w:t>
            </w:r>
          </w:p>
        </w:tc>
        <w:tc>
          <w:tcPr>
            <w:tcW w:w="1340" w:type="dxa"/>
            <w:tcBorders>
              <w:top w:val="nil"/>
              <w:left w:val="nil"/>
              <w:bottom w:val="single" w:sz="8" w:space="0" w:color="auto"/>
              <w:right w:val="nil"/>
            </w:tcBorders>
            <w:shd w:val="clear" w:color="000000" w:fill="FFFFFF"/>
            <w:noWrap/>
            <w:vAlign w:val="center"/>
            <w:hideMark/>
          </w:tcPr>
          <w:p w14:paraId="7101AD9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686D860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$114</w:t>
            </w:r>
          </w:p>
        </w:tc>
      </w:tr>
      <w:tr w:rsidR="00913FE0" w:rsidRPr="00913FE0" w14:paraId="0A42F5C5"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F1C840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Reversal of prior period impairment</w:t>
            </w:r>
          </w:p>
        </w:tc>
        <w:tc>
          <w:tcPr>
            <w:tcW w:w="1340" w:type="dxa"/>
            <w:tcBorders>
              <w:top w:val="nil"/>
              <w:left w:val="nil"/>
              <w:bottom w:val="single" w:sz="8" w:space="0" w:color="auto"/>
              <w:right w:val="nil"/>
            </w:tcBorders>
            <w:shd w:val="clear" w:color="000000" w:fill="FFFFFF"/>
            <w:noWrap/>
            <w:vAlign w:val="center"/>
            <w:hideMark/>
          </w:tcPr>
          <w:p w14:paraId="3401E03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703E94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C18812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531FE93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r>
      <w:tr w:rsidR="00913FE0" w:rsidRPr="00913FE0" w14:paraId="3C796E0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5DB33A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Realised gains on disposal of assets</w:t>
            </w:r>
          </w:p>
        </w:tc>
        <w:tc>
          <w:tcPr>
            <w:tcW w:w="1340" w:type="dxa"/>
            <w:tcBorders>
              <w:top w:val="nil"/>
              <w:left w:val="nil"/>
              <w:bottom w:val="single" w:sz="8" w:space="0" w:color="auto"/>
              <w:right w:val="nil"/>
            </w:tcBorders>
            <w:shd w:val="clear" w:color="000000" w:fill="FFFFFF"/>
            <w:noWrap/>
            <w:vAlign w:val="center"/>
            <w:hideMark/>
          </w:tcPr>
          <w:p w14:paraId="055A34A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w:t>
            </w:r>
          </w:p>
        </w:tc>
        <w:tc>
          <w:tcPr>
            <w:tcW w:w="1340" w:type="dxa"/>
            <w:tcBorders>
              <w:top w:val="nil"/>
              <w:left w:val="nil"/>
              <w:bottom w:val="single" w:sz="8" w:space="0" w:color="auto"/>
              <w:right w:val="nil"/>
            </w:tcBorders>
            <w:shd w:val="clear" w:color="000000" w:fill="FFFFFF"/>
            <w:noWrap/>
            <w:vAlign w:val="center"/>
            <w:hideMark/>
          </w:tcPr>
          <w:p w14:paraId="70A315C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w:t>
            </w:r>
          </w:p>
        </w:tc>
        <w:tc>
          <w:tcPr>
            <w:tcW w:w="1340" w:type="dxa"/>
            <w:tcBorders>
              <w:top w:val="nil"/>
              <w:left w:val="nil"/>
              <w:bottom w:val="single" w:sz="8" w:space="0" w:color="auto"/>
              <w:right w:val="nil"/>
            </w:tcBorders>
            <w:shd w:val="clear" w:color="000000" w:fill="FFFFFF"/>
            <w:noWrap/>
            <w:vAlign w:val="center"/>
            <w:hideMark/>
          </w:tcPr>
          <w:p w14:paraId="3B88549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8219C6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w:t>
            </w:r>
          </w:p>
        </w:tc>
      </w:tr>
      <w:tr w:rsidR="00913FE0" w:rsidRPr="00913FE0" w14:paraId="6DC94AB5"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197E403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Effect of adoption of AASB 16 leases - RADs only</w:t>
            </w:r>
          </w:p>
        </w:tc>
        <w:tc>
          <w:tcPr>
            <w:tcW w:w="1340" w:type="dxa"/>
            <w:tcBorders>
              <w:top w:val="nil"/>
              <w:left w:val="nil"/>
              <w:bottom w:val="single" w:sz="8" w:space="0" w:color="auto"/>
              <w:right w:val="nil"/>
            </w:tcBorders>
            <w:shd w:val="clear" w:color="000000" w:fill="FFFFFF"/>
            <w:noWrap/>
            <w:vAlign w:val="center"/>
            <w:hideMark/>
          </w:tcPr>
          <w:p w14:paraId="1B72FAC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$497</w:t>
            </w:r>
          </w:p>
        </w:tc>
        <w:tc>
          <w:tcPr>
            <w:tcW w:w="1340" w:type="dxa"/>
            <w:tcBorders>
              <w:top w:val="nil"/>
              <w:left w:val="nil"/>
              <w:bottom w:val="single" w:sz="8" w:space="0" w:color="auto"/>
              <w:right w:val="nil"/>
            </w:tcBorders>
            <w:shd w:val="clear" w:color="000000" w:fill="FFFFFF"/>
            <w:noWrap/>
            <w:vAlign w:val="center"/>
            <w:hideMark/>
          </w:tcPr>
          <w:p w14:paraId="250BEBA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$331</w:t>
            </w:r>
          </w:p>
        </w:tc>
        <w:tc>
          <w:tcPr>
            <w:tcW w:w="1340" w:type="dxa"/>
            <w:tcBorders>
              <w:top w:val="nil"/>
              <w:left w:val="nil"/>
              <w:bottom w:val="single" w:sz="8" w:space="0" w:color="auto"/>
              <w:right w:val="nil"/>
            </w:tcBorders>
            <w:shd w:val="clear" w:color="000000" w:fill="FFFFFF"/>
            <w:noWrap/>
            <w:vAlign w:val="center"/>
            <w:hideMark/>
          </w:tcPr>
          <w:p w14:paraId="555D32F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73786BB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$830</w:t>
            </w:r>
          </w:p>
        </w:tc>
      </w:tr>
      <w:tr w:rsidR="00913FE0" w:rsidRPr="00913FE0" w14:paraId="6BD10B4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E43EC1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non-recurrent income</w:t>
            </w:r>
          </w:p>
        </w:tc>
        <w:tc>
          <w:tcPr>
            <w:tcW w:w="1340" w:type="dxa"/>
            <w:tcBorders>
              <w:top w:val="nil"/>
              <w:left w:val="nil"/>
              <w:bottom w:val="single" w:sz="8" w:space="0" w:color="auto"/>
              <w:right w:val="nil"/>
            </w:tcBorders>
            <w:shd w:val="clear" w:color="000000" w:fill="FFFFFF"/>
            <w:noWrap/>
            <w:vAlign w:val="center"/>
            <w:hideMark/>
          </w:tcPr>
          <w:p w14:paraId="6EC48B8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$91</w:t>
            </w:r>
          </w:p>
        </w:tc>
        <w:tc>
          <w:tcPr>
            <w:tcW w:w="1340" w:type="dxa"/>
            <w:tcBorders>
              <w:top w:val="nil"/>
              <w:left w:val="nil"/>
              <w:bottom w:val="single" w:sz="8" w:space="0" w:color="auto"/>
              <w:right w:val="nil"/>
            </w:tcBorders>
            <w:shd w:val="clear" w:color="000000" w:fill="FFFFFF"/>
            <w:noWrap/>
            <w:vAlign w:val="center"/>
            <w:hideMark/>
          </w:tcPr>
          <w:p w14:paraId="05290F0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$116</w:t>
            </w:r>
          </w:p>
        </w:tc>
        <w:tc>
          <w:tcPr>
            <w:tcW w:w="1340" w:type="dxa"/>
            <w:tcBorders>
              <w:top w:val="nil"/>
              <w:left w:val="nil"/>
              <w:bottom w:val="single" w:sz="8" w:space="0" w:color="auto"/>
              <w:right w:val="nil"/>
            </w:tcBorders>
            <w:shd w:val="clear" w:color="000000" w:fill="FFFFFF"/>
            <w:noWrap/>
            <w:vAlign w:val="center"/>
            <w:hideMark/>
          </w:tcPr>
          <w:p w14:paraId="13329C3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$23</w:t>
            </w:r>
          </w:p>
        </w:tc>
        <w:tc>
          <w:tcPr>
            <w:tcW w:w="1340" w:type="dxa"/>
            <w:tcBorders>
              <w:top w:val="nil"/>
              <w:left w:val="nil"/>
              <w:bottom w:val="single" w:sz="8" w:space="0" w:color="auto"/>
              <w:right w:val="nil"/>
            </w:tcBorders>
            <w:shd w:val="clear" w:color="000000" w:fill="FFFFFF"/>
            <w:noWrap/>
            <w:vAlign w:val="center"/>
            <w:hideMark/>
          </w:tcPr>
          <w:p w14:paraId="179FE2E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$229</w:t>
            </w:r>
          </w:p>
        </w:tc>
      </w:tr>
      <w:tr w:rsidR="00913FE0" w:rsidRPr="00913FE0" w14:paraId="50E25EB8"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DAAFF6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non-recurrent income</w:t>
            </w:r>
          </w:p>
        </w:tc>
        <w:tc>
          <w:tcPr>
            <w:tcW w:w="1340" w:type="dxa"/>
            <w:tcBorders>
              <w:top w:val="nil"/>
              <w:left w:val="nil"/>
              <w:bottom w:val="single" w:sz="8" w:space="0" w:color="auto"/>
              <w:right w:val="nil"/>
            </w:tcBorders>
            <w:shd w:val="clear" w:color="000000" w:fill="D8DADA"/>
            <w:noWrap/>
            <w:vAlign w:val="center"/>
            <w:hideMark/>
          </w:tcPr>
          <w:p w14:paraId="341422D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$650</w:t>
            </w:r>
          </w:p>
        </w:tc>
        <w:tc>
          <w:tcPr>
            <w:tcW w:w="1340" w:type="dxa"/>
            <w:tcBorders>
              <w:top w:val="nil"/>
              <w:left w:val="nil"/>
              <w:bottom w:val="single" w:sz="8" w:space="0" w:color="auto"/>
              <w:right w:val="nil"/>
            </w:tcBorders>
            <w:shd w:val="clear" w:color="000000" w:fill="D8DADA"/>
            <w:noWrap/>
            <w:vAlign w:val="center"/>
            <w:hideMark/>
          </w:tcPr>
          <w:p w14:paraId="0389CD4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$652</w:t>
            </w:r>
          </w:p>
        </w:tc>
        <w:tc>
          <w:tcPr>
            <w:tcW w:w="1340" w:type="dxa"/>
            <w:tcBorders>
              <w:top w:val="nil"/>
              <w:left w:val="nil"/>
              <w:bottom w:val="single" w:sz="8" w:space="0" w:color="auto"/>
              <w:right w:val="nil"/>
            </w:tcBorders>
            <w:shd w:val="clear" w:color="000000" w:fill="D8DADA"/>
            <w:noWrap/>
            <w:vAlign w:val="center"/>
            <w:hideMark/>
          </w:tcPr>
          <w:p w14:paraId="5894EC9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$37</w:t>
            </w:r>
          </w:p>
        </w:tc>
        <w:tc>
          <w:tcPr>
            <w:tcW w:w="1340" w:type="dxa"/>
            <w:tcBorders>
              <w:top w:val="nil"/>
              <w:left w:val="nil"/>
              <w:bottom w:val="single" w:sz="8" w:space="0" w:color="auto"/>
              <w:right w:val="nil"/>
            </w:tcBorders>
            <w:shd w:val="clear" w:color="000000" w:fill="D8DADA"/>
            <w:noWrap/>
            <w:vAlign w:val="center"/>
            <w:hideMark/>
          </w:tcPr>
          <w:p w14:paraId="644547D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$1,339</w:t>
            </w:r>
          </w:p>
        </w:tc>
      </w:tr>
      <w:tr w:rsidR="00913FE0" w:rsidRPr="00913FE0" w14:paraId="6F844765"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1758A19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income</w:t>
            </w:r>
          </w:p>
        </w:tc>
        <w:tc>
          <w:tcPr>
            <w:tcW w:w="1340" w:type="dxa"/>
            <w:tcBorders>
              <w:top w:val="nil"/>
              <w:left w:val="nil"/>
              <w:bottom w:val="single" w:sz="8" w:space="0" w:color="auto"/>
              <w:right w:val="nil"/>
            </w:tcBorders>
            <w:shd w:val="clear" w:color="000000" w:fill="D8DADA"/>
            <w:noWrap/>
            <w:vAlign w:val="center"/>
            <w:hideMark/>
          </w:tcPr>
          <w:p w14:paraId="3E3C1B83"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$9,764</w:t>
            </w:r>
          </w:p>
        </w:tc>
        <w:tc>
          <w:tcPr>
            <w:tcW w:w="1340" w:type="dxa"/>
            <w:tcBorders>
              <w:top w:val="nil"/>
              <w:left w:val="nil"/>
              <w:bottom w:val="single" w:sz="8" w:space="0" w:color="auto"/>
              <w:right w:val="nil"/>
            </w:tcBorders>
            <w:shd w:val="clear" w:color="000000" w:fill="D8DADA"/>
            <w:noWrap/>
            <w:vAlign w:val="center"/>
            <w:hideMark/>
          </w:tcPr>
          <w:p w14:paraId="22F83B8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$13,421</w:t>
            </w:r>
          </w:p>
        </w:tc>
        <w:tc>
          <w:tcPr>
            <w:tcW w:w="1340" w:type="dxa"/>
            <w:tcBorders>
              <w:top w:val="nil"/>
              <w:left w:val="nil"/>
              <w:bottom w:val="single" w:sz="8" w:space="0" w:color="auto"/>
              <w:right w:val="nil"/>
            </w:tcBorders>
            <w:shd w:val="clear" w:color="000000" w:fill="D8DADA"/>
            <w:noWrap/>
            <w:vAlign w:val="center"/>
            <w:hideMark/>
          </w:tcPr>
          <w:p w14:paraId="2810295F"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$1,055</w:t>
            </w:r>
          </w:p>
        </w:tc>
        <w:tc>
          <w:tcPr>
            <w:tcW w:w="1340" w:type="dxa"/>
            <w:tcBorders>
              <w:top w:val="nil"/>
              <w:left w:val="nil"/>
              <w:bottom w:val="single" w:sz="8" w:space="0" w:color="auto"/>
              <w:right w:val="nil"/>
            </w:tcBorders>
            <w:shd w:val="clear" w:color="000000" w:fill="D8DADA"/>
            <w:noWrap/>
            <w:vAlign w:val="center"/>
            <w:hideMark/>
          </w:tcPr>
          <w:p w14:paraId="0F0FE301"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$24,240</w:t>
            </w:r>
          </w:p>
        </w:tc>
      </w:tr>
      <w:tr w:rsidR="00913FE0" w:rsidRPr="00913FE0" w14:paraId="50ECE9A6"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0B3EA1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Expense</w:t>
            </w:r>
          </w:p>
        </w:tc>
        <w:tc>
          <w:tcPr>
            <w:tcW w:w="1340" w:type="dxa"/>
            <w:tcBorders>
              <w:top w:val="nil"/>
              <w:left w:val="nil"/>
              <w:bottom w:val="single" w:sz="8" w:space="0" w:color="auto"/>
              <w:right w:val="nil"/>
            </w:tcBorders>
            <w:shd w:val="clear" w:color="000000" w:fill="D8DADA"/>
            <w:noWrap/>
            <w:vAlign w:val="center"/>
            <w:hideMark/>
          </w:tcPr>
          <w:p w14:paraId="5127A275"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8904E3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316CEB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D05C1E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676B9E30" w14:textId="77777777" w:rsidTr="00913FE0">
        <w:trPr>
          <w:trHeight w:val="320"/>
        </w:trPr>
        <w:tc>
          <w:tcPr>
            <w:tcW w:w="3840" w:type="dxa"/>
            <w:tcBorders>
              <w:top w:val="nil"/>
              <w:left w:val="nil"/>
              <w:bottom w:val="single" w:sz="8" w:space="0" w:color="auto"/>
              <w:right w:val="nil"/>
            </w:tcBorders>
            <w:shd w:val="clear" w:color="000000" w:fill="FFFFFF"/>
            <w:vAlign w:val="center"/>
            <w:hideMark/>
          </w:tcPr>
          <w:p w14:paraId="2BCC75A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Care expenses</w:t>
            </w:r>
          </w:p>
        </w:tc>
        <w:tc>
          <w:tcPr>
            <w:tcW w:w="1340" w:type="dxa"/>
            <w:tcBorders>
              <w:top w:val="nil"/>
              <w:left w:val="nil"/>
              <w:bottom w:val="single" w:sz="8" w:space="0" w:color="auto"/>
              <w:right w:val="nil"/>
            </w:tcBorders>
            <w:shd w:val="clear" w:color="000000" w:fill="FFFFFF"/>
            <w:noWrap/>
            <w:vAlign w:val="center"/>
            <w:hideMark/>
          </w:tcPr>
          <w:p w14:paraId="5DC93950" w14:textId="77777777" w:rsidR="00913FE0" w:rsidRPr="00913FE0" w:rsidRDefault="00913FE0" w:rsidP="00913FE0">
            <w:pPr>
              <w:spacing w:before="0" w:after="0" w:line="240" w:lineRule="auto"/>
              <w:rPr>
                <w:rFonts w:cs="Arial"/>
                <w:b/>
                <w:i/>
                <w:iCs/>
                <w:color w:val="1E1545"/>
                <w:sz w:val="21"/>
                <w:szCs w:val="21"/>
                <w:lang w:eastAsia="en-AU"/>
              </w:rPr>
            </w:pPr>
            <w:r w:rsidRPr="00913FE0">
              <w:rPr>
                <w:rFonts w:cs="Arial"/>
                <w:b/>
                <w:i/>
                <w:iCs/>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0BA8A921" w14:textId="77777777" w:rsidR="00913FE0" w:rsidRPr="00913FE0" w:rsidRDefault="00913FE0" w:rsidP="00913FE0">
            <w:pPr>
              <w:spacing w:before="0" w:after="0" w:line="240" w:lineRule="auto"/>
              <w:rPr>
                <w:rFonts w:cs="Arial"/>
                <w:b/>
                <w:i/>
                <w:iCs/>
                <w:color w:val="1E1545"/>
                <w:sz w:val="21"/>
                <w:szCs w:val="21"/>
                <w:lang w:eastAsia="en-AU"/>
              </w:rPr>
            </w:pPr>
            <w:r w:rsidRPr="00913FE0">
              <w:rPr>
                <w:rFonts w:cs="Arial"/>
                <w:b/>
                <w:i/>
                <w:iCs/>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606CFC27" w14:textId="77777777" w:rsidR="00913FE0" w:rsidRPr="00913FE0" w:rsidRDefault="00913FE0" w:rsidP="00913FE0">
            <w:pPr>
              <w:spacing w:before="0" w:after="0" w:line="240" w:lineRule="auto"/>
              <w:rPr>
                <w:rFonts w:cs="Arial"/>
                <w:b/>
                <w:i/>
                <w:iCs/>
                <w:color w:val="1E1545"/>
                <w:sz w:val="21"/>
                <w:szCs w:val="21"/>
                <w:lang w:eastAsia="en-AU"/>
              </w:rPr>
            </w:pPr>
            <w:r w:rsidRPr="00913FE0">
              <w:rPr>
                <w:rFonts w:cs="Arial"/>
                <w:b/>
                <w:i/>
                <w:iCs/>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5012419A" w14:textId="77777777" w:rsidR="00913FE0" w:rsidRPr="00913FE0" w:rsidRDefault="00913FE0" w:rsidP="00913FE0">
            <w:pPr>
              <w:spacing w:before="0" w:after="0" w:line="240" w:lineRule="auto"/>
              <w:rPr>
                <w:rFonts w:cs="Arial"/>
                <w:b/>
                <w:i/>
                <w:iCs/>
                <w:color w:val="1E1545"/>
                <w:sz w:val="21"/>
                <w:szCs w:val="21"/>
                <w:lang w:eastAsia="en-AU"/>
              </w:rPr>
            </w:pPr>
            <w:r w:rsidRPr="00913FE0">
              <w:rPr>
                <w:rFonts w:cs="Arial"/>
                <w:b/>
                <w:i/>
                <w:iCs/>
                <w:color w:val="1E1545"/>
                <w:sz w:val="21"/>
                <w:szCs w:val="21"/>
                <w:lang w:eastAsia="en-AU"/>
              </w:rPr>
              <w:t> </w:t>
            </w:r>
          </w:p>
        </w:tc>
      </w:tr>
      <w:tr w:rsidR="00913FE0" w:rsidRPr="00913FE0" w14:paraId="60C8B7C5" w14:textId="77777777" w:rsidTr="00913FE0">
        <w:trPr>
          <w:trHeight w:val="320"/>
        </w:trPr>
        <w:tc>
          <w:tcPr>
            <w:tcW w:w="3840" w:type="dxa"/>
            <w:tcBorders>
              <w:top w:val="nil"/>
              <w:left w:val="nil"/>
              <w:bottom w:val="single" w:sz="8" w:space="0" w:color="auto"/>
              <w:right w:val="nil"/>
            </w:tcBorders>
            <w:shd w:val="clear" w:color="000000" w:fill="FFFFFF"/>
            <w:vAlign w:val="center"/>
            <w:hideMark/>
          </w:tcPr>
          <w:p w14:paraId="26A0913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Employee labour costs</w:t>
            </w:r>
          </w:p>
        </w:tc>
        <w:tc>
          <w:tcPr>
            <w:tcW w:w="1340" w:type="dxa"/>
            <w:tcBorders>
              <w:top w:val="nil"/>
              <w:left w:val="nil"/>
              <w:bottom w:val="single" w:sz="8" w:space="0" w:color="auto"/>
              <w:right w:val="nil"/>
            </w:tcBorders>
            <w:shd w:val="clear" w:color="000000" w:fill="FFFFFF"/>
            <w:noWrap/>
            <w:vAlign w:val="center"/>
            <w:hideMark/>
          </w:tcPr>
          <w:p w14:paraId="78EF0B5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05941E0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1E51607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FFFFFF"/>
            <w:noWrap/>
            <w:vAlign w:val="center"/>
            <w:hideMark/>
          </w:tcPr>
          <w:p w14:paraId="32ED9DB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00FA925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F3EDA2F"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Registered nurses</w:t>
            </w:r>
          </w:p>
        </w:tc>
        <w:tc>
          <w:tcPr>
            <w:tcW w:w="1340" w:type="dxa"/>
            <w:tcBorders>
              <w:top w:val="nil"/>
              <w:left w:val="nil"/>
              <w:bottom w:val="single" w:sz="8" w:space="0" w:color="auto"/>
              <w:right w:val="nil"/>
            </w:tcBorders>
            <w:shd w:val="clear" w:color="000000" w:fill="FFFFFF"/>
            <w:noWrap/>
            <w:vAlign w:val="center"/>
            <w:hideMark/>
          </w:tcPr>
          <w:p w14:paraId="7944F9D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$964</w:t>
            </w:r>
          </w:p>
        </w:tc>
        <w:tc>
          <w:tcPr>
            <w:tcW w:w="1340" w:type="dxa"/>
            <w:tcBorders>
              <w:top w:val="nil"/>
              <w:left w:val="nil"/>
              <w:bottom w:val="single" w:sz="8" w:space="0" w:color="auto"/>
              <w:right w:val="nil"/>
            </w:tcBorders>
            <w:shd w:val="clear" w:color="000000" w:fill="FFFFFF"/>
            <w:noWrap/>
            <w:vAlign w:val="center"/>
            <w:hideMark/>
          </w:tcPr>
          <w:p w14:paraId="663192D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$1,351</w:t>
            </w:r>
          </w:p>
        </w:tc>
        <w:tc>
          <w:tcPr>
            <w:tcW w:w="1340" w:type="dxa"/>
            <w:tcBorders>
              <w:top w:val="nil"/>
              <w:left w:val="nil"/>
              <w:bottom w:val="single" w:sz="8" w:space="0" w:color="auto"/>
              <w:right w:val="nil"/>
            </w:tcBorders>
            <w:shd w:val="clear" w:color="000000" w:fill="FFFFFF"/>
            <w:noWrap/>
            <w:vAlign w:val="center"/>
            <w:hideMark/>
          </w:tcPr>
          <w:p w14:paraId="16DBCF2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$194</w:t>
            </w:r>
          </w:p>
        </w:tc>
        <w:tc>
          <w:tcPr>
            <w:tcW w:w="1340" w:type="dxa"/>
            <w:tcBorders>
              <w:top w:val="nil"/>
              <w:left w:val="nil"/>
              <w:bottom w:val="single" w:sz="8" w:space="0" w:color="auto"/>
              <w:right w:val="nil"/>
            </w:tcBorders>
            <w:shd w:val="clear" w:color="000000" w:fill="FFFFFF"/>
            <w:noWrap/>
            <w:vAlign w:val="center"/>
            <w:hideMark/>
          </w:tcPr>
          <w:p w14:paraId="09A7AF3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$2,508</w:t>
            </w:r>
          </w:p>
        </w:tc>
      </w:tr>
      <w:tr w:rsidR="00913FE0" w:rsidRPr="00913FE0" w14:paraId="10D43B17"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7CD3C59"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Enrolled and licensed nurses (registered with the NMBA) </w:t>
            </w:r>
          </w:p>
        </w:tc>
        <w:tc>
          <w:tcPr>
            <w:tcW w:w="1340" w:type="dxa"/>
            <w:tcBorders>
              <w:top w:val="nil"/>
              <w:left w:val="nil"/>
              <w:bottom w:val="single" w:sz="8" w:space="0" w:color="auto"/>
              <w:right w:val="nil"/>
            </w:tcBorders>
            <w:shd w:val="clear" w:color="000000" w:fill="FFFFFF"/>
            <w:noWrap/>
            <w:vAlign w:val="center"/>
            <w:hideMark/>
          </w:tcPr>
          <w:p w14:paraId="0790D7E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$236</w:t>
            </w:r>
          </w:p>
        </w:tc>
        <w:tc>
          <w:tcPr>
            <w:tcW w:w="1340" w:type="dxa"/>
            <w:tcBorders>
              <w:top w:val="nil"/>
              <w:left w:val="nil"/>
              <w:bottom w:val="single" w:sz="8" w:space="0" w:color="auto"/>
              <w:right w:val="nil"/>
            </w:tcBorders>
            <w:shd w:val="clear" w:color="000000" w:fill="FFFFFF"/>
            <w:noWrap/>
            <w:vAlign w:val="center"/>
            <w:hideMark/>
          </w:tcPr>
          <w:p w14:paraId="5AB7BFC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$400</w:t>
            </w:r>
          </w:p>
        </w:tc>
        <w:tc>
          <w:tcPr>
            <w:tcW w:w="1340" w:type="dxa"/>
            <w:tcBorders>
              <w:top w:val="nil"/>
              <w:left w:val="nil"/>
              <w:bottom w:val="single" w:sz="8" w:space="0" w:color="auto"/>
              <w:right w:val="nil"/>
            </w:tcBorders>
            <w:shd w:val="clear" w:color="000000" w:fill="FFFFFF"/>
            <w:noWrap/>
            <w:vAlign w:val="center"/>
            <w:hideMark/>
          </w:tcPr>
          <w:p w14:paraId="5644107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$204</w:t>
            </w:r>
          </w:p>
        </w:tc>
        <w:tc>
          <w:tcPr>
            <w:tcW w:w="1340" w:type="dxa"/>
            <w:tcBorders>
              <w:top w:val="nil"/>
              <w:left w:val="nil"/>
              <w:bottom w:val="single" w:sz="8" w:space="0" w:color="auto"/>
              <w:right w:val="nil"/>
            </w:tcBorders>
            <w:shd w:val="clear" w:color="000000" w:fill="FFFFFF"/>
            <w:noWrap/>
            <w:vAlign w:val="center"/>
            <w:hideMark/>
          </w:tcPr>
          <w:p w14:paraId="0C39649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$840</w:t>
            </w:r>
          </w:p>
        </w:tc>
      </w:tr>
      <w:tr w:rsidR="00913FE0" w:rsidRPr="00913FE0" w14:paraId="4D572759"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38EB931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Personal care staff / assistants in nursing</w:t>
            </w:r>
          </w:p>
        </w:tc>
        <w:tc>
          <w:tcPr>
            <w:tcW w:w="1340" w:type="dxa"/>
            <w:tcBorders>
              <w:top w:val="nil"/>
              <w:left w:val="nil"/>
              <w:bottom w:val="single" w:sz="8" w:space="0" w:color="auto"/>
              <w:right w:val="nil"/>
            </w:tcBorders>
            <w:shd w:val="clear" w:color="000000" w:fill="FFFFFF"/>
            <w:noWrap/>
            <w:vAlign w:val="center"/>
            <w:hideMark/>
          </w:tcPr>
          <w:p w14:paraId="4077640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$2,476</w:t>
            </w:r>
          </w:p>
        </w:tc>
        <w:tc>
          <w:tcPr>
            <w:tcW w:w="1340" w:type="dxa"/>
            <w:tcBorders>
              <w:top w:val="nil"/>
              <w:left w:val="nil"/>
              <w:bottom w:val="single" w:sz="8" w:space="0" w:color="auto"/>
              <w:right w:val="nil"/>
            </w:tcBorders>
            <w:shd w:val="clear" w:color="000000" w:fill="FFFFFF"/>
            <w:noWrap/>
            <w:vAlign w:val="center"/>
            <w:hideMark/>
          </w:tcPr>
          <w:p w14:paraId="3F4525A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$3,795</w:t>
            </w:r>
          </w:p>
        </w:tc>
        <w:tc>
          <w:tcPr>
            <w:tcW w:w="1340" w:type="dxa"/>
            <w:tcBorders>
              <w:top w:val="nil"/>
              <w:left w:val="nil"/>
              <w:bottom w:val="single" w:sz="8" w:space="0" w:color="auto"/>
              <w:right w:val="nil"/>
            </w:tcBorders>
            <w:shd w:val="clear" w:color="000000" w:fill="FFFFFF"/>
            <w:noWrap/>
            <w:vAlign w:val="center"/>
            <w:hideMark/>
          </w:tcPr>
          <w:p w14:paraId="5AC1571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$165</w:t>
            </w:r>
          </w:p>
        </w:tc>
        <w:tc>
          <w:tcPr>
            <w:tcW w:w="1340" w:type="dxa"/>
            <w:tcBorders>
              <w:top w:val="nil"/>
              <w:left w:val="nil"/>
              <w:bottom w:val="single" w:sz="8" w:space="0" w:color="auto"/>
              <w:right w:val="nil"/>
            </w:tcBorders>
            <w:shd w:val="clear" w:color="000000" w:fill="FFFFFF"/>
            <w:noWrap/>
            <w:vAlign w:val="center"/>
            <w:hideMark/>
          </w:tcPr>
          <w:p w14:paraId="46372A1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$6,436</w:t>
            </w:r>
          </w:p>
        </w:tc>
      </w:tr>
      <w:tr w:rsidR="00913FE0" w:rsidRPr="00913FE0" w14:paraId="002F930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38D5D7F"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Care management staff</w:t>
            </w:r>
          </w:p>
        </w:tc>
        <w:tc>
          <w:tcPr>
            <w:tcW w:w="1340" w:type="dxa"/>
            <w:tcBorders>
              <w:top w:val="nil"/>
              <w:left w:val="nil"/>
              <w:bottom w:val="single" w:sz="8" w:space="0" w:color="auto"/>
              <w:right w:val="nil"/>
            </w:tcBorders>
            <w:shd w:val="clear" w:color="000000" w:fill="FFFFFF"/>
            <w:noWrap/>
            <w:vAlign w:val="center"/>
            <w:hideMark/>
          </w:tcPr>
          <w:p w14:paraId="014894A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$138</w:t>
            </w:r>
          </w:p>
        </w:tc>
        <w:tc>
          <w:tcPr>
            <w:tcW w:w="1340" w:type="dxa"/>
            <w:tcBorders>
              <w:top w:val="nil"/>
              <w:left w:val="nil"/>
              <w:bottom w:val="single" w:sz="8" w:space="0" w:color="auto"/>
              <w:right w:val="nil"/>
            </w:tcBorders>
            <w:shd w:val="clear" w:color="000000" w:fill="FFFFFF"/>
            <w:noWrap/>
            <w:vAlign w:val="center"/>
            <w:hideMark/>
          </w:tcPr>
          <w:p w14:paraId="587B710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$276</w:t>
            </w:r>
          </w:p>
        </w:tc>
        <w:tc>
          <w:tcPr>
            <w:tcW w:w="1340" w:type="dxa"/>
            <w:tcBorders>
              <w:top w:val="nil"/>
              <w:left w:val="nil"/>
              <w:bottom w:val="single" w:sz="8" w:space="0" w:color="auto"/>
              <w:right w:val="nil"/>
            </w:tcBorders>
            <w:shd w:val="clear" w:color="000000" w:fill="FFFFFF"/>
            <w:noWrap/>
            <w:vAlign w:val="center"/>
            <w:hideMark/>
          </w:tcPr>
          <w:p w14:paraId="12AC19C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$43</w:t>
            </w:r>
          </w:p>
        </w:tc>
        <w:tc>
          <w:tcPr>
            <w:tcW w:w="1340" w:type="dxa"/>
            <w:tcBorders>
              <w:top w:val="nil"/>
              <w:left w:val="nil"/>
              <w:bottom w:val="single" w:sz="8" w:space="0" w:color="auto"/>
              <w:right w:val="nil"/>
            </w:tcBorders>
            <w:shd w:val="clear" w:color="000000" w:fill="FFFFFF"/>
            <w:noWrap/>
            <w:vAlign w:val="center"/>
            <w:hideMark/>
          </w:tcPr>
          <w:p w14:paraId="6F64918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$457</w:t>
            </w:r>
          </w:p>
        </w:tc>
      </w:tr>
      <w:tr w:rsidR="00913FE0" w:rsidRPr="00913FE0" w14:paraId="5CCE2386"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C293DC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Allied health </w:t>
            </w:r>
          </w:p>
        </w:tc>
        <w:tc>
          <w:tcPr>
            <w:tcW w:w="1340" w:type="dxa"/>
            <w:tcBorders>
              <w:top w:val="nil"/>
              <w:left w:val="nil"/>
              <w:bottom w:val="single" w:sz="8" w:space="0" w:color="auto"/>
              <w:right w:val="nil"/>
            </w:tcBorders>
            <w:shd w:val="clear" w:color="000000" w:fill="FFFFFF"/>
            <w:noWrap/>
            <w:vAlign w:val="center"/>
            <w:hideMark/>
          </w:tcPr>
          <w:p w14:paraId="1532DB6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$51</w:t>
            </w:r>
          </w:p>
        </w:tc>
        <w:tc>
          <w:tcPr>
            <w:tcW w:w="1340" w:type="dxa"/>
            <w:tcBorders>
              <w:top w:val="nil"/>
              <w:left w:val="nil"/>
              <w:bottom w:val="single" w:sz="8" w:space="0" w:color="auto"/>
              <w:right w:val="nil"/>
            </w:tcBorders>
            <w:shd w:val="clear" w:color="000000" w:fill="FFFFFF"/>
            <w:noWrap/>
            <w:vAlign w:val="center"/>
            <w:hideMark/>
          </w:tcPr>
          <w:p w14:paraId="5B17A87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$80</w:t>
            </w:r>
          </w:p>
        </w:tc>
        <w:tc>
          <w:tcPr>
            <w:tcW w:w="1340" w:type="dxa"/>
            <w:tcBorders>
              <w:top w:val="nil"/>
              <w:left w:val="nil"/>
              <w:bottom w:val="single" w:sz="8" w:space="0" w:color="auto"/>
              <w:right w:val="nil"/>
            </w:tcBorders>
            <w:shd w:val="clear" w:color="000000" w:fill="FFFFFF"/>
            <w:noWrap/>
            <w:vAlign w:val="center"/>
            <w:hideMark/>
          </w:tcPr>
          <w:p w14:paraId="35A6402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45F82C7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$141</w:t>
            </w:r>
          </w:p>
        </w:tc>
      </w:tr>
      <w:tr w:rsidR="00913FE0" w:rsidRPr="00913FE0" w14:paraId="21B88598"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B35AD29"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Diversional therapy / lifestyle / recreation / activities officer</w:t>
            </w:r>
          </w:p>
        </w:tc>
        <w:tc>
          <w:tcPr>
            <w:tcW w:w="1340" w:type="dxa"/>
            <w:tcBorders>
              <w:top w:val="nil"/>
              <w:left w:val="nil"/>
              <w:bottom w:val="single" w:sz="8" w:space="0" w:color="auto"/>
              <w:right w:val="nil"/>
            </w:tcBorders>
            <w:shd w:val="clear" w:color="000000" w:fill="FFFFFF"/>
            <w:noWrap/>
            <w:vAlign w:val="center"/>
            <w:hideMark/>
          </w:tcPr>
          <w:p w14:paraId="0540E3C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$127</w:t>
            </w:r>
          </w:p>
        </w:tc>
        <w:tc>
          <w:tcPr>
            <w:tcW w:w="1340" w:type="dxa"/>
            <w:tcBorders>
              <w:top w:val="nil"/>
              <w:left w:val="nil"/>
              <w:bottom w:val="single" w:sz="8" w:space="0" w:color="auto"/>
              <w:right w:val="nil"/>
            </w:tcBorders>
            <w:shd w:val="clear" w:color="000000" w:fill="FFFFFF"/>
            <w:noWrap/>
            <w:vAlign w:val="center"/>
            <w:hideMark/>
          </w:tcPr>
          <w:p w14:paraId="256FE42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$188</w:t>
            </w:r>
          </w:p>
        </w:tc>
        <w:tc>
          <w:tcPr>
            <w:tcW w:w="1340" w:type="dxa"/>
            <w:tcBorders>
              <w:top w:val="nil"/>
              <w:left w:val="nil"/>
              <w:bottom w:val="single" w:sz="8" w:space="0" w:color="auto"/>
              <w:right w:val="nil"/>
            </w:tcBorders>
            <w:shd w:val="clear" w:color="000000" w:fill="FFFFFF"/>
            <w:noWrap/>
            <w:vAlign w:val="center"/>
            <w:hideMark/>
          </w:tcPr>
          <w:p w14:paraId="509053E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w:t>
            </w:r>
          </w:p>
        </w:tc>
        <w:tc>
          <w:tcPr>
            <w:tcW w:w="1340" w:type="dxa"/>
            <w:tcBorders>
              <w:top w:val="nil"/>
              <w:left w:val="nil"/>
              <w:bottom w:val="single" w:sz="8" w:space="0" w:color="auto"/>
              <w:right w:val="nil"/>
            </w:tcBorders>
            <w:shd w:val="clear" w:color="000000" w:fill="FFFFFF"/>
            <w:noWrap/>
            <w:vAlign w:val="center"/>
            <w:hideMark/>
          </w:tcPr>
          <w:p w14:paraId="4BEEC2E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$334</w:t>
            </w:r>
          </w:p>
        </w:tc>
      </w:tr>
      <w:tr w:rsidR="00913FE0" w:rsidRPr="00913FE0" w14:paraId="33EE34F0"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EE9D1F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employee staff</w:t>
            </w:r>
          </w:p>
        </w:tc>
        <w:tc>
          <w:tcPr>
            <w:tcW w:w="1340" w:type="dxa"/>
            <w:tcBorders>
              <w:top w:val="nil"/>
              <w:left w:val="nil"/>
              <w:bottom w:val="single" w:sz="8" w:space="0" w:color="auto"/>
              <w:right w:val="nil"/>
            </w:tcBorders>
            <w:shd w:val="clear" w:color="000000" w:fill="FFFFFF"/>
            <w:noWrap/>
            <w:vAlign w:val="center"/>
            <w:hideMark/>
          </w:tcPr>
          <w:p w14:paraId="2B29B27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9B0A47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8A1971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3A2EE40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r>
      <w:tr w:rsidR="00913FE0" w:rsidRPr="00913FE0" w14:paraId="5B2008BA"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471999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employee labour costs</w:t>
            </w:r>
          </w:p>
        </w:tc>
        <w:tc>
          <w:tcPr>
            <w:tcW w:w="1340" w:type="dxa"/>
            <w:tcBorders>
              <w:top w:val="nil"/>
              <w:left w:val="nil"/>
              <w:bottom w:val="single" w:sz="8" w:space="0" w:color="auto"/>
              <w:right w:val="nil"/>
            </w:tcBorders>
            <w:shd w:val="clear" w:color="000000" w:fill="D8DADA"/>
            <w:noWrap/>
            <w:vAlign w:val="center"/>
            <w:hideMark/>
          </w:tcPr>
          <w:p w14:paraId="251E8E8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$3,992</w:t>
            </w:r>
          </w:p>
        </w:tc>
        <w:tc>
          <w:tcPr>
            <w:tcW w:w="1340" w:type="dxa"/>
            <w:tcBorders>
              <w:top w:val="nil"/>
              <w:left w:val="nil"/>
              <w:bottom w:val="single" w:sz="8" w:space="0" w:color="auto"/>
              <w:right w:val="nil"/>
            </w:tcBorders>
            <w:shd w:val="clear" w:color="000000" w:fill="D8DADA"/>
            <w:noWrap/>
            <w:vAlign w:val="center"/>
            <w:hideMark/>
          </w:tcPr>
          <w:p w14:paraId="204F766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$6,089</w:t>
            </w:r>
          </w:p>
        </w:tc>
        <w:tc>
          <w:tcPr>
            <w:tcW w:w="1340" w:type="dxa"/>
            <w:tcBorders>
              <w:top w:val="nil"/>
              <w:left w:val="nil"/>
              <w:bottom w:val="single" w:sz="8" w:space="0" w:color="auto"/>
              <w:right w:val="nil"/>
            </w:tcBorders>
            <w:shd w:val="clear" w:color="000000" w:fill="D8DADA"/>
            <w:noWrap/>
            <w:vAlign w:val="center"/>
            <w:hideMark/>
          </w:tcPr>
          <w:p w14:paraId="237D928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$636</w:t>
            </w:r>
          </w:p>
        </w:tc>
        <w:tc>
          <w:tcPr>
            <w:tcW w:w="1340" w:type="dxa"/>
            <w:tcBorders>
              <w:top w:val="nil"/>
              <w:left w:val="nil"/>
              <w:bottom w:val="single" w:sz="8" w:space="0" w:color="auto"/>
              <w:right w:val="nil"/>
            </w:tcBorders>
            <w:shd w:val="clear" w:color="000000" w:fill="D8DADA"/>
            <w:noWrap/>
            <w:vAlign w:val="center"/>
            <w:hideMark/>
          </w:tcPr>
          <w:p w14:paraId="236B015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$10,717</w:t>
            </w:r>
          </w:p>
        </w:tc>
      </w:tr>
      <w:tr w:rsidR="00913FE0" w:rsidRPr="00913FE0" w14:paraId="73BFB06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76FBAD65"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Agency labour costs</w:t>
            </w:r>
          </w:p>
        </w:tc>
        <w:tc>
          <w:tcPr>
            <w:tcW w:w="1340" w:type="dxa"/>
            <w:tcBorders>
              <w:top w:val="nil"/>
              <w:left w:val="nil"/>
              <w:bottom w:val="single" w:sz="8" w:space="0" w:color="auto"/>
              <w:right w:val="nil"/>
            </w:tcBorders>
            <w:shd w:val="clear" w:color="000000" w:fill="D8DADA"/>
            <w:noWrap/>
            <w:vAlign w:val="center"/>
            <w:hideMark/>
          </w:tcPr>
          <w:p w14:paraId="3037F62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DE9FBF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4744AD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3C67C36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24B1FF75"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BDEB6B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Registered nurses</w:t>
            </w:r>
          </w:p>
        </w:tc>
        <w:tc>
          <w:tcPr>
            <w:tcW w:w="1340" w:type="dxa"/>
            <w:tcBorders>
              <w:top w:val="nil"/>
              <w:left w:val="nil"/>
              <w:bottom w:val="single" w:sz="8" w:space="0" w:color="auto"/>
              <w:right w:val="nil"/>
            </w:tcBorders>
            <w:shd w:val="clear" w:color="000000" w:fill="FFFFFF"/>
            <w:noWrap/>
            <w:vAlign w:val="center"/>
            <w:hideMark/>
          </w:tcPr>
          <w:p w14:paraId="4A150C0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$88</w:t>
            </w:r>
          </w:p>
        </w:tc>
        <w:tc>
          <w:tcPr>
            <w:tcW w:w="1340" w:type="dxa"/>
            <w:tcBorders>
              <w:top w:val="nil"/>
              <w:left w:val="nil"/>
              <w:bottom w:val="single" w:sz="8" w:space="0" w:color="auto"/>
              <w:right w:val="nil"/>
            </w:tcBorders>
            <w:shd w:val="clear" w:color="000000" w:fill="FFFFFF"/>
            <w:noWrap/>
            <w:vAlign w:val="center"/>
            <w:hideMark/>
          </w:tcPr>
          <w:p w14:paraId="247A8E0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$214</w:t>
            </w:r>
          </w:p>
        </w:tc>
        <w:tc>
          <w:tcPr>
            <w:tcW w:w="1340" w:type="dxa"/>
            <w:tcBorders>
              <w:top w:val="nil"/>
              <w:left w:val="nil"/>
              <w:bottom w:val="single" w:sz="8" w:space="0" w:color="auto"/>
              <w:right w:val="nil"/>
            </w:tcBorders>
            <w:shd w:val="clear" w:color="000000" w:fill="FFFFFF"/>
            <w:noWrap/>
            <w:vAlign w:val="center"/>
            <w:hideMark/>
          </w:tcPr>
          <w:p w14:paraId="0CA7929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c>
          <w:tcPr>
            <w:tcW w:w="1340" w:type="dxa"/>
            <w:tcBorders>
              <w:top w:val="nil"/>
              <w:left w:val="nil"/>
              <w:bottom w:val="single" w:sz="8" w:space="0" w:color="auto"/>
              <w:right w:val="nil"/>
            </w:tcBorders>
            <w:shd w:val="clear" w:color="000000" w:fill="FFFFFF"/>
            <w:noWrap/>
            <w:vAlign w:val="center"/>
            <w:hideMark/>
          </w:tcPr>
          <w:p w14:paraId="13AE66F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$329</w:t>
            </w:r>
          </w:p>
        </w:tc>
      </w:tr>
      <w:tr w:rsidR="00913FE0" w:rsidRPr="00913FE0" w14:paraId="585B35FF"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5BA1F58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Enrolled and licensed nurses (registered with the NMBA) </w:t>
            </w:r>
          </w:p>
        </w:tc>
        <w:tc>
          <w:tcPr>
            <w:tcW w:w="1340" w:type="dxa"/>
            <w:tcBorders>
              <w:top w:val="nil"/>
              <w:left w:val="nil"/>
              <w:bottom w:val="single" w:sz="8" w:space="0" w:color="auto"/>
              <w:right w:val="nil"/>
            </w:tcBorders>
            <w:shd w:val="clear" w:color="000000" w:fill="FFFFFF"/>
            <w:noWrap/>
            <w:vAlign w:val="center"/>
            <w:hideMark/>
          </w:tcPr>
          <w:p w14:paraId="6F554DE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w:t>
            </w:r>
          </w:p>
        </w:tc>
        <w:tc>
          <w:tcPr>
            <w:tcW w:w="1340" w:type="dxa"/>
            <w:tcBorders>
              <w:top w:val="nil"/>
              <w:left w:val="nil"/>
              <w:bottom w:val="single" w:sz="8" w:space="0" w:color="auto"/>
              <w:right w:val="nil"/>
            </w:tcBorders>
            <w:shd w:val="clear" w:color="000000" w:fill="FFFFFF"/>
            <w:noWrap/>
            <w:vAlign w:val="center"/>
            <w:hideMark/>
          </w:tcPr>
          <w:p w14:paraId="369B700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$43</w:t>
            </w:r>
          </w:p>
        </w:tc>
        <w:tc>
          <w:tcPr>
            <w:tcW w:w="1340" w:type="dxa"/>
            <w:tcBorders>
              <w:top w:val="nil"/>
              <w:left w:val="nil"/>
              <w:bottom w:val="single" w:sz="8" w:space="0" w:color="auto"/>
              <w:right w:val="nil"/>
            </w:tcBorders>
            <w:shd w:val="clear" w:color="000000" w:fill="FFFFFF"/>
            <w:noWrap/>
            <w:vAlign w:val="center"/>
            <w:hideMark/>
          </w:tcPr>
          <w:p w14:paraId="0425FBB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w:t>
            </w:r>
          </w:p>
        </w:tc>
        <w:tc>
          <w:tcPr>
            <w:tcW w:w="1340" w:type="dxa"/>
            <w:tcBorders>
              <w:top w:val="nil"/>
              <w:left w:val="nil"/>
              <w:bottom w:val="single" w:sz="8" w:space="0" w:color="auto"/>
              <w:right w:val="nil"/>
            </w:tcBorders>
            <w:shd w:val="clear" w:color="000000" w:fill="FFFFFF"/>
            <w:noWrap/>
            <w:vAlign w:val="center"/>
            <w:hideMark/>
          </w:tcPr>
          <w:p w14:paraId="4035506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$71</w:t>
            </w:r>
          </w:p>
        </w:tc>
      </w:tr>
      <w:tr w:rsidR="00913FE0" w:rsidRPr="00913FE0" w14:paraId="1140A6BA"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3E334DA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Personal care staff / assistants in nursing</w:t>
            </w:r>
          </w:p>
        </w:tc>
        <w:tc>
          <w:tcPr>
            <w:tcW w:w="1340" w:type="dxa"/>
            <w:tcBorders>
              <w:top w:val="nil"/>
              <w:left w:val="nil"/>
              <w:bottom w:val="single" w:sz="8" w:space="0" w:color="auto"/>
              <w:right w:val="nil"/>
            </w:tcBorders>
            <w:shd w:val="clear" w:color="000000" w:fill="FFFFFF"/>
            <w:noWrap/>
            <w:vAlign w:val="center"/>
            <w:hideMark/>
          </w:tcPr>
          <w:p w14:paraId="5136ED9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$191</w:t>
            </w:r>
          </w:p>
        </w:tc>
        <w:tc>
          <w:tcPr>
            <w:tcW w:w="1340" w:type="dxa"/>
            <w:tcBorders>
              <w:top w:val="nil"/>
              <w:left w:val="nil"/>
              <w:bottom w:val="single" w:sz="8" w:space="0" w:color="auto"/>
              <w:right w:val="nil"/>
            </w:tcBorders>
            <w:shd w:val="clear" w:color="000000" w:fill="FFFFFF"/>
            <w:noWrap/>
            <w:vAlign w:val="center"/>
            <w:hideMark/>
          </w:tcPr>
          <w:p w14:paraId="43457F3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$434</w:t>
            </w:r>
          </w:p>
        </w:tc>
        <w:tc>
          <w:tcPr>
            <w:tcW w:w="1340" w:type="dxa"/>
            <w:tcBorders>
              <w:top w:val="nil"/>
              <w:left w:val="nil"/>
              <w:bottom w:val="single" w:sz="8" w:space="0" w:color="auto"/>
              <w:right w:val="nil"/>
            </w:tcBorders>
            <w:shd w:val="clear" w:color="000000" w:fill="FFFFFF"/>
            <w:noWrap/>
            <w:vAlign w:val="center"/>
            <w:hideMark/>
          </w:tcPr>
          <w:p w14:paraId="5C2F28A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w:t>
            </w:r>
          </w:p>
        </w:tc>
        <w:tc>
          <w:tcPr>
            <w:tcW w:w="1340" w:type="dxa"/>
            <w:tcBorders>
              <w:top w:val="nil"/>
              <w:left w:val="nil"/>
              <w:bottom w:val="single" w:sz="8" w:space="0" w:color="auto"/>
              <w:right w:val="nil"/>
            </w:tcBorders>
            <w:shd w:val="clear" w:color="000000" w:fill="FFFFFF"/>
            <w:noWrap/>
            <w:vAlign w:val="center"/>
            <w:hideMark/>
          </w:tcPr>
          <w:p w14:paraId="1837017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$636</w:t>
            </w:r>
          </w:p>
        </w:tc>
      </w:tr>
      <w:tr w:rsidR="00913FE0" w:rsidRPr="00913FE0" w14:paraId="5CD66501"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848D54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Care management staff</w:t>
            </w:r>
          </w:p>
        </w:tc>
        <w:tc>
          <w:tcPr>
            <w:tcW w:w="1340" w:type="dxa"/>
            <w:tcBorders>
              <w:top w:val="nil"/>
              <w:left w:val="nil"/>
              <w:bottom w:val="single" w:sz="8" w:space="0" w:color="auto"/>
              <w:right w:val="nil"/>
            </w:tcBorders>
            <w:shd w:val="clear" w:color="000000" w:fill="FFFFFF"/>
            <w:noWrap/>
            <w:vAlign w:val="center"/>
            <w:hideMark/>
          </w:tcPr>
          <w:p w14:paraId="1D2B0F5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17F82A8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2684B0D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B82327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r>
      <w:tr w:rsidR="00913FE0" w:rsidRPr="00913FE0" w14:paraId="2EF82BC0"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7EDC18A"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Allied health </w:t>
            </w:r>
          </w:p>
        </w:tc>
        <w:tc>
          <w:tcPr>
            <w:tcW w:w="1340" w:type="dxa"/>
            <w:tcBorders>
              <w:top w:val="nil"/>
              <w:left w:val="nil"/>
              <w:bottom w:val="single" w:sz="8" w:space="0" w:color="auto"/>
              <w:right w:val="nil"/>
            </w:tcBorders>
            <w:shd w:val="clear" w:color="000000" w:fill="FFFFFF"/>
            <w:noWrap/>
            <w:vAlign w:val="center"/>
            <w:hideMark/>
          </w:tcPr>
          <w:p w14:paraId="67268D5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$104</w:t>
            </w:r>
          </w:p>
        </w:tc>
        <w:tc>
          <w:tcPr>
            <w:tcW w:w="1340" w:type="dxa"/>
            <w:tcBorders>
              <w:top w:val="nil"/>
              <w:left w:val="nil"/>
              <w:bottom w:val="single" w:sz="8" w:space="0" w:color="auto"/>
              <w:right w:val="nil"/>
            </w:tcBorders>
            <w:shd w:val="clear" w:color="000000" w:fill="FFFFFF"/>
            <w:noWrap/>
            <w:vAlign w:val="center"/>
            <w:hideMark/>
          </w:tcPr>
          <w:p w14:paraId="4D0A3ED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$189</w:t>
            </w:r>
          </w:p>
        </w:tc>
        <w:tc>
          <w:tcPr>
            <w:tcW w:w="1340" w:type="dxa"/>
            <w:tcBorders>
              <w:top w:val="nil"/>
              <w:left w:val="nil"/>
              <w:bottom w:val="single" w:sz="8" w:space="0" w:color="auto"/>
              <w:right w:val="nil"/>
            </w:tcBorders>
            <w:shd w:val="clear" w:color="000000" w:fill="FFFFFF"/>
            <w:noWrap/>
            <w:vAlign w:val="center"/>
            <w:hideMark/>
          </w:tcPr>
          <w:p w14:paraId="1D1A9DD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c>
          <w:tcPr>
            <w:tcW w:w="1340" w:type="dxa"/>
            <w:tcBorders>
              <w:top w:val="nil"/>
              <w:left w:val="nil"/>
              <w:bottom w:val="single" w:sz="8" w:space="0" w:color="auto"/>
              <w:right w:val="nil"/>
            </w:tcBorders>
            <w:shd w:val="clear" w:color="000000" w:fill="FFFFFF"/>
            <w:noWrap/>
            <w:vAlign w:val="center"/>
            <w:hideMark/>
          </w:tcPr>
          <w:p w14:paraId="21254C9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$300</w:t>
            </w:r>
          </w:p>
        </w:tc>
      </w:tr>
      <w:tr w:rsidR="00913FE0" w:rsidRPr="00913FE0" w14:paraId="4F2FC79D"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01B3380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Diversional therapy / lifestyle / recreation / activities officer</w:t>
            </w:r>
          </w:p>
        </w:tc>
        <w:tc>
          <w:tcPr>
            <w:tcW w:w="1340" w:type="dxa"/>
            <w:tcBorders>
              <w:top w:val="nil"/>
              <w:left w:val="nil"/>
              <w:bottom w:val="single" w:sz="8" w:space="0" w:color="auto"/>
              <w:right w:val="nil"/>
            </w:tcBorders>
            <w:shd w:val="clear" w:color="000000" w:fill="FFFFFF"/>
            <w:noWrap/>
            <w:vAlign w:val="center"/>
            <w:hideMark/>
          </w:tcPr>
          <w:p w14:paraId="537803E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3E3AC60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6FCCF1B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246198C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r>
      <w:tr w:rsidR="00913FE0" w:rsidRPr="00913FE0" w14:paraId="4BD014B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709B56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employee staff</w:t>
            </w:r>
          </w:p>
        </w:tc>
        <w:tc>
          <w:tcPr>
            <w:tcW w:w="1340" w:type="dxa"/>
            <w:tcBorders>
              <w:top w:val="nil"/>
              <w:left w:val="nil"/>
              <w:bottom w:val="single" w:sz="8" w:space="0" w:color="auto"/>
              <w:right w:val="nil"/>
            </w:tcBorders>
            <w:shd w:val="clear" w:color="000000" w:fill="FFFFFF"/>
            <w:noWrap/>
            <w:vAlign w:val="center"/>
            <w:hideMark/>
          </w:tcPr>
          <w:p w14:paraId="4A80919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15F67F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423409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5772025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r>
      <w:tr w:rsidR="00913FE0" w:rsidRPr="00913FE0" w14:paraId="36B1986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8B6FC1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agency labour costs</w:t>
            </w:r>
          </w:p>
        </w:tc>
        <w:tc>
          <w:tcPr>
            <w:tcW w:w="1340" w:type="dxa"/>
            <w:tcBorders>
              <w:top w:val="nil"/>
              <w:left w:val="nil"/>
              <w:bottom w:val="single" w:sz="8" w:space="0" w:color="auto"/>
              <w:right w:val="nil"/>
            </w:tcBorders>
            <w:shd w:val="clear" w:color="000000" w:fill="D8DADA"/>
            <w:noWrap/>
            <w:vAlign w:val="center"/>
            <w:hideMark/>
          </w:tcPr>
          <w:p w14:paraId="6EF272E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$405</w:t>
            </w:r>
          </w:p>
        </w:tc>
        <w:tc>
          <w:tcPr>
            <w:tcW w:w="1340" w:type="dxa"/>
            <w:tcBorders>
              <w:top w:val="nil"/>
              <w:left w:val="nil"/>
              <w:bottom w:val="single" w:sz="8" w:space="0" w:color="auto"/>
              <w:right w:val="nil"/>
            </w:tcBorders>
            <w:shd w:val="clear" w:color="000000" w:fill="D8DADA"/>
            <w:noWrap/>
            <w:vAlign w:val="center"/>
            <w:hideMark/>
          </w:tcPr>
          <w:p w14:paraId="662F9CC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$885</w:t>
            </w:r>
          </w:p>
        </w:tc>
        <w:tc>
          <w:tcPr>
            <w:tcW w:w="1340" w:type="dxa"/>
            <w:tcBorders>
              <w:top w:val="nil"/>
              <w:left w:val="nil"/>
              <w:bottom w:val="single" w:sz="8" w:space="0" w:color="auto"/>
              <w:right w:val="nil"/>
            </w:tcBorders>
            <w:shd w:val="clear" w:color="000000" w:fill="D8DADA"/>
            <w:noWrap/>
            <w:vAlign w:val="center"/>
            <w:hideMark/>
          </w:tcPr>
          <w:p w14:paraId="4B9E5E6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$53</w:t>
            </w:r>
          </w:p>
        </w:tc>
        <w:tc>
          <w:tcPr>
            <w:tcW w:w="1340" w:type="dxa"/>
            <w:tcBorders>
              <w:top w:val="nil"/>
              <w:left w:val="nil"/>
              <w:bottom w:val="single" w:sz="8" w:space="0" w:color="auto"/>
              <w:right w:val="nil"/>
            </w:tcBorders>
            <w:shd w:val="clear" w:color="000000" w:fill="D8DADA"/>
            <w:noWrap/>
            <w:vAlign w:val="center"/>
            <w:hideMark/>
          </w:tcPr>
          <w:p w14:paraId="1599572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$1,343</w:t>
            </w:r>
          </w:p>
        </w:tc>
      </w:tr>
      <w:tr w:rsidR="00913FE0" w:rsidRPr="00913FE0" w14:paraId="574D28C5"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562FD54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labour - management entity staff costs</w:t>
            </w:r>
          </w:p>
        </w:tc>
        <w:tc>
          <w:tcPr>
            <w:tcW w:w="1340" w:type="dxa"/>
            <w:tcBorders>
              <w:top w:val="nil"/>
              <w:left w:val="nil"/>
              <w:bottom w:val="single" w:sz="8" w:space="0" w:color="auto"/>
              <w:right w:val="nil"/>
            </w:tcBorders>
            <w:shd w:val="clear" w:color="000000" w:fill="FFFFFF"/>
            <w:noWrap/>
            <w:vAlign w:val="center"/>
            <w:hideMark/>
          </w:tcPr>
          <w:p w14:paraId="04169B7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256789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A5E508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F44A3D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r>
      <w:tr w:rsidR="00913FE0" w:rsidRPr="00913FE0" w14:paraId="71B7F5D5"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621EEF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direct care labour costs</w:t>
            </w:r>
          </w:p>
        </w:tc>
        <w:tc>
          <w:tcPr>
            <w:tcW w:w="1340" w:type="dxa"/>
            <w:tcBorders>
              <w:top w:val="nil"/>
              <w:left w:val="nil"/>
              <w:bottom w:val="single" w:sz="8" w:space="0" w:color="auto"/>
              <w:right w:val="nil"/>
            </w:tcBorders>
            <w:shd w:val="clear" w:color="000000" w:fill="D8DADA"/>
            <w:noWrap/>
            <w:vAlign w:val="center"/>
            <w:hideMark/>
          </w:tcPr>
          <w:p w14:paraId="1ED9A56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$4,397</w:t>
            </w:r>
          </w:p>
        </w:tc>
        <w:tc>
          <w:tcPr>
            <w:tcW w:w="1340" w:type="dxa"/>
            <w:tcBorders>
              <w:top w:val="nil"/>
              <w:left w:val="nil"/>
              <w:bottom w:val="single" w:sz="8" w:space="0" w:color="auto"/>
              <w:right w:val="nil"/>
            </w:tcBorders>
            <w:shd w:val="clear" w:color="000000" w:fill="D8DADA"/>
            <w:noWrap/>
            <w:vAlign w:val="center"/>
            <w:hideMark/>
          </w:tcPr>
          <w:p w14:paraId="1EAACC7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$6,974</w:t>
            </w:r>
          </w:p>
        </w:tc>
        <w:tc>
          <w:tcPr>
            <w:tcW w:w="1340" w:type="dxa"/>
            <w:tcBorders>
              <w:top w:val="nil"/>
              <w:left w:val="nil"/>
              <w:bottom w:val="single" w:sz="8" w:space="0" w:color="auto"/>
              <w:right w:val="nil"/>
            </w:tcBorders>
            <w:shd w:val="clear" w:color="000000" w:fill="D8DADA"/>
            <w:noWrap/>
            <w:vAlign w:val="center"/>
            <w:hideMark/>
          </w:tcPr>
          <w:p w14:paraId="1973A51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$689</w:t>
            </w:r>
          </w:p>
        </w:tc>
        <w:tc>
          <w:tcPr>
            <w:tcW w:w="1340" w:type="dxa"/>
            <w:tcBorders>
              <w:top w:val="nil"/>
              <w:left w:val="nil"/>
              <w:bottom w:val="single" w:sz="8" w:space="0" w:color="auto"/>
              <w:right w:val="nil"/>
            </w:tcBorders>
            <w:shd w:val="clear" w:color="000000" w:fill="D8DADA"/>
            <w:noWrap/>
            <w:vAlign w:val="center"/>
            <w:hideMark/>
          </w:tcPr>
          <w:p w14:paraId="04920AE0"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$12,059</w:t>
            </w:r>
          </w:p>
        </w:tc>
      </w:tr>
      <w:tr w:rsidR="00913FE0" w:rsidRPr="00913FE0" w14:paraId="0F13812B"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395EF10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Resident expenses</w:t>
            </w:r>
          </w:p>
        </w:tc>
        <w:tc>
          <w:tcPr>
            <w:tcW w:w="1340" w:type="dxa"/>
            <w:tcBorders>
              <w:top w:val="nil"/>
              <w:left w:val="nil"/>
              <w:bottom w:val="single" w:sz="8" w:space="0" w:color="auto"/>
              <w:right w:val="nil"/>
            </w:tcBorders>
            <w:shd w:val="clear" w:color="000000" w:fill="D8DADA"/>
            <w:noWrap/>
            <w:vAlign w:val="center"/>
            <w:hideMark/>
          </w:tcPr>
          <w:p w14:paraId="0A507A5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C71762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37CE924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ACDAA8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7D5643D1"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A4F01B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Medical supplies </w:t>
            </w:r>
          </w:p>
        </w:tc>
        <w:tc>
          <w:tcPr>
            <w:tcW w:w="1340" w:type="dxa"/>
            <w:tcBorders>
              <w:top w:val="nil"/>
              <w:left w:val="nil"/>
              <w:bottom w:val="single" w:sz="8" w:space="0" w:color="auto"/>
              <w:right w:val="nil"/>
            </w:tcBorders>
            <w:shd w:val="clear" w:color="000000" w:fill="FFFFFF"/>
            <w:noWrap/>
            <w:vAlign w:val="center"/>
            <w:hideMark/>
          </w:tcPr>
          <w:p w14:paraId="4401EB6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$69</w:t>
            </w:r>
          </w:p>
        </w:tc>
        <w:tc>
          <w:tcPr>
            <w:tcW w:w="1340" w:type="dxa"/>
            <w:tcBorders>
              <w:top w:val="nil"/>
              <w:left w:val="nil"/>
              <w:bottom w:val="single" w:sz="8" w:space="0" w:color="auto"/>
              <w:right w:val="nil"/>
            </w:tcBorders>
            <w:shd w:val="clear" w:color="000000" w:fill="FFFFFF"/>
            <w:noWrap/>
            <w:vAlign w:val="center"/>
            <w:hideMark/>
          </w:tcPr>
          <w:p w14:paraId="18B0962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$128</w:t>
            </w:r>
          </w:p>
        </w:tc>
        <w:tc>
          <w:tcPr>
            <w:tcW w:w="1340" w:type="dxa"/>
            <w:tcBorders>
              <w:top w:val="nil"/>
              <w:left w:val="nil"/>
              <w:bottom w:val="single" w:sz="8" w:space="0" w:color="auto"/>
              <w:right w:val="nil"/>
            </w:tcBorders>
            <w:shd w:val="clear" w:color="000000" w:fill="FFFFFF"/>
            <w:noWrap/>
            <w:vAlign w:val="center"/>
            <w:hideMark/>
          </w:tcPr>
          <w:p w14:paraId="497C1CF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396F492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$207</w:t>
            </w:r>
          </w:p>
        </w:tc>
      </w:tr>
      <w:tr w:rsidR="00913FE0" w:rsidRPr="00913FE0" w14:paraId="62C3896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174A34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Incontinence supplies</w:t>
            </w:r>
          </w:p>
        </w:tc>
        <w:tc>
          <w:tcPr>
            <w:tcW w:w="1340" w:type="dxa"/>
            <w:tcBorders>
              <w:top w:val="nil"/>
              <w:left w:val="nil"/>
              <w:bottom w:val="single" w:sz="8" w:space="0" w:color="auto"/>
              <w:right w:val="nil"/>
            </w:tcBorders>
            <w:shd w:val="clear" w:color="000000" w:fill="FFFFFF"/>
            <w:noWrap/>
            <w:vAlign w:val="center"/>
            <w:hideMark/>
          </w:tcPr>
          <w:p w14:paraId="22A8F2D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$48</w:t>
            </w:r>
          </w:p>
        </w:tc>
        <w:tc>
          <w:tcPr>
            <w:tcW w:w="1340" w:type="dxa"/>
            <w:tcBorders>
              <w:top w:val="nil"/>
              <w:left w:val="nil"/>
              <w:bottom w:val="single" w:sz="8" w:space="0" w:color="auto"/>
              <w:right w:val="nil"/>
            </w:tcBorders>
            <w:shd w:val="clear" w:color="000000" w:fill="FFFFFF"/>
            <w:noWrap/>
            <w:vAlign w:val="center"/>
            <w:hideMark/>
          </w:tcPr>
          <w:p w14:paraId="4678514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$73</w:t>
            </w:r>
          </w:p>
        </w:tc>
        <w:tc>
          <w:tcPr>
            <w:tcW w:w="1340" w:type="dxa"/>
            <w:tcBorders>
              <w:top w:val="nil"/>
              <w:left w:val="nil"/>
              <w:bottom w:val="single" w:sz="8" w:space="0" w:color="auto"/>
              <w:right w:val="nil"/>
            </w:tcBorders>
            <w:shd w:val="clear" w:color="000000" w:fill="FFFFFF"/>
            <w:noWrap/>
            <w:vAlign w:val="center"/>
            <w:hideMark/>
          </w:tcPr>
          <w:p w14:paraId="10D22B3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w:t>
            </w:r>
          </w:p>
        </w:tc>
        <w:tc>
          <w:tcPr>
            <w:tcW w:w="1340" w:type="dxa"/>
            <w:tcBorders>
              <w:top w:val="nil"/>
              <w:left w:val="nil"/>
              <w:bottom w:val="single" w:sz="8" w:space="0" w:color="auto"/>
              <w:right w:val="nil"/>
            </w:tcBorders>
            <w:shd w:val="clear" w:color="000000" w:fill="FFFFFF"/>
            <w:noWrap/>
            <w:vAlign w:val="center"/>
            <w:hideMark/>
          </w:tcPr>
          <w:p w14:paraId="69CFC4F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$125</w:t>
            </w:r>
          </w:p>
        </w:tc>
      </w:tr>
      <w:tr w:rsidR="00913FE0" w:rsidRPr="00913FE0" w14:paraId="4042834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27BEAB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Nutritional supplements </w:t>
            </w:r>
          </w:p>
        </w:tc>
        <w:tc>
          <w:tcPr>
            <w:tcW w:w="1340" w:type="dxa"/>
            <w:tcBorders>
              <w:top w:val="nil"/>
              <w:left w:val="nil"/>
              <w:bottom w:val="single" w:sz="8" w:space="0" w:color="auto"/>
              <w:right w:val="nil"/>
            </w:tcBorders>
            <w:shd w:val="clear" w:color="000000" w:fill="FFFFFF"/>
            <w:noWrap/>
            <w:vAlign w:val="center"/>
            <w:hideMark/>
          </w:tcPr>
          <w:p w14:paraId="66E78F2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w:t>
            </w:r>
          </w:p>
        </w:tc>
        <w:tc>
          <w:tcPr>
            <w:tcW w:w="1340" w:type="dxa"/>
            <w:tcBorders>
              <w:top w:val="nil"/>
              <w:left w:val="nil"/>
              <w:bottom w:val="single" w:sz="8" w:space="0" w:color="auto"/>
              <w:right w:val="nil"/>
            </w:tcBorders>
            <w:shd w:val="clear" w:color="000000" w:fill="FFFFFF"/>
            <w:noWrap/>
            <w:vAlign w:val="center"/>
            <w:hideMark/>
          </w:tcPr>
          <w:p w14:paraId="5C6C630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$21</w:t>
            </w:r>
          </w:p>
        </w:tc>
        <w:tc>
          <w:tcPr>
            <w:tcW w:w="1340" w:type="dxa"/>
            <w:tcBorders>
              <w:top w:val="nil"/>
              <w:left w:val="nil"/>
              <w:bottom w:val="single" w:sz="8" w:space="0" w:color="auto"/>
              <w:right w:val="nil"/>
            </w:tcBorders>
            <w:shd w:val="clear" w:color="000000" w:fill="FFFFFF"/>
            <w:noWrap/>
            <w:vAlign w:val="center"/>
            <w:hideMark/>
          </w:tcPr>
          <w:p w14:paraId="451FDE6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72A5087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$38</w:t>
            </w:r>
          </w:p>
        </w:tc>
      </w:tr>
      <w:tr w:rsidR="00913FE0" w:rsidRPr="00913FE0" w14:paraId="3C6C8EA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2B3816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 Health living expenses</w:t>
            </w:r>
          </w:p>
        </w:tc>
        <w:tc>
          <w:tcPr>
            <w:tcW w:w="1340" w:type="dxa"/>
            <w:tcBorders>
              <w:top w:val="nil"/>
              <w:left w:val="nil"/>
              <w:bottom w:val="single" w:sz="8" w:space="0" w:color="auto"/>
              <w:right w:val="nil"/>
            </w:tcBorders>
            <w:shd w:val="clear" w:color="000000" w:fill="FFFFFF"/>
            <w:noWrap/>
            <w:vAlign w:val="center"/>
            <w:hideMark/>
          </w:tcPr>
          <w:p w14:paraId="4B7920B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00E9F3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2A28192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5F5AE0B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r>
      <w:tr w:rsidR="00913FE0" w:rsidRPr="00913FE0" w14:paraId="52B103B2"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BA8C87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resident services and consumables</w:t>
            </w:r>
          </w:p>
        </w:tc>
        <w:tc>
          <w:tcPr>
            <w:tcW w:w="1340" w:type="dxa"/>
            <w:tcBorders>
              <w:top w:val="nil"/>
              <w:left w:val="nil"/>
              <w:bottom w:val="single" w:sz="8" w:space="0" w:color="auto"/>
              <w:right w:val="nil"/>
            </w:tcBorders>
            <w:shd w:val="clear" w:color="000000" w:fill="FFFFFF"/>
            <w:noWrap/>
            <w:vAlign w:val="center"/>
            <w:hideMark/>
          </w:tcPr>
          <w:p w14:paraId="051EB75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$53</w:t>
            </w:r>
          </w:p>
        </w:tc>
        <w:tc>
          <w:tcPr>
            <w:tcW w:w="1340" w:type="dxa"/>
            <w:tcBorders>
              <w:top w:val="nil"/>
              <w:left w:val="nil"/>
              <w:bottom w:val="single" w:sz="8" w:space="0" w:color="auto"/>
              <w:right w:val="nil"/>
            </w:tcBorders>
            <w:shd w:val="clear" w:color="000000" w:fill="FFFFFF"/>
            <w:noWrap/>
            <w:vAlign w:val="center"/>
            <w:hideMark/>
          </w:tcPr>
          <w:p w14:paraId="066BB2F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$60</w:t>
            </w:r>
          </w:p>
        </w:tc>
        <w:tc>
          <w:tcPr>
            <w:tcW w:w="1340" w:type="dxa"/>
            <w:tcBorders>
              <w:top w:val="nil"/>
              <w:left w:val="nil"/>
              <w:bottom w:val="single" w:sz="8" w:space="0" w:color="auto"/>
              <w:right w:val="nil"/>
            </w:tcBorders>
            <w:shd w:val="clear" w:color="000000" w:fill="FFFFFF"/>
            <w:noWrap/>
            <w:vAlign w:val="center"/>
            <w:hideMark/>
          </w:tcPr>
          <w:p w14:paraId="6CBC551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101A0EA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$118</w:t>
            </w:r>
          </w:p>
        </w:tc>
      </w:tr>
      <w:tr w:rsidR="00913FE0" w:rsidRPr="00913FE0" w14:paraId="527F2654"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6BE7942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resident expenses</w:t>
            </w:r>
          </w:p>
        </w:tc>
        <w:tc>
          <w:tcPr>
            <w:tcW w:w="1340" w:type="dxa"/>
            <w:tcBorders>
              <w:top w:val="nil"/>
              <w:left w:val="nil"/>
              <w:bottom w:val="single" w:sz="8" w:space="0" w:color="auto"/>
              <w:right w:val="nil"/>
            </w:tcBorders>
            <w:shd w:val="clear" w:color="000000" w:fill="D8DADA"/>
            <w:noWrap/>
            <w:vAlign w:val="center"/>
            <w:hideMark/>
          </w:tcPr>
          <w:p w14:paraId="2E2ADFB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$186</w:t>
            </w:r>
          </w:p>
        </w:tc>
        <w:tc>
          <w:tcPr>
            <w:tcW w:w="1340" w:type="dxa"/>
            <w:tcBorders>
              <w:top w:val="nil"/>
              <w:left w:val="nil"/>
              <w:bottom w:val="single" w:sz="8" w:space="0" w:color="auto"/>
              <w:right w:val="nil"/>
            </w:tcBorders>
            <w:shd w:val="clear" w:color="000000" w:fill="D8DADA"/>
            <w:noWrap/>
            <w:vAlign w:val="center"/>
            <w:hideMark/>
          </w:tcPr>
          <w:p w14:paraId="3DD4BFE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$283</w:t>
            </w:r>
          </w:p>
        </w:tc>
        <w:tc>
          <w:tcPr>
            <w:tcW w:w="1340" w:type="dxa"/>
            <w:tcBorders>
              <w:top w:val="nil"/>
              <w:left w:val="nil"/>
              <w:bottom w:val="single" w:sz="8" w:space="0" w:color="auto"/>
              <w:right w:val="nil"/>
            </w:tcBorders>
            <w:shd w:val="clear" w:color="000000" w:fill="D8DADA"/>
            <w:noWrap/>
            <w:vAlign w:val="center"/>
            <w:hideMark/>
          </w:tcPr>
          <w:p w14:paraId="25D2CDA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$23</w:t>
            </w:r>
          </w:p>
        </w:tc>
        <w:tc>
          <w:tcPr>
            <w:tcW w:w="1340" w:type="dxa"/>
            <w:tcBorders>
              <w:top w:val="nil"/>
              <w:left w:val="nil"/>
              <w:bottom w:val="single" w:sz="8" w:space="0" w:color="auto"/>
              <w:right w:val="nil"/>
            </w:tcBorders>
            <w:shd w:val="clear" w:color="000000" w:fill="D8DADA"/>
            <w:noWrap/>
            <w:vAlign w:val="center"/>
            <w:hideMark/>
          </w:tcPr>
          <w:p w14:paraId="23280CC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$492</w:t>
            </w:r>
          </w:p>
        </w:tc>
      </w:tr>
      <w:tr w:rsidR="00913FE0" w:rsidRPr="00913FE0" w14:paraId="042AF1D1"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72EE3DE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Other direct care expenses</w:t>
            </w:r>
          </w:p>
        </w:tc>
        <w:tc>
          <w:tcPr>
            <w:tcW w:w="1340" w:type="dxa"/>
            <w:tcBorders>
              <w:top w:val="nil"/>
              <w:left w:val="nil"/>
              <w:bottom w:val="single" w:sz="8" w:space="0" w:color="auto"/>
              <w:right w:val="nil"/>
            </w:tcBorders>
            <w:shd w:val="clear" w:color="000000" w:fill="D8DADA"/>
            <w:noWrap/>
            <w:vAlign w:val="center"/>
            <w:hideMark/>
          </w:tcPr>
          <w:p w14:paraId="38C9BB8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E2B35F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AC2AA2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906C7C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5D522001"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7E8B8E34"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Workcover premium (care employee labour)</w:t>
            </w:r>
          </w:p>
        </w:tc>
        <w:tc>
          <w:tcPr>
            <w:tcW w:w="1340" w:type="dxa"/>
            <w:tcBorders>
              <w:top w:val="nil"/>
              <w:left w:val="nil"/>
              <w:bottom w:val="single" w:sz="8" w:space="0" w:color="auto"/>
              <w:right w:val="nil"/>
            </w:tcBorders>
            <w:shd w:val="clear" w:color="000000" w:fill="FFFFFF"/>
            <w:noWrap/>
            <w:vAlign w:val="center"/>
            <w:hideMark/>
          </w:tcPr>
          <w:p w14:paraId="4ADB525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$90</w:t>
            </w:r>
          </w:p>
        </w:tc>
        <w:tc>
          <w:tcPr>
            <w:tcW w:w="1340" w:type="dxa"/>
            <w:tcBorders>
              <w:top w:val="nil"/>
              <w:left w:val="nil"/>
              <w:bottom w:val="single" w:sz="8" w:space="0" w:color="auto"/>
              <w:right w:val="nil"/>
            </w:tcBorders>
            <w:shd w:val="clear" w:color="000000" w:fill="FFFFFF"/>
            <w:noWrap/>
            <w:vAlign w:val="center"/>
            <w:hideMark/>
          </w:tcPr>
          <w:p w14:paraId="5AF2610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$151</w:t>
            </w:r>
          </w:p>
        </w:tc>
        <w:tc>
          <w:tcPr>
            <w:tcW w:w="1340" w:type="dxa"/>
            <w:tcBorders>
              <w:top w:val="nil"/>
              <w:left w:val="nil"/>
              <w:bottom w:val="single" w:sz="8" w:space="0" w:color="auto"/>
              <w:right w:val="nil"/>
            </w:tcBorders>
            <w:shd w:val="clear" w:color="000000" w:fill="FFFFFF"/>
            <w:noWrap/>
            <w:vAlign w:val="center"/>
            <w:hideMark/>
          </w:tcPr>
          <w:p w14:paraId="1F80C40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c>
          <w:tcPr>
            <w:tcW w:w="1340" w:type="dxa"/>
            <w:tcBorders>
              <w:top w:val="nil"/>
              <w:left w:val="nil"/>
              <w:bottom w:val="single" w:sz="8" w:space="0" w:color="auto"/>
              <w:right w:val="nil"/>
            </w:tcBorders>
            <w:shd w:val="clear" w:color="000000" w:fill="FFFFFF"/>
            <w:noWrap/>
            <w:vAlign w:val="center"/>
            <w:hideMark/>
          </w:tcPr>
          <w:p w14:paraId="29EBFCE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$250</w:t>
            </w:r>
          </w:p>
        </w:tc>
      </w:tr>
      <w:tr w:rsidR="00913FE0" w:rsidRPr="00913FE0" w14:paraId="393C006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2A2AA6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Payroll Tax (care employee labour)</w:t>
            </w:r>
          </w:p>
        </w:tc>
        <w:tc>
          <w:tcPr>
            <w:tcW w:w="1340" w:type="dxa"/>
            <w:tcBorders>
              <w:top w:val="nil"/>
              <w:left w:val="nil"/>
              <w:bottom w:val="single" w:sz="8" w:space="0" w:color="auto"/>
              <w:right w:val="nil"/>
            </w:tcBorders>
            <w:shd w:val="clear" w:color="000000" w:fill="FFFFFF"/>
            <w:noWrap/>
            <w:vAlign w:val="center"/>
            <w:hideMark/>
          </w:tcPr>
          <w:p w14:paraId="256FAAF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$177</w:t>
            </w:r>
          </w:p>
        </w:tc>
        <w:tc>
          <w:tcPr>
            <w:tcW w:w="1340" w:type="dxa"/>
            <w:tcBorders>
              <w:top w:val="nil"/>
              <w:left w:val="nil"/>
              <w:bottom w:val="single" w:sz="8" w:space="0" w:color="auto"/>
              <w:right w:val="nil"/>
            </w:tcBorders>
            <w:shd w:val="clear" w:color="000000" w:fill="FFFFFF"/>
            <w:noWrap/>
            <w:vAlign w:val="center"/>
            <w:hideMark/>
          </w:tcPr>
          <w:p w14:paraId="47FEFAD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1BE9983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6B806F5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$181</w:t>
            </w:r>
          </w:p>
        </w:tc>
      </w:tr>
      <w:tr w:rsidR="00913FE0" w:rsidRPr="00913FE0" w14:paraId="29CCB9B8"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4DE9027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Quality, compliance and training external costs</w:t>
            </w:r>
          </w:p>
        </w:tc>
        <w:tc>
          <w:tcPr>
            <w:tcW w:w="1340" w:type="dxa"/>
            <w:tcBorders>
              <w:top w:val="nil"/>
              <w:left w:val="nil"/>
              <w:bottom w:val="single" w:sz="8" w:space="0" w:color="auto"/>
              <w:right w:val="nil"/>
            </w:tcBorders>
            <w:shd w:val="clear" w:color="000000" w:fill="FFFFFF"/>
            <w:noWrap/>
            <w:vAlign w:val="center"/>
            <w:hideMark/>
          </w:tcPr>
          <w:p w14:paraId="7F10FAF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w:t>
            </w:r>
          </w:p>
        </w:tc>
        <w:tc>
          <w:tcPr>
            <w:tcW w:w="1340" w:type="dxa"/>
            <w:tcBorders>
              <w:top w:val="nil"/>
              <w:left w:val="nil"/>
              <w:bottom w:val="single" w:sz="8" w:space="0" w:color="auto"/>
              <w:right w:val="nil"/>
            </w:tcBorders>
            <w:shd w:val="clear" w:color="000000" w:fill="FFFFFF"/>
            <w:noWrap/>
            <w:vAlign w:val="center"/>
            <w:hideMark/>
          </w:tcPr>
          <w:p w14:paraId="49784D6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$30</w:t>
            </w:r>
          </w:p>
        </w:tc>
        <w:tc>
          <w:tcPr>
            <w:tcW w:w="1340" w:type="dxa"/>
            <w:tcBorders>
              <w:top w:val="nil"/>
              <w:left w:val="nil"/>
              <w:bottom w:val="single" w:sz="8" w:space="0" w:color="auto"/>
              <w:right w:val="nil"/>
            </w:tcBorders>
            <w:shd w:val="clear" w:color="000000" w:fill="FFFFFF"/>
            <w:noWrap/>
            <w:vAlign w:val="center"/>
            <w:hideMark/>
          </w:tcPr>
          <w:p w14:paraId="273EAF3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2AD433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$47</w:t>
            </w:r>
          </w:p>
        </w:tc>
      </w:tr>
      <w:tr w:rsidR="00913FE0" w:rsidRPr="00913FE0" w14:paraId="0AAD4DFB"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DFD9DB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 xml:space="preserve">Chaplaincy / pastoral care </w:t>
            </w:r>
          </w:p>
        </w:tc>
        <w:tc>
          <w:tcPr>
            <w:tcW w:w="1340" w:type="dxa"/>
            <w:tcBorders>
              <w:top w:val="nil"/>
              <w:left w:val="nil"/>
              <w:bottom w:val="single" w:sz="8" w:space="0" w:color="auto"/>
              <w:right w:val="nil"/>
            </w:tcBorders>
            <w:shd w:val="clear" w:color="000000" w:fill="FFFFFF"/>
            <w:noWrap/>
            <w:vAlign w:val="center"/>
            <w:hideMark/>
          </w:tcPr>
          <w:p w14:paraId="75982F1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6A53C61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c>
          <w:tcPr>
            <w:tcW w:w="1340" w:type="dxa"/>
            <w:tcBorders>
              <w:top w:val="nil"/>
              <w:left w:val="nil"/>
              <w:bottom w:val="single" w:sz="8" w:space="0" w:color="auto"/>
              <w:right w:val="nil"/>
            </w:tcBorders>
            <w:shd w:val="clear" w:color="000000" w:fill="FFFFFF"/>
            <w:noWrap/>
            <w:vAlign w:val="center"/>
            <w:hideMark/>
          </w:tcPr>
          <w:p w14:paraId="2AE2814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E86210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r>
      <w:tr w:rsidR="00913FE0" w:rsidRPr="00913FE0" w14:paraId="09D728D5"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5953A2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direct care expenses</w:t>
            </w:r>
          </w:p>
        </w:tc>
        <w:tc>
          <w:tcPr>
            <w:tcW w:w="1340" w:type="dxa"/>
            <w:tcBorders>
              <w:top w:val="nil"/>
              <w:left w:val="nil"/>
              <w:bottom w:val="single" w:sz="8" w:space="0" w:color="auto"/>
              <w:right w:val="nil"/>
            </w:tcBorders>
            <w:shd w:val="clear" w:color="000000" w:fill="FFFFFF"/>
            <w:noWrap/>
            <w:vAlign w:val="center"/>
            <w:hideMark/>
          </w:tcPr>
          <w:p w14:paraId="38E4A4D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$32</w:t>
            </w:r>
          </w:p>
        </w:tc>
        <w:tc>
          <w:tcPr>
            <w:tcW w:w="1340" w:type="dxa"/>
            <w:tcBorders>
              <w:top w:val="nil"/>
              <w:left w:val="nil"/>
              <w:bottom w:val="single" w:sz="8" w:space="0" w:color="auto"/>
              <w:right w:val="nil"/>
            </w:tcBorders>
            <w:shd w:val="clear" w:color="000000" w:fill="FFFFFF"/>
            <w:noWrap/>
            <w:vAlign w:val="center"/>
            <w:hideMark/>
          </w:tcPr>
          <w:p w14:paraId="3694883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$34</w:t>
            </w:r>
          </w:p>
        </w:tc>
        <w:tc>
          <w:tcPr>
            <w:tcW w:w="1340" w:type="dxa"/>
            <w:tcBorders>
              <w:top w:val="nil"/>
              <w:left w:val="nil"/>
              <w:bottom w:val="single" w:sz="8" w:space="0" w:color="auto"/>
              <w:right w:val="nil"/>
            </w:tcBorders>
            <w:shd w:val="clear" w:color="000000" w:fill="FFFFFF"/>
            <w:noWrap/>
            <w:vAlign w:val="center"/>
            <w:hideMark/>
          </w:tcPr>
          <w:p w14:paraId="7B39D9E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756A4B4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$72</w:t>
            </w:r>
          </w:p>
        </w:tc>
      </w:tr>
      <w:tr w:rsidR="00913FE0" w:rsidRPr="00913FE0" w14:paraId="3CAB3602"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E4629D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Total other direct care expenses</w:t>
            </w:r>
          </w:p>
        </w:tc>
        <w:tc>
          <w:tcPr>
            <w:tcW w:w="1340" w:type="dxa"/>
            <w:tcBorders>
              <w:top w:val="nil"/>
              <w:left w:val="nil"/>
              <w:bottom w:val="single" w:sz="8" w:space="0" w:color="auto"/>
              <w:right w:val="nil"/>
            </w:tcBorders>
            <w:shd w:val="clear" w:color="000000" w:fill="FFFFFF"/>
            <w:noWrap/>
            <w:vAlign w:val="center"/>
            <w:hideMark/>
          </w:tcPr>
          <w:p w14:paraId="04C06C1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$315</w:t>
            </w:r>
          </w:p>
        </w:tc>
        <w:tc>
          <w:tcPr>
            <w:tcW w:w="1340" w:type="dxa"/>
            <w:tcBorders>
              <w:top w:val="nil"/>
              <w:left w:val="nil"/>
              <w:bottom w:val="single" w:sz="8" w:space="0" w:color="auto"/>
              <w:right w:val="nil"/>
            </w:tcBorders>
            <w:shd w:val="clear" w:color="000000" w:fill="FFFFFF"/>
            <w:noWrap/>
            <w:vAlign w:val="center"/>
            <w:hideMark/>
          </w:tcPr>
          <w:p w14:paraId="64FE497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$239</w:t>
            </w:r>
          </w:p>
        </w:tc>
        <w:tc>
          <w:tcPr>
            <w:tcW w:w="1340" w:type="dxa"/>
            <w:tcBorders>
              <w:top w:val="nil"/>
              <w:left w:val="nil"/>
              <w:bottom w:val="single" w:sz="8" w:space="0" w:color="auto"/>
              <w:right w:val="nil"/>
            </w:tcBorders>
            <w:shd w:val="clear" w:color="000000" w:fill="FFFFFF"/>
            <w:noWrap/>
            <w:vAlign w:val="center"/>
            <w:hideMark/>
          </w:tcPr>
          <w:p w14:paraId="0A549DF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w:t>
            </w:r>
          </w:p>
        </w:tc>
        <w:tc>
          <w:tcPr>
            <w:tcW w:w="1340" w:type="dxa"/>
            <w:tcBorders>
              <w:top w:val="nil"/>
              <w:left w:val="nil"/>
              <w:bottom w:val="single" w:sz="8" w:space="0" w:color="auto"/>
              <w:right w:val="nil"/>
            </w:tcBorders>
            <w:shd w:val="clear" w:color="000000" w:fill="FFFFFF"/>
            <w:noWrap/>
            <w:vAlign w:val="center"/>
            <w:hideMark/>
          </w:tcPr>
          <w:p w14:paraId="6B3DCB4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$571</w:t>
            </w:r>
          </w:p>
        </w:tc>
      </w:tr>
      <w:tr w:rsidR="00913FE0" w:rsidRPr="00913FE0" w14:paraId="0BC43C8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F43C9F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care expenses</w:t>
            </w:r>
          </w:p>
        </w:tc>
        <w:tc>
          <w:tcPr>
            <w:tcW w:w="1340" w:type="dxa"/>
            <w:tcBorders>
              <w:top w:val="nil"/>
              <w:left w:val="nil"/>
              <w:bottom w:val="single" w:sz="8" w:space="0" w:color="auto"/>
              <w:right w:val="nil"/>
            </w:tcBorders>
            <w:shd w:val="clear" w:color="000000" w:fill="D8DADA"/>
            <w:noWrap/>
            <w:vAlign w:val="center"/>
            <w:hideMark/>
          </w:tcPr>
          <w:p w14:paraId="36A7B70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$4,898</w:t>
            </w:r>
          </w:p>
        </w:tc>
        <w:tc>
          <w:tcPr>
            <w:tcW w:w="1340" w:type="dxa"/>
            <w:tcBorders>
              <w:top w:val="nil"/>
              <w:left w:val="nil"/>
              <w:bottom w:val="single" w:sz="8" w:space="0" w:color="auto"/>
              <w:right w:val="nil"/>
            </w:tcBorders>
            <w:shd w:val="clear" w:color="000000" w:fill="D8DADA"/>
            <w:noWrap/>
            <w:vAlign w:val="center"/>
            <w:hideMark/>
          </w:tcPr>
          <w:p w14:paraId="5B25B7D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$7,495</w:t>
            </w:r>
          </w:p>
        </w:tc>
        <w:tc>
          <w:tcPr>
            <w:tcW w:w="1340" w:type="dxa"/>
            <w:tcBorders>
              <w:top w:val="nil"/>
              <w:left w:val="nil"/>
              <w:bottom w:val="single" w:sz="8" w:space="0" w:color="auto"/>
              <w:right w:val="nil"/>
            </w:tcBorders>
            <w:shd w:val="clear" w:color="000000" w:fill="D8DADA"/>
            <w:noWrap/>
            <w:vAlign w:val="center"/>
            <w:hideMark/>
          </w:tcPr>
          <w:p w14:paraId="510AE90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$729</w:t>
            </w:r>
          </w:p>
        </w:tc>
        <w:tc>
          <w:tcPr>
            <w:tcW w:w="1340" w:type="dxa"/>
            <w:tcBorders>
              <w:top w:val="nil"/>
              <w:left w:val="nil"/>
              <w:bottom w:val="single" w:sz="8" w:space="0" w:color="auto"/>
              <w:right w:val="nil"/>
            </w:tcBorders>
            <w:shd w:val="clear" w:color="000000" w:fill="D8DADA"/>
            <w:noWrap/>
            <w:vAlign w:val="center"/>
            <w:hideMark/>
          </w:tcPr>
          <w:p w14:paraId="2A9AB2A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$13,123</w:t>
            </w:r>
          </w:p>
        </w:tc>
      </w:tr>
      <w:tr w:rsidR="00913FE0" w:rsidRPr="00913FE0" w14:paraId="4F2AAA74"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252158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Hotel expenses</w:t>
            </w:r>
          </w:p>
        </w:tc>
        <w:tc>
          <w:tcPr>
            <w:tcW w:w="1340" w:type="dxa"/>
            <w:tcBorders>
              <w:top w:val="nil"/>
              <w:left w:val="nil"/>
              <w:bottom w:val="single" w:sz="8" w:space="0" w:color="auto"/>
              <w:right w:val="nil"/>
            </w:tcBorders>
            <w:shd w:val="clear" w:color="000000" w:fill="D8DADA"/>
            <w:noWrap/>
            <w:vAlign w:val="center"/>
            <w:hideMark/>
          </w:tcPr>
          <w:p w14:paraId="2210AEC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50D5D0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CB800B6"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A000E1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2305ED91"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32DA134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Catering expenses</w:t>
            </w:r>
          </w:p>
        </w:tc>
        <w:tc>
          <w:tcPr>
            <w:tcW w:w="1340" w:type="dxa"/>
            <w:tcBorders>
              <w:top w:val="nil"/>
              <w:left w:val="nil"/>
              <w:bottom w:val="single" w:sz="8" w:space="0" w:color="auto"/>
              <w:right w:val="nil"/>
            </w:tcBorders>
            <w:shd w:val="clear" w:color="000000" w:fill="D8DADA"/>
            <w:noWrap/>
            <w:vAlign w:val="center"/>
            <w:hideMark/>
          </w:tcPr>
          <w:p w14:paraId="7321B32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EE1BEE5"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565432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8CE725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6AB6427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577ABB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4B0375B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$542</w:t>
            </w:r>
          </w:p>
        </w:tc>
        <w:tc>
          <w:tcPr>
            <w:tcW w:w="1340" w:type="dxa"/>
            <w:tcBorders>
              <w:top w:val="nil"/>
              <w:left w:val="nil"/>
              <w:bottom w:val="single" w:sz="8" w:space="0" w:color="auto"/>
              <w:right w:val="nil"/>
            </w:tcBorders>
            <w:shd w:val="clear" w:color="000000" w:fill="FFFFFF"/>
            <w:noWrap/>
            <w:vAlign w:val="center"/>
            <w:hideMark/>
          </w:tcPr>
          <w:p w14:paraId="5EC8502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$752</w:t>
            </w:r>
          </w:p>
        </w:tc>
        <w:tc>
          <w:tcPr>
            <w:tcW w:w="1340" w:type="dxa"/>
            <w:tcBorders>
              <w:top w:val="nil"/>
              <w:left w:val="nil"/>
              <w:bottom w:val="single" w:sz="8" w:space="0" w:color="auto"/>
              <w:right w:val="nil"/>
            </w:tcBorders>
            <w:shd w:val="clear" w:color="000000" w:fill="FFFFFF"/>
            <w:noWrap/>
            <w:vAlign w:val="center"/>
            <w:hideMark/>
          </w:tcPr>
          <w:p w14:paraId="45B73A5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$65</w:t>
            </w:r>
          </w:p>
        </w:tc>
        <w:tc>
          <w:tcPr>
            <w:tcW w:w="1340" w:type="dxa"/>
            <w:tcBorders>
              <w:top w:val="nil"/>
              <w:left w:val="nil"/>
              <w:bottom w:val="single" w:sz="8" w:space="0" w:color="auto"/>
              <w:right w:val="nil"/>
            </w:tcBorders>
            <w:shd w:val="clear" w:color="000000" w:fill="FFFFFF"/>
            <w:noWrap/>
            <w:vAlign w:val="center"/>
            <w:hideMark/>
          </w:tcPr>
          <w:p w14:paraId="2144E2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$1,359</w:t>
            </w:r>
          </w:p>
        </w:tc>
      </w:tr>
      <w:tr w:rsidR="00913FE0" w:rsidRPr="00913FE0" w14:paraId="29D1D3E4"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D20366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Consumables</w:t>
            </w:r>
          </w:p>
        </w:tc>
        <w:tc>
          <w:tcPr>
            <w:tcW w:w="1340" w:type="dxa"/>
            <w:tcBorders>
              <w:top w:val="nil"/>
              <w:left w:val="nil"/>
              <w:bottom w:val="single" w:sz="8" w:space="0" w:color="auto"/>
              <w:right w:val="nil"/>
            </w:tcBorders>
            <w:shd w:val="clear" w:color="000000" w:fill="FFFFFF"/>
            <w:noWrap/>
            <w:vAlign w:val="center"/>
            <w:hideMark/>
          </w:tcPr>
          <w:p w14:paraId="07D4EF1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$310</w:t>
            </w:r>
          </w:p>
        </w:tc>
        <w:tc>
          <w:tcPr>
            <w:tcW w:w="1340" w:type="dxa"/>
            <w:tcBorders>
              <w:top w:val="nil"/>
              <w:left w:val="nil"/>
              <w:bottom w:val="single" w:sz="8" w:space="0" w:color="auto"/>
              <w:right w:val="nil"/>
            </w:tcBorders>
            <w:shd w:val="clear" w:color="000000" w:fill="FFFFFF"/>
            <w:noWrap/>
            <w:vAlign w:val="center"/>
            <w:hideMark/>
          </w:tcPr>
          <w:p w14:paraId="0EE4B94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$448</w:t>
            </w:r>
          </w:p>
        </w:tc>
        <w:tc>
          <w:tcPr>
            <w:tcW w:w="1340" w:type="dxa"/>
            <w:tcBorders>
              <w:top w:val="nil"/>
              <w:left w:val="nil"/>
              <w:bottom w:val="single" w:sz="8" w:space="0" w:color="auto"/>
              <w:right w:val="nil"/>
            </w:tcBorders>
            <w:shd w:val="clear" w:color="000000" w:fill="FFFFFF"/>
            <w:noWrap/>
            <w:vAlign w:val="center"/>
            <w:hideMark/>
          </w:tcPr>
          <w:p w14:paraId="77A542B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$27</w:t>
            </w:r>
          </w:p>
        </w:tc>
        <w:tc>
          <w:tcPr>
            <w:tcW w:w="1340" w:type="dxa"/>
            <w:tcBorders>
              <w:top w:val="nil"/>
              <w:left w:val="nil"/>
              <w:bottom w:val="single" w:sz="8" w:space="0" w:color="auto"/>
              <w:right w:val="nil"/>
            </w:tcBorders>
            <w:shd w:val="clear" w:color="000000" w:fill="FFFFFF"/>
            <w:noWrap/>
            <w:vAlign w:val="center"/>
            <w:hideMark/>
          </w:tcPr>
          <w:p w14:paraId="19FD69D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$786</w:t>
            </w:r>
          </w:p>
        </w:tc>
      </w:tr>
      <w:tr w:rsidR="00913FE0" w:rsidRPr="00913FE0" w14:paraId="5BE2C9A1"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1BA9E8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internal</w:t>
            </w:r>
          </w:p>
        </w:tc>
        <w:tc>
          <w:tcPr>
            <w:tcW w:w="1340" w:type="dxa"/>
            <w:tcBorders>
              <w:top w:val="nil"/>
              <w:left w:val="nil"/>
              <w:bottom w:val="single" w:sz="8" w:space="0" w:color="auto"/>
              <w:right w:val="nil"/>
            </w:tcBorders>
            <w:shd w:val="clear" w:color="000000" w:fill="FFFFFF"/>
            <w:noWrap/>
            <w:vAlign w:val="center"/>
            <w:hideMark/>
          </w:tcPr>
          <w:p w14:paraId="1F61876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7B95325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$72</w:t>
            </w:r>
          </w:p>
        </w:tc>
        <w:tc>
          <w:tcPr>
            <w:tcW w:w="1340" w:type="dxa"/>
            <w:tcBorders>
              <w:top w:val="nil"/>
              <w:left w:val="nil"/>
              <w:bottom w:val="single" w:sz="8" w:space="0" w:color="auto"/>
              <w:right w:val="nil"/>
            </w:tcBorders>
            <w:shd w:val="clear" w:color="000000" w:fill="FFFFFF"/>
            <w:noWrap/>
            <w:vAlign w:val="center"/>
            <w:hideMark/>
          </w:tcPr>
          <w:p w14:paraId="25B93A5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c>
          <w:tcPr>
            <w:tcW w:w="1340" w:type="dxa"/>
            <w:tcBorders>
              <w:top w:val="nil"/>
              <w:left w:val="nil"/>
              <w:bottom w:val="single" w:sz="8" w:space="0" w:color="auto"/>
              <w:right w:val="nil"/>
            </w:tcBorders>
            <w:shd w:val="clear" w:color="000000" w:fill="FFFFFF"/>
            <w:noWrap/>
            <w:vAlign w:val="center"/>
            <w:hideMark/>
          </w:tcPr>
          <w:p w14:paraId="4DFF72C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$104</w:t>
            </w:r>
          </w:p>
        </w:tc>
      </w:tr>
      <w:tr w:rsidR="00913FE0" w:rsidRPr="00913FE0" w14:paraId="5E9B4014"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65E0C1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outsourcing</w:t>
            </w:r>
          </w:p>
        </w:tc>
        <w:tc>
          <w:tcPr>
            <w:tcW w:w="1340" w:type="dxa"/>
            <w:tcBorders>
              <w:top w:val="nil"/>
              <w:left w:val="nil"/>
              <w:bottom w:val="single" w:sz="8" w:space="0" w:color="auto"/>
              <w:right w:val="nil"/>
            </w:tcBorders>
            <w:shd w:val="clear" w:color="000000" w:fill="FFFFFF"/>
            <w:noWrap/>
            <w:vAlign w:val="center"/>
            <w:hideMark/>
          </w:tcPr>
          <w:p w14:paraId="0101B53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$94</w:t>
            </w:r>
          </w:p>
        </w:tc>
        <w:tc>
          <w:tcPr>
            <w:tcW w:w="1340" w:type="dxa"/>
            <w:tcBorders>
              <w:top w:val="nil"/>
              <w:left w:val="nil"/>
              <w:bottom w:val="single" w:sz="8" w:space="0" w:color="auto"/>
              <w:right w:val="nil"/>
            </w:tcBorders>
            <w:shd w:val="clear" w:color="000000" w:fill="FFFFFF"/>
            <w:noWrap/>
            <w:vAlign w:val="center"/>
            <w:hideMark/>
          </w:tcPr>
          <w:p w14:paraId="39915B3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$200</w:t>
            </w:r>
          </w:p>
        </w:tc>
        <w:tc>
          <w:tcPr>
            <w:tcW w:w="1340" w:type="dxa"/>
            <w:tcBorders>
              <w:top w:val="nil"/>
              <w:left w:val="nil"/>
              <w:bottom w:val="single" w:sz="8" w:space="0" w:color="auto"/>
              <w:right w:val="nil"/>
            </w:tcBorders>
            <w:shd w:val="clear" w:color="000000" w:fill="FFFFFF"/>
            <w:noWrap/>
            <w:vAlign w:val="center"/>
            <w:hideMark/>
          </w:tcPr>
          <w:p w14:paraId="18661AB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c>
          <w:tcPr>
            <w:tcW w:w="1340" w:type="dxa"/>
            <w:tcBorders>
              <w:top w:val="nil"/>
              <w:left w:val="nil"/>
              <w:bottom w:val="single" w:sz="8" w:space="0" w:color="auto"/>
              <w:right w:val="nil"/>
            </w:tcBorders>
            <w:shd w:val="clear" w:color="000000" w:fill="FFFFFF"/>
            <w:noWrap/>
            <w:vAlign w:val="center"/>
            <w:hideMark/>
          </w:tcPr>
          <w:p w14:paraId="201B9E7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$301</w:t>
            </w:r>
          </w:p>
        </w:tc>
      </w:tr>
      <w:tr w:rsidR="00913FE0" w:rsidRPr="00913FE0" w14:paraId="09874364"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4F61AF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catering expenses</w:t>
            </w:r>
          </w:p>
        </w:tc>
        <w:tc>
          <w:tcPr>
            <w:tcW w:w="1340" w:type="dxa"/>
            <w:tcBorders>
              <w:top w:val="nil"/>
              <w:left w:val="nil"/>
              <w:bottom w:val="single" w:sz="8" w:space="0" w:color="auto"/>
              <w:right w:val="nil"/>
            </w:tcBorders>
            <w:shd w:val="clear" w:color="000000" w:fill="D8DADA"/>
            <w:noWrap/>
            <w:vAlign w:val="center"/>
            <w:hideMark/>
          </w:tcPr>
          <w:p w14:paraId="7075CF3F"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$952</w:t>
            </w:r>
          </w:p>
        </w:tc>
        <w:tc>
          <w:tcPr>
            <w:tcW w:w="1340" w:type="dxa"/>
            <w:tcBorders>
              <w:top w:val="nil"/>
              <w:left w:val="nil"/>
              <w:bottom w:val="single" w:sz="8" w:space="0" w:color="auto"/>
              <w:right w:val="nil"/>
            </w:tcBorders>
            <w:shd w:val="clear" w:color="000000" w:fill="D8DADA"/>
            <w:noWrap/>
            <w:vAlign w:val="center"/>
            <w:hideMark/>
          </w:tcPr>
          <w:p w14:paraId="729C895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$1,472</w:t>
            </w:r>
          </w:p>
        </w:tc>
        <w:tc>
          <w:tcPr>
            <w:tcW w:w="1340" w:type="dxa"/>
            <w:tcBorders>
              <w:top w:val="nil"/>
              <w:left w:val="nil"/>
              <w:bottom w:val="single" w:sz="8" w:space="0" w:color="auto"/>
              <w:right w:val="nil"/>
            </w:tcBorders>
            <w:shd w:val="clear" w:color="000000" w:fill="D8DADA"/>
            <w:noWrap/>
            <w:vAlign w:val="center"/>
            <w:hideMark/>
          </w:tcPr>
          <w:p w14:paraId="7A4DA65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$125</w:t>
            </w:r>
          </w:p>
        </w:tc>
        <w:tc>
          <w:tcPr>
            <w:tcW w:w="1340" w:type="dxa"/>
            <w:tcBorders>
              <w:top w:val="nil"/>
              <w:left w:val="nil"/>
              <w:bottom w:val="single" w:sz="8" w:space="0" w:color="auto"/>
              <w:right w:val="nil"/>
            </w:tcBorders>
            <w:shd w:val="clear" w:color="000000" w:fill="D8DADA"/>
            <w:noWrap/>
            <w:vAlign w:val="center"/>
            <w:hideMark/>
          </w:tcPr>
          <w:p w14:paraId="0FF372C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$2,549</w:t>
            </w:r>
          </w:p>
        </w:tc>
      </w:tr>
      <w:tr w:rsidR="00913FE0" w:rsidRPr="00913FE0" w14:paraId="589F2EDB"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253119E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Cleaning expenses</w:t>
            </w:r>
          </w:p>
        </w:tc>
        <w:tc>
          <w:tcPr>
            <w:tcW w:w="1340" w:type="dxa"/>
            <w:tcBorders>
              <w:top w:val="nil"/>
              <w:left w:val="nil"/>
              <w:bottom w:val="single" w:sz="8" w:space="0" w:color="auto"/>
              <w:right w:val="nil"/>
            </w:tcBorders>
            <w:shd w:val="clear" w:color="000000" w:fill="D8DADA"/>
            <w:noWrap/>
            <w:vAlign w:val="center"/>
            <w:hideMark/>
          </w:tcPr>
          <w:p w14:paraId="67BBDD87"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D2E74B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A41315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620E45F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45E1494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DD579BF"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31AC8DB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$160</w:t>
            </w:r>
          </w:p>
        </w:tc>
        <w:tc>
          <w:tcPr>
            <w:tcW w:w="1340" w:type="dxa"/>
            <w:tcBorders>
              <w:top w:val="nil"/>
              <w:left w:val="nil"/>
              <w:bottom w:val="single" w:sz="8" w:space="0" w:color="auto"/>
              <w:right w:val="nil"/>
            </w:tcBorders>
            <w:shd w:val="clear" w:color="000000" w:fill="FFFFFF"/>
            <w:noWrap/>
            <w:vAlign w:val="center"/>
            <w:hideMark/>
          </w:tcPr>
          <w:p w14:paraId="43C4C28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$249</w:t>
            </w:r>
          </w:p>
        </w:tc>
        <w:tc>
          <w:tcPr>
            <w:tcW w:w="1340" w:type="dxa"/>
            <w:tcBorders>
              <w:top w:val="nil"/>
              <w:left w:val="nil"/>
              <w:bottom w:val="single" w:sz="8" w:space="0" w:color="auto"/>
              <w:right w:val="nil"/>
            </w:tcBorders>
            <w:shd w:val="clear" w:color="000000" w:fill="FFFFFF"/>
            <w:noWrap/>
            <w:vAlign w:val="center"/>
            <w:hideMark/>
          </w:tcPr>
          <w:p w14:paraId="6E66845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$36</w:t>
            </w:r>
          </w:p>
        </w:tc>
        <w:tc>
          <w:tcPr>
            <w:tcW w:w="1340" w:type="dxa"/>
            <w:tcBorders>
              <w:top w:val="nil"/>
              <w:left w:val="nil"/>
              <w:bottom w:val="single" w:sz="8" w:space="0" w:color="auto"/>
              <w:right w:val="nil"/>
            </w:tcBorders>
            <w:shd w:val="clear" w:color="000000" w:fill="FFFFFF"/>
            <w:noWrap/>
            <w:vAlign w:val="center"/>
            <w:hideMark/>
          </w:tcPr>
          <w:p w14:paraId="6DF0B1C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$445</w:t>
            </w:r>
          </w:p>
        </w:tc>
      </w:tr>
      <w:tr w:rsidR="00913FE0" w:rsidRPr="00913FE0" w14:paraId="090264BF"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EC614B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Consumables</w:t>
            </w:r>
          </w:p>
        </w:tc>
        <w:tc>
          <w:tcPr>
            <w:tcW w:w="1340" w:type="dxa"/>
            <w:tcBorders>
              <w:top w:val="nil"/>
              <w:left w:val="nil"/>
              <w:bottom w:val="single" w:sz="8" w:space="0" w:color="auto"/>
              <w:right w:val="nil"/>
            </w:tcBorders>
            <w:shd w:val="clear" w:color="000000" w:fill="FFFFFF"/>
            <w:noWrap/>
            <w:vAlign w:val="center"/>
            <w:hideMark/>
          </w:tcPr>
          <w:p w14:paraId="4015B97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$41</w:t>
            </w:r>
          </w:p>
        </w:tc>
        <w:tc>
          <w:tcPr>
            <w:tcW w:w="1340" w:type="dxa"/>
            <w:tcBorders>
              <w:top w:val="nil"/>
              <w:left w:val="nil"/>
              <w:bottom w:val="single" w:sz="8" w:space="0" w:color="auto"/>
              <w:right w:val="nil"/>
            </w:tcBorders>
            <w:shd w:val="clear" w:color="000000" w:fill="FFFFFF"/>
            <w:noWrap/>
            <w:vAlign w:val="center"/>
            <w:hideMark/>
          </w:tcPr>
          <w:p w14:paraId="1C784C1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$65</w:t>
            </w:r>
          </w:p>
        </w:tc>
        <w:tc>
          <w:tcPr>
            <w:tcW w:w="1340" w:type="dxa"/>
            <w:tcBorders>
              <w:top w:val="nil"/>
              <w:left w:val="nil"/>
              <w:bottom w:val="single" w:sz="8" w:space="0" w:color="auto"/>
              <w:right w:val="nil"/>
            </w:tcBorders>
            <w:shd w:val="clear" w:color="000000" w:fill="FFFFFF"/>
            <w:noWrap/>
            <w:vAlign w:val="center"/>
            <w:hideMark/>
          </w:tcPr>
          <w:p w14:paraId="4E0CDE7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5EC00EB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$111</w:t>
            </w:r>
          </w:p>
        </w:tc>
      </w:tr>
      <w:tr w:rsidR="00913FE0" w:rsidRPr="00913FE0" w14:paraId="279E8D56"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BDF9F12"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internal</w:t>
            </w:r>
          </w:p>
        </w:tc>
        <w:tc>
          <w:tcPr>
            <w:tcW w:w="1340" w:type="dxa"/>
            <w:tcBorders>
              <w:top w:val="nil"/>
              <w:left w:val="nil"/>
              <w:bottom w:val="single" w:sz="8" w:space="0" w:color="auto"/>
              <w:right w:val="nil"/>
            </w:tcBorders>
            <w:shd w:val="clear" w:color="000000" w:fill="FFFFFF"/>
            <w:noWrap/>
            <w:vAlign w:val="center"/>
            <w:hideMark/>
          </w:tcPr>
          <w:p w14:paraId="0CE64B6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9E7B4C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490E90D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4ED6F5B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w:t>
            </w:r>
          </w:p>
        </w:tc>
      </w:tr>
      <w:tr w:rsidR="00913FE0" w:rsidRPr="00913FE0" w14:paraId="1F697F4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8A0D3C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outsourcing</w:t>
            </w:r>
          </w:p>
        </w:tc>
        <w:tc>
          <w:tcPr>
            <w:tcW w:w="1340" w:type="dxa"/>
            <w:tcBorders>
              <w:top w:val="nil"/>
              <w:left w:val="nil"/>
              <w:bottom w:val="single" w:sz="8" w:space="0" w:color="auto"/>
              <w:right w:val="nil"/>
            </w:tcBorders>
            <w:shd w:val="clear" w:color="000000" w:fill="FFFFFF"/>
            <w:noWrap/>
            <w:vAlign w:val="center"/>
            <w:hideMark/>
          </w:tcPr>
          <w:p w14:paraId="1CE8D08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$51</w:t>
            </w:r>
          </w:p>
        </w:tc>
        <w:tc>
          <w:tcPr>
            <w:tcW w:w="1340" w:type="dxa"/>
            <w:tcBorders>
              <w:top w:val="nil"/>
              <w:left w:val="nil"/>
              <w:bottom w:val="single" w:sz="8" w:space="0" w:color="auto"/>
              <w:right w:val="nil"/>
            </w:tcBorders>
            <w:shd w:val="clear" w:color="000000" w:fill="FFFFFF"/>
            <w:noWrap/>
            <w:vAlign w:val="center"/>
            <w:hideMark/>
          </w:tcPr>
          <w:p w14:paraId="2A94D27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$110</w:t>
            </w:r>
          </w:p>
        </w:tc>
        <w:tc>
          <w:tcPr>
            <w:tcW w:w="1340" w:type="dxa"/>
            <w:tcBorders>
              <w:top w:val="nil"/>
              <w:left w:val="nil"/>
              <w:bottom w:val="single" w:sz="8" w:space="0" w:color="auto"/>
              <w:right w:val="nil"/>
            </w:tcBorders>
            <w:shd w:val="clear" w:color="000000" w:fill="FFFFFF"/>
            <w:noWrap/>
            <w:vAlign w:val="center"/>
            <w:hideMark/>
          </w:tcPr>
          <w:p w14:paraId="2A59F52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581E59D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$164</w:t>
            </w:r>
          </w:p>
        </w:tc>
      </w:tr>
      <w:tr w:rsidR="00913FE0" w:rsidRPr="00913FE0" w14:paraId="75D4A81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2D45598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cleaning expenses</w:t>
            </w:r>
          </w:p>
        </w:tc>
        <w:tc>
          <w:tcPr>
            <w:tcW w:w="1340" w:type="dxa"/>
            <w:tcBorders>
              <w:top w:val="nil"/>
              <w:left w:val="nil"/>
              <w:bottom w:val="single" w:sz="8" w:space="0" w:color="auto"/>
              <w:right w:val="nil"/>
            </w:tcBorders>
            <w:shd w:val="clear" w:color="000000" w:fill="D8DADA"/>
            <w:noWrap/>
            <w:vAlign w:val="center"/>
            <w:hideMark/>
          </w:tcPr>
          <w:p w14:paraId="5889795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$252</w:t>
            </w:r>
          </w:p>
        </w:tc>
        <w:tc>
          <w:tcPr>
            <w:tcW w:w="1340" w:type="dxa"/>
            <w:tcBorders>
              <w:top w:val="nil"/>
              <w:left w:val="nil"/>
              <w:bottom w:val="single" w:sz="8" w:space="0" w:color="auto"/>
              <w:right w:val="nil"/>
            </w:tcBorders>
            <w:shd w:val="clear" w:color="000000" w:fill="D8DADA"/>
            <w:noWrap/>
            <w:vAlign w:val="center"/>
            <w:hideMark/>
          </w:tcPr>
          <w:p w14:paraId="2D01203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$428</w:t>
            </w:r>
          </w:p>
        </w:tc>
        <w:tc>
          <w:tcPr>
            <w:tcW w:w="1340" w:type="dxa"/>
            <w:tcBorders>
              <w:top w:val="nil"/>
              <w:left w:val="nil"/>
              <w:bottom w:val="single" w:sz="8" w:space="0" w:color="auto"/>
              <w:right w:val="nil"/>
            </w:tcBorders>
            <w:shd w:val="clear" w:color="000000" w:fill="D8DADA"/>
            <w:noWrap/>
            <w:vAlign w:val="center"/>
            <w:hideMark/>
          </w:tcPr>
          <w:p w14:paraId="1F3E2332"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$55</w:t>
            </w:r>
          </w:p>
        </w:tc>
        <w:tc>
          <w:tcPr>
            <w:tcW w:w="1340" w:type="dxa"/>
            <w:tcBorders>
              <w:top w:val="nil"/>
              <w:left w:val="nil"/>
              <w:bottom w:val="single" w:sz="8" w:space="0" w:color="auto"/>
              <w:right w:val="nil"/>
            </w:tcBorders>
            <w:shd w:val="clear" w:color="000000" w:fill="D8DADA"/>
            <w:noWrap/>
            <w:vAlign w:val="center"/>
            <w:hideMark/>
          </w:tcPr>
          <w:p w14:paraId="2DD8EBA3"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$736</w:t>
            </w:r>
          </w:p>
        </w:tc>
      </w:tr>
      <w:tr w:rsidR="00913FE0" w:rsidRPr="00913FE0" w14:paraId="66E60B5A"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7A40D54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Laundry expenses</w:t>
            </w:r>
          </w:p>
        </w:tc>
        <w:tc>
          <w:tcPr>
            <w:tcW w:w="1340" w:type="dxa"/>
            <w:tcBorders>
              <w:top w:val="nil"/>
              <w:left w:val="nil"/>
              <w:bottom w:val="single" w:sz="8" w:space="0" w:color="auto"/>
              <w:right w:val="nil"/>
            </w:tcBorders>
            <w:shd w:val="clear" w:color="000000" w:fill="D8DADA"/>
            <w:noWrap/>
            <w:vAlign w:val="center"/>
            <w:hideMark/>
          </w:tcPr>
          <w:p w14:paraId="24426EF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3A8BF4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BBF82D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D0BC08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2E94229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24E75C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370842D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$80</w:t>
            </w:r>
          </w:p>
        </w:tc>
        <w:tc>
          <w:tcPr>
            <w:tcW w:w="1340" w:type="dxa"/>
            <w:tcBorders>
              <w:top w:val="nil"/>
              <w:left w:val="nil"/>
              <w:bottom w:val="single" w:sz="8" w:space="0" w:color="auto"/>
              <w:right w:val="nil"/>
            </w:tcBorders>
            <w:shd w:val="clear" w:color="000000" w:fill="FFFFFF"/>
            <w:noWrap/>
            <w:vAlign w:val="center"/>
            <w:hideMark/>
          </w:tcPr>
          <w:p w14:paraId="52F8B76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$99</w:t>
            </w:r>
          </w:p>
        </w:tc>
        <w:tc>
          <w:tcPr>
            <w:tcW w:w="1340" w:type="dxa"/>
            <w:tcBorders>
              <w:top w:val="nil"/>
              <w:left w:val="nil"/>
              <w:bottom w:val="single" w:sz="8" w:space="0" w:color="auto"/>
              <w:right w:val="nil"/>
            </w:tcBorders>
            <w:shd w:val="clear" w:color="000000" w:fill="FFFFFF"/>
            <w:noWrap/>
            <w:vAlign w:val="center"/>
            <w:hideMark/>
          </w:tcPr>
          <w:p w14:paraId="2AA1A67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c>
          <w:tcPr>
            <w:tcW w:w="1340" w:type="dxa"/>
            <w:tcBorders>
              <w:top w:val="nil"/>
              <w:left w:val="nil"/>
              <w:bottom w:val="single" w:sz="8" w:space="0" w:color="auto"/>
              <w:right w:val="nil"/>
            </w:tcBorders>
            <w:shd w:val="clear" w:color="000000" w:fill="FFFFFF"/>
            <w:noWrap/>
            <w:vAlign w:val="center"/>
            <w:hideMark/>
          </w:tcPr>
          <w:p w14:paraId="167C033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$186</w:t>
            </w:r>
          </w:p>
        </w:tc>
      </w:tr>
      <w:tr w:rsidR="00913FE0" w:rsidRPr="00913FE0" w14:paraId="6B39E19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400750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Consumables</w:t>
            </w:r>
          </w:p>
        </w:tc>
        <w:tc>
          <w:tcPr>
            <w:tcW w:w="1340" w:type="dxa"/>
            <w:tcBorders>
              <w:top w:val="nil"/>
              <w:left w:val="nil"/>
              <w:bottom w:val="single" w:sz="8" w:space="0" w:color="auto"/>
              <w:right w:val="nil"/>
            </w:tcBorders>
            <w:shd w:val="clear" w:color="000000" w:fill="FFFFFF"/>
            <w:noWrap/>
            <w:vAlign w:val="center"/>
            <w:hideMark/>
          </w:tcPr>
          <w:p w14:paraId="2096ED9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w:t>
            </w:r>
          </w:p>
        </w:tc>
        <w:tc>
          <w:tcPr>
            <w:tcW w:w="1340" w:type="dxa"/>
            <w:tcBorders>
              <w:top w:val="nil"/>
              <w:left w:val="nil"/>
              <w:bottom w:val="single" w:sz="8" w:space="0" w:color="auto"/>
              <w:right w:val="nil"/>
            </w:tcBorders>
            <w:shd w:val="clear" w:color="000000" w:fill="FFFFFF"/>
            <w:noWrap/>
            <w:vAlign w:val="center"/>
            <w:hideMark/>
          </w:tcPr>
          <w:p w14:paraId="592524A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w:t>
            </w:r>
          </w:p>
        </w:tc>
        <w:tc>
          <w:tcPr>
            <w:tcW w:w="1340" w:type="dxa"/>
            <w:tcBorders>
              <w:top w:val="nil"/>
              <w:left w:val="nil"/>
              <w:bottom w:val="single" w:sz="8" w:space="0" w:color="auto"/>
              <w:right w:val="nil"/>
            </w:tcBorders>
            <w:shd w:val="clear" w:color="000000" w:fill="FFFFFF"/>
            <w:noWrap/>
            <w:vAlign w:val="center"/>
            <w:hideMark/>
          </w:tcPr>
          <w:p w14:paraId="00FBE50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5A8CEBA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$38</w:t>
            </w:r>
          </w:p>
        </w:tc>
      </w:tr>
      <w:tr w:rsidR="00913FE0" w:rsidRPr="00913FE0" w14:paraId="5DCDE93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68FC3A2"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internal</w:t>
            </w:r>
          </w:p>
        </w:tc>
        <w:tc>
          <w:tcPr>
            <w:tcW w:w="1340" w:type="dxa"/>
            <w:tcBorders>
              <w:top w:val="nil"/>
              <w:left w:val="nil"/>
              <w:bottom w:val="single" w:sz="8" w:space="0" w:color="auto"/>
              <w:right w:val="nil"/>
            </w:tcBorders>
            <w:shd w:val="clear" w:color="000000" w:fill="FFFFFF"/>
            <w:noWrap/>
            <w:vAlign w:val="center"/>
            <w:hideMark/>
          </w:tcPr>
          <w:p w14:paraId="7450E1C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5DF3B8B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6A02EBE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0D219E9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w:t>
            </w:r>
          </w:p>
        </w:tc>
      </w:tr>
      <w:tr w:rsidR="00913FE0" w:rsidRPr="00913FE0" w14:paraId="7F362B3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F798F9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outsourcing</w:t>
            </w:r>
          </w:p>
        </w:tc>
        <w:tc>
          <w:tcPr>
            <w:tcW w:w="1340" w:type="dxa"/>
            <w:tcBorders>
              <w:top w:val="nil"/>
              <w:left w:val="nil"/>
              <w:bottom w:val="single" w:sz="8" w:space="0" w:color="auto"/>
              <w:right w:val="nil"/>
            </w:tcBorders>
            <w:shd w:val="clear" w:color="000000" w:fill="FFFFFF"/>
            <w:noWrap/>
            <w:vAlign w:val="center"/>
            <w:hideMark/>
          </w:tcPr>
          <w:p w14:paraId="35868A2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w:t>
            </w:r>
          </w:p>
        </w:tc>
        <w:tc>
          <w:tcPr>
            <w:tcW w:w="1340" w:type="dxa"/>
            <w:tcBorders>
              <w:top w:val="nil"/>
              <w:left w:val="nil"/>
              <w:bottom w:val="single" w:sz="8" w:space="0" w:color="auto"/>
              <w:right w:val="nil"/>
            </w:tcBorders>
            <w:shd w:val="clear" w:color="000000" w:fill="FFFFFF"/>
            <w:noWrap/>
            <w:vAlign w:val="center"/>
            <w:hideMark/>
          </w:tcPr>
          <w:p w14:paraId="056F663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$51</w:t>
            </w:r>
          </w:p>
        </w:tc>
        <w:tc>
          <w:tcPr>
            <w:tcW w:w="1340" w:type="dxa"/>
            <w:tcBorders>
              <w:top w:val="nil"/>
              <w:left w:val="nil"/>
              <w:bottom w:val="single" w:sz="8" w:space="0" w:color="auto"/>
              <w:right w:val="nil"/>
            </w:tcBorders>
            <w:shd w:val="clear" w:color="000000" w:fill="FFFFFF"/>
            <w:noWrap/>
            <w:vAlign w:val="center"/>
            <w:hideMark/>
          </w:tcPr>
          <w:p w14:paraId="1DB0461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w:t>
            </w:r>
          </w:p>
        </w:tc>
        <w:tc>
          <w:tcPr>
            <w:tcW w:w="1340" w:type="dxa"/>
            <w:tcBorders>
              <w:top w:val="nil"/>
              <w:left w:val="nil"/>
              <w:bottom w:val="single" w:sz="8" w:space="0" w:color="auto"/>
              <w:right w:val="nil"/>
            </w:tcBorders>
            <w:shd w:val="clear" w:color="000000" w:fill="FFFFFF"/>
            <w:noWrap/>
            <w:vAlign w:val="center"/>
            <w:hideMark/>
          </w:tcPr>
          <w:p w14:paraId="0E7D7D2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$78</w:t>
            </w:r>
          </w:p>
        </w:tc>
      </w:tr>
      <w:tr w:rsidR="00913FE0" w:rsidRPr="00913FE0" w14:paraId="08101A4E"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C258B3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laundry expenses</w:t>
            </w:r>
          </w:p>
        </w:tc>
        <w:tc>
          <w:tcPr>
            <w:tcW w:w="1340" w:type="dxa"/>
            <w:tcBorders>
              <w:top w:val="nil"/>
              <w:left w:val="nil"/>
              <w:bottom w:val="single" w:sz="8" w:space="0" w:color="auto"/>
              <w:right w:val="nil"/>
            </w:tcBorders>
            <w:shd w:val="clear" w:color="000000" w:fill="D8DADA"/>
            <w:noWrap/>
            <w:vAlign w:val="center"/>
            <w:hideMark/>
          </w:tcPr>
          <w:p w14:paraId="275B997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$119</w:t>
            </w:r>
          </w:p>
        </w:tc>
        <w:tc>
          <w:tcPr>
            <w:tcW w:w="1340" w:type="dxa"/>
            <w:tcBorders>
              <w:top w:val="nil"/>
              <w:left w:val="nil"/>
              <w:bottom w:val="single" w:sz="8" w:space="0" w:color="auto"/>
              <w:right w:val="nil"/>
            </w:tcBorders>
            <w:shd w:val="clear" w:color="000000" w:fill="D8DADA"/>
            <w:noWrap/>
            <w:vAlign w:val="center"/>
            <w:hideMark/>
          </w:tcPr>
          <w:p w14:paraId="001B898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$181</w:t>
            </w:r>
          </w:p>
        </w:tc>
        <w:tc>
          <w:tcPr>
            <w:tcW w:w="1340" w:type="dxa"/>
            <w:tcBorders>
              <w:top w:val="nil"/>
              <w:left w:val="nil"/>
              <w:bottom w:val="single" w:sz="8" w:space="0" w:color="auto"/>
              <w:right w:val="nil"/>
            </w:tcBorders>
            <w:shd w:val="clear" w:color="000000" w:fill="D8DADA"/>
            <w:noWrap/>
            <w:vAlign w:val="center"/>
            <w:hideMark/>
          </w:tcPr>
          <w:p w14:paraId="3B77E05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$19</w:t>
            </w:r>
          </w:p>
        </w:tc>
        <w:tc>
          <w:tcPr>
            <w:tcW w:w="1340" w:type="dxa"/>
            <w:tcBorders>
              <w:top w:val="nil"/>
              <w:left w:val="nil"/>
              <w:bottom w:val="single" w:sz="8" w:space="0" w:color="auto"/>
              <w:right w:val="nil"/>
            </w:tcBorders>
            <w:shd w:val="clear" w:color="000000" w:fill="D8DADA"/>
            <w:noWrap/>
            <w:vAlign w:val="center"/>
            <w:hideMark/>
          </w:tcPr>
          <w:p w14:paraId="00E5B9A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$319</w:t>
            </w:r>
          </w:p>
        </w:tc>
      </w:tr>
      <w:tr w:rsidR="00913FE0" w:rsidRPr="00913FE0" w14:paraId="4EFC6745"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CCDE59F"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Utilities</w:t>
            </w:r>
          </w:p>
        </w:tc>
        <w:tc>
          <w:tcPr>
            <w:tcW w:w="1340" w:type="dxa"/>
            <w:tcBorders>
              <w:top w:val="nil"/>
              <w:left w:val="nil"/>
              <w:bottom w:val="single" w:sz="8" w:space="0" w:color="auto"/>
              <w:right w:val="nil"/>
            </w:tcBorders>
            <w:shd w:val="clear" w:color="000000" w:fill="FFFFFF"/>
            <w:noWrap/>
            <w:vAlign w:val="center"/>
            <w:hideMark/>
          </w:tcPr>
          <w:p w14:paraId="31EEEE7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$195</w:t>
            </w:r>
          </w:p>
        </w:tc>
        <w:tc>
          <w:tcPr>
            <w:tcW w:w="1340" w:type="dxa"/>
            <w:tcBorders>
              <w:top w:val="nil"/>
              <w:left w:val="nil"/>
              <w:bottom w:val="single" w:sz="8" w:space="0" w:color="auto"/>
              <w:right w:val="nil"/>
            </w:tcBorders>
            <w:shd w:val="clear" w:color="000000" w:fill="FFFFFF"/>
            <w:noWrap/>
            <w:vAlign w:val="center"/>
            <w:hideMark/>
          </w:tcPr>
          <w:p w14:paraId="363E806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$289</w:t>
            </w:r>
          </w:p>
        </w:tc>
        <w:tc>
          <w:tcPr>
            <w:tcW w:w="1340" w:type="dxa"/>
            <w:tcBorders>
              <w:top w:val="nil"/>
              <w:left w:val="nil"/>
              <w:bottom w:val="single" w:sz="8" w:space="0" w:color="auto"/>
              <w:right w:val="nil"/>
            </w:tcBorders>
            <w:shd w:val="clear" w:color="000000" w:fill="FFFFFF"/>
            <w:noWrap/>
            <w:vAlign w:val="center"/>
            <w:hideMark/>
          </w:tcPr>
          <w:p w14:paraId="16CFD17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w:t>
            </w:r>
          </w:p>
        </w:tc>
        <w:tc>
          <w:tcPr>
            <w:tcW w:w="1340" w:type="dxa"/>
            <w:tcBorders>
              <w:top w:val="nil"/>
              <w:left w:val="nil"/>
              <w:bottom w:val="single" w:sz="8" w:space="0" w:color="auto"/>
              <w:right w:val="nil"/>
            </w:tcBorders>
            <w:shd w:val="clear" w:color="000000" w:fill="FFFFFF"/>
            <w:noWrap/>
            <w:vAlign w:val="center"/>
            <w:hideMark/>
          </w:tcPr>
          <w:p w14:paraId="3DA3C65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$501</w:t>
            </w:r>
          </w:p>
        </w:tc>
      </w:tr>
      <w:tr w:rsidR="00913FE0" w:rsidRPr="00913FE0" w14:paraId="2F0E8184"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412AB5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Motor vehicle expenses</w:t>
            </w:r>
          </w:p>
        </w:tc>
        <w:tc>
          <w:tcPr>
            <w:tcW w:w="1340" w:type="dxa"/>
            <w:tcBorders>
              <w:top w:val="nil"/>
              <w:left w:val="nil"/>
              <w:bottom w:val="single" w:sz="8" w:space="0" w:color="auto"/>
              <w:right w:val="nil"/>
            </w:tcBorders>
            <w:shd w:val="clear" w:color="000000" w:fill="FFFFFF"/>
            <w:noWrap/>
            <w:vAlign w:val="center"/>
            <w:hideMark/>
          </w:tcPr>
          <w:p w14:paraId="1B440A5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1C4C738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w:t>
            </w:r>
          </w:p>
        </w:tc>
        <w:tc>
          <w:tcPr>
            <w:tcW w:w="1340" w:type="dxa"/>
            <w:tcBorders>
              <w:top w:val="nil"/>
              <w:left w:val="nil"/>
              <w:bottom w:val="single" w:sz="8" w:space="0" w:color="auto"/>
              <w:right w:val="nil"/>
            </w:tcBorders>
            <w:shd w:val="clear" w:color="000000" w:fill="FFFFFF"/>
            <w:noWrap/>
            <w:vAlign w:val="center"/>
            <w:hideMark/>
          </w:tcPr>
          <w:p w14:paraId="3BF810E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36AD3D1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w:t>
            </w:r>
          </w:p>
        </w:tc>
      </w:tr>
      <w:tr w:rsidR="00913FE0" w:rsidRPr="00913FE0" w14:paraId="1F9A033E"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A8B61B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Other hotel expenses</w:t>
            </w:r>
          </w:p>
        </w:tc>
        <w:tc>
          <w:tcPr>
            <w:tcW w:w="1340" w:type="dxa"/>
            <w:tcBorders>
              <w:top w:val="nil"/>
              <w:left w:val="nil"/>
              <w:bottom w:val="single" w:sz="8" w:space="0" w:color="auto"/>
              <w:right w:val="nil"/>
            </w:tcBorders>
            <w:shd w:val="clear" w:color="000000" w:fill="D8DADA"/>
            <w:noWrap/>
            <w:vAlign w:val="center"/>
            <w:hideMark/>
          </w:tcPr>
          <w:p w14:paraId="3030B59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$199</w:t>
            </w:r>
          </w:p>
        </w:tc>
        <w:tc>
          <w:tcPr>
            <w:tcW w:w="1340" w:type="dxa"/>
            <w:tcBorders>
              <w:top w:val="nil"/>
              <w:left w:val="nil"/>
              <w:bottom w:val="single" w:sz="8" w:space="0" w:color="auto"/>
              <w:right w:val="nil"/>
            </w:tcBorders>
            <w:shd w:val="clear" w:color="000000" w:fill="D8DADA"/>
            <w:noWrap/>
            <w:vAlign w:val="center"/>
            <w:hideMark/>
          </w:tcPr>
          <w:p w14:paraId="57B37BAF"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$303</w:t>
            </w:r>
          </w:p>
        </w:tc>
        <w:tc>
          <w:tcPr>
            <w:tcW w:w="1340" w:type="dxa"/>
            <w:tcBorders>
              <w:top w:val="nil"/>
              <w:left w:val="nil"/>
              <w:bottom w:val="single" w:sz="8" w:space="0" w:color="auto"/>
              <w:right w:val="nil"/>
            </w:tcBorders>
            <w:shd w:val="clear" w:color="000000" w:fill="D8DADA"/>
            <w:noWrap/>
            <w:vAlign w:val="center"/>
            <w:hideMark/>
          </w:tcPr>
          <w:p w14:paraId="1B9CBEE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$19</w:t>
            </w:r>
          </w:p>
        </w:tc>
        <w:tc>
          <w:tcPr>
            <w:tcW w:w="1340" w:type="dxa"/>
            <w:tcBorders>
              <w:top w:val="nil"/>
              <w:left w:val="nil"/>
              <w:bottom w:val="single" w:sz="8" w:space="0" w:color="auto"/>
              <w:right w:val="nil"/>
            </w:tcBorders>
            <w:shd w:val="clear" w:color="000000" w:fill="D8DADA"/>
            <w:noWrap/>
            <w:vAlign w:val="center"/>
            <w:hideMark/>
          </w:tcPr>
          <w:p w14:paraId="67541442"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$520</w:t>
            </w:r>
          </w:p>
        </w:tc>
      </w:tr>
      <w:tr w:rsidR="00913FE0" w:rsidRPr="00913FE0" w14:paraId="71BCB27A"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727B1E2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Workcover premium (hotel services employee labour)</w:t>
            </w:r>
          </w:p>
        </w:tc>
        <w:tc>
          <w:tcPr>
            <w:tcW w:w="1340" w:type="dxa"/>
            <w:tcBorders>
              <w:top w:val="nil"/>
              <w:left w:val="nil"/>
              <w:bottom w:val="single" w:sz="8" w:space="0" w:color="auto"/>
              <w:right w:val="nil"/>
            </w:tcBorders>
            <w:shd w:val="clear" w:color="000000" w:fill="FFFFFF"/>
            <w:noWrap/>
            <w:vAlign w:val="center"/>
            <w:hideMark/>
          </w:tcPr>
          <w:p w14:paraId="784022E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w:t>
            </w:r>
          </w:p>
        </w:tc>
        <w:tc>
          <w:tcPr>
            <w:tcW w:w="1340" w:type="dxa"/>
            <w:tcBorders>
              <w:top w:val="nil"/>
              <w:left w:val="nil"/>
              <w:bottom w:val="single" w:sz="8" w:space="0" w:color="auto"/>
              <w:right w:val="nil"/>
            </w:tcBorders>
            <w:shd w:val="clear" w:color="000000" w:fill="FFFFFF"/>
            <w:noWrap/>
            <w:vAlign w:val="center"/>
            <w:hideMark/>
          </w:tcPr>
          <w:p w14:paraId="4F87808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c>
          <w:tcPr>
            <w:tcW w:w="1340" w:type="dxa"/>
            <w:tcBorders>
              <w:top w:val="nil"/>
              <w:left w:val="nil"/>
              <w:bottom w:val="single" w:sz="8" w:space="0" w:color="auto"/>
              <w:right w:val="nil"/>
            </w:tcBorders>
            <w:shd w:val="clear" w:color="000000" w:fill="FFFFFF"/>
            <w:noWrap/>
            <w:vAlign w:val="center"/>
            <w:hideMark/>
          </w:tcPr>
          <w:p w14:paraId="1C5ADD6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64ECF69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$44</w:t>
            </w:r>
          </w:p>
        </w:tc>
      </w:tr>
      <w:tr w:rsidR="00913FE0" w:rsidRPr="00913FE0" w14:paraId="73CA12CC"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F17F84A"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Payroll tax (hotel services employee labour)</w:t>
            </w:r>
          </w:p>
        </w:tc>
        <w:tc>
          <w:tcPr>
            <w:tcW w:w="1340" w:type="dxa"/>
            <w:tcBorders>
              <w:top w:val="nil"/>
              <w:left w:val="nil"/>
              <w:bottom w:val="single" w:sz="8" w:space="0" w:color="auto"/>
              <w:right w:val="nil"/>
            </w:tcBorders>
            <w:shd w:val="clear" w:color="000000" w:fill="FFFFFF"/>
            <w:noWrap/>
            <w:vAlign w:val="center"/>
            <w:hideMark/>
          </w:tcPr>
          <w:p w14:paraId="059D266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$35</w:t>
            </w:r>
          </w:p>
        </w:tc>
        <w:tc>
          <w:tcPr>
            <w:tcW w:w="1340" w:type="dxa"/>
            <w:tcBorders>
              <w:top w:val="nil"/>
              <w:left w:val="nil"/>
              <w:bottom w:val="single" w:sz="8" w:space="0" w:color="auto"/>
              <w:right w:val="nil"/>
            </w:tcBorders>
            <w:shd w:val="clear" w:color="000000" w:fill="FFFFFF"/>
            <w:noWrap/>
            <w:vAlign w:val="center"/>
            <w:hideMark/>
          </w:tcPr>
          <w:p w14:paraId="78D6BFB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6186A7B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5DC698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$35</w:t>
            </w:r>
          </w:p>
        </w:tc>
      </w:tr>
      <w:tr w:rsidR="00913FE0" w:rsidRPr="00913FE0" w14:paraId="0A3525D7"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A400E6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Quality, compliance and training external costs</w:t>
            </w:r>
          </w:p>
        </w:tc>
        <w:tc>
          <w:tcPr>
            <w:tcW w:w="1340" w:type="dxa"/>
            <w:tcBorders>
              <w:top w:val="nil"/>
              <w:left w:val="nil"/>
              <w:bottom w:val="single" w:sz="8" w:space="0" w:color="auto"/>
              <w:right w:val="nil"/>
            </w:tcBorders>
            <w:shd w:val="clear" w:color="000000" w:fill="FFFFFF"/>
            <w:noWrap/>
            <w:vAlign w:val="center"/>
            <w:hideMark/>
          </w:tcPr>
          <w:p w14:paraId="767452D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679BC7E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5E506D5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E7F719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r>
      <w:tr w:rsidR="00913FE0" w:rsidRPr="00913FE0" w14:paraId="18EB9EE9"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3F9723D"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hotel expenses</w:t>
            </w:r>
          </w:p>
        </w:tc>
        <w:tc>
          <w:tcPr>
            <w:tcW w:w="1340" w:type="dxa"/>
            <w:tcBorders>
              <w:top w:val="nil"/>
              <w:left w:val="nil"/>
              <w:bottom w:val="single" w:sz="8" w:space="0" w:color="auto"/>
              <w:right w:val="nil"/>
            </w:tcBorders>
            <w:shd w:val="clear" w:color="000000" w:fill="FFFFFF"/>
            <w:noWrap/>
            <w:vAlign w:val="center"/>
            <w:hideMark/>
          </w:tcPr>
          <w:p w14:paraId="03A04C6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$21</w:t>
            </w:r>
          </w:p>
        </w:tc>
        <w:tc>
          <w:tcPr>
            <w:tcW w:w="1340" w:type="dxa"/>
            <w:tcBorders>
              <w:top w:val="nil"/>
              <w:left w:val="nil"/>
              <w:bottom w:val="single" w:sz="8" w:space="0" w:color="auto"/>
              <w:right w:val="nil"/>
            </w:tcBorders>
            <w:shd w:val="clear" w:color="000000" w:fill="FFFFFF"/>
            <w:noWrap/>
            <w:vAlign w:val="center"/>
            <w:hideMark/>
          </w:tcPr>
          <w:p w14:paraId="37A0C94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w:t>
            </w:r>
          </w:p>
        </w:tc>
        <w:tc>
          <w:tcPr>
            <w:tcW w:w="1340" w:type="dxa"/>
            <w:tcBorders>
              <w:top w:val="nil"/>
              <w:left w:val="nil"/>
              <w:bottom w:val="single" w:sz="8" w:space="0" w:color="auto"/>
              <w:right w:val="nil"/>
            </w:tcBorders>
            <w:shd w:val="clear" w:color="000000" w:fill="FFFFFF"/>
            <w:noWrap/>
            <w:vAlign w:val="center"/>
            <w:hideMark/>
          </w:tcPr>
          <w:p w14:paraId="2E55FD1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33DBF8F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$37</w:t>
            </w:r>
          </w:p>
        </w:tc>
      </w:tr>
      <w:tr w:rsidR="00913FE0" w:rsidRPr="00913FE0" w14:paraId="02560095"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223C0F7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other hotel expenses</w:t>
            </w:r>
          </w:p>
        </w:tc>
        <w:tc>
          <w:tcPr>
            <w:tcW w:w="1340" w:type="dxa"/>
            <w:tcBorders>
              <w:top w:val="nil"/>
              <w:left w:val="nil"/>
              <w:bottom w:val="single" w:sz="8" w:space="0" w:color="auto"/>
              <w:right w:val="nil"/>
            </w:tcBorders>
            <w:shd w:val="clear" w:color="000000" w:fill="D8DADA"/>
            <w:noWrap/>
            <w:vAlign w:val="center"/>
            <w:hideMark/>
          </w:tcPr>
          <w:p w14:paraId="7528F76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$74</w:t>
            </w:r>
          </w:p>
        </w:tc>
        <w:tc>
          <w:tcPr>
            <w:tcW w:w="1340" w:type="dxa"/>
            <w:tcBorders>
              <w:top w:val="nil"/>
              <w:left w:val="nil"/>
              <w:bottom w:val="single" w:sz="8" w:space="0" w:color="auto"/>
              <w:right w:val="nil"/>
            </w:tcBorders>
            <w:shd w:val="clear" w:color="000000" w:fill="D8DADA"/>
            <w:noWrap/>
            <w:vAlign w:val="center"/>
            <w:hideMark/>
          </w:tcPr>
          <w:p w14:paraId="3FA821B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$44</w:t>
            </w:r>
          </w:p>
        </w:tc>
        <w:tc>
          <w:tcPr>
            <w:tcW w:w="1340" w:type="dxa"/>
            <w:tcBorders>
              <w:top w:val="nil"/>
              <w:left w:val="nil"/>
              <w:bottom w:val="single" w:sz="8" w:space="0" w:color="auto"/>
              <w:right w:val="nil"/>
            </w:tcBorders>
            <w:shd w:val="clear" w:color="000000" w:fill="D8DADA"/>
            <w:noWrap/>
            <w:vAlign w:val="center"/>
            <w:hideMark/>
          </w:tcPr>
          <w:p w14:paraId="3021D6D3"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w:t>
            </w:r>
          </w:p>
        </w:tc>
        <w:tc>
          <w:tcPr>
            <w:tcW w:w="1340" w:type="dxa"/>
            <w:tcBorders>
              <w:top w:val="nil"/>
              <w:left w:val="nil"/>
              <w:bottom w:val="single" w:sz="8" w:space="0" w:color="auto"/>
              <w:right w:val="nil"/>
            </w:tcBorders>
            <w:shd w:val="clear" w:color="000000" w:fill="D8DADA"/>
            <w:noWrap/>
            <w:vAlign w:val="center"/>
            <w:hideMark/>
          </w:tcPr>
          <w:p w14:paraId="1D3B2DB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$121</w:t>
            </w:r>
          </w:p>
        </w:tc>
      </w:tr>
      <w:tr w:rsidR="00913FE0" w:rsidRPr="00913FE0" w14:paraId="073D17E2"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3860F69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hotel expenses</w:t>
            </w:r>
          </w:p>
        </w:tc>
        <w:tc>
          <w:tcPr>
            <w:tcW w:w="1340" w:type="dxa"/>
            <w:tcBorders>
              <w:top w:val="nil"/>
              <w:left w:val="nil"/>
              <w:bottom w:val="single" w:sz="8" w:space="0" w:color="auto"/>
              <w:right w:val="nil"/>
            </w:tcBorders>
            <w:shd w:val="clear" w:color="000000" w:fill="D8DADA"/>
            <w:noWrap/>
            <w:vAlign w:val="center"/>
            <w:hideMark/>
          </w:tcPr>
          <w:p w14:paraId="7AE1145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$1,596</w:t>
            </w:r>
          </w:p>
        </w:tc>
        <w:tc>
          <w:tcPr>
            <w:tcW w:w="1340" w:type="dxa"/>
            <w:tcBorders>
              <w:top w:val="nil"/>
              <w:left w:val="nil"/>
              <w:bottom w:val="single" w:sz="8" w:space="0" w:color="auto"/>
              <w:right w:val="nil"/>
            </w:tcBorders>
            <w:shd w:val="clear" w:color="000000" w:fill="D8DADA"/>
            <w:noWrap/>
            <w:vAlign w:val="center"/>
            <w:hideMark/>
          </w:tcPr>
          <w:p w14:paraId="27D6266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$2,428</w:t>
            </w:r>
          </w:p>
        </w:tc>
        <w:tc>
          <w:tcPr>
            <w:tcW w:w="1340" w:type="dxa"/>
            <w:tcBorders>
              <w:top w:val="nil"/>
              <w:left w:val="nil"/>
              <w:bottom w:val="single" w:sz="8" w:space="0" w:color="auto"/>
              <w:right w:val="nil"/>
            </w:tcBorders>
            <w:shd w:val="clear" w:color="000000" w:fill="D8DADA"/>
            <w:noWrap/>
            <w:vAlign w:val="center"/>
            <w:hideMark/>
          </w:tcPr>
          <w:p w14:paraId="5D8BD3F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$221</w:t>
            </w:r>
          </w:p>
        </w:tc>
        <w:tc>
          <w:tcPr>
            <w:tcW w:w="1340" w:type="dxa"/>
            <w:tcBorders>
              <w:top w:val="nil"/>
              <w:left w:val="nil"/>
              <w:bottom w:val="single" w:sz="8" w:space="0" w:color="auto"/>
              <w:right w:val="nil"/>
            </w:tcBorders>
            <w:shd w:val="clear" w:color="000000" w:fill="D8DADA"/>
            <w:noWrap/>
            <w:vAlign w:val="center"/>
            <w:hideMark/>
          </w:tcPr>
          <w:p w14:paraId="584FC4C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$4,245</w:t>
            </w:r>
          </w:p>
        </w:tc>
      </w:tr>
      <w:tr w:rsidR="00913FE0" w:rsidRPr="00913FE0" w14:paraId="14DBDE5B"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DC9E9C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Administration expenses</w:t>
            </w:r>
          </w:p>
        </w:tc>
        <w:tc>
          <w:tcPr>
            <w:tcW w:w="1340" w:type="dxa"/>
            <w:tcBorders>
              <w:top w:val="nil"/>
              <w:left w:val="nil"/>
              <w:bottom w:val="single" w:sz="8" w:space="0" w:color="auto"/>
              <w:right w:val="nil"/>
            </w:tcBorders>
            <w:shd w:val="clear" w:color="000000" w:fill="D8DADA"/>
            <w:noWrap/>
            <w:vAlign w:val="center"/>
            <w:hideMark/>
          </w:tcPr>
          <w:p w14:paraId="561B603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347431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FE6E2F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79EDEF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71616CE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1EE06E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Corporate recharge</w:t>
            </w:r>
          </w:p>
        </w:tc>
        <w:tc>
          <w:tcPr>
            <w:tcW w:w="1340" w:type="dxa"/>
            <w:tcBorders>
              <w:top w:val="nil"/>
              <w:left w:val="nil"/>
              <w:bottom w:val="single" w:sz="8" w:space="0" w:color="auto"/>
              <w:right w:val="nil"/>
            </w:tcBorders>
            <w:shd w:val="clear" w:color="000000" w:fill="FFFFFF"/>
            <w:noWrap/>
            <w:vAlign w:val="center"/>
            <w:hideMark/>
          </w:tcPr>
          <w:p w14:paraId="338A939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$560</w:t>
            </w:r>
          </w:p>
        </w:tc>
        <w:tc>
          <w:tcPr>
            <w:tcW w:w="1340" w:type="dxa"/>
            <w:tcBorders>
              <w:top w:val="nil"/>
              <w:left w:val="nil"/>
              <w:bottom w:val="single" w:sz="8" w:space="0" w:color="auto"/>
              <w:right w:val="nil"/>
            </w:tcBorders>
            <w:shd w:val="clear" w:color="000000" w:fill="FFFFFF"/>
            <w:noWrap/>
            <w:vAlign w:val="center"/>
            <w:hideMark/>
          </w:tcPr>
          <w:p w14:paraId="664D0E5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$987</w:t>
            </w:r>
          </w:p>
        </w:tc>
        <w:tc>
          <w:tcPr>
            <w:tcW w:w="1340" w:type="dxa"/>
            <w:tcBorders>
              <w:top w:val="nil"/>
              <w:left w:val="nil"/>
              <w:bottom w:val="single" w:sz="8" w:space="0" w:color="auto"/>
              <w:right w:val="nil"/>
            </w:tcBorders>
            <w:shd w:val="clear" w:color="000000" w:fill="FFFFFF"/>
            <w:noWrap/>
            <w:vAlign w:val="center"/>
            <w:hideMark/>
          </w:tcPr>
          <w:p w14:paraId="352C6E4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$83</w:t>
            </w:r>
          </w:p>
        </w:tc>
        <w:tc>
          <w:tcPr>
            <w:tcW w:w="1340" w:type="dxa"/>
            <w:tcBorders>
              <w:top w:val="nil"/>
              <w:left w:val="nil"/>
              <w:bottom w:val="single" w:sz="8" w:space="0" w:color="auto"/>
              <w:right w:val="nil"/>
            </w:tcBorders>
            <w:shd w:val="clear" w:color="000000" w:fill="FFFFFF"/>
            <w:noWrap/>
            <w:vAlign w:val="center"/>
            <w:hideMark/>
          </w:tcPr>
          <w:p w14:paraId="048EB27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$1,630</w:t>
            </w:r>
          </w:p>
        </w:tc>
      </w:tr>
      <w:tr w:rsidR="00913FE0" w:rsidRPr="00913FE0" w14:paraId="64291B4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19C96F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2F57631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$294</w:t>
            </w:r>
          </w:p>
        </w:tc>
        <w:tc>
          <w:tcPr>
            <w:tcW w:w="1340" w:type="dxa"/>
            <w:tcBorders>
              <w:top w:val="nil"/>
              <w:left w:val="nil"/>
              <w:bottom w:val="single" w:sz="8" w:space="0" w:color="auto"/>
              <w:right w:val="nil"/>
            </w:tcBorders>
            <w:shd w:val="clear" w:color="000000" w:fill="FFFFFF"/>
            <w:noWrap/>
            <w:vAlign w:val="center"/>
            <w:hideMark/>
          </w:tcPr>
          <w:p w14:paraId="4681EE8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$398</w:t>
            </w:r>
          </w:p>
        </w:tc>
        <w:tc>
          <w:tcPr>
            <w:tcW w:w="1340" w:type="dxa"/>
            <w:tcBorders>
              <w:top w:val="nil"/>
              <w:left w:val="nil"/>
              <w:bottom w:val="single" w:sz="8" w:space="0" w:color="auto"/>
              <w:right w:val="nil"/>
            </w:tcBorders>
            <w:shd w:val="clear" w:color="000000" w:fill="FFFFFF"/>
            <w:noWrap/>
            <w:vAlign w:val="center"/>
            <w:hideMark/>
          </w:tcPr>
          <w:p w14:paraId="01A99F1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$37</w:t>
            </w:r>
          </w:p>
        </w:tc>
        <w:tc>
          <w:tcPr>
            <w:tcW w:w="1340" w:type="dxa"/>
            <w:tcBorders>
              <w:top w:val="nil"/>
              <w:left w:val="nil"/>
              <w:bottom w:val="single" w:sz="8" w:space="0" w:color="auto"/>
              <w:right w:val="nil"/>
            </w:tcBorders>
            <w:shd w:val="clear" w:color="000000" w:fill="FFFFFF"/>
            <w:noWrap/>
            <w:vAlign w:val="center"/>
            <w:hideMark/>
          </w:tcPr>
          <w:p w14:paraId="6348351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$728</w:t>
            </w:r>
          </w:p>
        </w:tc>
      </w:tr>
      <w:tr w:rsidR="00913FE0" w:rsidRPr="00913FE0" w14:paraId="637D840A"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180958E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Workcover premium (aged care home admin employee labour)</w:t>
            </w:r>
          </w:p>
        </w:tc>
        <w:tc>
          <w:tcPr>
            <w:tcW w:w="1340" w:type="dxa"/>
            <w:tcBorders>
              <w:top w:val="nil"/>
              <w:left w:val="nil"/>
              <w:bottom w:val="single" w:sz="8" w:space="0" w:color="auto"/>
              <w:right w:val="nil"/>
            </w:tcBorders>
            <w:shd w:val="clear" w:color="000000" w:fill="FFFFFF"/>
            <w:noWrap/>
            <w:vAlign w:val="center"/>
            <w:hideMark/>
          </w:tcPr>
          <w:p w14:paraId="39A3658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w:t>
            </w:r>
          </w:p>
        </w:tc>
        <w:tc>
          <w:tcPr>
            <w:tcW w:w="1340" w:type="dxa"/>
            <w:tcBorders>
              <w:top w:val="nil"/>
              <w:left w:val="nil"/>
              <w:bottom w:val="single" w:sz="8" w:space="0" w:color="auto"/>
              <w:right w:val="nil"/>
            </w:tcBorders>
            <w:shd w:val="clear" w:color="000000" w:fill="FFFFFF"/>
            <w:noWrap/>
            <w:vAlign w:val="center"/>
            <w:hideMark/>
          </w:tcPr>
          <w:p w14:paraId="4C7B22A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c>
          <w:tcPr>
            <w:tcW w:w="1340" w:type="dxa"/>
            <w:tcBorders>
              <w:top w:val="nil"/>
              <w:left w:val="nil"/>
              <w:bottom w:val="single" w:sz="8" w:space="0" w:color="auto"/>
              <w:right w:val="nil"/>
            </w:tcBorders>
            <w:shd w:val="clear" w:color="000000" w:fill="FFFFFF"/>
            <w:noWrap/>
            <w:vAlign w:val="center"/>
            <w:hideMark/>
          </w:tcPr>
          <w:p w14:paraId="2AECE0A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5C73D9F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$39</w:t>
            </w:r>
          </w:p>
        </w:tc>
      </w:tr>
      <w:tr w:rsidR="00913FE0" w:rsidRPr="00913FE0" w14:paraId="10B40417"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13F4D05"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Payroll tax (aged care home admin employee labour)</w:t>
            </w:r>
          </w:p>
        </w:tc>
        <w:tc>
          <w:tcPr>
            <w:tcW w:w="1340" w:type="dxa"/>
            <w:tcBorders>
              <w:top w:val="nil"/>
              <w:left w:val="nil"/>
              <w:bottom w:val="single" w:sz="8" w:space="0" w:color="auto"/>
              <w:right w:val="nil"/>
            </w:tcBorders>
            <w:shd w:val="clear" w:color="000000" w:fill="FFFFFF"/>
            <w:noWrap/>
            <w:vAlign w:val="center"/>
            <w:hideMark/>
          </w:tcPr>
          <w:p w14:paraId="547AAD6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c>
          <w:tcPr>
            <w:tcW w:w="1340" w:type="dxa"/>
            <w:tcBorders>
              <w:top w:val="nil"/>
              <w:left w:val="nil"/>
              <w:bottom w:val="single" w:sz="8" w:space="0" w:color="auto"/>
              <w:right w:val="nil"/>
            </w:tcBorders>
            <w:shd w:val="clear" w:color="000000" w:fill="FFFFFF"/>
            <w:noWrap/>
            <w:vAlign w:val="center"/>
            <w:hideMark/>
          </w:tcPr>
          <w:p w14:paraId="015B3A8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23E165C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1909314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w:t>
            </w:r>
          </w:p>
        </w:tc>
      </w:tr>
      <w:tr w:rsidR="00913FE0" w:rsidRPr="00913FE0" w14:paraId="3DC5188B"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50DA44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Fringe benefits tax</w:t>
            </w:r>
          </w:p>
        </w:tc>
        <w:tc>
          <w:tcPr>
            <w:tcW w:w="1340" w:type="dxa"/>
            <w:tcBorders>
              <w:top w:val="nil"/>
              <w:left w:val="nil"/>
              <w:bottom w:val="single" w:sz="8" w:space="0" w:color="auto"/>
              <w:right w:val="nil"/>
            </w:tcBorders>
            <w:shd w:val="clear" w:color="000000" w:fill="FFFFFF"/>
            <w:noWrap/>
            <w:vAlign w:val="center"/>
            <w:hideMark/>
          </w:tcPr>
          <w:p w14:paraId="5764500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3E5E49D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242E91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1BF5BFA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r>
      <w:tr w:rsidR="00913FE0" w:rsidRPr="00913FE0" w14:paraId="202857A9"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4D4B67E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Quality, compliance and training external costs</w:t>
            </w:r>
          </w:p>
        </w:tc>
        <w:tc>
          <w:tcPr>
            <w:tcW w:w="1340" w:type="dxa"/>
            <w:tcBorders>
              <w:top w:val="nil"/>
              <w:left w:val="nil"/>
              <w:bottom w:val="single" w:sz="8" w:space="0" w:color="auto"/>
              <w:right w:val="nil"/>
            </w:tcBorders>
            <w:shd w:val="clear" w:color="000000" w:fill="FFFFFF"/>
            <w:noWrap/>
            <w:vAlign w:val="center"/>
            <w:hideMark/>
          </w:tcPr>
          <w:p w14:paraId="60DE203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w:t>
            </w:r>
          </w:p>
        </w:tc>
        <w:tc>
          <w:tcPr>
            <w:tcW w:w="1340" w:type="dxa"/>
            <w:tcBorders>
              <w:top w:val="nil"/>
              <w:left w:val="nil"/>
              <w:bottom w:val="single" w:sz="8" w:space="0" w:color="auto"/>
              <w:right w:val="nil"/>
            </w:tcBorders>
            <w:shd w:val="clear" w:color="000000" w:fill="FFFFFF"/>
            <w:noWrap/>
            <w:vAlign w:val="center"/>
            <w:hideMark/>
          </w:tcPr>
          <w:p w14:paraId="4486141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w:t>
            </w:r>
          </w:p>
        </w:tc>
        <w:tc>
          <w:tcPr>
            <w:tcW w:w="1340" w:type="dxa"/>
            <w:tcBorders>
              <w:top w:val="nil"/>
              <w:left w:val="nil"/>
              <w:bottom w:val="single" w:sz="8" w:space="0" w:color="auto"/>
              <w:right w:val="nil"/>
            </w:tcBorders>
            <w:shd w:val="clear" w:color="000000" w:fill="FFFFFF"/>
            <w:noWrap/>
            <w:vAlign w:val="center"/>
            <w:hideMark/>
          </w:tcPr>
          <w:p w14:paraId="66BDFF8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22011FA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$40</w:t>
            </w:r>
          </w:p>
        </w:tc>
      </w:tr>
      <w:tr w:rsidR="00913FE0" w:rsidRPr="00913FE0" w14:paraId="178C8B98"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46B7A9E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Insurances</w:t>
            </w:r>
          </w:p>
        </w:tc>
        <w:tc>
          <w:tcPr>
            <w:tcW w:w="1340" w:type="dxa"/>
            <w:tcBorders>
              <w:top w:val="nil"/>
              <w:left w:val="nil"/>
              <w:bottom w:val="single" w:sz="8" w:space="0" w:color="auto"/>
              <w:right w:val="nil"/>
            </w:tcBorders>
            <w:shd w:val="clear" w:color="000000" w:fill="FFFFFF"/>
            <w:noWrap/>
            <w:vAlign w:val="center"/>
            <w:hideMark/>
          </w:tcPr>
          <w:p w14:paraId="0EFD4BD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$36</w:t>
            </w:r>
          </w:p>
        </w:tc>
        <w:tc>
          <w:tcPr>
            <w:tcW w:w="1340" w:type="dxa"/>
            <w:tcBorders>
              <w:top w:val="nil"/>
              <w:left w:val="nil"/>
              <w:bottom w:val="single" w:sz="8" w:space="0" w:color="auto"/>
              <w:right w:val="nil"/>
            </w:tcBorders>
            <w:shd w:val="clear" w:color="000000" w:fill="FFFFFF"/>
            <w:noWrap/>
            <w:vAlign w:val="center"/>
            <w:hideMark/>
          </w:tcPr>
          <w:p w14:paraId="26538A4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$68</w:t>
            </w:r>
          </w:p>
        </w:tc>
        <w:tc>
          <w:tcPr>
            <w:tcW w:w="1340" w:type="dxa"/>
            <w:tcBorders>
              <w:top w:val="nil"/>
              <w:left w:val="nil"/>
              <w:bottom w:val="single" w:sz="8" w:space="0" w:color="auto"/>
              <w:right w:val="nil"/>
            </w:tcBorders>
            <w:shd w:val="clear" w:color="000000" w:fill="FFFFFF"/>
            <w:noWrap/>
            <w:vAlign w:val="center"/>
            <w:hideMark/>
          </w:tcPr>
          <w:p w14:paraId="6DEC22A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16FA333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$106</w:t>
            </w:r>
          </w:p>
        </w:tc>
      </w:tr>
      <w:tr w:rsidR="00913FE0" w:rsidRPr="00913FE0" w14:paraId="0CBE12D7"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5D4174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administration costs</w:t>
            </w:r>
          </w:p>
        </w:tc>
        <w:tc>
          <w:tcPr>
            <w:tcW w:w="1340" w:type="dxa"/>
            <w:tcBorders>
              <w:top w:val="nil"/>
              <w:left w:val="nil"/>
              <w:bottom w:val="single" w:sz="8" w:space="0" w:color="auto"/>
              <w:right w:val="nil"/>
            </w:tcBorders>
            <w:shd w:val="clear" w:color="000000" w:fill="FFFFFF"/>
            <w:noWrap/>
            <w:vAlign w:val="center"/>
            <w:hideMark/>
          </w:tcPr>
          <w:p w14:paraId="348E604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$249</w:t>
            </w:r>
          </w:p>
        </w:tc>
        <w:tc>
          <w:tcPr>
            <w:tcW w:w="1340" w:type="dxa"/>
            <w:tcBorders>
              <w:top w:val="nil"/>
              <w:left w:val="nil"/>
              <w:bottom w:val="single" w:sz="8" w:space="0" w:color="auto"/>
              <w:right w:val="nil"/>
            </w:tcBorders>
            <w:shd w:val="clear" w:color="000000" w:fill="FFFFFF"/>
            <w:noWrap/>
            <w:vAlign w:val="center"/>
            <w:hideMark/>
          </w:tcPr>
          <w:p w14:paraId="550F667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$286</w:t>
            </w:r>
          </w:p>
        </w:tc>
        <w:tc>
          <w:tcPr>
            <w:tcW w:w="1340" w:type="dxa"/>
            <w:tcBorders>
              <w:top w:val="nil"/>
              <w:left w:val="nil"/>
              <w:bottom w:val="single" w:sz="8" w:space="0" w:color="auto"/>
              <w:right w:val="nil"/>
            </w:tcBorders>
            <w:shd w:val="clear" w:color="000000" w:fill="FFFFFF"/>
            <w:noWrap/>
            <w:vAlign w:val="center"/>
            <w:hideMark/>
          </w:tcPr>
          <w:p w14:paraId="4AD9EC2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$23</w:t>
            </w:r>
          </w:p>
        </w:tc>
        <w:tc>
          <w:tcPr>
            <w:tcW w:w="1340" w:type="dxa"/>
            <w:tcBorders>
              <w:top w:val="nil"/>
              <w:left w:val="nil"/>
              <w:bottom w:val="single" w:sz="8" w:space="0" w:color="auto"/>
              <w:right w:val="nil"/>
            </w:tcBorders>
            <w:shd w:val="clear" w:color="000000" w:fill="FFFFFF"/>
            <w:noWrap/>
            <w:vAlign w:val="center"/>
            <w:hideMark/>
          </w:tcPr>
          <w:p w14:paraId="254615C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$559</w:t>
            </w:r>
          </w:p>
        </w:tc>
      </w:tr>
      <w:tr w:rsidR="00913FE0" w:rsidRPr="00913FE0" w14:paraId="29FA889A"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72E587A3"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administration expenses</w:t>
            </w:r>
          </w:p>
        </w:tc>
        <w:tc>
          <w:tcPr>
            <w:tcW w:w="1340" w:type="dxa"/>
            <w:tcBorders>
              <w:top w:val="nil"/>
              <w:left w:val="nil"/>
              <w:bottom w:val="single" w:sz="8" w:space="0" w:color="auto"/>
              <w:right w:val="nil"/>
            </w:tcBorders>
            <w:shd w:val="clear" w:color="000000" w:fill="D8DADA"/>
            <w:noWrap/>
            <w:vAlign w:val="center"/>
            <w:hideMark/>
          </w:tcPr>
          <w:p w14:paraId="6A9167A2"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$1,185</w:t>
            </w:r>
          </w:p>
        </w:tc>
        <w:tc>
          <w:tcPr>
            <w:tcW w:w="1340" w:type="dxa"/>
            <w:tcBorders>
              <w:top w:val="nil"/>
              <w:left w:val="nil"/>
              <w:bottom w:val="single" w:sz="8" w:space="0" w:color="auto"/>
              <w:right w:val="nil"/>
            </w:tcBorders>
            <w:shd w:val="clear" w:color="000000" w:fill="D8DADA"/>
            <w:noWrap/>
            <w:vAlign w:val="center"/>
            <w:hideMark/>
          </w:tcPr>
          <w:p w14:paraId="67418F9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$1,797</w:t>
            </w:r>
          </w:p>
        </w:tc>
        <w:tc>
          <w:tcPr>
            <w:tcW w:w="1340" w:type="dxa"/>
            <w:tcBorders>
              <w:top w:val="nil"/>
              <w:left w:val="nil"/>
              <w:bottom w:val="single" w:sz="8" w:space="0" w:color="auto"/>
              <w:right w:val="nil"/>
            </w:tcBorders>
            <w:shd w:val="clear" w:color="000000" w:fill="D8DADA"/>
            <w:noWrap/>
            <w:vAlign w:val="center"/>
            <w:hideMark/>
          </w:tcPr>
          <w:p w14:paraId="592E503F"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$147</w:t>
            </w:r>
          </w:p>
        </w:tc>
        <w:tc>
          <w:tcPr>
            <w:tcW w:w="1340" w:type="dxa"/>
            <w:tcBorders>
              <w:top w:val="nil"/>
              <w:left w:val="nil"/>
              <w:bottom w:val="single" w:sz="8" w:space="0" w:color="auto"/>
              <w:right w:val="nil"/>
            </w:tcBorders>
            <w:shd w:val="clear" w:color="000000" w:fill="D8DADA"/>
            <w:noWrap/>
            <w:vAlign w:val="center"/>
            <w:hideMark/>
          </w:tcPr>
          <w:p w14:paraId="60C96A2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$3,129</w:t>
            </w:r>
          </w:p>
        </w:tc>
      </w:tr>
      <w:tr w:rsidR="00913FE0" w:rsidRPr="00913FE0" w14:paraId="7B112AE5" w14:textId="77777777" w:rsidTr="00913FE0">
        <w:trPr>
          <w:trHeight w:val="550"/>
        </w:trPr>
        <w:tc>
          <w:tcPr>
            <w:tcW w:w="3840" w:type="dxa"/>
            <w:tcBorders>
              <w:top w:val="nil"/>
              <w:left w:val="nil"/>
              <w:bottom w:val="single" w:sz="8" w:space="0" w:color="auto"/>
              <w:right w:val="nil"/>
            </w:tcBorders>
            <w:shd w:val="clear" w:color="000000" w:fill="D8DADA"/>
            <w:vAlign w:val="center"/>
            <w:hideMark/>
          </w:tcPr>
          <w:p w14:paraId="0B575065"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Accommodation and finance expenses</w:t>
            </w:r>
          </w:p>
        </w:tc>
        <w:tc>
          <w:tcPr>
            <w:tcW w:w="1340" w:type="dxa"/>
            <w:tcBorders>
              <w:top w:val="nil"/>
              <w:left w:val="nil"/>
              <w:bottom w:val="single" w:sz="8" w:space="0" w:color="auto"/>
              <w:right w:val="nil"/>
            </w:tcBorders>
            <w:shd w:val="clear" w:color="000000" w:fill="D8DADA"/>
            <w:noWrap/>
            <w:vAlign w:val="center"/>
            <w:hideMark/>
          </w:tcPr>
          <w:p w14:paraId="2FB3DB0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21E5849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D1B61E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E88A43B"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4EE3247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CA78D9F"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22F1057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w:t>
            </w:r>
          </w:p>
        </w:tc>
        <w:tc>
          <w:tcPr>
            <w:tcW w:w="1340" w:type="dxa"/>
            <w:tcBorders>
              <w:top w:val="nil"/>
              <w:left w:val="nil"/>
              <w:bottom w:val="single" w:sz="8" w:space="0" w:color="auto"/>
              <w:right w:val="nil"/>
            </w:tcBorders>
            <w:shd w:val="clear" w:color="000000" w:fill="FFFFFF"/>
            <w:noWrap/>
            <w:vAlign w:val="center"/>
            <w:hideMark/>
          </w:tcPr>
          <w:p w14:paraId="136BBE5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w:t>
            </w:r>
          </w:p>
        </w:tc>
        <w:tc>
          <w:tcPr>
            <w:tcW w:w="1340" w:type="dxa"/>
            <w:tcBorders>
              <w:top w:val="nil"/>
              <w:left w:val="nil"/>
              <w:bottom w:val="single" w:sz="8" w:space="0" w:color="auto"/>
              <w:right w:val="nil"/>
            </w:tcBorders>
            <w:shd w:val="clear" w:color="000000" w:fill="FFFFFF"/>
            <w:noWrap/>
            <w:vAlign w:val="center"/>
            <w:hideMark/>
          </w:tcPr>
          <w:p w14:paraId="2771B8B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50C9202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$36</w:t>
            </w:r>
          </w:p>
        </w:tc>
      </w:tr>
      <w:tr w:rsidR="00913FE0" w:rsidRPr="00913FE0" w14:paraId="65FC069F"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AFA370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Depreciation - building</w:t>
            </w:r>
          </w:p>
        </w:tc>
        <w:tc>
          <w:tcPr>
            <w:tcW w:w="1340" w:type="dxa"/>
            <w:tcBorders>
              <w:top w:val="nil"/>
              <w:left w:val="nil"/>
              <w:bottom w:val="single" w:sz="8" w:space="0" w:color="auto"/>
              <w:right w:val="nil"/>
            </w:tcBorders>
            <w:shd w:val="clear" w:color="000000" w:fill="FFFFFF"/>
            <w:noWrap/>
            <w:vAlign w:val="center"/>
            <w:hideMark/>
          </w:tcPr>
          <w:p w14:paraId="6C1DECE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$179</w:t>
            </w:r>
          </w:p>
        </w:tc>
        <w:tc>
          <w:tcPr>
            <w:tcW w:w="1340" w:type="dxa"/>
            <w:tcBorders>
              <w:top w:val="nil"/>
              <w:left w:val="nil"/>
              <w:bottom w:val="single" w:sz="8" w:space="0" w:color="auto"/>
              <w:right w:val="nil"/>
            </w:tcBorders>
            <w:shd w:val="clear" w:color="000000" w:fill="FFFFFF"/>
            <w:noWrap/>
            <w:vAlign w:val="center"/>
            <w:hideMark/>
          </w:tcPr>
          <w:p w14:paraId="5316EA6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$533</w:t>
            </w:r>
          </w:p>
        </w:tc>
        <w:tc>
          <w:tcPr>
            <w:tcW w:w="1340" w:type="dxa"/>
            <w:tcBorders>
              <w:top w:val="nil"/>
              <w:left w:val="nil"/>
              <w:bottom w:val="single" w:sz="8" w:space="0" w:color="auto"/>
              <w:right w:val="nil"/>
            </w:tcBorders>
            <w:shd w:val="clear" w:color="000000" w:fill="FFFFFF"/>
            <w:noWrap/>
            <w:vAlign w:val="center"/>
            <w:hideMark/>
          </w:tcPr>
          <w:p w14:paraId="312C6FE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$72</w:t>
            </w:r>
          </w:p>
        </w:tc>
        <w:tc>
          <w:tcPr>
            <w:tcW w:w="1340" w:type="dxa"/>
            <w:tcBorders>
              <w:top w:val="nil"/>
              <w:left w:val="nil"/>
              <w:bottom w:val="single" w:sz="8" w:space="0" w:color="auto"/>
              <w:right w:val="nil"/>
            </w:tcBorders>
            <w:shd w:val="clear" w:color="000000" w:fill="FFFFFF"/>
            <w:noWrap/>
            <w:vAlign w:val="center"/>
            <w:hideMark/>
          </w:tcPr>
          <w:p w14:paraId="10CEBB8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$784</w:t>
            </w:r>
          </w:p>
        </w:tc>
      </w:tr>
      <w:tr w:rsidR="00913FE0" w:rsidRPr="00913FE0" w14:paraId="4320FF40"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1096FBE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Depreciation - right of use assets AASB 16</w:t>
            </w:r>
          </w:p>
        </w:tc>
        <w:tc>
          <w:tcPr>
            <w:tcW w:w="1340" w:type="dxa"/>
            <w:tcBorders>
              <w:top w:val="nil"/>
              <w:left w:val="nil"/>
              <w:bottom w:val="single" w:sz="8" w:space="0" w:color="auto"/>
              <w:right w:val="nil"/>
            </w:tcBorders>
            <w:shd w:val="clear" w:color="000000" w:fill="FFFFFF"/>
            <w:noWrap/>
            <w:vAlign w:val="center"/>
            <w:hideMark/>
          </w:tcPr>
          <w:p w14:paraId="0B4A5CE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$198</w:t>
            </w:r>
          </w:p>
        </w:tc>
        <w:tc>
          <w:tcPr>
            <w:tcW w:w="1340" w:type="dxa"/>
            <w:tcBorders>
              <w:top w:val="nil"/>
              <w:left w:val="nil"/>
              <w:bottom w:val="single" w:sz="8" w:space="0" w:color="auto"/>
              <w:right w:val="nil"/>
            </w:tcBorders>
            <w:shd w:val="clear" w:color="000000" w:fill="FFFFFF"/>
            <w:noWrap/>
            <w:vAlign w:val="center"/>
            <w:hideMark/>
          </w:tcPr>
          <w:p w14:paraId="3ED9F1A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$23</w:t>
            </w:r>
          </w:p>
        </w:tc>
        <w:tc>
          <w:tcPr>
            <w:tcW w:w="1340" w:type="dxa"/>
            <w:tcBorders>
              <w:top w:val="nil"/>
              <w:left w:val="nil"/>
              <w:bottom w:val="single" w:sz="8" w:space="0" w:color="auto"/>
              <w:right w:val="nil"/>
            </w:tcBorders>
            <w:shd w:val="clear" w:color="000000" w:fill="FFFFFF"/>
            <w:noWrap/>
            <w:vAlign w:val="center"/>
            <w:hideMark/>
          </w:tcPr>
          <w:p w14:paraId="4A18DD0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36E3257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$221</w:t>
            </w:r>
          </w:p>
        </w:tc>
      </w:tr>
      <w:tr w:rsidR="00913FE0" w:rsidRPr="00913FE0" w14:paraId="0FF7065B"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3ED1CD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Depreciation - other assets</w:t>
            </w:r>
          </w:p>
        </w:tc>
        <w:tc>
          <w:tcPr>
            <w:tcW w:w="1340" w:type="dxa"/>
            <w:tcBorders>
              <w:top w:val="nil"/>
              <w:left w:val="nil"/>
              <w:bottom w:val="single" w:sz="8" w:space="0" w:color="auto"/>
              <w:right w:val="nil"/>
            </w:tcBorders>
            <w:shd w:val="clear" w:color="000000" w:fill="FFFFFF"/>
            <w:noWrap/>
            <w:vAlign w:val="center"/>
            <w:hideMark/>
          </w:tcPr>
          <w:p w14:paraId="1A78D8E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$214</w:t>
            </w:r>
          </w:p>
        </w:tc>
        <w:tc>
          <w:tcPr>
            <w:tcW w:w="1340" w:type="dxa"/>
            <w:tcBorders>
              <w:top w:val="nil"/>
              <w:left w:val="nil"/>
              <w:bottom w:val="single" w:sz="8" w:space="0" w:color="auto"/>
              <w:right w:val="nil"/>
            </w:tcBorders>
            <w:shd w:val="clear" w:color="000000" w:fill="FFFFFF"/>
            <w:noWrap/>
            <w:vAlign w:val="center"/>
            <w:hideMark/>
          </w:tcPr>
          <w:p w14:paraId="2925B32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$262</w:t>
            </w:r>
          </w:p>
        </w:tc>
        <w:tc>
          <w:tcPr>
            <w:tcW w:w="1340" w:type="dxa"/>
            <w:tcBorders>
              <w:top w:val="nil"/>
              <w:left w:val="nil"/>
              <w:bottom w:val="single" w:sz="8" w:space="0" w:color="auto"/>
              <w:right w:val="nil"/>
            </w:tcBorders>
            <w:shd w:val="clear" w:color="000000" w:fill="FFFFFF"/>
            <w:noWrap/>
            <w:vAlign w:val="center"/>
            <w:hideMark/>
          </w:tcPr>
          <w:p w14:paraId="26563FC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c>
          <w:tcPr>
            <w:tcW w:w="1340" w:type="dxa"/>
            <w:tcBorders>
              <w:top w:val="nil"/>
              <w:left w:val="nil"/>
              <w:bottom w:val="single" w:sz="8" w:space="0" w:color="auto"/>
              <w:right w:val="nil"/>
            </w:tcBorders>
            <w:shd w:val="clear" w:color="000000" w:fill="FFFFFF"/>
            <w:noWrap/>
            <w:vAlign w:val="center"/>
            <w:hideMark/>
          </w:tcPr>
          <w:p w14:paraId="55D964A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$485</w:t>
            </w:r>
          </w:p>
        </w:tc>
      </w:tr>
      <w:tr w:rsidR="00913FE0" w:rsidRPr="00913FE0" w14:paraId="4B3C69C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2BB809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Amortisation</w:t>
            </w:r>
          </w:p>
        </w:tc>
        <w:tc>
          <w:tcPr>
            <w:tcW w:w="1340" w:type="dxa"/>
            <w:tcBorders>
              <w:top w:val="nil"/>
              <w:left w:val="nil"/>
              <w:bottom w:val="single" w:sz="8" w:space="0" w:color="auto"/>
              <w:right w:val="nil"/>
            </w:tcBorders>
            <w:shd w:val="clear" w:color="000000" w:fill="FFFFFF"/>
            <w:noWrap/>
            <w:vAlign w:val="center"/>
            <w:hideMark/>
          </w:tcPr>
          <w:p w14:paraId="3E3FF44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$113</w:t>
            </w:r>
          </w:p>
        </w:tc>
        <w:tc>
          <w:tcPr>
            <w:tcW w:w="1340" w:type="dxa"/>
            <w:tcBorders>
              <w:top w:val="nil"/>
              <w:left w:val="nil"/>
              <w:bottom w:val="single" w:sz="8" w:space="0" w:color="auto"/>
              <w:right w:val="nil"/>
            </w:tcBorders>
            <w:shd w:val="clear" w:color="000000" w:fill="FFFFFF"/>
            <w:noWrap/>
            <w:vAlign w:val="center"/>
            <w:hideMark/>
          </w:tcPr>
          <w:p w14:paraId="368BD53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2D803F8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2C120AF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$118</w:t>
            </w:r>
          </w:p>
        </w:tc>
      </w:tr>
      <w:tr w:rsidR="00913FE0" w:rsidRPr="00913FE0" w14:paraId="4712541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7B3817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Refurbishment costs</w:t>
            </w:r>
          </w:p>
        </w:tc>
        <w:tc>
          <w:tcPr>
            <w:tcW w:w="1340" w:type="dxa"/>
            <w:tcBorders>
              <w:top w:val="nil"/>
              <w:left w:val="nil"/>
              <w:bottom w:val="single" w:sz="8" w:space="0" w:color="auto"/>
              <w:right w:val="nil"/>
            </w:tcBorders>
            <w:shd w:val="clear" w:color="000000" w:fill="FFFFFF"/>
            <w:noWrap/>
            <w:vAlign w:val="center"/>
            <w:hideMark/>
          </w:tcPr>
          <w:p w14:paraId="6C7986B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0D32234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w:t>
            </w:r>
          </w:p>
        </w:tc>
        <w:tc>
          <w:tcPr>
            <w:tcW w:w="1340" w:type="dxa"/>
            <w:tcBorders>
              <w:top w:val="nil"/>
              <w:left w:val="nil"/>
              <w:bottom w:val="single" w:sz="8" w:space="0" w:color="auto"/>
              <w:right w:val="nil"/>
            </w:tcBorders>
            <w:shd w:val="clear" w:color="000000" w:fill="FFFFFF"/>
            <w:noWrap/>
            <w:vAlign w:val="center"/>
            <w:hideMark/>
          </w:tcPr>
          <w:p w14:paraId="57810E8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0D17047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r>
      <w:tr w:rsidR="00913FE0" w:rsidRPr="00913FE0" w14:paraId="4BA8EA64"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531E069"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Rent for buildings - not captured by AASB 16</w:t>
            </w:r>
          </w:p>
        </w:tc>
        <w:tc>
          <w:tcPr>
            <w:tcW w:w="1340" w:type="dxa"/>
            <w:tcBorders>
              <w:top w:val="nil"/>
              <w:left w:val="nil"/>
              <w:bottom w:val="single" w:sz="8" w:space="0" w:color="auto"/>
              <w:right w:val="nil"/>
            </w:tcBorders>
            <w:shd w:val="clear" w:color="000000" w:fill="FFFFFF"/>
            <w:noWrap/>
            <w:vAlign w:val="center"/>
            <w:hideMark/>
          </w:tcPr>
          <w:p w14:paraId="057AEA0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$108</w:t>
            </w:r>
          </w:p>
        </w:tc>
        <w:tc>
          <w:tcPr>
            <w:tcW w:w="1340" w:type="dxa"/>
            <w:tcBorders>
              <w:top w:val="nil"/>
              <w:left w:val="nil"/>
              <w:bottom w:val="single" w:sz="8" w:space="0" w:color="auto"/>
              <w:right w:val="nil"/>
            </w:tcBorders>
            <w:shd w:val="clear" w:color="000000" w:fill="FFFFFF"/>
            <w:noWrap/>
            <w:vAlign w:val="center"/>
            <w:hideMark/>
          </w:tcPr>
          <w:p w14:paraId="576FAAE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w:t>
            </w:r>
          </w:p>
        </w:tc>
        <w:tc>
          <w:tcPr>
            <w:tcW w:w="1340" w:type="dxa"/>
            <w:tcBorders>
              <w:top w:val="nil"/>
              <w:left w:val="nil"/>
              <w:bottom w:val="single" w:sz="8" w:space="0" w:color="auto"/>
              <w:right w:val="nil"/>
            </w:tcBorders>
            <w:shd w:val="clear" w:color="000000" w:fill="FFFFFF"/>
            <w:noWrap/>
            <w:vAlign w:val="center"/>
            <w:hideMark/>
          </w:tcPr>
          <w:p w14:paraId="71FC8D3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00C2C91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$121</w:t>
            </w:r>
          </w:p>
        </w:tc>
      </w:tr>
      <w:tr w:rsidR="00913FE0" w:rsidRPr="00913FE0" w14:paraId="7B3979AB"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A34EE4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Interest expense - lease liabilities AASB 16</w:t>
            </w:r>
          </w:p>
        </w:tc>
        <w:tc>
          <w:tcPr>
            <w:tcW w:w="1340" w:type="dxa"/>
            <w:tcBorders>
              <w:top w:val="nil"/>
              <w:left w:val="nil"/>
              <w:bottom w:val="single" w:sz="8" w:space="0" w:color="auto"/>
              <w:right w:val="nil"/>
            </w:tcBorders>
            <w:shd w:val="clear" w:color="000000" w:fill="FFFFFF"/>
            <w:noWrap/>
            <w:vAlign w:val="center"/>
            <w:hideMark/>
          </w:tcPr>
          <w:p w14:paraId="4BA5C09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$143</w:t>
            </w:r>
          </w:p>
        </w:tc>
        <w:tc>
          <w:tcPr>
            <w:tcW w:w="1340" w:type="dxa"/>
            <w:tcBorders>
              <w:top w:val="nil"/>
              <w:left w:val="nil"/>
              <w:bottom w:val="single" w:sz="8" w:space="0" w:color="auto"/>
              <w:right w:val="nil"/>
            </w:tcBorders>
            <w:shd w:val="clear" w:color="000000" w:fill="FFFFFF"/>
            <w:noWrap/>
            <w:vAlign w:val="center"/>
            <w:hideMark/>
          </w:tcPr>
          <w:p w14:paraId="30DAD79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$30</w:t>
            </w:r>
          </w:p>
        </w:tc>
        <w:tc>
          <w:tcPr>
            <w:tcW w:w="1340" w:type="dxa"/>
            <w:tcBorders>
              <w:top w:val="nil"/>
              <w:left w:val="nil"/>
              <w:bottom w:val="single" w:sz="8" w:space="0" w:color="auto"/>
              <w:right w:val="nil"/>
            </w:tcBorders>
            <w:shd w:val="clear" w:color="000000" w:fill="FFFFFF"/>
            <w:noWrap/>
            <w:vAlign w:val="center"/>
            <w:hideMark/>
          </w:tcPr>
          <w:p w14:paraId="568DC18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174633A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$173</w:t>
            </w:r>
          </w:p>
        </w:tc>
      </w:tr>
      <w:tr w:rsidR="00913FE0" w:rsidRPr="00913FE0" w14:paraId="1F30109F"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6FD7EB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Interest paid (RAD / bond)</w:t>
            </w:r>
          </w:p>
        </w:tc>
        <w:tc>
          <w:tcPr>
            <w:tcW w:w="1340" w:type="dxa"/>
            <w:tcBorders>
              <w:top w:val="nil"/>
              <w:left w:val="nil"/>
              <w:bottom w:val="single" w:sz="8" w:space="0" w:color="auto"/>
              <w:right w:val="nil"/>
            </w:tcBorders>
            <w:shd w:val="clear" w:color="000000" w:fill="FFFFFF"/>
            <w:noWrap/>
            <w:vAlign w:val="center"/>
            <w:hideMark/>
          </w:tcPr>
          <w:p w14:paraId="25F249F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$54</w:t>
            </w:r>
          </w:p>
        </w:tc>
        <w:tc>
          <w:tcPr>
            <w:tcW w:w="1340" w:type="dxa"/>
            <w:tcBorders>
              <w:top w:val="nil"/>
              <w:left w:val="nil"/>
              <w:bottom w:val="single" w:sz="8" w:space="0" w:color="auto"/>
              <w:right w:val="nil"/>
            </w:tcBorders>
            <w:shd w:val="clear" w:color="000000" w:fill="FFFFFF"/>
            <w:noWrap/>
            <w:vAlign w:val="center"/>
            <w:hideMark/>
          </w:tcPr>
          <w:p w14:paraId="5B0C06E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$49</w:t>
            </w:r>
          </w:p>
        </w:tc>
        <w:tc>
          <w:tcPr>
            <w:tcW w:w="1340" w:type="dxa"/>
            <w:tcBorders>
              <w:top w:val="nil"/>
              <w:left w:val="nil"/>
              <w:bottom w:val="single" w:sz="8" w:space="0" w:color="auto"/>
              <w:right w:val="nil"/>
            </w:tcBorders>
            <w:shd w:val="clear" w:color="000000" w:fill="FFFFFF"/>
            <w:noWrap/>
            <w:vAlign w:val="center"/>
            <w:hideMark/>
          </w:tcPr>
          <w:p w14:paraId="7772CAE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09DDDB3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$104</w:t>
            </w:r>
          </w:p>
        </w:tc>
      </w:tr>
      <w:tr w:rsidR="00913FE0" w:rsidRPr="00913FE0" w14:paraId="5092CCD9"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1FA615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Financing interest</w:t>
            </w:r>
          </w:p>
        </w:tc>
        <w:tc>
          <w:tcPr>
            <w:tcW w:w="1340" w:type="dxa"/>
            <w:tcBorders>
              <w:top w:val="nil"/>
              <w:left w:val="nil"/>
              <w:bottom w:val="single" w:sz="8" w:space="0" w:color="auto"/>
              <w:right w:val="nil"/>
            </w:tcBorders>
            <w:shd w:val="clear" w:color="000000" w:fill="FFFFFF"/>
            <w:noWrap/>
            <w:vAlign w:val="center"/>
            <w:hideMark/>
          </w:tcPr>
          <w:p w14:paraId="4D759F5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$74</w:t>
            </w:r>
          </w:p>
        </w:tc>
        <w:tc>
          <w:tcPr>
            <w:tcW w:w="1340" w:type="dxa"/>
            <w:tcBorders>
              <w:top w:val="nil"/>
              <w:left w:val="nil"/>
              <w:bottom w:val="single" w:sz="8" w:space="0" w:color="auto"/>
              <w:right w:val="nil"/>
            </w:tcBorders>
            <w:shd w:val="clear" w:color="000000" w:fill="FFFFFF"/>
            <w:noWrap/>
            <w:vAlign w:val="center"/>
            <w:hideMark/>
          </w:tcPr>
          <w:p w14:paraId="346FEC0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$33</w:t>
            </w:r>
          </w:p>
        </w:tc>
        <w:tc>
          <w:tcPr>
            <w:tcW w:w="1340" w:type="dxa"/>
            <w:tcBorders>
              <w:top w:val="nil"/>
              <w:left w:val="nil"/>
              <w:bottom w:val="single" w:sz="8" w:space="0" w:color="auto"/>
              <w:right w:val="nil"/>
            </w:tcBorders>
            <w:shd w:val="clear" w:color="000000" w:fill="FFFFFF"/>
            <w:noWrap/>
            <w:vAlign w:val="center"/>
            <w:hideMark/>
          </w:tcPr>
          <w:p w14:paraId="44BDE32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43C0A55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$108</w:t>
            </w:r>
          </w:p>
        </w:tc>
      </w:tr>
      <w:tr w:rsidR="00913FE0" w:rsidRPr="00913FE0" w14:paraId="76F0C7FF"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2AC9720E"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Routine maintenance expenses</w:t>
            </w:r>
          </w:p>
        </w:tc>
        <w:tc>
          <w:tcPr>
            <w:tcW w:w="1340" w:type="dxa"/>
            <w:tcBorders>
              <w:top w:val="nil"/>
              <w:left w:val="nil"/>
              <w:bottom w:val="single" w:sz="8" w:space="0" w:color="auto"/>
              <w:right w:val="nil"/>
            </w:tcBorders>
            <w:shd w:val="clear" w:color="000000" w:fill="D8DADA"/>
            <w:noWrap/>
            <w:vAlign w:val="center"/>
            <w:hideMark/>
          </w:tcPr>
          <w:p w14:paraId="0D29590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649488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46EF9A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06BE9A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 </w:t>
            </w:r>
          </w:p>
        </w:tc>
      </w:tr>
      <w:tr w:rsidR="00913FE0" w:rsidRPr="00913FE0" w14:paraId="762064FF"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E35715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labour costs</w:t>
            </w:r>
          </w:p>
        </w:tc>
        <w:tc>
          <w:tcPr>
            <w:tcW w:w="1340" w:type="dxa"/>
            <w:tcBorders>
              <w:top w:val="nil"/>
              <w:left w:val="nil"/>
              <w:bottom w:val="single" w:sz="8" w:space="0" w:color="auto"/>
              <w:right w:val="nil"/>
            </w:tcBorders>
            <w:shd w:val="clear" w:color="000000" w:fill="FFFFFF"/>
            <w:noWrap/>
            <w:vAlign w:val="center"/>
            <w:hideMark/>
          </w:tcPr>
          <w:p w14:paraId="334A834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$71</w:t>
            </w:r>
          </w:p>
        </w:tc>
        <w:tc>
          <w:tcPr>
            <w:tcW w:w="1340" w:type="dxa"/>
            <w:tcBorders>
              <w:top w:val="nil"/>
              <w:left w:val="nil"/>
              <w:bottom w:val="single" w:sz="8" w:space="0" w:color="auto"/>
              <w:right w:val="nil"/>
            </w:tcBorders>
            <w:shd w:val="clear" w:color="000000" w:fill="FFFFFF"/>
            <w:noWrap/>
            <w:vAlign w:val="center"/>
            <w:hideMark/>
          </w:tcPr>
          <w:p w14:paraId="4C9C199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$125</w:t>
            </w:r>
          </w:p>
        </w:tc>
        <w:tc>
          <w:tcPr>
            <w:tcW w:w="1340" w:type="dxa"/>
            <w:tcBorders>
              <w:top w:val="nil"/>
              <w:left w:val="nil"/>
              <w:bottom w:val="single" w:sz="8" w:space="0" w:color="auto"/>
              <w:right w:val="nil"/>
            </w:tcBorders>
            <w:shd w:val="clear" w:color="000000" w:fill="FFFFFF"/>
            <w:noWrap/>
            <w:vAlign w:val="center"/>
            <w:hideMark/>
          </w:tcPr>
          <w:p w14:paraId="1B8F3A1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60B40B3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$206</w:t>
            </w:r>
          </w:p>
        </w:tc>
      </w:tr>
      <w:tr w:rsidR="00913FE0" w:rsidRPr="00913FE0" w14:paraId="05464260"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3CF872B"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Repairs and maintenance</w:t>
            </w:r>
          </w:p>
        </w:tc>
        <w:tc>
          <w:tcPr>
            <w:tcW w:w="1340" w:type="dxa"/>
            <w:tcBorders>
              <w:top w:val="nil"/>
              <w:left w:val="nil"/>
              <w:bottom w:val="single" w:sz="8" w:space="0" w:color="auto"/>
              <w:right w:val="nil"/>
            </w:tcBorders>
            <w:shd w:val="clear" w:color="000000" w:fill="FFFFFF"/>
            <w:noWrap/>
            <w:vAlign w:val="center"/>
            <w:hideMark/>
          </w:tcPr>
          <w:p w14:paraId="5B81524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$147</w:t>
            </w:r>
          </w:p>
        </w:tc>
        <w:tc>
          <w:tcPr>
            <w:tcW w:w="1340" w:type="dxa"/>
            <w:tcBorders>
              <w:top w:val="nil"/>
              <w:left w:val="nil"/>
              <w:bottom w:val="single" w:sz="8" w:space="0" w:color="auto"/>
              <w:right w:val="nil"/>
            </w:tcBorders>
            <w:shd w:val="clear" w:color="000000" w:fill="FFFFFF"/>
            <w:noWrap/>
            <w:vAlign w:val="center"/>
            <w:hideMark/>
          </w:tcPr>
          <w:p w14:paraId="0B3DC5C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$318</w:t>
            </w:r>
          </w:p>
        </w:tc>
        <w:tc>
          <w:tcPr>
            <w:tcW w:w="1340" w:type="dxa"/>
            <w:tcBorders>
              <w:top w:val="nil"/>
              <w:left w:val="nil"/>
              <w:bottom w:val="single" w:sz="8" w:space="0" w:color="auto"/>
              <w:right w:val="nil"/>
            </w:tcBorders>
            <w:shd w:val="clear" w:color="000000" w:fill="FFFFFF"/>
            <w:noWrap/>
            <w:vAlign w:val="center"/>
            <w:hideMark/>
          </w:tcPr>
          <w:p w14:paraId="5BD963A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$16</w:t>
            </w:r>
          </w:p>
        </w:tc>
        <w:tc>
          <w:tcPr>
            <w:tcW w:w="1340" w:type="dxa"/>
            <w:tcBorders>
              <w:top w:val="nil"/>
              <w:left w:val="nil"/>
              <w:bottom w:val="single" w:sz="8" w:space="0" w:color="auto"/>
              <w:right w:val="nil"/>
            </w:tcBorders>
            <w:shd w:val="clear" w:color="000000" w:fill="FFFFFF"/>
            <w:noWrap/>
            <w:vAlign w:val="center"/>
            <w:hideMark/>
          </w:tcPr>
          <w:p w14:paraId="3DD0908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$482</w:t>
            </w:r>
          </w:p>
        </w:tc>
      </w:tr>
      <w:tr w:rsidR="00913FE0" w:rsidRPr="00913FE0" w14:paraId="49E29B18"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36D057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internal</w:t>
            </w:r>
          </w:p>
        </w:tc>
        <w:tc>
          <w:tcPr>
            <w:tcW w:w="1340" w:type="dxa"/>
            <w:tcBorders>
              <w:top w:val="nil"/>
              <w:left w:val="nil"/>
              <w:bottom w:val="single" w:sz="8" w:space="0" w:color="auto"/>
              <w:right w:val="nil"/>
            </w:tcBorders>
            <w:shd w:val="clear" w:color="000000" w:fill="FFFFFF"/>
            <w:noWrap/>
            <w:vAlign w:val="center"/>
            <w:hideMark/>
          </w:tcPr>
          <w:p w14:paraId="3878511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$22</w:t>
            </w:r>
          </w:p>
        </w:tc>
        <w:tc>
          <w:tcPr>
            <w:tcW w:w="1340" w:type="dxa"/>
            <w:tcBorders>
              <w:top w:val="nil"/>
              <w:left w:val="nil"/>
              <w:bottom w:val="single" w:sz="8" w:space="0" w:color="auto"/>
              <w:right w:val="nil"/>
            </w:tcBorders>
            <w:shd w:val="clear" w:color="000000" w:fill="FFFFFF"/>
            <w:noWrap/>
            <w:vAlign w:val="center"/>
            <w:hideMark/>
          </w:tcPr>
          <w:p w14:paraId="7ACCDB7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w:t>
            </w:r>
          </w:p>
        </w:tc>
        <w:tc>
          <w:tcPr>
            <w:tcW w:w="1340" w:type="dxa"/>
            <w:tcBorders>
              <w:top w:val="nil"/>
              <w:left w:val="nil"/>
              <w:bottom w:val="single" w:sz="8" w:space="0" w:color="auto"/>
              <w:right w:val="nil"/>
            </w:tcBorders>
            <w:shd w:val="clear" w:color="000000" w:fill="FFFFFF"/>
            <w:noWrap/>
            <w:vAlign w:val="center"/>
            <w:hideMark/>
          </w:tcPr>
          <w:p w14:paraId="200C4FD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w:t>
            </w:r>
          </w:p>
        </w:tc>
        <w:tc>
          <w:tcPr>
            <w:tcW w:w="1340" w:type="dxa"/>
            <w:tcBorders>
              <w:top w:val="nil"/>
              <w:left w:val="nil"/>
              <w:bottom w:val="single" w:sz="8" w:space="0" w:color="auto"/>
              <w:right w:val="nil"/>
            </w:tcBorders>
            <w:shd w:val="clear" w:color="000000" w:fill="FFFFFF"/>
            <w:noWrap/>
            <w:vAlign w:val="center"/>
            <w:hideMark/>
          </w:tcPr>
          <w:p w14:paraId="135F4B9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w:t>
            </w:r>
          </w:p>
        </w:tc>
      </w:tr>
      <w:tr w:rsidR="00913FE0" w:rsidRPr="00913FE0" w14:paraId="3A5FBBD5"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564C203"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Contract services - outsourcing</w:t>
            </w:r>
          </w:p>
        </w:tc>
        <w:tc>
          <w:tcPr>
            <w:tcW w:w="1340" w:type="dxa"/>
            <w:tcBorders>
              <w:top w:val="nil"/>
              <w:left w:val="nil"/>
              <w:bottom w:val="single" w:sz="8" w:space="0" w:color="auto"/>
              <w:right w:val="nil"/>
            </w:tcBorders>
            <w:shd w:val="clear" w:color="000000" w:fill="FFFFFF"/>
            <w:noWrap/>
            <w:vAlign w:val="center"/>
            <w:hideMark/>
          </w:tcPr>
          <w:p w14:paraId="55739BD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w:t>
            </w:r>
          </w:p>
        </w:tc>
        <w:tc>
          <w:tcPr>
            <w:tcW w:w="1340" w:type="dxa"/>
            <w:tcBorders>
              <w:top w:val="nil"/>
              <w:left w:val="nil"/>
              <w:bottom w:val="single" w:sz="8" w:space="0" w:color="auto"/>
              <w:right w:val="nil"/>
            </w:tcBorders>
            <w:shd w:val="clear" w:color="000000" w:fill="FFFFFF"/>
            <w:noWrap/>
            <w:vAlign w:val="center"/>
            <w:hideMark/>
          </w:tcPr>
          <w:p w14:paraId="4F2E947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w:t>
            </w:r>
          </w:p>
        </w:tc>
        <w:tc>
          <w:tcPr>
            <w:tcW w:w="1340" w:type="dxa"/>
            <w:tcBorders>
              <w:top w:val="nil"/>
              <w:left w:val="nil"/>
              <w:bottom w:val="single" w:sz="8" w:space="0" w:color="auto"/>
              <w:right w:val="nil"/>
            </w:tcBorders>
            <w:shd w:val="clear" w:color="000000" w:fill="FFFFFF"/>
            <w:noWrap/>
            <w:vAlign w:val="center"/>
            <w:hideMark/>
          </w:tcPr>
          <w:p w14:paraId="49039C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2A9BE9A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$53</w:t>
            </w:r>
          </w:p>
        </w:tc>
      </w:tr>
      <w:tr w:rsidR="00913FE0" w:rsidRPr="00913FE0" w14:paraId="01EEE1ED"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5B5A024"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Total routine maintenance expenses</w:t>
            </w:r>
          </w:p>
        </w:tc>
        <w:tc>
          <w:tcPr>
            <w:tcW w:w="1340" w:type="dxa"/>
            <w:tcBorders>
              <w:top w:val="nil"/>
              <w:left w:val="nil"/>
              <w:bottom w:val="single" w:sz="8" w:space="0" w:color="auto"/>
              <w:right w:val="nil"/>
            </w:tcBorders>
            <w:shd w:val="clear" w:color="000000" w:fill="FFFFFF"/>
            <w:noWrap/>
            <w:vAlign w:val="center"/>
            <w:hideMark/>
          </w:tcPr>
          <w:p w14:paraId="23CD3CA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$258</w:t>
            </w:r>
          </w:p>
        </w:tc>
        <w:tc>
          <w:tcPr>
            <w:tcW w:w="1340" w:type="dxa"/>
            <w:tcBorders>
              <w:top w:val="nil"/>
              <w:left w:val="nil"/>
              <w:bottom w:val="single" w:sz="8" w:space="0" w:color="auto"/>
              <w:right w:val="nil"/>
            </w:tcBorders>
            <w:shd w:val="clear" w:color="000000" w:fill="FFFFFF"/>
            <w:noWrap/>
            <w:vAlign w:val="center"/>
            <w:hideMark/>
          </w:tcPr>
          <w:p w14:paraId="139D8A2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$479</w:t>
            </w:r>
          </w:p>
        </w:tc>
        <w:tc>
          <w:tcPr>
            <w:tcW w:w="1340" w:type="dxa"/>
            <w:tcBorders>
              <w:top w:val="nil"/>
              <w:left w:val="nil"/>
              <w:bottom w:val="single" w:sz="8" w:space="0" w:color="auto"/>
              <w:right w:val="nil"/>
            </w:tcBorders>
            <w:shd w:val="clear" w:color="000000" w:fill="FFFFFF"/>
            <w:noWrap/>
            <w:vAlign w:val="center"/>
            <w:hideMark/>
          </w:tcPr>
          <w:p w14:paraId="1DC98A5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$34</w:t>
            </w:r>
          </w:p>
        </w:tc>
        <w:tc>
          <w:tcPr>
            <w:tcW w:w="1340" w:type="dxa"/>
            <w:tcBorders>
              <w:top w:val="nil"/>
              <w:left w:val="nil"/>
              <w:bottom w:val="single" w:sz="8" w:space="0" w:color="auto"/>
              <w:right w:val="nil"/>
            </w:tcBorders>
            <w:shd w:val="clear" w:color="000000" w:fill="FFFFFF"/>
            <w:noWrap/>
            <w:vAlign w:val="center"/>
            <w:hideMark/>
          </w:tcPr>
          <w:p w14:paraId="57CD818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$772</w:t>
            </w:r>
          </w:p>
        </w:tc>
      </w:tr>
      <w:tr w:rsidR="00913FE0" w:rsidRPr="00913FE0" w14:paraId="4F5A94AA"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445DF852"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Workcover premium (accommodation employee labour)</w:t>
            </w:r>
          </w:p>
        </w:tc>
        <w:tc>
          <w:tcPr>
            <w:tcW w:w="1340" w:type="dxa"/>
            <w:tcBorders>
              <w:top w:val="nil"/>
              <w:left w:val="nil"/>
              <w:bottom w:val="single" w:sz="8" w:space="0" w:color="auto"/>
              <w:right w:val="nil"/>
            </w:tcBorders>
            <w:shd w:val="clear" w:color="000000" w:fill="FFFFFF"/>
            <w:noWrap/>
            <w:vAlign w:val="center"/>
            <w:hideMark/>
          </w:tcPr>
          <w:p w14:paraId="640C36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4397E0D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3498FCE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6C2B2C9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w:t>
            </w:r>
          </w:p>
        </w:tc>
      </w:tr>
      <w:tr w:rsidR="00913FE0" w:rsidRPr="00913FE0" w14:paraId="0765C052"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10628AE"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Payroll tax (accommodation employee labour)</w:t>
            </w:r>
          </w:p>
        </w:tc>
        <w:tc>
          <w:tcPr>
            <w:tcW w:w="1340" w:type="dxa"/>
            <w:tcBorders>
              <w:top w:val="nil"/>
              <w:left w:val="nil"/>
              <w:bottom w:val="single" w:sz="8" w:space="0" w:color="auto"/>
              <w:right w:val="nil"/>
            </w:tcBorders>
            <w:shd w:val="clear" w:color="000000" w:fill="FFFFFF"/>
            <w:noWrap/>
            <w:vAlign w:val="center"/>
            <w:hideMark/>
          </w:tcPr>
          <w:p w14:paraId="44537CC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51E6581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CCDA7D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48ABF1B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r>
      <w:tr w:rsidR="00913FE0" w:rsidRPr="00913FE0" w14:paraId="2B5A73C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658FC96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accommodation expenses</w:t>
            </w:r>
          </w:p>
        </w:tc>
        <w:tc>
          <w:tcPr>
            <w:tcW w:w="1340" w:type="dxa"/>
            <w:tcBorders>
              <w:top w:val="nil"/>
              <w:left w:val="nil"/>
              <w:bottom w:val="single" w:sz="8" w:space="0" w:color="auto"/>
              <w:right w:val="nil"/>
            </w:tcBorders>
            <w:shd w:val="clear" w:color="000000" w:fill="FFFFFF"/>
            <w:noWrap/>
            <w:vAlign w:val="center"/>
            <w:hideMark/>
          </w:tcPr>
          <w:p w14:paraId="582E566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$27</w:t>
            </w:r>
          </w:p>
        </w:tc>
        <w:tc>
          <w:tcPr>
            <w:tcW w:w="1340" w:type="dxa"/>
            <w:tcBorders>
              <w:top w:val="nil"/>
              <w:left w:val="nil"/>
              <w:bottom w:val="single" w:sz="8" w:space="0" w:color="auto"/>
              <w:right w:val="nil"/>
            </w:tcBorders>
            <w:shd w:val="clear" w:color="000000" w:fill="FFFFFF"/>
            <w:noWrap/>
            <w:vAlign w:val="center"/>
            <w:hideMark/>
          </w:tcPr>
          <w:p w14:paraId="04B65D8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$39</w:t>
            </w:r>
          </w:p>
        </w:tc>
        <w:tc>
          <w:tcPr>
            <w:tcW w:w="1340" w:type="dxa"/>
            <w:tcBorders>
              <w:top w:val="nil"/>
              <w:left w:val="nil"/>
              <w:bottom w:val="single" w:sz="8" w:space="0" w:color="auto"/>
              <w:right w:val="nil"/>
            </w:tcBorders>
            <w:shd w:val="clear" w:color="000000" w:fill="FFFFFF"/>
            <w:noWrap/>
            <w:vAlign w:val="center"/>
            <w:hideMark/>
          </w:tcPr>
          <w:p w14:paraId="632FCEC6"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3C1C78F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$67</w:t>
            </w:r>
          </w:p>
        </w:tc>
      </w:tr>
      <w:tr w:rsidR="00913FE0" w:rsidRPr="00913FE0" w14:paraId="51F6EF93" w14:textId="77777777" w:rsidTr="00913FE0">
        <w:trPr>
          <w:trHeight w:val="550"/>
        </w:trPr>
        <w:tc>
          <w:tcPr>
            <w:tcW w:w="3840" w:type="dxa"/>
            <w:tcBorders>
              <w:top w:val="nil"/>
              <w:left w:val="nil"/>
              <w:bottom w:val="single" w:sz="8" w:space="0" w:color="auto"/>
              <w:right w:val="nil"/>
            </w:tcBorders>
            <w:shd w:val="clear" w:color="000000" w:fill="D8DADA"/>
            <w:vAlign w:val="center"/>
            <w:hideMark/>
          </w:tcPr>
          <w:p w14:paraId="48195CE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accommodation and finance expenses</w:t>
            </w:r>
          </w:p>
        </w:tc>
        <w:tc>
          <w:tcPr>
            <w:tcW w:w="1340" w:type="dxa"/>
            <w:tcBorders>
              <w:top w:val="nil"/>
              <w:left w:val="nil"/>
              <w:bottom w:val="single" w:sz="8" w:space="0" w:color="auto"/>
              <w:right w:val="nil"/>
            </w:tcBorders>
            <w:shd w:val="clear" w:color="000000" w:fill="D8DADA"/>
            <w:noWrap/>
            <w:vAlign w:val="center"/>
            <w:hideMark/>
          </w:tcPr>
          <w:p w14:paraId="100E1D88"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$1,393</w:t>
            </w:r>
          </w:p>
        </w:tc>
        <w:tc>
          <w:tcPr>
            <w:tcW w:w="1340" w:type="dxa"/>
            <w:tcBorders>
              <w:top w:val="nil"/>
              <w:left w:val="nil"/>
              <w:bottom w:val="single" w:sz="8" w:space="0" w:color="auto"/>
              <w:right w:val="nil"/>
            </w:tcBorders>
            <w:shd w:val="clear" w:color="000000" w:fill="D8DADA"/>
            <w:noWrap/>
            <w:vAlign w:val="center"/>
            <w:hideMark/>
          </w:tcPr>
          <w:p w14:paraId="088F9771"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$1,499</w:t>
            </w:r>
          </w:p>
        </w:tc>
        <w:tc>
          <w:tcPr>
            <w:tcW w:w="1340" w:type="dxa"/>
            <w:tcBorders>
              <w:top w:val="nil"/>
              <w:left w:val="nil"/>
              <w:bottom w:val="single" w:sz="8" w:space="0" w:color="auto"/>
              <w:right w:val="nil"/>
            </w:tcBorders>
            <w:shd w:val="clear" w:color="000000" w:fill="D8DADA"/>
            <w:noWrap/>
            <w:vAlign w:val="center"/>
            <w:hideMark/>
          </w:tcPr>
          <w:p w14:paraId="07B183E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$127</w:t>
            </w:r>
          </w:p>
        </w:tc>
        <w:tc>
          <w:tcPr>
            <w:tcW w:w="1340" w:type="dxa"/>
            <w:tcBorders>
              <w:top w:val="nil"/>
              <w:left w:val="nil"/>
              <w:bottom w:val="single" w:sz="8" w:space="0" w:color="auto"/>
              <w:right w:val="nil"/>
            </w:tcBorders>
            <w:shd w:val="clear" w:color="000000" w:fill="D8DADA"/>
            <w:noWrap/>
            <w:vAlign w:val="center"/>
            <w:hideMark/>
          </w:tcPr>
          <w:p w14:paraId="401DCAB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$3,019</w:t>
            </w:r>
          </w:p>
        </w:tc>
      </w:tr>
      <w:tr w:rsidR="00913FE0" w:rsidRPr="00913FE0" w14:paraId="1A61AAE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0951C87A"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COVID-19 expenses</w:t>
            </w:r>
          </w:p>
        </w:tc>
        <w:tc>
          <w:tcPr>
            <w:tcW w:w="1340" w:type="dxa"/>
            <w:tcBorders>
              <w:top w:val="nil"/>
              <w:left w:val="nil"/>
              <w:bottom w:val="single" w:sz="8" w:space="0" w:color="auto"/>
              <w:right w:val="nil"/>
            </w:tcBorders>
            <w:shd w:val="clear" w:color="000000" w:fill="D8DADA"/>
            <w:noWrap/>
            <w:vAlign w:val="center"/>
            <w:hideMark/>
          </w:tcPr>
          <w:p w14:paraId="21849D4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77928608"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4B2CC78F"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0FF08D19"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5C5137D2"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FE57FC9"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Employee and Agency Labour costs</w:t>
            </w:r>
          </w:p>
        </w:tc>
        <w:tc>
          <w:tcPr>
            <w:tcW w:w="1340" w:type="dxa"/>
            <w:tcBorders>
              <w:top w:val="nil"/>
              <w:left w:val="nil"/>
              <w:bottom w:val="single" w:sz="8" w:space="0" w:color="auto"/>
              <w:right w:val="nil"/>
            </w:tcBorders>
            <w:shd w:val="clear" w:color="000000" w:fill="FFFFFF"/>
            <w:noWrap/>
            <w:vAlign w:val="center"/>
            <w:hideMark/>
          </w:tcPr>
          <w:p w14:paraId="12641A2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$170</w:t>
            </w:r>
          </w:p>
        </w:tc>
        <w:tc>
          <w:tcPr>
            <w:tcW w:w="1340" w:type="dxa"/>
            <w:tcBorders>
              <w:top w:val="nil"/>
              <w:left w:val="nil"/>
              <w:bottom w:val="single" w:sz="8" w:space="0" w:color="auto"/>
              <w:right w:val="nil"/>
            </w:tcBorders>
            <w:shd w:val="clear" w:color="000000" w:fill="FFFFFF"/>
            <w:noWrap/>
            <w:vAlign w:val="center"/>
            <w:hideMark/>
          </w:tcPr>
          <w:p w14:paraId="254B7B9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$151</w:t>
            </w:r>
          </w:p>
        </w:tc>
        <w:tc>
          <w:tcPr>
            <w:tcW w:w="1340" w:type="dxa"/>
            <w:tcBorders>
              <w:top w:val="nil"/>
              <w:left w:val="nil"/>
              <w:bottom w:val="single" w:sz="8" w:space="0" w:color="auto"/>
              <w:right w:val="nil"/>
            </w:tcBorders>
            <w:shd w:val="clear" w:color="000000" w:fill="FFFFFF"/>
            <w:noWrap/>
            <w:vAlign w:val="center"/>
            <w:hideMark/>
          </w:tcPr>
          <w:p w14:paraId="5BD0551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$10</w:t>
            </w:r>
          </w:p>
        </w:tc>
        <w:tc>
          <w:tcPr>
            <w:tcW w:w="1340" w:type="dxa"/>
            <w:tcBorders>
              <w:top w:val="nil"/>
              <w:left w:val="nil"/>
              <w:bottom w:val="single" w:sz="8" w:space="0" w:color="auto"/>
              <w:right w:val="nil"/>
            </w:tcBorders>
            <w:shd w:val="clear" w:color="000000" w:fill="FFFFFF"/>
            <w:noWrap/>
            <w:vAlign w:val="center"/>
            <w:hideMark/>
          </w:tcPr>
          <w:p w14:paraId="625E723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$331</w:t>
            </w:r>
          </w:p>
        </w:tc>
      </w:tr>
      <w:tr w:rsidR="00913FE0" w:rsidRPr="00913FE0" w14:paraId="37278CEE"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2D74CD4"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Resident support</w:t>
            </w:r>
          </w:p>
        </w:tc>
        <w:tc>
          <w:tcPr>
            <w:tcW w:w="1340" w:type="dxa"/>
            <w:tcBorders>
              <w:top w:val="nil"/>
              <w:left w:val="nil"/>
              <w:bottom w:val="single" w:sz="8" w:space="0" w:color="auto"/>
              <w:right w:val="nil"/>
            </w:tcBorders>
            <w:shd w:val="clear" w:color="000000" w:fill="FFFFFF"/>
            <w:noWrap/>
            <w:vAlign w:val="center"/>
            <w:hideMark/>
          </w:tcPr>
          <w:p w14:paraId="08AB3D2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w:t>
            </w:r>
          </w:p>
        </w:tc>
        <w:tc>
          <w:tcPr>
            <w:tcW w:w="1340" w:type="dxa"/>
            <w:tcBorders>
              <w:top w:val="nil"/>
              <w:left w:val="nil"/>
              <w:bottom w:val="single" w:sz="8" w:space="0" w:color="auto"/>
              <w:right w:val="nil"/>
            </w:tcBorders>
            <w:shd w:val="clear" w:color="000000" w:fill="FFFFFF"/>
            <w:noWrap/>
            <w:vAlign w:val="center"/>
            <w:hideMark/>
          </w:tcPr>
          <w:p w14:paraId="2C56D13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w:t>
            </w:r>
          </w:p>
        </w:tc>
        <w:tc>
          <w:tcPr>
            <w:tcW w:w="1340" w:type="dxa"/>
            <w:tcBorders>
              <w:top w:val="nil"/>
              <w:left w:val="nil"/>
              <w:bottom w:val="single" w:sz="8" w:space="0" w:color="auto"/>
              <w:right w:val="nil"/>
            </w:tcBorders>
            <w:shd w:val="clear" w:color="000000" w:fill="FFFFFF"/>
            <w:noWrap/>
            <w:vAlign w:val="center"/>
            <w:hideMark/>
          </w:tcPr>
          <w:p w14:paraId="19A5447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43F302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w:t>
            </w:r>
          </w:p>
        </w:tc>
      </w:tr>
      <w:tr w:rsidR="00913FE0" w:rsidRPr="00913FE0" w14:paraId="42C89CAA"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03566001"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Preventative measures</w:t>
            </w:r>
          </w:p>
        </w:tc>
        <w:tc>
          <w:tcPr>
            <w:tcW w:w="1340" w:type="dxa"/>
            <w:tcBorders>
              <w:top w:val="nil"/>
              <w:left w:val="nil"/>
              <w:bottom w:val="single" w:sz="8" w:space="0" w:color="auto"/>
              <w:right w:val="nil"/>
            </w:tcBorders>
            <w:shd w:val="clear" w:color="000000" w:fill="FFFFFF"/>
            <w:noWrap/>
            <w:vAlign w:val="center"/>
            <w:hideMark/>
          </w:tcPr>
          <w:p w14:paraId="23ADBC2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$37</w:t>
            </w:r>
          </w:p>
        </w:tc>
        <w:tc>
          <w:tcPr>
            <w:tcW w:w="1340" w:type="dxa"/>
            <w:tcBorders>
              <w:top w:val="nil"/>
              <w:left w:val="nil"/>
              <w:bottom w:val="single" w:sz="8" w:space="0" w:color="auto"/>
              <w:right w:val="nil"/>
            </w:tcBorders>
            <w:shd w:val="clear" w:color="000000" w:fill="FFFFFF"/>
            <w:noWrap/>
            <w:vAlign w:val="center"/>
            <w:hideMark/>
          </w:tcPr>
          <w:p w14:paraId="5B185AC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$40</w:t>
            </w:r>
          </w:p>
        </w:tc>
        <w:tc>
          <w:tcPr>
            <w:tcW w:w="1340" w:type="dxa"/>
            <w:tcBorders>
              <w:top w:val="nil"/>
              <w:left w:val="nil"/>
              <w:bottom w:val="single" w:sz="8" w:space="0" w:color="auto"/>
              <w:right w:val="nil"/>
            </w:tcBorders>
            <w:shd w:val="clear" w:color="000000" w:fill="FFFFFF"/>
            <w:noWrap/>
            <w:vAlign w:val="center"/>
            <w:hideMark/>
          </w:tcPr>
          <w:p w14:paraId="505F044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68348B1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$79</w:t>
            </w:r>
          </w:p>
        </w:tc>
      </w:tr>
      <w:tr w:rsidR="00913FE0" w:rsidRPr="00913FE0" w14:paraId="2E2B6036"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52EFF26"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Infection prevention and control (IPC) lead expenses</w:t>
            </w:r>
          </w:p>
        </w:tc>
        <w:tc>
          <w:tcPr>
            <w:tcW w:w="1340" w:type="dxa"/>
            <w:tcBorders>
              <w:top w:val="nil"/>
              <w:left w:val="nil"/>
              <w:bottom w:val="single" w:sz="8" w:space="0" w:color="auto"/>
              <w:right w:val="nil"/>
            </w:tcBorders>
            <w:shd w:val="clear" w:color="000000" w:fill="FFFFFF"/>
            <w:noWrap/>
            <w:vAlign w:val="center"/>
            <w:hideMark/>
          </w:tcPr>
          <w:p w14:paraId="16FF230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$12</w:t>
            </w:r>
          </w:p>
        </w:tc>
        <w:tc>
          <w:tcPr>
            <w:tcW w:w="1340" w:type="dxa"/>
            <w:tcBorders>
              <w:top w:val="nil"/>
              <w:left w:val="nil"/>
              <w:bottom w:val="single" w:sz="8" w:space="0" w:color="auto"/>
              <w:right w:val="nil"/>
            </w:tcBorders>
            <w:shd w:val="clear" w:color="000000" w:fill="FFFFFF"/>
            <w:noWrap/>
            <w:vAlign w:val="center"/>
            <w:hideMark/>
          </w:tcPr>
          <w:p w14:paraId="54EFB5A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$19</w:t>
            </w:r>
          </w:p>
        </w:tc>
        <w:tc>
          <w:tcPr>
            <w:tcW w:w="1340" w:type="dxa"/>
            <w:tcBorders>
              <w:top w:val="nil"/>
              <w:left w:val="nil"/>
              <w:bottom w:val="single" w:sz="8" w:space="0" w:color="auto"/>
              <w:right w:val="nil"/>
            </w:tcBorders>
            <w:shd w:val="clear" w:color="000000" w:fill="FFFFFF"/>
            <w:noWrap/>
            <w:vAlign w:val="center"/>
            <w:hideMark/>
          </w:tcPr>
          <w:p w14:paraId="0B18E06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54647D6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$32</w:t>
            </w:r>
          </w:p>
        </w:tc>
      </w:tr>
      <w:tr w:rsidR="00913FE0" w:rsidRPr="00913FE0" w14:paraId="5BBB9173"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5116CD42"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COVID-19 expenses</w:t>
            </w:r>
          </w:p>
        </w:tc>
        <w:tc>
          <w:tcPr>
            <w:tcW w:w="1340" w:type="dxa"/>
            <w:tcBorders>
              <w:top w:val="nil"/>
              <w:left w:val="nil"/>
              <w:bottom w:val="single" w:sz="8" w:space="0" w:color="auto"/>
              <w:right w:val="nil"/>
            </w:tcBorders>
            <w:shd w:val="clear" w:color="000000" w:fill="FFFFFF"/>
            <w:noWrap/>
            <w:vAlign w:val="center"/>
            <w:hideMark/>
          </w:tcPr>
          <w:p w14:paraId="72CD4E6A"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$6</w:t>
            </w:r>
          </w:p>
        </w:tc>
        <w:tc>
          <w:tcPr>
            <w:tcW w:w="1340" w:type="dxa"/>
            <w:tcBorders>
              <w:top w:val="nil"/>
              <w:left w:val="nil"/>
              <w:bottom w:val="single" w:sz="8" w:space="0" w:color="auto"/>
              <w:right w:val="nil"/>
            </w:tcBorders>
            <w:shd w:val="clear" w:color="000000" w:fill="FFFFFF"/>
            <w:noWrap/>
            <w:vAlign w:val="center"/>
            <w:hideMark/>
          </w:tcPr>
          <w:p w14:paraId="494638D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26002F9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02F256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$9</w:t>
            </w:r>
          </w:p>
        </w:tc>
      </w:tr>
      <w:tr w:rsidR="00913FE0" w:rsidRPr="00913FE0" w14:paraId="4DE0D73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5C7D44D"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COVID-19 expenses</w:t>
            </w:r>
          </w:p>
        </w:tc>
        <w:tc>
          <w:tcPr>
            <w:tcW w:w="1340" w:type="dxa"/>
            <w:tcBorders>
              <w:top w:val="nil"/>
              <w:left w:val="nil"/>
              <w:bottom w:val="single" w:sz="8" w:space="0" w:color="auto"/>
              <w:right w:val="nil"/>
            </w:tcBorders>
            <w:shd w:val="clear" w:color="000000" w:fill="D8DADA"/>
            <w:noWrap/>
            <w:vAlign w:val="center"/>
            <w:hideMark/>
          </w:tcPr>
          <w:p w14:paraId="1E285A8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$231</w:t>
            </w:r>
          </w:p>
        </w:tc>
        <w:tc>
          <w:tcPr>
            <w:tcW w:w="1340" w:type="dxa"/>
            <w:tcBorders>
              <w:top w:val="nil"/>
              <w:left w:val="nil"/>
              <w:bottom w:val="single" w:sz="8" w:space="0" w:color="auto"/>
              <w:right w:val="nil"/>
            </w:tcBorders>
            <w:shd w:val="clear" w:color="000000" w:fill="D8DADA"/>
            <w:noWrap/>
            <w:vAlign w:val="center"/>
            <w:hideMark/>
          </w:tcPr>
          <w:p w14:paraId="0D269F21"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$216</w:t>
            </w:r>
          </w:p>
        </w:tc>
        <w:tc>
          <w:tcPr>
            <w:tcW w:w="1340" w:type="dxa"/>
            <w:tcBorders>
              <w:top w:val="nil"/>
              <w:left w:val="nil"/>
              <w:bottom w:val="single" w:sz="8" w:space="0" w:color="auto"/>
              <w:right w:val="nil"/>
            </w:tcBorders>
            <w:shd w:val="clear" w:color="000000" w:fill="D8DADA"/>
            <w:noWrap/>
            <w:vAlign w:val="center"/>
            <w:hideMark/>
          </w:tcPr>
          <w:p w14:paraId="1DB3688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w:t>
            </w:r>
          </w:p>
        </w:tc>
        <w:tc>
          <w:tcPr>
            <w:tcW w:w="1340" w:type="dxa"/>
            <w:tcBorders>
              <w:top w:val="nil"/>
              <w:left w:val="nil"/>
              <w:bottom w:val="single" w:sz="8" w:space="0" w:color="auto"/>
              <w:right w:val="nil"/>
            </w:tcBorders>
            <w:shd w:val="clear" w:color="000000" w:fill="D8DADA"/>
            <w:noWrap/>
            <w:vAlign w:val="center"/>
            <w:hideMark/>
          </w:tcPr>
          <w:p w14:paraId="06BE4EC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$459</w:t>
            </w:r>
          </w:p>
        </w:tc>
      </w:tr>
      <w:tr w:rsidR="00913FE0" w:rsidRPr="00913FE0" w14:paraId="4EBFC523"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45AC8E2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recurrent expense</w:t>
            </w:r>
          </w:p>
        </w:tc>
        <w:tc>
          <w:tcPr>
            <w:tcW w:w="1340" w:type="dxa"/>
            <w:tcBorders>
              <w:top w:val="nil"/>
              <w:left w:val="nil"/>
              <w:bottom w:val="single" w:sz="8" w:space="0" w:color="auto"/>
              <w:right w:val="nil"/>
            </w:tcBorders>
            <w:shd w:val="clear" w:color="000000" w:fill="D8DADA"/>
            <w:noWrap/>
            <w:vAlign w:val="center"/>
            <w:hideMark/>
          </w:tcPr>
          <w:p w14:paraId="07D5503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$9,303</w:t>
            </w:r>
          </w:p>
        </w:tc>
        <w:tc>
          <w:tcPr>
            <w:tcW w:w="1340" w:type="dxa"/>
            <w:tcBorders>
              <w:top w:val="nil"/>
              <w:left w:val="nil"/>
              <w:bottom w:val="single" w:sz="8" w:space="0" w:color="auto"/>
              <w:right w:val="nil"/>
            </w:tcBorders>
            <w:shd w:val="clear" w:color="000000" w:fill="D8DADA"/>
            <w:noWrap/>
            <w:vAlign w:val="center"/>
            <w:hideMark/>
          </w:tcPr>
          <w:p w14:paraId="1D73521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$13,435</w:t>
            </w:r>
          </w:p>
        </w:tc>
        <w:tc>
          <w:tcPr>
            <w:tcW w:w="1340" w:type="dxa"/>
            <w:tcBorders>
              <w:top w:val="nil"/>
              <w:left w:val="nil"/>
              <w:bottom w:val="single" w:sz="8" w:space="0" w:color="auto"/>
              <w:right w:val="nil"/>
            </w:tcBorders>
            <w:shd w:val="clear" w:color="000000" w:fill="D8DADA"/>
            <w:noWrap/>
            <w:vAlign w:val="center"/>
            <w:hideMark/>
          </w:tcPr>
          <w:p w14:paraId="6C20AC0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$1,237</w:t>
            </w:r>
          </w:p>
        </w:tc>
        <w:tc>
          <w:tcPr>
            <w:tcW w:w="1340" w:type="dxa"/>
            <w:tcBorders>
              <w:top w:val="nil"/>
              <w:left w:val="nil"/>
              <w:bottom w:val="single" w:sz="8" w:space="0" w:color="auto"/>
              <w:right w:val="nil"/>
            </w:tcBorders>
            <w:shd w:val="clear" w:color="000000" w:fill="D8DADA"/>
            <w:noWrap/>
            <w:vAlign w:val="center"/>
            <w:hideMark/>
          </w:tcPr>
          <w:p w14:paraId="3C742517"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$23,975</w:t>
            </w:r>
          </w:p>
        </w:tc>
      </w:tr>
      <w:tr w:rsidR="00913FE0" w:rsidRPr="00913FE0" w14:paraId="3FD6B280"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2DFAAB21"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Non-recurrent expenses</w:t>
            </w:r>
          </w:p>
        </w:tc>
        <w:tc>
          <w:tcPr>
            <w:tcW w:w="1340" w:type="dxa"/>
            <w:tcBorders>
              <w:top w:val="nil"/>
              <w:left w:val="nil"/>
              <w:bottom w:val="single" w:sz="8" w:space="0" w:color="auto"/>
              <w:right w:val="nil"/>
            </w:tcBorders>
            <w:shd w:val="clear" w:color="000000" w:fill="D8DADA"/>
            <w:noWrap/>
            <w:vAlign w:val="center"/>
            <w:hideMark/>
          </w:tcPr>
          <w:p w14:paraId="0483DB8C"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18A331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3DD60FA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58228860"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 </w:t>
            </w:r>
          </w:p>
        </w:tc>
      </w:tr>
      <w:tr w:rsidR="00913FE0" w:rsidRPr="00913FE0" w14:paraId="2B9DCA7C"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2A8ABA5C"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Fair value losses on financial assets</w:t>
            </w:r>
          </w:p>
        </w:tc>
        <w:tc>
          <w:tcPr>
            <w:tcW w:w="1340" w:type="dxa"/>
            <w:tcBorders>
              <w:top w:val="nil"/>
              <w:left w:val="nil"/>
              <w:bottom w:val="single" w:sz="8" w:space="0" w:color="auto"/>
              <w:right w:val="nil"/>
            </w:tcBorders>
            <w:shd w:val="clear" w:color="000000" w:fill="FFFFFF"/>
            <w:noWrap/>
            <w:vAlign w:val="center"/>
            <w:hideMark/>
          </w:tcPr>
          <w:p w14:paraId="271C1771"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7BBC107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8D134F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CEAED4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r>
      <w:tr w:rsidR="00913FE0" w:rsidRPr="00913FE0" w14:paraId="06DEA8D3"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5F6DBD07"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Fair value loss / asset revaluation decreases on other assets</w:t>
            </w:r>
          </w:p>
        </w:tc>
        <w:tc>
          <w:tcPr>
            <w:tcW w:w="1340" w:type="dxa"/>
            <w:tcBorders>
              <w:top w:val="nil"/>
              <w:left w:val="nil"/>
              <w:bottom w:val="single" w:sz="8" w:space="0" w:color="auto"/>
              <w:right w:val="nil"/>
            </w:tcBorders>
            <w:shd w:val="clear" w:color="000000" w:fill="FFFFFF"/>
            <w:noWrap/>
            <w:vAlign w:val="center"/>
            <w:hideMark/>
          </w:tcPr>
          <w:p w14:paraId="0FF9A86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7BE8913"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639DA24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31683C5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r>
      <w:tr w:rsidR="00913FE0" w:rsidRPr="00913FE0" w14:paraId="6D56ED01"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26FF5F60"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Amortisation / impairment of Bed Licenses</w:t>
            </w:r>
          </w:p>
        </w:tc>
        <w:tc>
          <w:tcPr>
            <w:tcW w:w="1340" w:type="dxa"/>
            <w:tcBorders>
              <w:top w:val="nil"/>
              <w:left w:val="nil"/>
              <w:bottom w:val="single" w:sz="8" w:space="0" w:color="auto"/>
              <w:right w:val="nil"/>
            </w:tcBorders>
            <w:shd w:val="clear" w:color="000000" w:fill="FFFFFF"/>
            <w:noWrap/>
            <w:vAlign w:val="center"/>
            <w:hideMark/>
          </w:tcPr>
          <w:p w14:paraId="2DFAAC9C"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$565</w:t>
            </w:r>
          </w:p>
        </w:tc>
        <w:tc>
          <w:tcPr>
            <w:tcW w:w="1340" w:type="dxa"/>
            <w:tcBorders>
              <w:top w:val="nil"/>
              <w:left w:val="nil"/>
              <w:bottom w:val="single" w:sz="8" w:space="0" w:color="auto"/>
              <w:right w:val="nil"/>
            </w:tcBorders>
            <w:shd w:val="clear" w:color="000000" w:fill="FFFFFF"/>
            <w:noWrap/>
            <w:vAlign w:val="center"/>
            <w:hideMark/>
          </w:tcPr>
          <w:p w14:paraId="04BCA22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$201</w:t>
            </w:r>
          </w:p>
        </w:tc>
        <w:tc>
          <w:tcPr>
            <w:tcW w:w="1340" w:type="dxa"/>
            <w:tcBorders>
              <w:top w:val="nil"/>
              <w:left w:val="nil"/>
              <w:bottom w:val="single" w:sz="8" w:space="0" w:color="auto"/>
              <w:right w:val="nil"/>
            </w:tcBorders>
            <w:shd w:val="clear" w:color="000000" w:fill="FFFFFF"/>
            <w:noWrap/>
            <w:vAlign w:val="center"/>
            <w:hideMark/>
          </w:tcPr>
          <w:p w14:paraId="53A4B470"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70AB0E77"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$766</w:t>
            </w:r>
          </w:p>
        </w:tc>
      </w:tr>
      <w:tr w:rsidR="00913FE0" w:rsidRPr="00913FE0" w14:paraId="5C99D0B2"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3ACF3048"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Impairment loss</w:t>
            </w:r>
          </w:p>
        </w:tc>
        <w:tc>
          <w:tcPr>
            <w:tcW w:w="1340" w:type="dxa"/>
            <w:tcBorders>
              <w:top w:val="nil"/>
              <w:left w:val="nil"/>
              <w:bottom w:val="single" w:sz="8" w:space="0" w:color="auto"/>
              <w:right w:val="nil"/>
            </w:tcBorders>
            <w:shd w:val="clear" w:color="000000" w:fill="FFFFFF"/>
            <w:noWrap/>
            <w:vAlign w:val="center"/>
            <w:hideMark/>
          </w:tcPr>
          <w:p w14:paraId="397C09CE"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$77</w:t>
            </w:r>
          </w:p>
        </w:tc>
        <w:tc>
          <w:tcPr>
            <w:tcW w:w="1340" w:type="dxa"/>
            <w:tcBorders>
              <w:top w:val="nil"/>
              <w:left w:val="nil"/>
              <w:bottom w:val="single" w:sz="8" w:space="0" w:color="auto"/>
              <w:right w:val="nil"/>
            </w:tcBorders>
            <w:shd w:val="clear" w:color="000000" w:fill="FFFFFF"/>
            <w:noWrap/>
            <w:vAlign w:val="center"/>
            <w:hideMark/>
          </w:tcPr>
          <w:p w14:paraId="669100E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$39</w:t>
            </w:r>
          </w:p>
        </w:tc>
        <w:tc>
          <w:tcPr>
            <w:tcW w:w="1340" w:type="dxa"/>
            <w:tcBorders>
              <w:top w:val="nil"/>
              <w:left w:val="nil"/>
              <w:bottom w:val="single" w:sz="8" w:space="0" w:color="auto"/>
              <w:right w:val="nil"/>
            </w:tcBorders>
            <w:shd w:val="clear" w:color="000000" w:fill="FFFFFF"/>
            <w:noWrap/>
            <w:vAlign w:val="center"/>
            <w:hideMark/>
          </w:tcPr>
          <w:p w14:paraId="63DC41F5"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13DB3C0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$116</w:t>
            </w:r>
          </w:p>
        </w:tc>
      </w:tr>
      <w:tr w:rsidR="00913FE0" w:rsidRPr="00913FE0" w14:paraId="0CA34298"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13E830CE"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Realised losses on disposal of assets</w:t>
            </w:r>
          </w:p>
        </w:tc>
        <w:tc>
          <w:tcPr>
            <w:tcW w:w="1340" w:type="dxa"/>
            <w:tcBorders>
              <w:top w:val="nil"/>
              <w:left w:val="nil"/>
              <w:bottom w:val="single" w:sz="8" w:space="0" w:color="auto"/>
              <w:right w:val="nil"/>
            </w:tcBorders>
            <w:shd w:val="clear" w:color="000000" w:fill="FFFFFF"/>
            <w:noWrap/>
            <w:vAlign w:val="center"/>
            <w:hideMark/>
          </w:tcPr>
          <w:p w14:paraId="4DA51724"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$131</w:t>
            </w:r>
          </w:p>
        </w:tc>
        <w:tc>
          <w:tcPr>
            <w:tcW w:w="1340" w:type="dxa"/>
            <w:tcBorders>
              <w:top w:val="nil"/>
              <w:left w:val="nil"/>
              <w:bottom w:val="single" w:sz="8" w:space="0" w:color="auto"/>
              <w:right w:val="nil"/>
            </w:tcBorders>
            <w:shd w:val="clear" w:color="000000" w:fill="FFFFFF"/>
            <w:noWrap/>
            <w:vAlign w:val="center"/>
            <w:hideMark/>
          </w:tcPr>
          <w:p w14:paraId="5175A4C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293F6B4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$0</w:t>
            </w:r>
          </w:p>
        </w:tc>
        <w:tc>
          <w:tcPr>
            <w:tcW w:w="1340" w:type="dxa"/>
            <w:tcBorders>
              <w:top w:val="nil"/>
              <w:left w:val="nil"/>
              <w:bottom w:val="single" w:sz="8" w:space="0" w:color="auto"/>
              <w:right w:val="nil"/>
            </w:tcBorders>
            <w:shd w:val="clear" w:color="000000" w:fill="FFFFFF"/>
            <w:noWrap/>
            <w:vAlign w:val="center"/>
            <w:hideMark/>
          </w:tcPr>
          <w:p w14:paraId="0103DF8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$133</w:t>
            </w:r>
          </w:p>
        </w:tc>
      </w:tr>
      <w:tr w:rsidR="00913FE0" w:rsidRPr="00913FE0" w14:paraId="246FDAB2" w14:textId="77777777" w:rsidTr="00913FE0">
        <w:trPr>
          <w:trHeight w:val="560"/>
        </w:trPr>
        <w:tc>
          <w:tcPr>
            <w:tcW w:w="3840" w:type="dxa"/>
            <w:tcBorders>
              <w:top w:val="nil"/>
              <w:left w:val="nil"/>
              <w:bottom w:val="single" w:sz="8" w:space="0" w:color="auto"/>
              <w:right w:val="nil"/>
            </w:tcBorders>
            <w:shd w:val="clear" w:color="000000" w:fill="FFFFFF"/>
            <w:vAlign w:val="bottom"/>
            <w:hideMark/>
          </w:tcPr>
          <w:p w14:paraId="6E3E810E"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Effect of adoption of AASB16 leases - RADs only</w:t>
            </w:r>
          </w:p>
        </w:tc>
        <w:tc>
          <w:tcPr>
            <w:tcW w:w="1340" w:type="dxa"/>
            <w:tcBorders>
              <w:top w:val="nil"/>
              <w:left w:val="nil"/>
              <w:bottom w:val="single" w:sz="8" w:space="0" w:color="auto"/>
              <w:right w:val="nil"/>
            </w:tcBorders>
            <w:shd w:val="clear" w:color="000000" w:fill="FFFFFF"/>
            <w:noWrap/>
            <w:vAlign w:val="center"/>
            <w:hideMark/>
          </w:tcPr>
          <w:p w14:paraId="6EE9F87F"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$487</w:t>
            </w:r>
          </w:p>
        </w:tc>
        <w:tc>
          <w:tcPr>
            <w:tcW w:w="1340" w:type="dxa"/>
            <w:tcBorders>
              <w:top w:val="nil"/>
              <w:left w:val="nil"/>
              <w:bottom w:val="single" w:sz="8" w:space="0" w:color="auto"/>
              <w:right w:val="nil"/>
            </w:tcBorders>
            <w:shd w:val="clear" w:color="000000" w:fill="FFFFFF"/>
            <w:noWrap/>
            <w:vAlign w:val="center"/>
            <w:hideMark/>
          </w:tcPr>
          <w:p w14:paraId="20EF12DB"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$316</w:t>
            </w:r>
          </w:p>
        </w:tc>
        <w:tc>
          <w:tcPr>
            <w:tcW w:w="1340" w:type="dxa"/>
            <w:tcBorders>
              <w:top w:val="nil"/>
              <w:left w:val="nil"/>
              <w:bottom w:val="single" w:sz="8" w:space="0" w:color="auto"/>
              <w:right w:val="nil"/>
            </w:tcBorders>
            <w:shd w:val="clear" w:color="000000" w:fill="FFFFFF"/>
            <w:noWrap/>
            <w:vAlign w:val="center"/>
            <w:hideMark/>
          </w:tcPr>
          <w:p w14:paraId="0EB312A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$2</w:t>
            </w:r>
          </w:p>
        </w:tc>
        <w:tc>
          <w:tcPr>
            <w:tcW w:w="1340" w:type="dxa"/>
            <w:tcBorders>
              <w:top w:val="nil"/>
              <w:left w:val="nil"/>
              <w:bottom w:val="single" w:sz="8" w:space="0" w:color="auto"/>
              <w:right w:val="nil"/>
            </w:tcBorders>
            <w:shd w:val="clear" w:color="000000" w:fill="FFFFFF"/>
            <w:noWrap/>
            <w:vAlign w:val="center"/>
            <w:hideMark/>
          </w:tcPr>
          <w:p w14:paraId="06DE97B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$804</w:t>
            </w:r>
          </w:p>
        </w:tc>
      </w:tr>
      <w:tr w:rsidR="00913FE0" w:rsidRPr="00913FE0" w14:paraId="272F3796" w14:textId="77777777" w:rsidTr="00913FE0">
        <w:trPr>
          <w:trHeight w:val="320"/>
        </w:trPr>
        <w:tc>
          <w:tcPr>
            <w:tcW w:w="3840" w:type="dxa"/>
            <w:tcBorders>
              <w:top w:val="nil"/>
              <w:left w:val="nil"/>
              <w:bottom w:val="single" w:sz="8" w:space="0" w:color="auto"/>
              <w:right w:val="nil"/>
            </w:tcBorders>
            <w:shd w:val="clear" w:color="000000" w:fill="FFFFFF"/>
            <w:vAlign w:val="bottom"/>
            <w:hideMark/>
          </w:tcPr>
          <w:p w14:paraId="72259882" w14:textId="77777777" w:rsidR="00913FE0" w:rsidRPr="00913FE0" w:rsidRDefault="00913FE0" w:rsidP="00913FE0">
            <w:pPr>
              <w:spacing w:before="0" w:after="0" w:line="240" w:lineRule="auto"/>
              <w:rPr>
                <w:rFonts w:cs="Arial"/>
                <w:bCs w:val="0"/>
                <w:color w:val="1E1545"/>
                <w:sz w:val="21"/>
                <w:szCs w:val="21"/>
                <w:lang w:eastAsia="en-AU"/>
              </w:rPr>
            </w:pPr>
            <w:r w:rsidRPr="00913FE0">
              <w:rPr>
                <w:rFonts w:cs="Arial"/>
                <w:bCs w:val="0"/>
                <w:color w:val="1E1545"/>
                <w:sz w:val="21"/>
                <w:szCs w:val="21"/>
                <w:lang w:eastAsia="en-AU"/>
              </w:rPr>
              <w:t>Other non-recurrent expenses</w:t>
            </w:r>
          </w:p>
        </w:tc>
        <w:tc>
          <w:tcPr>
            <w:tcW w:w="1340" w:type="dxa"/>
            <w:tcBorders>
              <w:top w:val="nil"/>
              <w:left w:val="nil"/>
              <w:bottom w:val="single" w:sz="8" w:space="0" w:color="auto"/>
              <w:right w:val="nil"/>
            </w:tcBorders>
            <w:shd w:val="clear" w:color="000000" w:fill="FFFFFF"/>
            <w:noWrap/>
            <w:vAlign w:val="center"/>
            <w:hideMark/>
          </w:tcPr>
          <w:p w14:paraId="275895C2"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$143</w:t>
            </w:r>
          </w:p>
        </w:tc>
        <w:tc>
          <w:tcPr>
            <w:tcW w:w="1340" w:type="dxa"/>
            <w:tcBorders>
              <w:top w:val="nil"/>
              <w:left w:val="nil"/>
              <w:bottom w:val="single" w:sz="8" w:space="0" w:color="auto"/>
              <w:right w:val="nil"/>
            </w:tcBorders>
            <w:shd w:val="clear" w:color="000000" w:fill="FFFFFF"/>
            <w:noWrap/>
            <w:vAlign w:val="center"/>
            <w:hideMark/>
          </w:tcPr>
          <w:p w14:paraId="0C7607ED"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$36</w:t>
            </w:r>
          </w:p>
        </w:tc>
        <w:tc>
          <w:tcPr>
            <w:tcW w:w="1340" w:type="dxa"/>
            <w:tcBorders>
              <w:top w:val="nil"/>
              <w:left w:val="nil"/>
              <w:bottom w:val="single" w:sz="8" w:space="0" w:color="auto"/>
              <w:right w:val="nil"/>
            </w:tcBorders>
            <w:shd w:val="clear" w:color="000000" w:fill="FFFFFF"/>
            <w:noWrap/>
            <w:vAlign w:val="center"/>
            <w:hideMark/>
          </w:tcPr>
          <w:p w14:paraId="271AB769"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w:t>
            </w:r>
          </w:p>
        </w:tc>
        <w:tc>
          <w:tcPr>
            <w:tcW w:w="1340" w:type="dxa"/>
            <w:tcBorders>
              <w:top w:val="nil"/>
              <w:left w:val="nil"/>
              <w:bottom w:val="single" w:sz="8" w:space="0" w:color="auto"/>
              <w:right w:val="nil"/>
            </w:tcBorders>
            <w:shd w:val="clear" w:color="000000" w:fill="FFFFFF"/>
            <w:noWrap/>
            <w:vAlign w:val="center"/>
            <w:hideMark/>
          </w:tcPr>
          <w:p w14:paraId="46FB0658" w14:textId="77777777" w:rsidR="00913FE0" w:rsidRPr="00913FE0" w:rsidRDefault="00913FE0" w:rsidP="00913FE0">
            <w:pPr>
              <w:spacing w:before="0" w:after="0" w:line="240" w:lineRule="auto"/>
              <w:jc w:val="right"/>
              <w:rPr>
                <w:rFonts w:cs="Arial"/>
                <w:bCs w:val="0"/>
                <w:color w:val="1E1545"/>
                <w:sz w:val="21"/>
                <w:szCs w:val="21"/>
                <w:lang w:eastAsia="en-AU"/>
              </w:rPr>
            </w:pPr>
            <w:r w:rsidRPr="00913FE0">
              <w:rPr>
                <w:rFonts w:cs="Arial"/>
                <w:bCs w:val="0"/>
                <w:color w:val="1E1545"/>
                <w:sz w:val="21"/>
                <w:szCs w:val="21"/>
                <w:lang w:eastAsia="en-AU"/>
              </w:rPr>
              <w:t>$180</w:t>
            </w:r>
          </w:p>
        </w:tc>
      </w:tr>
      <w:tr w:rsidR="00913FE0" w:rsidRPr="00913FE0" w14:paraId="5E146AFF"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974324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non-recurrent expenses</w:t>
            </w:r>
          </w:p>
        </w:tc>
        <w:tc>
          <w:tcPr>
            <w:tcW w:w="1340" w:type="dxa"/>
            <w:tcBorders>
              <w:top w:val="nil"/>
              <w:left w:val="nil"/>
              <w:bottom w:val="single" w:sz="8" w:space="0" w:color="auto"/>
              <w:right w:val="nil"/>
            </w:tcBorders>
            <w:shd w:val="clear" w:color="000000" w:fill="D8DADA"/>
            <w:noWrap/>
            <w:vAlign w:val="center"/>
            <w:hideMark/>
          </w:tcPr>
          <w:p w14:paraId="59B8F3BA"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$1,403</w:t>
            </w:r>
          </w:p>
        </w:tc>
        <w:tc>
          <w:tcPr>
            <w:tcW w:w="1340" w:type="dxa"/>
            <w:tcBorders>
              <w:top w:val="nil"/>
              <w:left w:val="nil"/>
              <w:bottom w:val="single" w:sz="8" w:space="0" w:color="auto"/>
              <w:right w:val="nil"/>
            </w:tcBorders>
            <w:shd w:val="clear" w:color="000000" w:fill="D8DADA"/>
            <w:noWrap/>
            <w:vAlign w:val="center"/>
            <w:hideMark/>
          </w:tcPr>
          <w:p w14:paraId="276B1A0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$595</w:t>
            </w:r>
          </w:p>
        </w:tc>
        <w:tc>
          <w:tcPr>
            <w:tcW w:w="1340" w:type="dxa"/>
            <w:tcBorders>
              <w:top w:val="nil"/>
              <w:left w:val="nil"/>
              <w:bottom w:val="single" w:sz="8" w:space="0" w:color="auto"/>
              <w:right w:val="nil"/>
            </w:tcBorders>
            <w:shd w:val="clear" w:color="000000" w:fill="D8DADA"/>
            <w:noWrap/>
            <w:vAlign w:val="center"/>
            <w:hideMark/>
          </w:tcPr>
          <w:p w14:paraId="52D2A196"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$4</w:t>
            </w:r>
          </w:p>
        </w:tc>
        <w:tc>
          <w:tcPr>
            <w:tcW w:w="1340" w:type="dxa"/>
            <w:tcBorders>
              <w:top w:val="nil"/>
              <w:left w:val="nil"/>
              <w:bottom w:val="single" w:sz="8" w:space="0" w:color="auto"/>
              <w:right w:val="nil"/>
            </w:tcBorders>
            <w:shd w:val="clear" w:color="000000" w:fill="D8DADA"/>
            <w:noWrap/>
            <w:vAlign w:val="center"/>
            <w:hideMark/>
          </w:tcPr>
          <w:p w14:paraId="758DDAE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$2,002</w:t>
            </w:r>
          </w:p>
        </w:tc>
      </w:tr>
      <w:tr w:rsidR="00913FE0" w:rsidRPr="00913FE0" w14:paraId="224E906D"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50599BC4"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Total expense</w:t>
            </w:r>
          </w:p>
        </w:tc>
        <w:tc>
          <w:tcPr>
            <w:tcW w:w="1340" w:type="dxa"/>
            <w:tcBorders>
              <w:top w:val="nil"/>
              <w:left w:val="nil"/>
              <w:bottom w:val="single" w:sz="8" w:space="0" w:color="auto"/>
              <w:right w:val="nil"/>
            </w:tcBorders>
            <w:shd w:val="clear" w:color="000000" w:fill="D8DADA"/>
            <w:noWrap/>
            <w:vAlign w:val="center"/>
            <w:hideMark/>
          </w:tcPr>
          <w:p w14:paraId="18B993F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$10,706</w:t>
            </w:r>
          </w:p>
        </w:tc>
        <w:tc>
          <w:tcPr>
            <w:tcW w:w="1340" w:type="dxa"/>
            <w:tcBorders>
              <w:top w:val="nil"/>
              <w:left w:val="nil"/>
              <w:bottom w:val="single" w:sz="8" w:space="0" w:color="auto"/>
              <w:right w:val="nil"/>
            </w:tcBorders>
            <w:shd w:val="clear" w:color="000000" w:fill="D8DADA"/>
            <w:noWrap/>
            <w:vAlign w:val="center"/>
            <w:hideMark/>
          </w:tcPr>
          <w:p w14:paraId="226DEB1B"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$14,030</w:t>
            </w:r>
          </w:p>
        </w:tc>
        <w:tc>
          <w:tcPr>
            <w:tcW w:w="1340" w:type="dxa"/>
            <w:tcBorders>
              <w:top w:val="nil"/>
              <w:left w:val="nil"/>
              <w:bottom w:val="single" w:sz="8" w:space="0" w:color="auto"/>
              <w:right w:val="nil"/>
            </w:tcBorders>
            <w:shd w:val="clear" w:color="000000" w:fill="D8DADA"/>
            <w:noWrap/>
            <w:vAlign w:val="center"/>
            <w:hideMark/>
          </w:tcPr>
          <w:p w14:paraId="6DE14120"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$1,241</w:t>
            </w:r>
          </w:p>
        </w:tc>
        <w:tc>
          <w:tcPr>
            <w:tcW w:w="1340" w:type="dxa"/>
            <w:tcBorders>
              <w:top w:val="nil"/>
              <w:left w:val="nil"/>
              <w:bottom w:val="single" w:sz="8" w:space="0" w:color="auto"/>
              <w:right w:val="nil"/>
            </w:tcBorders>
            <w:shd w:val="clear" w:color="000000" w:fill="D8DADA"/>
            <w:noWrap/>
            <w:vAlign w:val="center"/>
            <w:hideMark/>
          </w:tcPr>
          <w:p w14:paraId="758C4C0D"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$25,977</w:t>
            </w:r>
          </w:p>
        </w:tc>
      </w:tr>
      <w:tr w:rsidR="00913FE0" w:rsidRPr="00913FE0" w14:paraId="5CC5D362" w14:textId="77777777" w:rsidTr="00913FE0">
        <w:trPr>
          <w:trHeight w:val="320"/>
        </w:trPr>
        <w:tc>
          <w:tcPr>
            <w:tcW w:w="3840" w:type="dxa"/>
            <w:tcBorders>
              <w:top w:val="nil"/>
              <w:left w:val="nil"/>
              <w:bottom w:val="single" w:sz="8" w:space="0" w:color="auto"/>
              <w:right w:val="nil"/>
            </w:tcBorders>
            <w:shd w:val="clear" w:color="000000" w:fill="D8DADA"/>
            <w:vAlign w:val="center"/>
            <w:hideMark/>
          </w:tcPr>
          <w:p w14:paraId="3B076942" w14:textId="77777777" w:rsidR="00913FE0" w:rsidRPr="00913FE0" w:rsidRDefault="00913FE0" w:rsidP="00913FE0">
            <w:pPr>
              <w:spacing w:before="0" w:after="0" w:line="240" w:lineRule="auto"/>
              <w:rPr>
                <w:rFonts w:cs="Arial"/>
                <w:b/>
                <w:color w:val="1E1545"/>
                <w:sz w:val="21"/>
                <w:szCs w:val="21"/>
                <w:lang w:eastAsia="en-AU"/>
              </w:rPr>
            </w:pPr>
            <w:r w:rsidRPr="00913FE0">
              <w:rPr>
                <w:rFonts w:cs="Arial"/>
                <w:b/>
                <w:color w:val="1E1545"/>
                <w:sz w:val="21"/>
                <w:szCs w:val="21"/>
                <w:lang w:eastAsia="en-AU"/>
              </w:rPr>
              <w:t>Net profit/(loss)</w:t>
            </w:r>
          </w:p>
        </w:tc>
        <w:tc>
          <w:tcPr>
            <w:tcW w:w="1340" w:type="dxa"/>
            <w:tcBorders>
              <w:top w:val="nil"/>
              <w:left w:val="nil"/>
              <w:bottom w:val="single" w:sz="8" w:space="0" w:color="auto"/>
              <w:right w:val="nil"/>
            </w:tcBorders>
            <w:shd w:val="clear" w:color="000000" w:fill="D8DADA"/>
            <w:noWrap/>
            <w:vAlign w:val="center"/>
            <w:hideMark/>
          </w:tcPr>
          <w:p w14:paraId="265DE3A4"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($942)</w:t>
            </w:r>
          </w:p>
        </w:tc>
        <w:tc>
          <w:tcPr>
            <w:tcW w:w="1340" w:type="dxa"/>
            <w:tcBorders>
              <w:top w:val="nil"/>
              <w:left w:val="nil"/>
              <w:bottom w:val="single" w:sz="8" w:space="0" w:color="auto"/>
              <w:right w:val="nil"/>
            </w:tcBorders>
            <w:shd w:val="clear" w:color="000000" w:fill="D8DADA"/>
            <w:noWrap/>
            <w:vAlign w:val="center"/>
            <w:hideMark/>
          </w:tcPr>
          <w:p w14:paraId="7AF2DC2C"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($609)</w:t>
            </w:r>
          </w:p>
        </w:tc>
        <w:tc>
          <w:tcPr>
            <w:tcW w:w="1340" w:type="dxa"/>
            <w:tcBorders>
              <w:top w:val="nil"/>
              <w:left w:val="nil"/>
              <w:bottom w:val="single" w:sz="8" w:space="0" w:color="auto"/>
              <w:right w:val="nil"/>
            </w:tcBorders>
            <w:shd w:val="clear" w:color="000000" w:fill="D8DADA"/>
            <w:noWrap/>
            <w:vAlign w:val="center"/>
            <w:hideMark/>
          </w:tcPr>
          <w:p w14:paraId="51F57CC5"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($186)</w:t>
            </w:r>
          </w:p>
        </w:tc>
        <w:tc>
          <w:tcPr>
            <w:tcW w:w="1340" w:type="dxa"/>
            <w:tcBorders>
              <w:top w:val="nil"/>
              <w:left w:val="nil"/>
              <w:bottom w:val="single" w:sz="8" w:space="0" w:color="auto"/>
              <w:right w:val="nil"/>
            </w:tcBorders>
            <w:shd w:val="clear" w:color="000000" w:fill="D8DADA"/>
            <w:noWrap/>
            <w:vAlign w:val="center"/>
            <w:hideMark/>
          </w:tcPr>
          <w:p w14:paraId="51C063E9" w14:textId="77777777" w:rsidR="00913FE0" w:rsidRPr="00913FE0" w:rsidRDefault="00913FE0" w:rsidP="00913FE0">
            <w:pPr>
              <w:spacing w:before="0" w:after="0" w:line="240" w:lineRule="auto"/>
              <w:jc w:val="right"/>
              <w:rPr>
                <w:rFonts w:cs="Arial"/>
                <w:b/>
                <w:color w:val="1E1545"/>
                <w:sz w:val="21"/>
                <w:szCs w:val="21"/>
                <w:lang w:eastAsia="en-AU"/>
              </w:rPr>
            </w:pPr>
            <w:r w:rsidRPr="00913FE0">
              <w:rPr>
                <w:rFonts w:cs="Arial"/>
                <w:b/>
                <w:color w:val="1E1545"/>
                <w:sz w:val="21"/>
                <w:szCs w:val="21"/>
                <w:lang w:eastAsia="en-AU"/>
              </w:rPr>
              <w:t>($1,737)</w:t>
            </w:r>
          </w:p>
        </w:tc>
      </w:tr>
    </w:tbl>
    <w:p w14:paraId="247124BB" w14:textId="239ADC79" w:rsidR="0074405E" w:rsidRDefault="0074405E">
      <w:pPr>
        <w:spacing w:before="0" w:after="0" w:line="240" w:lineRule="auto"/>
      </w:pPr>
      <w:r>
        <w:br w:type="page"/>
      </w:r>
    </w:p>
    <w:p w14:paraId="3ED3EF74" w14:textId="3D4F0952" w:rsidR="00460652" w:rsidRPr="00525FE2" w:rsidRDefault="00460652" w:rsidP="00525FE2">
      <w:pPr>
        <w:rPr>
          <w:bCs w:val="0"/>
          <w:sz w:val="28"/>
        </w:rPr>
      </w:pPr>
      <w:r w:rsidRPr="00525FE2">
        <w:rPr>
          <w:b/>
          <w:bCs w:val="0"/>
          <w:sz w:val="28"/>
          <w:szCs w:val="28"/>
        </w:rPr>
        <w:t xml:space="preserve">Appendix </w:t>
      </w:r>
      <w:r w:rsidR="0046425D" w:rsidRPr="00525FE2">
        <w:rPr>
          <w:b/>
          <w:bCs w:val="0"/>
          <w:sz w:val="28"/>
          <w:szCs w:val="28"/>
        </w:rPr>
        <w:t>C</w:t>
      </w:r>
    </w:p>
    <w:p w14:paraId="63960649" w14:textId="686D643C" w:rsidR="00460652" w:rsidRDefault="00460652" w:rsidP="00706D0A">
      <w:r w:rsidRPr="002D1778">
        <w:t>Residential Segment Income and Expense Statement, per resident per day, 202</w:t>
      </w:r>
      <w:r>
        <w:t>2-23</w:t>
      </w:r>
    </w:p>
    <w:tbl>
      <w:tblPr>
        <w:tblW w:w="8970" w:type="dxa"/>
        <w:tblLook w:val="04A0" w:firstRow="1" w:lastRow="0" w:firstColumn="1" w:lastColumn="0" w:noHBand="0" w:noVBand="1"/>
      </w:tblPr>
      <w:tblGrid>
        <w:gridCol w:w="3402"/>
        <w:gridCol w:w="1418"/>
        <w:gridCol w:w="1417"/>
        <w:gridCol w:w="1418"/>
        <w:gridCol w:w="1315"/>
      </w:tblGrid>
      <w:tr w:rsidR="00D24563" w:rsidRPr="00D24563" w14:paraId="76329EB8" w14:textId="77777777" w:rsidTr="00D24563">
        <w:trPr>
          <w:trHeight w:val="560"/>
        </w:trPr>
        <w:tc>
          <w:tcPr>
            <w:tcW w:w="3402" w:type="dxa"/>
            <w:tcBorders>
              <w:top w:val="single" w:sz="12" w:space="0" w:color="1E1545"/>
              <w:left w:val="nil"/>
              <w:bottom w:val="single" w:sz="12" w:space="0" w:color="1E1545"/>
              <w:right w:val="nil"/>
            </w:tcBorders>
            <w:shd w:val="clear" w:color="000000" w:fill="1E1545"/>
            <w:vAlign w:val="center"/>
            <w:hideMark/>
          </w:tcPr>
          <w:p w14:paraId="001179DF" w14:textId="77777777" w:rsidR="00D24563" w:rsidRPr="00D24563" w:rsidRDefault="00D24563" w:rsidP="00D24563">
            <w:pPr>
              <w:spacing w:before="0" w:after="0" w:line="240" w:lineRule="auto"/>
              <w:rPr>
                <w:rFonts w:cs="Arial"/>
                <w:b/>
                <w:color w:val="F1F2F2"/>
                <w:sz w:val="21"/>
                <w:szCs w:val="21"/>
                <w:lang w:eastAsia="en-AU"/>
              </w:rPr>
            </w:pPr>
            <w:r w:rsidRPr="00D24563">
              <w:rPr>
                <w:rFonts w:cs="Arial"/>
                <w:b/>
                <w:color w:val="F1F2F2"/>
                <w:sz w:val="21"/>
                <w:szCs w:val="21"/>
                <w:lang w:eastAsia="en-AU"/>
              </w:rPr>
              <w:t> </w:t>
            </w:r>
          </w:p>
        </w:tc>
        <w:tc>
          <w:tcPr>
            <w:tcW w:w="1418" w:type="dxa"/>
            <w:tcBorders>
              <w:top w:val="single" w:sz="12" w:space="0" w:color="1E1545"/>
              <w:left w:val="nil"/>
              <w:bottom w:val="single" w:sz="12" w:space="0" w:color="1E1545"/>
              <w:right w:val="nil"/>
            </w:tcBorders>
            <w:shd w:val="clear" w:color="000000" w:fill="1E1545"/>
            <w:vAlign w:val="center"/>
            <w:hideMark/>
          </w:tcPr>
          <w:p w14:paraId="397D1E6D" w14:textId="77777777" w:rsidR="00D24563" w:rsidRPr="00D24563" w:rsidRDefault="00D24563" w:rsidP="00D24563">
            <w:pPr>
              <w:spacing w:before="0" w:after="0" w:line="240" w:lineRule="auto"/>
              <w:jc w:val="right"/>
              <w:rPr>
                <w:rFonts w:cs="Arial"/>
                <w:b/>
                <w:color w:val="F1F2F2"/>
                <w:sz w:val="21"/>
                <w:szCs w:val="21"/>
                <w:lang w:eastAsia="en-AU"/>
              </w:rPr>
            </w:pPr>
            <w:r w:rsidRPr="00D24563">
              <w:rPr>
                <w:rFonts w:cs="Arial"/>
                <w:b/>
                <w:color w:val="F1F2F2"/>
                <w:sz w:val="21"/>
                <w:szCs w:val="21"/>
                <w:lang w:eastAsia="en-AU"/>
              </w:rPr>
              <w:t>For-profit</w:t>
            </w:r>
          </w:p>
        </w:tc>
        <w:tc>
          <w:tcPr>
            <w:tcW w:w="1417" w:type="dxa"/>
            <w:tcBorders>
              <w:top w:val="single" w:sz="12" w:space="0" w:color="1E1545"/>
              <w:left w:val="nil"/>
              <w:bottom w:val="single" w:sz="12" w:space="0" w:color="1E1545"/>
              <w:right w:val="nil"/>
            </w:tcBorders>
            <w:shd w:val="clear" w:color="000000" w:fill="1E1545"/>
            <w:vAlign w:val="center"/>
            <w:hideMark/>
          </w:tcPr>
          <w:p w14:paraId="10052134" w14:textId="77777777" w:rsidR="00D24563" w:rsidRPr="00D24563" w:rsidRDefault="00D24563" w:rsidP="00D24563">
            <w:pPr>
              <w:spacing w:before="0" w:after="0" w:line="240" w:lineRule="auto"/>
              <w:jc w:val="right"/>
              <w:rPr>
                <w:rFonts w:cs="Arial"/>
                <w:b/>
                <w:color w:val="F1F2F2"/>
                <w:sz w:val="21"/>
                <w:szCs w:val="21"/>
                <w:lang w:eastAsia="en-AU"/>
              </w:rPr>
            </w:pPr>
            <w:r w:rsidRPr="00D24563">
              <w:rPr>
                <w:rFonts w:cs="Arial"/>
                <w:b/>
                <w:color w:val="F1F2F2"/>
                <w:sz w:val="21"/>
                <w:szCs w:val="21"/>
                <w:lang w:eastAsia="en-AU"/>
              </w:rPr>
              <w:t>Not-for-profit</w:t>
            </w:r>
          </w:p>
        </w:tc>
        <w:tc>
          <w:tcPr>
            <w:tcW w:w="1418" w:type="dxa"/>
            <w:tcBorders>
              <w:top w:val="single" w:sz="12" w:space="0" w:color="1E1545"/>
              <w:left w:val="nil"/>
              <w:bottom w:val="single" w:sz="12" w:space="0" w:color="1E1545"/>
              <w:right w:val="nil"/>
            </w:tcBorders>
            <w:shd w:val="clear" w:color="000000" w:fill="1E1545"/>
            <w:vAlign w:val="center"/>
            <w:hideMark/>
          </w:tcPr>
          <w:p w14:paraId="2FD794B2" w14:textId="77777777" w:rsidR="00D24563" w:rsidRPr="00D24563" w:rsidRDefault="00D24563" w:rsidP="00D24563">
            <w:pPr>
              <w:spacing w:before="0" w:after="0" w:line="240" w:lineRule="auto"/>
              <w:jc w:val="right"/>
              <w:rPr>
                <w:rFonts w:cs="Arial"/>
                <w:b/>
                <w:color w:val="F1F2F2"/>
                <w:sz w:val="21"/>
                <w:szCs w:val="21"/>
                <w:lang w:eastAsia="en-AU"/>
              </w:rPr>
            </w:pPr>
            <w:r w:rsidRPr="00D24563">
              <w:rPr>
                <w:rFonts w:cs="Arial"/>
                <w:b/>
                <w:color w:val="F1F2F2"/>
                <w:sz w:val="21"/>
                <w:szCs w:val="21"/>
                <w:lang w:eastAsia="en-AU"/>
              </w:rPr>
              <w:t>LST providers</w:t>
            </w:r>
          </w:p>
        </w:tc>
        <w:tc>
          <w:tcPr>
            <w:tcW w:w="1315" w:type="dxa"/>
            <w:tcBorders>
              <w:top w:val="single" w:sz="12" w:space="0" w:color="1E1545"/>
              <w:left w:val="nil"/>
              <w:bottom w:val="single" w:sz="12" w:space="0" w:color="1E1545"/>
              <w:right w:val="nil"/>
            </w:tcBorders>
            <w:shd w:val="clear" w:color="000000" w:fill="1E1545"/>
            <w:vAlign w:val="center"/>
            <w:hideMark/>
          </w:tcPr>
          <w:p w14:paraId="7C702B1B" w14:textId="77777777" w:rsidR="00D24563" w:rsidRPr="00D24563" w:rsidRDefault="00D24563" w:rsidP="00D24563">
            <w:pPr>
              <w:spacing w:before="0" w:after="0" w:line="240" w:lineRule="auto"/>
              <w:jc w:val="right"/>
              <w:rPr>
                <w:rFonts w:cs="Arial"/>
                <w:b/>
                <w:color w:val="F1F2F2"/>
                <w:sz w:val="21"/>
                <w:szCs w:val="21"/>
                <w:lang w:eastAsia="en-AU"/>
              </w:rPr>
            </w:pPr>
            <w:r w:rsidRPr="00D24563">
              <w:rPr>
                <w:rFonts w:cs="Arial"/>
                <w:b/>
                <w:color w:val="F1F2F2"/>
                <w:sz w:val="21"/>
                <w:szCs w:val="21"/>
                <w:lang w:eastAsia="en-AU"/>
              </w:rPr>
              <w:t>All providers</w:t>
            </w:r>
          </w:p>
        </w:tc>
      </w:tr>
      <w:tr w:rsidR="00D24563" w:rsidRPr="00D24563" w14:paraId="14032C7C" w14:textId="77777777" w:rsidTr="00D24563">
        <w:trPr>
          <w:trHeight w:val="330"/>
        </w:trPr>
        <w:tc>
          <w:tcPr>
            <w:tcW w:w="3402" w:type="dxa"/>
            <w:tcBorders>
              <w:top w:val="single" w:sz="8" w:space="0" w:color="auto"/>
              <w:left w:val="nil"/>
              <w:bottom w:val="single" w:sz="8" w:space="0" w:color="auto"/>
              <w:right w:val="nil"/>
            </w:tcBorders>
            <w:shd w:val="clear" w:color="000000" w:fill="D8DADA"/>
            <w:vAlign w:val="center"/>
            <w:hideMark/>
          </w:tcPr>
          <w:p w14:paraId="0EFFF90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Income</w:t>
            </w:r>
          </w:p>
        </w:tc>
        <w:tc>
          <w:tcPr>
            <w:tcW w:w="1418" w:type="dxa"/>
            <w:tcBorders>
              <w:top w:val="single" w:sz="8" w:space="0" w:color="auto"/>
              <w:left w:val="nil"/>
              <w:bottom w:val="single" w:sz="8" w:space="0" w:color="auto"/>
              <w:right w:val="nil"/>
            </w:tcBorders>
            <w:shd w:val="clear" w:color="000000" w:fill="D8DADA"/>
            <w:noWrap/>
            <w:vAlign w:val="center"/>
            <w:hideMark/>
          </w:tcPr>
          <w:p w14:paraId="0D02131C"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single" w:sz="8" w:space="0" w:color="auto"/>
              <w:left w:val="nil"/>
              <w:bottom w:val="single" w:sz="8" w:space="0" w:color="auto"/>
              <w:right w:val="nil"/>
            </w:tcBorders>
            <w:shd w:val="clear" w:color="000000" w:fill="D8DADA"/>
            <w:noWrap/>
            <w:vAlign w:val="center"/>
            <w:hideMark/>
          </w:tcPr>
          <w:p w14:paraId="23A3D32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single" w:sz="8" w:space="0" w:color="auto"/>
              <w:left w:val="nil"/>
              <w:bottom w:val="single" w:sz="8" w:space="0" w:color="auto"/>
              <w:right w:val="nil"/>
            </w:tcBorders>
            <w:shd w:val="clear" w:color="000000" w:fill="D8DADA"/>
            <w:noWrap/>
            <w:vAlign w:val="center"/>
            <w:hideMark/>
          </w:tcPr>
          <w:p w14:paraId="5EE8E2B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single" w:sz="8" w:space="0" w:color="auto"/>
              <w:left w:val="nil"/>
              <w:bottom w:val="single" w:sz="8" w:space="0" w:color="auto"/>
              <w:right w:val="nil"/>
            </w:tcBorders>
            <w:shd w:val="clear" w:color="000000" w:fill="D8DADA"/>
            <w:noWrap/>
            <w:vAlign w:val="center"/>
            <w:hideMark/>
          </w:tcPr>
          <w:p w14:paraId="274EC5B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43F04F17"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8CE5D5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Recurrent income</w:t>
            </w:r>
          </w:p>
        </w:tc>
        <w:tc>
          <w:tcPr>
            <w:tcW w:w="1418" w:type="dxa"/>
            <w:tcBorders>
              <w:top w:val="nil"/>
              <w:left w:val="nil"/>
              <w:bottom w:val="single" w:sz="8" w:space="0" w:color="auto"/>
              <w:right w:val="nil"/>
            </w:tcBorders>
            <w:shd w:val="clear" w:color="000000" w:fill="D8DADA"/>
            <w:noWrap/>
            <w:vAlign w:val="center"/>
            <w:hideMark/>
          </w:tcPr>
          <w:p w14:paraId="7FDF0F8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2B6431E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3DDAF55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402A13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5F0B80EF"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5170C7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Care income</w:t>
            </w:r>
          </w:p>
        </w:tc>
        <w:tc>
          <w:tcPr>
            <w:tcW w:w="1418" w:type="dxa"/>
            <w:tcBorders>
              <w:top w:val="nil"/>
              <w:left w:val="nil"/>
              <w:bottom w:val="single" w:sz="8" w:space="0" w:color="auto"/>
              <w:right w:val="nil"/>
            </w:tcBorders>
            <w:shd w:val="clear" w:color="000000" w:fill="D8DADA"/>
            <w:noWrap/>
            <w:vAlign w:val="center"/>
            <w:hideMark/>
          </w:tcPr>
          <w:p w14:paraId="1045BBF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5E480BD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0CFB9B5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2B8316B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669C9135"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75E46D6"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Subsidies and supplements (Australian Government)</w:t>
            </w:r>
          </w:p>
        </w:tc>
        <w:tc>
          <w:tcPr>
            <w:tcW w:w="1418" w:type="dxa"/>
            <w:tcBorders>
              <w:top w:val="nil"/>
              <w:left w:val="nil"/>
              <w:bottom w:val="single" w:sz="8" w:space="0" w:color="auto"/>
              <w:right w:val="nil"/>
            </w:tcBorders>
            <w:shd w:val="clear" w:color="000000" w:fill="FFFFFF"/>
            <w:noWrap/>
            <w:vAlign w:val="center"/>
            <w:hideMark/>
          </w:tcPr>
          <w:p w14:paraId="56D05CC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$199.37</w:t>
            </w:r>
          </w:p>
        </w:tc>
        <w:tc>
          <w:tcPr>
            <w:tcW w:w="1417" w:type="dxa"/>
            <w:tcBorders>
              <w:top w:val="nil"/>
              <w:left w:val="nil"/>
              <w:bottom w:val="single" w:sz="8" w:space="0" w:color="auto"/>
              <w:right w:val="nil"/>
            </w:tcBorders>
            <w:shd w:val="clear" w:color="000000" w:fill="FFFFFF"/>
            <w:noWrap/>
            <w:vAlign w:val="center"/>
            <w:hideMark/>
          </w:tcPr>
          <w:p w14:paraId="1285153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$203.28</w:t>
            </w:r>
          </w:p>
        </w:tc>
        <w:tc>
          <w:tcPr>
            <w:tcW w:w="1418" w:type="dxa"/>
            <w:tcBorders>
              <w:top w:val="nil"/>
              <w:left w:val="nil"/>
              <w:bottom w:val="single" w:sz="8" w:space="0" w:color="auto"/>
              <w:right w:val="nil"/>
            </w:tcBorders>
            <w:shd w:val="clear" w:color="000000" w:fill="FFFFFF"/>
            <w:noWrap/>
            <w:vAlign w:val="center"/>
            <w:hideMark/>
          </w:tcPr>
          <w:p w14:paraId="168CAD2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$208.51</w:t>
            </w:r>
          </w:p>
        </w:tc>
        <w:tc>
          <w:tcPr>
            <w:tcW w:w="1315" w:type="dxa"/>
            <w:tcBorders>
              <w:top w:val="nil"/>
              <w:left w:val="nil"/>
              <w:bottom w:val="single" w:sz="8" w:space="0" w:color="auto"/>
              <w:right w:val="nil"/>
            </w:tcBorders>
            <w:shd w:val="clear" w:color="000000" w:fill="FFFFFF"/>
            <w:noWrap/>
            <w:vAlign w:val="center"/>
            <w:hideMark/>
          </w:tcPr>
          <w:p w14:paraId="2DDBDC3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$201.92</w:t>
            </w:r>
          </w:p>
        </w:tc>
      </w:tr>
      <w:tr w:rsidR="00D24563" w:rsidRPr="00D24563" w14:paraId="06386B3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1F7B8CED"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Subsidies and supplements (State/Territory)</w:t>
            </w:r>
          </w:p>
        </w:tc>
        <w:tc>
          <w:tcPr>
            <w:tcW w:w="1418" w:type="dxa"/>
            <w:tcBorders>
              <w:top w:val="nil"/>
              <w:left w:val="nil"/>
              <w:bottom w:val="single" w:sz="8" w:space="0" w:color="auto"/>
              <w:right w:val="nil"/>
            </w:tcBorders>
            <w:shd w:val="clear" w:color="000000" w:fill="FFFFFF"/>
            <w:noWrap/>
            <w:vAlign w:val="center"/>
            <w:hideMark/>
          </w:tcPr>
          <w:p w14:paraId="61DA1E7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$0.16</w:t>
            </w:r>
          </w:p>
        </w:tc>
        <w:tc>
          <w:tcPr>
            <w:tcW w:w="1417" w:type="dxa"/>
            <w:tcBorders>
              <w:top w:val="nil"/>
              <w:left w:val="nil"/>
              <w:bottom w:val="single" w:sz="8" w:space="0" w:color="auto"/>
              <w:right w:val="nil"/>
            </w:tcBorders>
            <w:shd w:val="clear" w:color="000000" w:fill="FFFFFF"/>
            <w:noWrap/>
            <w:vAlign w:val="center"/>
            <w:hideMark/>
          </w:tcPr>
          <w:p w14:paraId="07CE8D5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$0.75</w:t>
            </w:r>
          </w:p>
        </w:tc>
        <w:tc>
          <w:tcPr>
            <w:tcW w:w="1418" w:type="dxa"/>
            <w:tcBorders>
              <w:top w:val="nil"/>
              <w:left w:val="nil"/>
              <w:bottom w:val="single" w:sz="8" w:space="0" w:color="auto"/>
              <w:right w:val="nil"/>
            </w:tcBorders>
            <w:shd w:val="clear" w:color="000000" w:fill="FFFFFF"/>
            <w:noWrap/>
            <w:vAlign w:val="center"/>
            <w:hideMark/>
          </w:tcPr>
          <w:p w14:paraId="1A106C7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$92.14</w:t>
            </w:r>
          </w:p>
        </w:tc>
        <w:tc>
          <w:tcPr>
            <w:tcW w:w="1315" w:type="dxa"/>
            <w:tcBorders>
              <w:top w:val="nil"/>
              <w:left w:val="nil"/>
              <w:bottom w:val="single" w:sz="8" w:space="0" w:color="auto"/>
              <w:right w:val="nil"/>
            </w:tcBorders>
            <w:shd w:val="clear" w:color="000000" w:fill="FFFFFF"/>
            <w:noWrap/>
            <w:vAlign w:val="center"/>
            <w:hideMark/>
          </w:tcPr>
          <w:p w14:paraId="031CE2E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$3.73</w:t>
            </w:r>
          </w:p>
        </w:tc>
      </w:tr>
      <w:tr w:rsidR="00D24563" w:rsidRPr="00D24563" w14:paraId="08D8D24F"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D75ED8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Resident fees: means-tested care fee</w:t>
            </w:r>
          </w:p>
        </w:tc>
        <w:tc>
          <w:tcPr>
            <w:tcW w:w="1418" w:type="dxa"/>
            <w:tcBorders>
              <w:top w:val="nil"/>
              <w:left w:val="nil"/>
              <w:bottom w:val="single" w:sz="8" w:space="0" w:color="auto"/>
              <w:right w:val="nil"/>
            </w:tcBorders>
            <w:shd w:val="clear" w:color="000000" w:fill="FFFFFF"/>
            <w:noWrap/>
            <w:vAlign w:val="center"/>
            <w:hideMark/>
          </w:tcPr>
          <w:p w14:paraId="70264EF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$12.87</w:t>
            </w:r>
          </w:p>
        </w:tc>
        <w:tc>
          <w:tcPr>
            <w:tcW w:w="1417" w:type="dxa"/>
            <w:tcBorders>
              <w:top w:val="nil"/>
              <w:left w:val="nil"/>
              <w:bottom w:val="single" w:sz="8" w:space="0" w:color="auto"/>
              <w:right w:val="nil"/>
            </w:tcBorders>
            <w:shd w:val="clear" w:color="000000" w:fill="FFFFFF"/>
            <w:noWrap/>
            <w:vAlign w:val="center"/>
            <w:hideMark/>
          </w:tcPr>
          <w:p w14:paraId="08B1339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$10.87</w:t>
            </w:r>
          </w:p>
        </w:tc>
        <w:tc>
          <w:tcPr>
            <w:tcW w:w="1418" w:type="dxa"/>
            <w:tcBorders>
              <w:top w:val="nil"/>
              <w:left w:val="nil"/>
              <w:bottom w:val="single" w:sz="8" w:space="0" w:color="auto"/>
              <w:right w:val="nil"/>
            </w:tcBorders>
            <w:shd w:val="clear" w:color="000000" w:fill="FFFFFF"/>
            <w:noWrap/>
            <w:vAlign w:val="center"/>
            <w:hideMark/>
          </w:tcPr>
          <w:p w14:paraId="11155FC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$7.99</w:t>
            </w:r>
          </w:p>
        </w:tc>
        <w:tc>
          <w:tcPr>
            <w:tcW w:w="1315" w:type="dxa"/>
            <w:tcBorders>
              <w:top w:val="nil"/>
              <w:left w:val="nil"/>
              <w:bottom w:val="single" w:sz="8" w:space="0" w:color="auto"/>
              <w:right w:val="nil"/>
            </w:tcBorders>
            <w:shd w:val="clear" w:color="000000" w:fill="FFFFFF"/>
            <w:noWrap/>
            <w:vAlign w:val="center"/>
            <w:hideMark/>
          </w:tcPr>
          <w:p w14:paraId="7C0938E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$11.56</w:t>
            </w:r>
          </w:p>
        </w:tc>
      </w:tr>
      <w:tr w:rsidR="00D24563" w:rsidRPr="00D24563" w14:paraId="42D4039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108D2D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Grants: recurrent</w:t>
            </w:r>
          </w:p>
        </w:tc>
        <w:tc>
          <w:tcPr>
            <w:tcW w:w="1418" w:type="dxa"/>
            <w:tcBorders>
              <w:top w:val="nil"/>
              <w:left w:val="nil"/>
              <w:bottom w:val="single" w:sz="8" w:space="0" w:color="auto"/>
              <w:right w:val="nil"/>
            </w:tcBorders>
            <w:shd w:val="clear" w:color="000000" w:fill="FFFFFF"/>
            <w:noWrap/>
            <w:vAlign w:val="center"/>
            <w:hideMark/>
          </w:tcPr>
          <w:p w14:paraId="4A8CD65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417" w:type="dxa"/>
            <w:tcBorders>
              <w:top w:val="nil"/>
              <w:left w:val="nil"/>
              <w:bottom w:val="single" w:sz="8" w:space="0" w:color="auto"/>
              <w:right w:val="nil"/>
            </w:tcBorders>
            <w:shd w:val="clear" w:color="000000" w:fill="FFFFFF"/>
            <w:noWrap/>
            <w:vAlign w:val="center"/>
            <w:hideMark/>
          </w:tcPr>
          <w:p w14:paraId="1807EB2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$1.55</w:t>
            </w:r>
          </w:p>
        </w:tc>
        <w:tc>
          <w:tcPr>
            <w:tcW w:w="1418" w:type="dxa"/>
            <w:tcBorders>
              <w:top w:val="nil"/>
              <w:left w:val="nil"/>
              <w:bottom w:val="single" w:sz="8" w:space="0" w:color="auto"/>
              <w:right w:val="nil"/>
            </w:tcBorders>
            <w:shd w:val="clear" w:color="000000" w:fill="FFFFFF"/>
            <w:noWrap/>
            <w:vAlign w:val="center"/>
            <w:hideMark/>
          </w:tcPr>
          <w:p w14:paraId="02D5F04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$2.24</w:t>
            </w:r>
          </w:p>
        </w:tc>
        <w:tc>
          <w:tcPr>
            <w:tcW w:w="1315" w:type="dxa"/>
            <w:tcBorders>
              <w:top w:val="nil"/>
              <w:left w:val="nil"/>
              <w:bottom w:val="single" w:sz="8" w:space="0" w:color="auto"/>
              <w:right w:val="nil"/>
            </w:tcBorders>
            <w:shd w:val="clear" w:color="000000" w:fill="FFFFFF"/>
            <w:noWrap/>
            <w:vAlign w:val="center"/>
            <w:hideMark/>
          </w:tcPr>
          <w:p w14:paraId="64704A0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$0.97</w:t>
            </w:r>
          </w:p>
        </w:tc>
      </w:tr>
      <w:tr w:rsidR="00D24563" w:rsidRPr="00D24563" w14:paraId="101B607E"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5A9BD3E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care income</w:t>
            </w:r>
          </w:p>
        </w:tc>
        <w:tc>
          <w:tcPr>
            <w:tcW w:w="1418" w:type="dxa"/>
            <w:tcBorders>
              <w:top w:val="nil"/>
              <w:left w:val="nil"/>
              <w:bottom w:val="single" w:sz="8" w:space="0" w:color="auto"/>
              <w:right w:val="nil"/>
            </w:tcBorders>
            <w:shd w:val="clear" w:color="000000" w:fill="FFFFFF"/>
            <w:noWrap/>
            <w:vAlign w:val="center"/>
            <w:hideMark/>
          </w:tcPr>
          <w:p w14:paraId="271C7F3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$1.66</w:t>
            </w:r>
          </w:p>
        </w:tc>
        <w:tc>
          <w:tcPr>
            <w:tcW w:w="1417" w:type="dxa"/>
            <w:tcBorders>
              <w:top w:val="nil"/>
              <w:left w:val="nil"/>
              <w:bottom w:val="single" w:sz="8" w:space="0" w:color="auto"/>
              <w:right w:val="nil"/>
            </w:tcBorders>
            <w:shd w:val="clear" w:color="000000" w:fill="FFFFFF"/>
            <w:noWrap/>
            <w:vAlign w:val="center"/>
            <w:hideMark/>
          </w:tcPr>
          <w:p w14:paraId="0B49FD7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$0.57</w:t>
            </w:r>
          </w:p>
        </w:tc>
        <w:tc>
          <w:tcPr>
            <w:tcW w:w="1418" w:type="dxa"/>
            <w:tcBorders>
              <w:top w:val="nil"/>
              <w:left w:val="nil"/>
              <w:bottom w:val="single" w:sz="8" w:space="0" w:color="auto"/>
              <w:right w:val="nil"/>
            </w:tcBorders>
            <w:shd w:val="clear" w:color="000000" w:fill="FFFFFF"/>
            <w:noWrap/>
            <w:vAlign w:val="center"/>
            <w:hideMark/>
          </w:tcPr>
          <w:p w14:paraId="308E4BF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$3.70</w:t>
            </w:r>
          </w:p>
        </w:tc>
        <w:tc>
          <w:tcPr>
            <w:tcW w:w="1315" w:type="dxa"/>
            <w:tcBorders>
              <w:top w:val="nil"/>
              <w:left w:val="nil"/>
              <w:bottom w:val="single" w:sz="8" w:space="0" w:color="auto"/>
              <w:right w:val="nil"/>
            </w:tcBorders>
            <w:shd w:val="clear" w:color="000000" w:fill="FFFFFF"/>
            <w:noWrap/>
            <w:vAlign w:val="center"/>
            <w:hideMark/>
          </w:tcPr>
          <w:p w14:paraId="5E0565B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$1.11</w:t>
            </w:r>
          </w:p>
        </w:tc>
      </w:tr>
      <w:tr w:rsidR="00D24563" w:rsidRPr="00D24563" w14:paraId="7AEFD854"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05517ACC"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care income</w:t>
            </w:r>
          </w:p>
        </w:tc>
        <w:tc>
          <w:tcPr>
            <w:tcW w:w="1418" w:type="dxa"/>
            <w:tcBorders>
              <w:top w:val="nil"/>
              <w:left w:val="nil"/>
              <w:bottom w:val="single" w:sz="8" w:space="0" w:color="auto"/>
              <w:right w:val="nil"/>
            </w:tcBorders>
            <w:shd w:val="clear" w:color="000000" w:fill="D8DADA"/>
            <w:noWrap/>
            <w:vAlign w:val="center"/>
            <w:hideMark/>
          </w:tcPr>
          <w:p w14:paraId="21E0A05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$214.09</w:t>
            </w:r>
          </w:p>
        </w:tc>
        <w:tc>
          <w:tcPr>
            <w:tcW w:w="1417" w:type="dxa"/>
            <w:tcBorders>
              <w:top w:val="nil"/>
              <w:left w:val="nil"/>
              <w:bottom w:val="single" w:sz="8" w:space="0" w:color="auto"/>
              <w:right w:val="nil"/>
            </w:tcBorders>
            <w:shd w:val="clear" w:color="000000" w:fill="D8DADA"/>
            <w:noWrap/>
            <w:vAlign w:val="center"/>
            <w:hideMark/>
          </w:tcPr>
          <w:p w14:paraId="41747808"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$217.01</w:t>
            </w:r>
          </w:p>
        </w:tc>
        <w:tc>
          <w:tcPr>
            <w:tcW w:w="1418" w:type="dxa"/>
            <w:tcBorders>
              <w:top w:val="nil"/>
              <w:left w:val="nil"/>
              <w:bottom w:val="single" w:sz="8" w:space="0" w:color="auto"/>
              <w:right w:val="nil"/>
            </w:tcBorders>
            <w:shd w:val="clear" w:color="000000" w:fill="D8DADA"/>
            <w:noWrap/>
            <w:vAlign w:val="center"/>
            <w:hideMark/>
          </w:tcPr>
          <w:p w14:paraId="2C2DB4D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$314.58</w:t>
            </w:r>
          </w:p>
        </w:tc>
        <w:tc>
          <w:tcPr>
            <w:tcW w:w="1315" w:type="dxa"/>
            <w:tcBorders>
              <w:top w:val="nil"/>
              <w:left w:val="nil"/>
              <w:bottom w:val="single" w:sz="8" w:space="0" w:color="auto"/>
              <w:right w:val="nil"/>
            </w:tcBorders>
            <w:shd w:val="clear" w:color="000000" w:fill="D8DADA"/>
            <w:noWrap/>
            <w:vAlign w:val="center"/>
            <w:hideMark/>
          </w:tcPr>
          <w:p w14:paraId="7080094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$219.29</w:t>
            </w:r>
          </w:p>
        </w:tc>
      </w:tr>
      <w:tr w:rsidR="00D24563" w:rsidRPr="00D24563" w14:paraId="7A5A323A" w14:textId="77777777" w:rsidTr="00D24563">
        <w:trPr>
          <w:trHeight w:val="320"/>
        </w:trPr>
        <w:tc>
          <w:tcPr>
            <w:tcW w:w="3402" w:type="dxa"/>
            <w:tcBorders>
              <w:top w:val="nil"/>
              <w:left w:val="nil"/>
              <w:bottom w:val="single" w:sz="8" w:space="0" w:color="auto"/>
              <w:right w:val="nil"/>
            </w:tcBorders>
            <w:shd w:val="clear" w:color="000000" w:fill="D8DADA"/>
            <w:noWrap/>
            <w:vAlign w:val="center"/>
            <w:hideMark/>
          </w:tcPr>
          <w:p w14:paraId="5E4B06E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Hotel services income</w:t>
            </w:r>
          </w:p>
        </w:tc>
        <w:tc>
          <w:tcPr>
            <w:tcW w:w="1418" w:type="dxa"/>
            <w:tcBorders>
              <w:top w:val="nil"/>
              <w:left w:val="nil"/>
              <w:bottom w:val="single" w:sz="8" w:space="0" w:color="auto"/>
              <w:right w:val="nil"/>
            </w:tcBorders>
            <w:shd w:val="clear" w:color="000000" w:fill="D8DADA"/>
            <w:noWrap/>
            <w:vAlign w:val="center"/>
            <w:hideMark/>
          </w:tcPr>
          <w:p w14:paraId="7F55880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0F50CE9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2A121A2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381EC7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2EAC477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145CB76"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Basic daily fee</w:t>
            </w:r>
          </w:p>
        </w:tc>
        <w:tc>
          <w:tcPr>
            <w:tcW w:w="1418" w:type="dxa"/>
            <w:tcBorders>
              <w:top w:val="nil"/>
              <w:left w:val="nil"/>
              <w:bottom w:val="single" w:sz="8" w:space="0" w:color="auto"/>
              <w:right w:val="nil"/>
            </w:tcBorders>
            <w:shd w:val="clear" w:color="000000" w:fill="FFFFFF"/>
            <w:noWrap/>
            <w:vAlign w:val="center"/>
            <w:hideMark/>
          </w:tcPr>
          <w:p w14:paraId="1D9B596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$57.02</w:t>
            </w:r>
          </w:p>
        </w:tc>
        <w:tc>
          <w:tcPr>
            <w:tcW w:w="1417" w:type="dxa"/>
            <w:tcBorders>
              <w:top w:val="nil"/>
              <w:left w:val="nil"/>
              <w:bottom w:val="single" w:sz="8" w:space="0" w:color="auto"/>
              <w:right w:val="nil"/>
            </w:tcBorders>
            <w:shd w:val="clear" w:color="000000" w:fill="FFFFFF"/>
            <w:noWrap/>
            <w:vAlign w:val="center"/>
            <w:hideMark/>
          </w:tcPr>
          <w:p w14:paraId="6BC11DF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$55.51</w:t>
            </w:r>
          </w:p>
        </w:tc>
        <w:tc>
          <w:tcPr>
            <w:tcW w:w="1418" w:type="dxa"/>
            <w:tcBorders>
              <w:top w:val="nil"/>
              <w:left w:val="nil"/>
              <w:bottom w:val="single" w:sz="8" w:space="0" w:color="auto"/>
              <w:right w:val="nil"/>
            </w:tcBorders>
            <w:shd w:val="clear" w:color="000000" w:fill="FFFFFF"/>
            <w:noWrap/>
            <w:vAlign w:val="center"/>
            <w:hideMark/>
          </w:tcPr>
          <w:p w14:paraId="6AA7F90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$56.70</w:t>
            </w:r>
          </w:p>
        </w:tc>
        <w:tc>
          <w:tcPr>
            <w:tcW w:w="1315" w:type="dxa"/>
            <w:tcBorders>
              <w:top w:val="nil"/>
              <w:left w:val="nil"/>
              <w:bottom w:val="single" w:sz="8" w:space="0" w:color="auto"/>
              <w:right w:val="nil"/>
            </w:tcBorders>
            <w:shd w:val="clear" w:color="000000" w:fill="FFFFFF"/>
            <w:noWrap/>
            <w:vAlign w:val="center"/>
            <w:hideMark/>
          </w:tcPr>
          <w:p w14:paraId="490A640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$56.15</w:t>
            </w:r>
          </w:p>
        </w:tc>
      </w:tr>
      <w:tr w:rsidR="00D24563" w:rsidRPr="00D24563" w14:paraId="287420B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23F9CA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BDF supplement </w:t>
            </w:r>
          </w:p>
        </w:tc>
        <w:tc>
          <w:tcPr>
            <w:tcW w:w="1418" w:type="dxa"/>
            <w:tcBorders>
              <w:top w:val="nil"/>
              <w:left w:val="nil"/>
              <w:bottom w:val="single" w:sz="8" w:space="0" w:color="auto"/>
              <w:right w:val="nil"/>
            </w:tcBorders>
            <w:shd w:val="clear" w:color="000000" w:fill="FFFFFF"/>
            <w:noWrap/>
            <w:vAlign w:val="center"/>
            <w:hideMark/>
          </w:tcPr>
          <w:p w14:paraId="7D6920A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$2.43</w:t>
            </w:r>
          </w:p>
        </w:tc>
        <w:tc>
          <w:tcPr>
            <w:tcW w:w="1417" w:type="dxa"/>
            <w:tcBorders>
              <w:top w:val="nil"/>
              <w:left w:val="nil"/>
              <w:bottom w:val="single" w:sz="8" w:space="0" w:color="auto"/>
              <w:right w:val="nil"/>
            </w:tcBorders>
            <w:shd w:val="clear" w:color="000000" w:fill="FFFFFF"/>
            <w:noWrap/>
            <w:vAlign w:val="center"/>
            <w:hideMark/>
          </w:tcPr>
          <w:p w14:paraId="4517C30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$2.39</w:t>
            </w:r>
          </w:p>
        </w:tc>
        <w:tc>
          <w:tcPr>
            <w:tcW w:w="1418" w:type="dxa"/>
            <w:tcBorders>
              <w:top w:val="nil"/>
              <w:left w:val="nil"/>
              <w:bottom w:val="single" w:sz="8" w:space="0" w:color="auto"/>
              <w:right w:val="nil"/>
            </w:tcBorders>
            <w:shd w:val="clear" w:color="000000" w:fill="FFFFFF"/>
            <w:noWrap/>
            <w:vAlign w:val="center"/>
            <w:hideMark/>
          </w:tcPr>
          <w:p w14:paraId="3BA0A05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$2.48</w:t>
            </w:r>
          </w:p>
        </w:tc>
        <w:tc>
          <w:tcPr>
            <w:tcW w:w="1315" w:type="dxa"/>
            <w:tcBorders>
              <w:top w:val="nil"/>
              <w:left w:val="nil"/>
              <w:bottom w:val="single" w:sz="8" w:space="0" w:color="auto"/>
              <w:right w:val="nil"/>
            </w:tcBorders>
            <w:shd w:val="clear" w:color="000000" w:fill="FFFFFF"/>
            <w:noWrap/>
            <w:vAlign w:val="center"/>
            <w:hideMark/>
          </w:tcPr>
          <w:p w14:paraId="1C34963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$2.41</w:t>
            </w:r>
          </w:p>
        </w:tc>
      </w:tr>
      <w:tr w:rsidR="00D24563" w:rsidRPr="00D24563" w14:paraId="73C5BC0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A18BB3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Extra service fees</w:t>
            </w:r>
          </w:p>
        </w:tc>
        <w:tc>
          <w:tcPr>
            <w:tcW w:w="1418" w:type="dxa"/>
            <w:tcBorders>
              <w:top w:val="nil"/>
              <w:left w:val="nil"/>
              <w:bottom w:val="single" w:sz="8" w:space="0" w:color="auto"/>
              <w:right w:val="nil"/>
            </w:tcBorders>
            <w:shd w:val="clear" w:color="000000" w:fill="FFFFFF"/>
            <w:noWrap/>
            <w:vAlign w:val="center"/>
            <w:hideMark/>
          </w:tcPr>
          <w:p w14:paraId="71D21A0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$3.58</w:t>
            </w:r>
          </w:p>
        </w:tc>
        <w:tc>
          <w:tcPr>
            <w:tcW w:w="1417" w:type="dxa"/>
            <w:tcBorders>
              <w:top w:val="nil"/>
              <w:left w:val="nil"/>
              <w:bottom w:val="single" w:sz="8" w:space="0" w:color="auto"/>
              <w:right w:val="nil"/>
            </w:tcBorders>
            <w:shd w:val="clear" w:color="000000" w:fill="FFFFFF"/>
            <w:noWrap/>
            <w:vAlign w:val="center"/>
            <w:hideMark/>
          </w:tcPr>
          <w:p w14:paraId="243E10A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$0.70</w:t>
            </w:r>
          </w:p>
        </w:tc>
        <w:tc>
          <w:tcPr>
            <w:tcW w:w="1418" w:type="dxa"/>
            <w:tcBorders>
              <w:top w:val="nil"/>
              <w:left w:val="nil"/>
              <w:bottom w:val="single" w:sz="8" w:space="0" w:color="auto"/>
              <w:right w:val="nil"/>
            </w:tcBorders>
            <w:shd w:val="clear" w:color="000000" w:fill="FFFFFF"/>
            <w:noWrap/>
            <w:vAlign w:val="center"/>
            <w:hideMark/>
          </w:tcPr>
          <w:p w14:paraId="7C10DB6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2DBE2CB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$1.82</w:t>
            </w:r>
          </w:p>
        </w:tc>
      </w:tr>
      <w:tr w:rsidR="00D24563" w:rsidRPr="00D24563" w14:paraId="58ACBC34"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3CBFD3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Additional service fees</w:t>
            </w:r>
          </w:p>
        </w:tc>
        <w:tc>
          <w:tcPr>
            <w:tcW w:w="1418" w:type="dxa"/>
            <w:tcBorders>
              <w:top w:val="nil"/>
              <w:left w:val="nil"/>
              <w:bottom w:val="single" w:sz="8" w:space="0" w:color="auto"/>
              <w:right w:val="nil"/>
            </w:tcBorders>
            <w:shd w:val="clear" w:color="000000" w:fill="FFFFFF"/>
            <w:noWrap/>
            <w:vAlign w:val="center"/>
            <w:hideMark/>
          </w:tcPr>
          <w:p w14:paraId="43BDED5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$4.62</w:t>
            </w:r>
          </w:p>
        </w:tc>
        <w:tc>
          <w:tcPr>
            <w:tcW w:w="1417" w:type="dxa"/>
            <w:tcBorders>
              <w:top w:val="nil"/>
              <w:left w:val="nil"/>
              <w:bottom w:val="single" w:sz="8" w:space="0" w:color="auto"/>
              <w:right w:val="nil"/>
            </w:tcBorders>
            <w:shd w:val="clear" w:color="000000" w:fill="FFFFFF"/>
            <w:noWrap/>
            <w:vAlign w:val="center"/>
            <w:hideMark/>
          </w:tcPr>
          <w:p w14:paraId="6846EB9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$1.93</w:t>
            </w:r>
          </w:p>
        </w:tc>
        <w:tc>
          <w:tcPr>
            <w:tcW w:w="1418" w:type="dxa"/>
            <w:tcBorders>
              <w:top w:val="nil"/>
              <w:left w:val="nil"/>
              <w:bottom w:val="single" w:sz="8" w:space="0" w:color="auto"/>
              <w:right w:val="nil"/>
            </w:tcBorders>
            <w:shd w:val="clear" w:color="000000" w:fill="FFFFFF"/>
            <w:noWrap/>
            <w:vAlign w:val="center"/>
            <w:hideMark/>
          </w:tcPr>
          <w:p w14:paraId="03C8B03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315" w:type="dxa"/>
            <w:tcBorders>
              <w:top w:val="nil"/>
              <w:left w:val="nil"/>
              <w:bottom w:val="single" w:sz="8" w:space="0" w:color="auto"/>
              <w:right w:val="nil"/>
            </w:tcBorders>
            <w:shd w:val="clear" w:color="000000" w:fill="FFFFFF"/>
            <w:noWrap/>
            <w:vAlign w:val="center"/>
            <w:hideMark/>
          </w:tcPr>
          <w:p w14:paraId="451BDAF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$2.93</w:t>
            </w:r>
          </w:p>
        </w:tc>
      </w:tr>
      <w:tr w:rsidR="00D24563" w:rsidRPr="00D24563" w14:paraId="3C754B77"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5BCFBB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hotel services income</w:t>
            </w:r>
          </w:p>
        </w:tc>
        <w:tc>
          <w:tcPr>
            <w:tcW w:w="1418" w:type="dxa"/>
            <w:tcBorders>
              <w:top w:val="nil"/>
              <w:left w:val="nil"/>
              <w:bottom w:val="single" w:sz="8" w:space="0" w:color="auto"/>
              <w:right w:val="nil"/>
            </w:tcBorders>
            <w:shd w:val="clear" w:color="000000" w:fill="FFFFFF"/>
            <w:noWrap/>
            <w:vAlign w:val="center"/>
            <w:hideMark/>
          </w:tcPr>
          <w:p w14:paraId="6E12949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$0.44</w:t>
            </w:r>
          </w:p>
        </w:tc>
        <w:tc>
          <w:tcPr>
            <w:tcW w:w="1417" w:type="dxa"/>
            <w:tcBorders>
              <w:top w:val="nil"/>
              <w:left w:val="nil"/>
              <w:bottom w:val="single" w:sz="8" w:space="0" w:color="auto"/>
              <w:right w:val="nil"/>
            </w:tcBorders>
            <w:shd w:val="clear" w:color="000000" w:fill="FFFFFF"/>
            <w:noWrap/>
            <w:vAlign w:val="center"/>
            <w:hideMark/>
          </w:tcPr>
          <w:p w14:paraId="59DB6CB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$1.02</w:t>
            </w:r>
          </w:p>
        </w:tc>
        <w:tc>
          <w:tcPr>
            <w:tcW w:w="1418" w:type="dxa"/>
            <w:tcBorders>
              <w:top w:val="nil"/>
              <w:left w:val="nil"/>
              <w:bottom w:val="single" w:sz="8" w:space="0" w:color="auto"/>
              <w:right w:val="nil"/>
            </w:tcBorders>
            <w:shd w:val="clear" w:color="000000" w:fill="FFFFFF"/>
            <w:noWrap/>
            <w:vAlign w:val="center"/>
            <w:hideMark/>
          </w:tcPr>
          <w:p w14:paraId="51E5F50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$0.57</w:t>
            </w:r>
          </w:p>
        </w:tc>
        <w:tc>
          <w:tcPr>
            <w:tcW w:w="1315" w:type="dxa"/>
            <w:tcBorders>
              <w:top w:val="nil"/>
              <w:left w:val="nil"/>
              <w:bottom w:val="single" w:sz="8" w:space="0" w:color="auto"/>
              <w:right w:val="nil"/>
            </w:tcBorders>
            <w:shd w:val="clear" w:color="000000" w:fill="FFFFFF"/>
            <w:noWrap/>
            <w:vAlign w:val="center"/>
            <w:hideMark/>
          </w:tcPr>
          <w:p w14:paraId="7DF5095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$0.78</w:t>
            </w:r>
          </w:p>
        </w:tc>
      </w:tr>
      <w:tr w:rsidR="00D24563" w:rsidRPr="00D24563" w14:paraId="7D13D699"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ADCF8D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hotel services income</w:t>
            </w:r>
          </w:p>
        </w:tc>
        <w:tc>
          <w:tcPr>
            <w:tcW w:w="1418" w:type="dxa"/>
            <w:tcBorders>
              <w:top w:val="nil"/>
              <w:left w:val="nil"/>
              <w:bottom w:val="single" w:sz="8" w:space="0" w:color="auto"/>
              <w:right w:val="nil"/>
            </w:tcBorders>
            <w:shd w:val="clear" w:color="000000" w:fill="D8DADA"/>
            <w:noWrap/>
            <w:vAlign w:val="center"/>
            <w:hideMark/>
          </w:tcPr>
          <w:p w14:paraId="0A43E79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$68.09</w:t>
            </w:r>
          </w:p>
        </w:tc>
        <w:tc>
          <w:tcPr>
            <w:tcW w:w="1417" w:type="dxa"/>
            <w:tcBorders>
              <w:top w:val="nil"/>
              <w:left w:val="nil"/>
              <w:bottom w:val="single" w:sz="8" w:space="0" w:color="auto"/>
              <w:right w:val="nil"/>
            </w:tcBorders>
            <w:shd w:val="clear" w:color="000000" w:fill="D8DADA"/>
            <w:noWrap/>
            <w:vAlign w:val="center"/>
            <w:hideMark/>
          </w:tcPr>
          <w:p w14:paraId="6A18536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$61.55</w:t>
            </w:r>
          </w:p>
        </w:tc>
        <w:tc>
          <w:tcPr>
            <w:tcW w:w="1418" w:type="dxa"/>
            <w:tcBorders>
              <w:top w:val="nil"/>
              <w:left w:val="nil"/>
              <w:bottom w:val="single" w:sz="8" w:space="0" w:color="auto"/>
              <w:right w:val="nil"/>
            </w:tcBorders>
            <w:shd w:val="clear" w:color="000000" w:fill="D8DADA"/>
            <w:noWrap/>
            <w:vAlign w:val="center"/>
            <w:hideMark/>
          </w:tcPr>
          <w:p w14:paraId="4244CEE4"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$59.77</w:t>
            </w:r>
          </w:p>
        </w:tc>
        <w:tc>
          <w:tcPr>
            <w:tcW w:w="1315" w:type="dxa"/>
            <w:tcBorders>
              <w:top w:val="nil"/>
              <w:left w:val="nil"/>
              <w:bottom w:val="single" w:sz="8" w:space="0" w:color="auto"/>
              <w:right w:val="nil"/>
            </w:tcBorders>
            <w:shd w:val="clear" w:color="000000" w:fill="D8DADA"/>
            <w:noWrap/>
            <w:vAlign w:val="center"/>
            <w:hideMark/>
          </w:tcPr>
          <w:p w14:paraId="64C1E24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$64.08</w:t>
            </w:r>
          </w:p>
        </w:tc>
      </w:tr>
      <w:tr w:rsidR="00D24563" w:rsidRPr="00D24563" w14:paraId="1AFDF02A" w14:textId="77777777" w:rsidTr="00D24563">
        <w:trPr>
          <w:trHeight w:val="550"/>
        </w:trPr>
        <w:tc>
          <w:tcPr>
            <w:tcW w:w="3402" w:type="dxa"/>
            <w:tcBorders>
              <w:top w:val="nil"/>
              <w:left w:val="nil"/>
              <w:bottom w:val="single" w:sz="8" w:space="0" w:color="auto"/>
              <w:right w:val="nil"/>
            </w:tcBorders>
            <w:shd w:val="clear" w:color="000000" w:fill="D8DADA"/>
            <w:vAlign w:val="center"/>
            <w:hideMark/>
          </w:tcPr>
          <w:p w14:paraId="7D1CACF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Accommodation and finance income</w:t>
            </w:r>
          </w:p>
        </w:tc>
        <w:tc>
          <w:tcPr>
            <w:tcW w:w="1418" w:type="dxa"/>
            <w:tcBorders>
              <w:top w:val="nil"/>
              <w:left w:val="nil"/>
              <w:bottom w:val="single" w:sz="8" w:space="0" w:color="auto"/>
              <w:right w:val="nil"/>
            </w:tcBorders>
            <w:shd w:val="clear" w:color="000000" w:fill="D8DADA"/>
            <w:noWrap/>
            <w:vAlign w:val="center"/>
            <w:hideMark/>
          </w:tcPr>
          <w:p w14:paraId="50250DB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388B50E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53AAEB8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5F1A9CC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0D752422"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1AF33BA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Subsidies and supplements (Australian Government)</w:t>
            </w:r>
          </w:p>
        </w:tc>
        <w:tc>
          <w:tcPr>
            <w:tcW w:w="1418" w:type="dxa"/>
            <w:tcBorders>
              <w:top w:val="nil"/>
              <w:left w:val="nil"/>
              <w:bottom w:val="single" w:sz="8" w:space="0" w:color="auto"/>
              <w:right w:val="nil"/>
            </w:tcBorders>
            <w:shd w:val="clear" w:color="000000" w:fill="FFFFFF"/>
            <w:noWrap/>
            <w:vAlign w:val="center"/>
            <w:hideMark/>
          </w:tcPr>
          <w:p w14:paraId="00431DB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$18.64</w:t>
            </w:r>
          </w:p>
        </w:tc>
        <w:tc>
          <w:tcPr>
            <w:tcW w:w="1417" w:type="dxa"/>
            <w:tcBorders>
              <w:top w:val="nil"/>
              <w:left w:val="nil"/>
              <w:bottom w:val="single" w:sz="8" w:space="0" w:color="auto"/>
              <w:right w:val="nil"/>
            </w:tcBorders>
            <w:shd w:val="clear" w:color="000000" w:fill="FFFFFF"/>
            <w:noWrap/>
            <w:vAlign w:val="center"/>
            <w:hideMark/>
          </w:tcPr>
          <w:p w14:paraId="29D82FA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$21.47</w:t>
            </w:r>
          </w:p>
        </w:tc>
        <w:tc>
          <w:tcPr>
            <w:tcW w:w="1418" w:type="dxa"/>
            <w:tcBorders>
              <w:top w:val="nil"/>
              <w:left w:val="nil"/>
              <w:bottom w:val="single" w:sz="8" w:space="0" w:color="auto"/>
              <w:right w:val="nil"/>
            </w:tcBorders>
            <w:shd w:val="clear" w:color="000000" w:fill="FFFFFF"/>
            <w:noWrap/>
            <w:vAlign w:val="center"/>
            <w:hideMark/>
          </w:tcPr>
          <w:p w14:paraId="65A9E82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$20.51</w:t>
            </w:r>
          </w:p>
        </w:tc>
        <w:tc>
          <w:tcPr>
            <w:tcW w:w="1315" w:type="dxa"/>
            <w:tcBorders>
              <w:top w:val="nil"/>
              <w:left w:val="nil"/>
              <w:bottom w:val="single" w:sz="8" w:space="0" w:color="auto"/>
              <w:right w:val="nil"/>
            </w:tcBorders>
            <w:shd w:val="clear" w:color="000000" w:fill="FFFFFF"/>
            <w:noWrap/>
            <w:vAlign w:val="center"/>
            <w:hideMark/>
          </w:tcPr>
          <w:p w14:paraId="423BDC0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$20.31</w:t>
            </w:r>
          </w:p>
        </w:tc>
      </w:tr>
      <w:tr w:rsidR="00D24563" w:rsidRPr="00D24563" w14:paraId="43CD6617"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1F7DE2D"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Subsidies and supplements (state / territory)</w:t>
            </w:r>
          </w:p>
        </w:tc>
        <w:tc>
          <w:tcPr>
            <w:tcW w:w="1418" w:type="dxa"/>
            <w:tcBorders>
              <w:top w:val="nil"/>
              <w:left w:val="nil"/>
              <w:bottom w:val="single" w:sz="8" w:space="0" w:color="auto"/>
              <w:right w:val="nil"/>
            </w:tcBorders>
            <w:shd w:val="clear" w:color="000000" w:fill="FFFFFF"/>
            <w:noWrap/>
            <w:vAlign w:val="center"/>
            <w:hideMark/>
          </w:tcPr>
          <w:p w14:paraId="7D135C8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7" w:type="dxa"/>
            <w:tcBorders>
              <w:top w:val="nil"/>
              <w:left w:val="nil"/>
              <w:bottom w:val="single" w:sz="8" w:space="0" w:color="auto"/>
              <w:right w:val="nil"/>
            </w:tcBorders>
            <w:shd w:val="clear" w:color="000000" w:fill="FFFFFF"/>
            <w:noWrap/>
            <w:vAlign w:val="center"/>
            <w:hideMark/>
          </w:tcPr>
          <w:p w14:paraId="6AD1B4B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418" w:type="dxa"/>
            <w:tcBorders>
              <w:top w:val="nil"/>
              <w:left w:val="nil"/>
              <w:bottom w:val="single" w:sz="8" w:space="0" w:color="auto"/>
              <w:right w:val="nil"/>
            </w:tcBorders>
            <w:shd w:val="clear" w:color="000000" w:fill="FFFFFF"/>
            <w:noWrap/>
            <w:vAlign w:val="center"/>
            <w:hideMark/>
          </w:tcPr>
          <w:p w14:paraId="0A0F565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$2.63</w:t>
            </w:r>
          </w:p>
        </w:tc>
        <w:tc>
          <w:tcPr>
            <w:tcW w:w="1315" w:type="dxa"/>
            <w:tcBorders>
              <w:top w:val="nil"/>
              <w:left w:val="nil"/>
              <w:bottom w:val="single" w:sz="8" w:space="0" w:color="auto"/>
              <w:right w:val="nil"/>
            </w:tcBorders>
            <w:shd w:val="clear" w:color="000000" w:fill="FFFFFF"/>
            <w:noWrap/>
            <w:vAlign w:val="center"/>
            <w:hideMark/>
          </w:tcPr>
          <w:p w14:paraId="0970B49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$0.11</w:t>
            </w:r>
          </w:p>
        </w:tc>
      </w:tr>
      <w:tr w:rsidR="00D24563" w:rsidRPr="00D24563" w14:paraId="11B7BEB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9D25AA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Daily accommodation payments</w:t>
            </w:r>
          </w:p>
        </w:tc>
        <w:tc>
          <w:tcPr>
            <w:tcW w:w="1418" w:type="dxa"/>
            <w:tcBorders>
              <w:top w:val="nil"/>
              <w:left w:val="nil"/>
              <w:bottom w:val="single" w:sz="8" w:space="0" w:color="auto"/>
              <w:right w:val="nil"/>
            </w:tcBorders>
            <w:shd w:val="clear" w:color="000000" w:fill="FFFFFF"/>
            <w:noWrap/>
            <w:vAlign w:val="center"/>
            <w:hideMark/>
          </w:tcPr>
          <w:p w14:paraId="55EC410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$14.19</w:t>
            </w:r>
          </w:p>
        </w:tc>
        <w:tc>
          <w:tcPr>
            <w:tcW w:w="1417" w:type="dxa"/>
            <w:tcBorders>
              <w:top w:val="nil"/>
              <w:left w:val="nil"/>
              <w:bottom w:val="single" w:sz="8" w:space="0" w:color="auto"/>
              <w:right w:val="nil"/>
            </w:tcBorders>
            <w:shd w:val="clear" w:color="000000" w:fill="FFFFFF"/>
            <w:noWrap/>
            <w:vAlign w:val="center"/>
            <w:hideMark/>
          </w:tcPr>
          <w:p w14:paraId="6388C37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$13.52</w:t>
            </w:r>
          </w:p>
        </w:tc>
        <w:tc>
          <w:tcPr>
            <w:tcW w:w="1418" w:type="dxa"/>
            <w:tcBorders>
              <w:top w:val="nil"/>
              <w:left w:val="nil"/>
              <w:bottom w:val="single" w:sz="8" w:space="0" w:color="auto"/>
              <w:right w:val="nil"/>
            </w:tcBorders>
            <w:shd w:val="clear" w:color="000000" w:fill="FFFFFF"/>
            <w:noWrap/>
            <w:vAlign w:val="center"/>
            <w:hideMark/>
          </w:tcPr>
          <w:p w14:paraId="10BFEFC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$10.07</w:t>
            </w:r>
          </w:p>
        </w:tc>
        <w:tc>
          <w:tcPr>
            <w:tcW w:w="1315" w:type="dxa"/>
            <w:tcBorders>
              <w:top w:val="nil"/>
              <w:left w:val="nil"/>
              <w:bottom w:val="single" w:sz="8" w:space="0" w:color="auto"/>
              <w:right w:val="nil"/>
            </w:tcBorders>
            <w:shd w:val="clear" w:color="000000" w:fill="FFFFFF"/>
            <w:noWrap/>
            <w:vAlign w:val="center"/>
            <w:hideMark/>
          </w:tcPr>
          <w:p w14:paraId="2E5F1BB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$13.66</w:t>
            </w:r>
          </w:p>
        </w:tc>
      </w:tr>
      <w:tr w:rsidR="00D24563" w:rsidRPr="00D24563" w14:paraId="21E5DA7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511CF80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Accommodation charges</w:t>
            </w:r>
          </w:p>
        </w:tc>
        <w:tc>
          <w:tcPr>
            <w:tcW w:w="1418" w:type="dxa"/>
            <w:tcBorders>
              <w:top w:val="nil"/>
              <w:left w:val="nil"/>
              <w:bottom w:val="single" w:sz="8" w:space="0" w:color="auto"/>
              <w:right w:val="nil"/>
            </w:tcBorders>
            <w:shd w:val="clear" w:color="000000" w:fill="FFFFFF"/>
            <w:noWrap/>
            <w:vAlign w:val="center"/>
            <w:hideMark/>
          </w:tcPr>
          <w:p w14:paraId="5F650F0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$1.98</w:t>
            </w:r>
          </w:p>
        </w:tc>
        <w:tc>
          <w:tcPr>
            <w:tcW w:w="1417" w:type="dxa"/>
            <w:tcBorders>
              <w:top w:val="nil"/>
              <w:left w:val="nil"/>
              <w:bottom w:val="single" w:sz="8" w:space="0" w:color="auto"/>
              <w:right w:val="nil"/>
            </w:tcBorders>
            <w:shd w:val="clear" w:color="000000" w:fill="FFFFFF"/>
            <w:noWrap/>
            <w:vAlign w:val="center"/>
            <w:hideMark/>
          </w:tcPr>
          <w:p w14:paraId="42FF10A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$0.61</w:t>
            </w:r>
          </w:p>
        </w:tc>
        <w:tc>
          <w:tcPr>
            <w:tcW w:w="1418" w:type="dxa"/>
            <w:tcBorders>
              <w:top w:val="nil"/>
              <w:left w:val="nil"/>
              <w:bottom w:val="single" w:sz="8" w:space="0" w:color="auto"/>
              <w:right w:val="nil"/>
            </w:tcBorders>
            <w:shd w:val="clear" w:color="000000" w:fill="FFFFFF"/>
            <w:noWrap/>
            <w:vAlign w:val="center"/>
            <w:hideMark/>
          </w:tcPr>
          <w:p w14:paraId="4E2ED9F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$1.72</w:t>
            </w:r>
          </w:p>
        </w:tc>
        <w:tc>
          <w:tcPr>
            <w:tcW w:w="1315" w:type="dxa"/>
            <w:tcBorders>
              <w:top w:val="nil"/>
              <w:left w:val="nil"/>
              <w:bottom w:val="single" w:sz="8" w:space="0" w:color="auto"/>
              <w:right w:val="nil"/>
            </w:tcBorders>
            <w:shd w:val="clear" w:color="000000" w:fill="FFFFFF"/>
            <w:noWrap/>
            <w:vAlign w:val="center"/>
            <w:hideMark/>
          </w:tcPr>
          <w:p w14:paraId="766BD56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$1.19</w:t>
            </w:r>
          </w:p>
        </w:tc>
      </w:tr>
      <w:tr w:rsidR="00D24563" w:rsidRPr="00D24563" w14:paraId="4B006245"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09FB7E6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Interest received - accommodation payments</w:t>
            </w:r>
          </w:p>
        </w:tc>
        <w:tc>
          <w:tcPr>
            <w:tcW w:w="1418" w:type="dxa"/>
            <w:tcBorders>
              <w:top w:val="nil"/>
              <w:left w:val="nil"/>
              <w:bottom w:val="single" w:sz="8" w:space="0" w:color="auto"/>
              <w:right w:val="nil"/>
            </w:tcBorders>
            <w:shd w:val="clear" w:color="000000" w:fill="FFFFFF"/>
            <w:noWrap/>
            <w:vAlign w:val="center"/>
            <w:hideMark/>
          </w:tcPr>
          <w:p w14:paraId="102DB1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$1.59</w:t>
            </w:r>
          </w:p>
        </w:tc>
        <w:tc>
          <w:tcPr>
            <w:tcW w:w="1417" w:type="dxa"/>
            <w:tcBorders>
              <w:top w:val="nil"/>
              <w:left w:val="nil"/>
              <w:bottom w:val="single" w:sz="8" w:space="0" w:color="auto"/>
              <w:right w:val="nil"/>
            </w:tcBorders>
            <w:shd w:val="clear" w:color="000000" w:fill="FFFFFF"/>
            <w:noWrap/>
            <w:vAlign w:val="center"/>
            <w:hideMark/>
          </w:tcPr>
          <w:p w14:paraId="440430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$1.25</w:t>
            </w:r>
          </w:p>
        </w:tc>
        <w:tc>
          <w:tcPr>
            <w:tcW w:w="1418" w:type="dxa"/>
            <w:tcBorders>
              <w:top w:val="nil"/>
              <w:left w:val="nil"/>
              <w:bottom w:val="single" w:sz="8" w:space="0" w:color="auto"/>
              <w:right w:val="nil"/>
            </w:tcBorders>
            <w:shd w:val="clear" w:color="000000" w:fill="FFFFFF"/>
            <w:noWrap/>
            <w:vAlign w:val="center"/>
            <w:hideMark/>
          </w:tcPr>
          <w:p w14:paraId="6FC19AC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$2.77</w:t>
            </w:r>
          </w:p>
        </w:tc>
        <w:tc>
          <w:tcPr>
            <w:tcW w:w="1315" w:type="dxa"/>
            <w:tcBorders>
              <w:top w:val="nil"/>
              <w:left w:val="nil"/>
              <w:bottom w:val="single" w:sz="8" w:space="0" w:color="auto"/>
              <w:right w:val="nil"/>
            </w:tcBorders>
            <w:shd w:val="clear" w:color="000000" w:fill="FFFFFF"/>
            <w:noWrap/>
            <w:vAlign w:val="center"/>
            <w:hideMark/>
          </w:tcPr>
          <w:p w14:paraId="715AFF4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$1.44</w:t>
            </w:r>
          </w:p>
        </w:tc>
      </w:tr>
      <w:tr w:rsidR="00D24563" w:rsidRPr="00D24563" w14:paraId="18EBA24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68C6C74F"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accommodation income</w:t>
            </w:r>
          </w:p>
        </w:tc>
        <w:tc>
          <w:tcPr>
            <w:tcW w:w="1418" w:type="dxa"/>
            <w:tcBorders>
              <w:top w:val="nil"/>
              <w:left w:val="nil"/>
              <w:bottom w:val="single" w:sz="8" w:space="0" w:color="auto"/>
              <w:right w:val="nil"/>
            </w:tcBorders>
            <w:shd w:val="clear" w:color="000000" w:fill="FFFFFF"/>
            <w:noWrap/>
            <w:vAlign w:val="center"/>
            <w:hideMark/>
          </w:tcPr>
          <w:p w14:paraId="2CD8FE2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$0.52</w:t>
            </w:r>
          </w:p>
        </w:tc>
        <w:tc>
          <w:tcPr>
            <w:tcW w:w="1417" w:type="dxa"/>
            <w:tcBorders>
              <w:top w:val="nil"/>
              <w:left w:val="nil"/>
              <w:bottom w:val="single" w:sz="8" w:space="0" w:color="auto"/>
              <w:right w:val="nil"/>
            </w:tcBorders>
            <w:shd w:val="clear" w:color="000000" w:fill="FFFFFF"/>
            <w:noWrap/>
            <w:vAlign w:val="center"/>
            <w:hideMark/>
          </w:tcPr>
          <w:p w14:paraId="1B9B4A4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$0.71</w:t>
            </w:r>
          </w:p>
        </w:tc>
        <w:tc>
          <w:tcPr>
            <w:tcW w:w="1418" w:type="dxa"/>
            <w:tcBorders>
              <w:top w:val="nil"/>
              <w:left w:val="nil"/>
              <w:bottom w:val="single" w:sz="8" w:space="0" w:color="auto"/>
              <w:right w:val="nil"/>
            </w:tcBorders>
            <w:shd w:val="clear" w:color="000000" w:fill="FFFFFF"/>
            <w:noWrap/>
            <w:vAlign w:val="center"/>
            <w:hideMark/>
          </w:tcPr>
          <w:p w14:paraId="2F7D68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$0.53</w:t>
            </w:r>
          </w:p>
        </w:tc>
        <w:tc>
          <w:tcPr>
            <w:tcW w:w="1315" w:type="dxa"/>
            <w:tcBorders>
              <w:top w:val="nil"/>
              <w:left w:val="nil"/>
              <w:bottom w:val="single" w:sz="8" w:space="0" w:color="auto"/>
              <w:right w:val="nil"/>
            </w:tcBorders>
            <w:shd w:val="clear" w:color="000000" w:fill="FFFFFF"/>
            <w:noWrap/>
            <w:vAlign w:val="center"/>
            <w:hideMark/>
          </w:tcPr>
          <w:p w14:paraId="791AEC6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$0.63</w:t>
            </w:r>
          </w:p>
        </w:tc>
      </w:tr>
      <w:tr w:rsidR="00D24563" w:rsidRPr="00D24563" w14:paraId="2528257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2BD51A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Interest and investment income</w:t>
            </w:r>
          </w:p>
        </w:tc>
        <w:tc>
          <w:tcPr>
            <w:tcW w:w="1418" w:type="dxa"/>
            <w:tcBorders>
              <w:top w:val="nil"/>
              <w:left w:val="nil"/>
              <w:bottom w:val="single" w:sz="8" w:space="0" w:color="auto"/>
              <w:right w:val="nil"/>
            </w:tcBorders>
            <w:shd w:val="clear" w:color="000000" w:fill="FFFFFF"/>
            <w:noWrap/>
            <w:vAlign w:val="center"/>
            <w:hideMark/>
          </w:tcPr>
          <w:p w14:paraId="53F1BDD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$6.86</w:t>
            </w:r>
          </w:p>
        </w:tc>
        <w:tc>
          <w:tcPr>
            <w:tcW w:w="1417" w:type="dxa"/>
            <w:tcBorders>
              <w:top w:val="nil"/>
              <w:left w:val="nil"/>
              <w:bottom w:val="single" w:sz="8" w:space="0" w:color="auto"/>
              <w:right w:val="nil"/>
            </w:tcBorders>
            <w:shd w:val="clear" w:color="000000" w:fill="FFFFFF"/>
            <w:noWrap/>
            <w:vAlign w:val="center"/>
            <w:hideMark/>
          </w:tcPr>
          <w:p w14:paraId="7C0DDDD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$4.52</w:t>
            </w:r>
          </w:p>
        </w:tc>
        <w:tc>
          <w:tcPr>
            <w:tcW w:w="1418" w:type="dxa"/>
            <w:tcBorders>
              <w:top w:val="nil"/>
              <w:left w:val="nil"/>
              <w:bottom w:val="single" w:sz="8" w:space="0" w:color="auto"/>
              <w:right w:val="nil"/>
            </w:tcBorders>
            <w:shd w:val="clear" w:color="000000" w:fill="FFFFFF"/>
            <w:noWrap/>
            <w:vAlign w:val="center"/>
            <w:hideMark/>
          </w:tcPr>
          <w:p w14:paraId="3B03718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$4.55</w:t>
            </w:r>
          </w:p>
        </w:tc>
        <w:tc>
          <w:tcPr>
            <w:tcW w:w="1315" w:type="dxa"/>
            <w:tcBorders>
              <w:top w:val="nil"/>
              <w:left w:val="nil"/>
              <w:bottom w:val="single" w:sz="8" w:space="0" w:color="auto"/>
              <w:right w:val="nil"/>
            </w:tcBorders>
            <w:shd w:val="clear" w:color="000000" w:fill="FFFFFF"/>
            <w:noWrap/>
            <w:vAlign w:val="center"/>
            <w:hideMark/>
          </w:tcPr>
          <w:p w14:paraId="0E27BA7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$5.45</w:t>
            </w:r>
          </w:p>
        </w:tc>
      </w:tr>
      <w:tr w:rsidR="00D24563" w:rsidRPr="00D24563" w14:paraId="208C6FD1" w14:textId="77777777" w:rsidTr="00D24563">
        <w:trPr>
          <w:trHeight w:val="550"/>
        </w:trPr>
        <w:tc>
          <w:tcPr>
            <w:tcW w:w="3402" w:type="dxa"/>
            <w:tcBorders>
              <w:top w:val="nil"/>
              <w:left w:val="nil"/>
              <w:bottom w:val="single" w:sz="8" w:space="0" w:color="auto"/>
              <w:right w:val="nil"/>
            </w:tcBorders>
            <w:shd w:val="clear" w:color="000000" w:fill="D8DADA"/>
            <w:vAlign w:val="center"/>
            <w:hideMark/>
          </w:tcPr>
          <w:p w14:paraId="10322AB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accommodation and finance income</w:t>
            </w:r>
          </w:p>
        </w:tc>
        <w:tc>
          <w:tcPr>
            <w:tcW w:w="1418" w:type="dxa"/>
            <w:tcBorders>
              <w:top w:val="nil"/>
              <w:left w:val="nil"/>
              <w:bottom w:val="single" w:sz="8" w:space="0" w:color="auto"/>
              <w:right w:val="nil"/>
            </w:tcBorders>
            <w:shd w:val="clear" w:color="000000" w:fill="D8DADA"/>
            <w:noWrap/>
            <w:vAlign w:val="center"/>
            <w:hideMark/>
          </w:tcPr>
          <w:p w14:paraId="6F9D51D8"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$43.78</w:t>
            </w:r>
          </w:p>
        </w:tc>
        <w:tc>
          <w:tcPr>
            <w:tcW w:w="1417" w:type="dxa"/>
            <w:tcBorders>
              <w:top w:val="nil"/>
              <w:left w:val="nil"/>
              <w:bottom w:val="single" w:sz="8" w:space="0" w:color="auto"/>
              <w:right w:val="nil"/>
            </w:tcBorders>
            <w:shd w:val="clear" w:color="000000" w:fill="D8DADA"/>
            <w:noWrap/>
            <w:vAlign w:val="center"/>
            <w:hideMark/>
          </w:tcPr>
          <w:p w14:paraId="0159C17C"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$42.09</w:t>
            </w:r>
          </w:p>
        </w:tc>
        <w:tc>
          <w:tcPr>
            <w:tcW w:w="1418" w:type="dxa"/>
            <w:tcBorders>
              <w:top w:val="nil"/>
              <w:left w:val="nil"/>
              <w:bottom w:val="single" w:sz="8" w:space="0" w:color="auto"/>
              <w:right w:val="nil"/>
            </w:tcBorders>
            <w:shd w:val="clear" w:color="000000" w:fill="D8DADA"/>
            <w:noWrap/>
            <w:vAlign w:val="center"/>
            <w:hideMark/>
          </w:tcPr>
          <w:p w14:paraId="6B6068D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$42.78</w:t>
            </w:r>
          </w:p>
        </w:tc>
        <w:tc>
          <w:tcPr>
            <w:tcW w:w="1315" w:type="dxa"/>
            <w:tcBorders>
              <w:top w:val="nil"/>
              <w:left w:val="nil"/>
              <w:bottom w:val="single" w:sz="8" w:space="0" w:color="auto"/>
              <w:right w:val="nil"/>
            </w:tcBorders>
            <w:shd w:val="clear" w:color="000000" w:fill="D8DADA"/>
            <w:noWrap/>
            <w:vAlign w:val="center"/>
            <w:hideMark/>
          </w:tcPr>
          <w:p w14:paraId="6CA211A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$42.79</w:t>
            </w:r>
          </w:p>
        </w:tc>
      </w:tr>
      <w:tr w:rsidR="00D24563" w:rsidRPr="00D24563" w14:paraId="53C3077E"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46AA5C4C"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COVID-19 income</w:t>
            </w:r>
          </w:p>
        </w:tc>
        <w:tc>
          <w:tcPr>
            <w:tcW w:w="1418" w:type="dxa"/>
            <w:tcBorders>
              <w:top w:val="nil"/>
              <w:left w:val="nil"/>
              <w:bottom w:val="single" w:sz="8" w:space="0" w:color="auto"/>
              <w:right w:val="nil"/>
            </w:tcBorders>
            <w:shd w:val="clear" w:color="000000" w:fill="D8DADA"/>
            <w:noWrap/>
            <w:vAlign w:val="center"/>
            <w:hideMark/>
          </w:tcPr>
          <w:p w14:paraId="10A3B25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72FE830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28F6B82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C03AAF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13C253B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C03625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COVID-19 income</w:t>
            </w:r>
          </w:p>
        </w:tc>
        <w:tc>
          <w:tcPr>
            <w:tcW w:w="1418" w:type="dxa"/>
            <w:tcBorders>
              <w:top w:val="nil"/>
              <w:left w:val="nil"/>
              <w:bottom w:val="single" w:sz="8" w:space="0" w:color="auto"/>
              <w:right w:val="nil"/>
            </w:tcBorders>
            <w:shd w:val="clear" w:color="000000" w:fill="FFFFFF"/>
            <w:noWrap/>
            <w:vAlign w:val="center"/>
            <w:hideMark/>
          </w:tcPr>
          <w:p w14:paraId="28E056D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$9.66</w:t>
            </w:r>
          </w:p>
        </w:tc>
        <w:tc>
          <w:tcPr>
            <w:tcW w:w="1417" w:type="dxa"/>
            <w:tcBorders>
              <w:top w:val="nil"/>
              <w:left w:val="nil"/>
              <w:bottom w:val="single" w:sz="8" w:space="0" w:color="auto"/>
              <w:right w:val="nil"/>
            </w:tcBorders>
            <w:shd w:val="clear" w:color="000000" w:fill="FFFFFF"/>
            <w:noWrap/>
            <w:vAlign w:val="center"/>
            <w:hideMark/>
          </w:tcPr>
          <w:p w14:paraId="4170F2B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$6.22</w:t>
            </w:r>
          </w:p>
        </w:tc>
        <w:tc>
          <w:tcPr>
            <w:tcW w:w="1418" w:type="dxa"/>
            <w:tcBorders>
              <w:top w:val="nil"/>
              <w:left w:val="nil"/>
              <w:bottom w:val="single" w:sz="8" w:space="0" w:color="auto"/>
              <w:right w:val="nil"/>
            </w:tcBorders>
            <w:shd w:val="clear" w:color="000000" w:fill="FFFFFF"/>
            <w:noWrap/>
            <w:vAlign w:val="center"/>
            <w:hideMark/>
          </w:tcPr>
          <w:p w14:paraId="251B2FB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$3.92</w:t>
            </w:r>
          </w:p>
        </w:tc>
        <w:tc>
          <w:tcPr>
            <w:tcW w:w="1315" w:type="dxa"/>
            <w:tcBorders>
              <w:top w:val="nil"/>
              <w:left w:val="nil"/>
              <w:bottom w:val="single" w:sz="8" w:space="0" w:color="auto"/>
              <w:right w:val="nil"/>
            </w:tcBorders>
            <w:shd w:val="clear" w:color="000000" w:fill="FFFFFF"/>
            <w:noWrap/>
            <w:vAlign w:val="center"/>
            <w:hideMark/>
          </w:tcPr>
          <w:p w14:paraId="1F01666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$7.50</w:t>
            </w:r>
          </w:p>
        </w:tc>
      </w:tr>
      <w:tr w:rsidR="00D24563" w:rsidRPr="00D24563" w14:paraId="43773045"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11336B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COVID-19 income</w:t>
            </w:r>
          </w:p>
        </w:tc>
        <w:tc>
          <w:tcPr>
            <w:tcW w:w="1418" w:type="dxa"/>
            <w:tcBorders>
              <w:top w:val="nil"/>
              <w:left w:val="nil"/>
              <w:bottom w:val="single" w:sz="8" w:space="0" w:color="auto"/>
              <w:right w:val="nil"/>
            </w:tcBorders>
            <w:shd w:val="clear" w:color="000000" w:fill="D8DADA"/>
            <w:noWrap/>
            <w:vAlign w:val="center"/>
            <w:hideMark/>
          </w:tcPr>
          <w:p w14:paraId="792758D4"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$9.66</w:t>
            </w:r>
          </w:p>
        </w:tc>
        <w:tc>
          <w:tcPr>
            <w:tcW w:w="1417" w:type="dxa"/>
            <w:tcBorders>
              <w:top w:val="nil"/>
              <w:left w:val="nil"/>
              <w:bottom w:val="single" w:sz="8" w:space="0" w:color="auto"/>
              <w:right w:val="nil"/>
            </w:tcBorders>
            <w:shd w:val="clear" w:color="000000" w:fill="D8DADA"/>
            <w:noWrap/>
            <w:vAlign w:val="center"/>
            <w:hideMark/>
          </w:tcPr>
          <w:p w14:paraId="7587C65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$6.22</w:t>
            </w:r>
          </w:p>
        </w:tc>
        <w:tc>
          <w:tcPr>
            <w:tcW w:w="1418" w:type="dxa"/>
            <w:tcBorders>
              <w:top w:val="nil"/>
              <w:left w:val="nil"/>
              <w:bottom w:val="single" w:sz="8" w:space="0" w:color="auto"/>
              <w:right w:val="nil"/>
            </w:tcBorders>
            <w:shd w:val="clear" w:color="000000" w:fill="D8DADA"/>
            <w:noWrap/>
            <w:vAlign w:val="center"/>
            <w:hideMark/>
          </w:tcPr>
          <w:p w14:paraId="74D18F4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$3.92</w:t>
            </w:r>
          </w:p>
        </w:tc>
        <w:tc>
          <w:tcPr>
            <w:tcW w:w="1315" w:type="dxa"/>
            <w:tcBorders>
              <w:top w:val="nil"/>
              <w:left w:val="nil"/>
              <w:bottom w:val="single" w:sz="8" w:space="0" w:color="auto"/>
              <w:right w:val="nil"/>
            </w:tcBorders>
            <w:shd w:val="clear" w:color="000000" w:fill="D8DADA"/>
            <w:noWrap/>
            <w:vAlign w:val="center"/>
            <w:hideMark/>
          </w:tcPr>
          <w:p w14:paraId="2673CC73"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$7.50</w:t>
            </w:r>
          </w:p>
        </w:tc>
      </w:tr>
      <w:tr w:rsidR="00D24563" w:rsidRPr="00D24563" w14:paraId="2267BDE6"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4E838E6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recurrent income</w:t>
            </w:r>
          </w:p>
        </w:tc>
        <w:tc>
          <w:tcPr>
            <w:tcW w:w="1418" w:type="dxa"/>
            <w:tcBorders>
              <w:top w:val="nil"/>
              <w:left w:val="nil"/>
              <w:bottom w:val="single" w:sz="8" w:space="0" w:color="auto"/>
              <w:right w:val="nil"/>
            </w:tcBorders>
            <w:shd w:val="clear" w:color="000000" w:fill="D8DADA"/>
            <w:noWrap/>
            <w:vAlign w:val="center"/>
            <w:hideMark/>
          </w:tcPr>
          <w:p w14:paraId="27FAB5E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$335.62</w:t>
            </w:r>
          </w:p>
        </w:tc>
        <w:tc>
          <w:tcPr>
            <w:tcW w:w="1417" w:type="dxa"/>
            <w:tcBorders>
              <w:top w:val="nil"/>
              <w:left w:val="nil"/>
              <w:bottom w:val="single" w:sz="8" w:space="0" w:color="auto"/>
              <w:right w:val="nil"/>
            </w:tcBorders>
            <w:shd w:val="clear" w:color="000000" w:fill="D8DADA"/>
            <w:noWrap/>
            <w:vAlign w:val="center"/>
            <w:hideMark/>
          </w:tcPr>
          <w:p w14:paraId="5821000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$326.88</w:t>
            </w:r>
          </w:p>
        </w:tc>
        <w:tc>
          <w:tcPr>
            <w:tcW w:w="1418" w:type="dxa"/>
            <w:tcBorders>
              <w:top w:val="nil"/>
              <w:left w:val="nil"/>
              <w:bottom w:val="single" w:sz="8" w:space="0" w:color="auto"/>
              <w:right w:val="nil"/>
            </w:tcBorders>
            <w:shd w:val="clear" w:color="000000" w:fill="D8DADA"/>
            <w:noWrap/>
            <w:vAlign w:val="center"/>
            <w:hideMark/>
          </w:tcPr>
          <w:p w14:paraId="050B3E0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$421.06</w:t>
            </w:r>
          </w:p>
        </w:tc>
        <w:tc>
          <w:tcPr>
            <w:tcW w:w="1315" w:type="dxa"/>
            <w:tcBorders>
              <w:top w:val="nil"/>
              <w:left w:val="nil"/>
              <w:bottom w:val="single" w:sz="8" w:space="0" w:color="auto"/>
              <w:right w:val="nil"/>
            </w:tcBorders>
            <w:shd w:val="clear" w:color="000000" w:fill="D8DADA"/>
            <w:noWrap/>
            <w:vAlign w:val="center"/>
            <w:hideMark/>
          </w:tcPr>
          <w:p w14:paraId="1B5837F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$333.66</w:t>
            </w:r>
          </w:p>
        </w:tc>
      </w:tr>
      <w:tr w:rsidR="00D24563" w:rsidRPr="00D24563" w14:paraId="3A2685AB"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00ECD8C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Non-Recurrent Income</w:t>
            </w:r>
          </w:p>
        </w:tc>
        <w:tc>
          <w:tcPr>
            <w:tcW w:w="1418" w:type="dxa"/>
            <w:tcBorders>
              <w:top w:val="nil"/>
              <w:left w:val="nil"/>
              <w:bottom w:val="single" w:sz="8" w:space="0" w:color="auto"/>
              <w:right w:val="nil"/>
            </w:tcBorders>
            <w:shd w:val="clear" w:color="000000" w:fill="D8DADA"/>
            <w:noWrap/>
            <w:vAlign w:val="center"/>
            <w:hideMark/>
          </w:tcPr>
          <w:p w14:paraId="1944206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659CFE4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52D3680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34ADDA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68459C5E"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2E2D2D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Donations, bequests and fundraising</w:t>
            </w:r>
          </w:p>
        </w:tc>
        <w:tc>
          <w:tcPr>
            <w:tcW w:w="1418" w:type="dxa"/>
            <w:tcBorders>
              <w:top w:val="nil"/>
              <w:left w:val="nil"/>
              <w:bottom w:val="single" w:sz="8" w:space="0" w:color="auto"/>
              <w:right w:val="nil"/>
            </w:tcBorders>
            <w:shd w:val="clear" w:color="000000" w:fill="FFFFFF"/>
            <w:noWrap/>
            <w:vAlign w:val="center"/>
            <w:hideMark/>
          </w:tcPr>
          <w:p w14:paraId="02BEE37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417" w:type="dxa"/>
            <w:tcBorders>
              <w:top w:val="nil"/>
              <w:left w:val="nil"/>
              <w:bottom w:val="single" w:sz="8" w:space="0" w:color="auto"/>
              <w:right w:val="nil"/>
            </w:tcBorders>
            <w:shd w:val="clear" w:color="000000" w:fill="FFFFFF"/>
            <w:noWrap/>
            <w:vAlign w:val="center"/>
            <w:hideMark/>
          </w:tcPr>
          <w:p w14:paraId="7028F49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$0.57</w:t>
            </w:r>
          </w:p>
        </w:tc>
        <w:tc>
          <w:tcPr>
            <w:tcW w:w="1418" w:type="dxa"/>
            <w:tcBorders>
              <w:top w:val="nil"/>
              <w:left w:val="nil"/>
              <w:bottom w:val="single" w:sz="8" w:space="0" w:color="auto"/>
              <w:right w:val="nil"/>
            </w:tcBorders>
            <w:shd w:val="clear" w:color="000000" w:fill="FFFFFF"/>
            <w:noWrap/>
            <w:vAlign w:val="center"/>
            <w:hideMark/>
          </w:tcPr>
          <w:p w14:paraId="6E3D279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$0.28</w:t>
            </w:r>
          </w:p>
        </w:tc>
        <w:tc>
          <w:tcPr>
            <w:tcW w:w="1315" w:type="dxa"/>
            <w:tcBorders>
              <w:top w:val="nil"/>
              <w:left w:val="nil"/>
              <w:bottom w:val="single" w:sz="8" w:space="0" w:color="auto"/>
              <w:right w:val="nil"/>
            </w:tcBorders>
            <w:shd w:val="clear" w:color="000000" w:fill="FFFFFF"/>
            <w:noWrap/>
            <w:vAlign w:val="center"/>
            <w:hideMark/>
          </w:tcPr>
          <w:p w14:paraId="3B23D23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$0.35</w:t>
            </w:r>
          </w:p>
        </w:tc>
      </w:tr>
      <w:tr w:rsidR="00D24563" w:rsidRPr="00D24563" w14:paraId="6A5C3E2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18CA80D"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Fair value gains on financial assets</w:t>
            </w:r>
          </w:p>
        </w:tc>
        <w:tc>
          <w:tcPr>
            <w:tcW w:w="1418" w:type="dxa"/>
            <w:tcBorders>
              <w:top w:val="nil"/>
              <w:left w:val="nil"/>
              <w:bottom w:val="single" w:sz="8" w:space="0" w:color="auto"/>
              <w:right w:val="nil"/>
            </w:tcBorders>
            <w:shd w:val="clear" w:color="000000" w:fill="FFFFFF"/>
            <w:noWrap/>
            <w:vAlign w:val="center"/>
            <w:hideMark/>
          </w:tcPr>
          <w:p w14:paraId="1C17D5C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$0.15</w:t>
            </w:r>
          </w:p>
        </w:tc>
        <w:tc>
          <w:tcPr>
            <w:tcW w:w="1417" w:type="dxa"/>
            <w:tcBorders>
              <w:top w:val="nil"/>
              <w:left w:val="nil"/>
              <w:bottom w:val="single" w:sz="8" w:space="0" w:color="auto"/>
              <w:right w:val="nil"/>
            </w:tcBorders>
            <w:shd w:val="clear" w:color="000000" w:fill="FFFFFF"/>
            <w:noWrap/>
            <w:vAlign w:val="center"/>
            <w:hideMark/>
          </w:tcPr>
          <w:p w14:paraId="597067E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$1.08</w:t>
            </w:r>
          </w:p>
        </w:tc>
        <w:tc>
          <w:tcPr>
            <w:tcW w:w="1418" w:type="dxa"/>
            <w:tcBorders>
              <w:top w:val="nil"/>
              <w:left w:val="nil"/>
              <w:bottom w:val="single" w:sz="8" w:space="0" w:color="auto"/>
              <w:right w:val="nil"/>
            </w:tcBorders>
            <w:shd w:val="clear" w:color="000000" w:fill="FFFFFF"/>
            <w:noWrap/>
            <w:vAlign w:val="center"/>
            <w:hideMark/>
          </w:tcPr>
          <w:p w14:paraId="484F603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2829E5A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$0.67</w:t>
            </w:r>
          </w:p>
        </w:tc>
      </w:tr>
      <w:tr w:rsidR="00D24563" w:rsidRPr="00D24563" w14:paraId="1D300A34" w14:textId="77777777" w:rsidTr="00D24563">
        <w:trPr>
          <w:trHeight w:val="830"/>
        </w:trPr>
        <w:tc>
          <w:tcPr>
            <w:tcW w:w="3402" w:type="dxa"/>
            <w:tcBorders>
              <w:top w:val="nil"/>
              <w:left w:val="nil"/>
              <w:bottom w:val="single" w:sz="8" w:space="0" w:color="auto"/>
              <w:right w:val="nil"/>
            </w:tcBorders>
            <w:shd w:val="clear" w:color="auto" w:fill="auto"/>
            <w:vAlign w:val="bottom"/>
            <w:hideMark/>
          </w:tcPr>
          <w:p w14:paraId="6FC9ACD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Fair value gain / asset revaluation increase - other assets</w:t>
            </w:r>
          </w:p>
        </w:tc>
        <w:tc>
          <w:tcPr>
            <w:tcW w:w="1418" w:type="dxa"/>
            <w:tcBorders>
              <w:top w:val="nil"/>
              <w:left w:val="nil"/>
              <w:bottom w:val="single" w:sz="8" w:space="0" w:color="auto"/>
              <w:right w:val="nil"/>
            </w:tcBorders>
            <w:shd w:val="clear" w:color="000000" w:fill="FFFFFF"/>
            <w:noWrap/>
            <w:vAlign w:val="center"/>
            <w:hideMark/>
          </w:tcPr>
          <w:p w14:paraId="26F7CCC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$1.19</w:t>
            </w:r>
          </w:p>
        </w:tc>
        <w:tc>
          <w:tcPr>
            <w:tcW w:w="1417" w:type="dxa"/>
            <w:tcBorders>
              <w:top w:val="nil"/>
              <w:left w:val="nil"/>
              <w:bottom w:val="single" w:sz="8" w:space="0" w:color="auto"/>
              <w:right w:val="nil"/>
            </w:tcBorders>
            <w:shd w:val="clear" w:color="000000" w:fill="FFFFFF"/>
            <w:noWrap/>
            <w:vAlign w:val="center"/>
            <w:hideMark/>
          </w:tcPr>
          <w:p w14:paraId="0B77DC1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$0.90</w:t>
            </w:r>
          </w:p>
        </w:tc>
        <w:tc>
          <w:tcPr>
            <w:tcW w:w="1418" w:type="dxa"/>
            <w:tcBorders>
              <w:top w:val="nil"/>
              <w:left w:val="nil"/>
              <w:bottom w:val="single" w:sz="8" w:space="0" w:color="auto"/>
              <w:right w:val="nil"/>
            </w:tcBorders>
            <w:shd w:val="clear" w:color="000000" w:fill="FFFFFF"/>
            <w:noWrap/>
            <w:vAlign w:val="center"/>
            <w:hideMark/>
          </w:tcPr>
          <w:p w14:paraId="10422FA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$3.67</w:t>
            </w:r>
          </w:p>
        </w:tc>
        <w:tc>
          <w:tcPr>
            <w:tcW w:w="1315" w:type="dxa"/>
            <w:tcBorders>
              <w:top w:val="nil"/>
              <w:left w:val="nil"/>
              <w:bottom w:val="single" w:sz="8" w:space="0" w:color="auto"/>
              <w:right w:val="nil"/>
            </w:tcBorders>
            <w:shd w:val="clear" w:color="000000" w:fill="FFFFFF"/>
            <w:noWrap/>
            <w:vAlign w:val="center"/>
            <w:hideMark/>
          </w:tcPr>
          <w:p w14:paraId="5629D07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$1.11</w:t>
            </w:r>
          </w:p>
        </w:tc>
      </w:tr>
      <w:tr w:rsidR="00D24563" w:rsidRPr="00D24563" w14:paraId="6DC7B3BC"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704289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Capital grants (Australian Government and state)</w:t>
            </w:r>
          </w:p>
        </w:tc>
        <w:tc>
          <w:tcPr>
            <w:tcW w:w="1418" w:type="dxa"/>
            <w:tcBorders>
              <w:top w:val="nil"/>
              <w:left w:val="nil"/>
              <w:bottom w:val="single" w:sz="8" w:space="0" w:color="auto"/>
              <w:right w:val="nil"/>
            </w:tcBorders>
            <w:shd w:val="clear" w:color="000000" w:fill="FFFFFF"/>
            <w:noWrap/>
            <w:vAlign w:val="center"/>
            <w:hideMark/>
          </w:tcPr>
          <w:p w14:paraId="5596B99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$0.63</w:t>
            </w:r>
          </w:p>
        </w:tc>
        <w:tc>
          <w:tcPr>
            <w:tcW w:w="1417" w:type="dxa"/>
            <w:tcBorders>
              <w:top w:val="nil"/>
              <w:left w:val="nil"/>
              <w:bottom w:val="single" w:sz="8" w:space="0" w:color="auto"/>
              <w:right w:val="nil"/>
            </w:tcBorders>
            <w:shd w:val="clear" w:color="000000" w:fill="FFFFFF"/>
            <w:noWrap/>
            <w:vAlign w:val="center"/>
            <w:hideMark/>
          </w:tcPr>
          <w:p w14:paraId="125ADCA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$2.41</w:t>
            </w:r>
          </w:p>
        </w:tc>
        <w:tc>
          <w:tcPr>
            <w:tcW w:w="1418" w:type="dxa"/>
            <w:tcBorders>
              <w:top w:val="nil"/>
              <w:left w:val="nil"/>
              <w:bottom w:val="single" w:sz="8" w:space="0" w:color="auto"/>
              <w:right w:val="nil"/>
            </w:tcBorders>
            <w:shd w:val="clear" w:color="000000" w:fill="FFFFFF"/>
            <w:noWrap/>
            <w:vAlign w:val="center"/>
            <w:hideMark/>
          </w:tcPr>
          <w:p w14:paraId="42CFC3B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$1.23</w:t>
            </w:r>
          </w:p>
        </w:tc>
        <w:tc>
          <w:tcPr>
            <w:tcW w:w="1315" w:type="dxa"/>
            <w:tcBorders>
              <w:top w:val="nil"/>
              <w:left w:val="nil"/>
              <w:bottom w:val="single" w:sz="8" w:space="0" w:color="auto"/>
              <w:right w:val="nil"/>
            </w:tcBorders>
            <w:shd w:val="clear" w:color="000000" w:fill="FFFFFF"/>
            <w:noWrap/>
            <w:vAlign w:val="center"/>
            <w:hideMark/>
          </w:tcPr>
          <w:p w14:paraId="3795180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$1.66</w:t>
            </w:r>
          </w:p>
        </w:tc>
      </w:tr>
      <w:tr w:rsidR="00D24563" w:rsidRPr="00D24563" w14:paraId="02A5E336"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2147226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Reversal of prior period impairment</w:t>
            </w:r>
          </w:p>
        </w:tc>
        <w:tc>
          <w:tcPr>
            <w:tcW w:w="1418" w:type="dxa"/>
            <w:tcBorders>
              <w:top w:val="nil"/>
              <w:left w:val="nil"/>
              <w:bottom w:val="single" w:sz="8" w:space="0" w:color="auto"/>
              <w:right w:val="nil"/>
            </w:tcBorders>
            <w:shd w:val="clear" w:color="000000" w:fill="FFFFFF"/>
            <w:noWrap/>
            <w:vAlign w:val="center"/>
            <w:hideMark/>
          </w:tcPr>
          <w:p w14:paraId="410024B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7" w:type="dxa"/>
            <w:tcBorders>
              <w:top w:val="nil"/>
              <w:left w:val="nil"/>
              <w:bottom w:val="single" w:sz="8" w:space="0" w:color="auto"/>
              <w:right w:val="nil"/>
            </w:tcBorders>
            <w:shd w:val="clear" w:color="000000" w:fill="FFFFFF"/>
            <w:noWrap/>
            <w:vAlign w:val="center"/>
            <w:hideMark/>
          </w:tcPr>
          <w:p w14:paraId="3D8E0D2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8" w:type="dxa"/>
            <w:tcBorders>
              <w:top w:val="nil"/>
              <w:left w:val="nil"/>
              <w:bottom w:val="single" w:sz="8" w:space="0" w:color="auto"/>
              <w:right w:val="nil"/>
            </w:tcBorders>
            <w:shd w:val="clear" w:color="000000" w:fill="FFFFFF"/>
            <w:noWrap/>
            <w:vAlign w:val="center"/>
            <w:hideMark/>
          </w:tcPr>
          <w:p w14:paraId="0D9C38C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3D3A5A4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r>
      <w:tr w:rsidR="00D24563" w:rsidRPr="00D24563" w14:paraId="480B298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10A2F7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Realised gains on disposal of assets</w:t>
            </w:r>
          </w:p>
        </w:tc>
        <w:tc>
          <w:tcPr>
            <w:tcW w:w="1418" w:type="dxa"/>
            <w:tcBorders>
              <w:top w:val="nil"/>
              <w:left w:val="nil"/>
              <w:bottom w:val="single" w:sz="8" w:space="0" w:color="auto"/>
              <w:right w:val="nil"/>
            </w:tcBorders>
            <w:shd w:val="clear" w:color="000000" w:fill="FFFFFF"/>
            <w:noWrap/>
            <w:vAlign w:val="center"/>
            <w:hideMark/>
          </w:tcPr>
          <w:p w14:paraId="6ECAA49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$0.29</w:t>
            </w:r>
          </w:p>
        </w:tc>
        <w:tc>
          <w:tcPr>
            <w:tcW w:w="1417" w:type="dxa"/>
            <w:tcBorders>
              <w:top w:val="nil"/>
              <w:left w:val="nil"/>
              <w:bottom w:val="single" w:sz="8" w:space="0" w:color="auto"/>
              <w:right w:val="nil"/>
            </w:tcBorders>
            <w:shd w:val="clear" w:color="000000" w:fill="FFFFFF"/>
            <w:noWrap/>
            <w:vAlign w:val="center"/>
            <w:hideMark/>
          </w:tcPr>
          <w:p w14:paraId="6F1941F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$0.28</w:t>
            </w:r>
          </w:p>
        </w:tc>
        <w:tc>
          <w:tcPr>
            <w:tcW w:w="1418" w:type="dxa"/>
            <w:tcBorders>
              <w:top w:val="nil"/>
              <w:left w:val="nil"/>
              <w:bottom w:val="single" w:sz="8" w:space="0" w:color="auto"/>
              <w:right w:val="nil"/>
            </w:tcBorders>
            <w:shd w:val="clear" w:color="000000" w:fill="FFFFFF"/>
            <w:noWrap/>
            <w:vAlign w:val="center"/>
            <w:hideMark/>
          </w:tcPr>
          <w:p w14:paraId="3703BBF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254E4DC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$0.27</w:t>
            </w:r>
          </w:p>
        </w:tc>
      </w:tr>
      <w:tr w:rsidR="00D24563" w:rsidRPr="00D24563" w14:paraId="49ED197E"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F45168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Effect of adoption of AASB 16 leases - RADs only</w:t>
            </w:r>
          </w:p>
        </w:tc>
        <w:tc>
          <w:tcPr>
            <w:tcW w:w="1418" w:type="dxa"/>
            <w:tcBorders>
              <w:top w:val="nil"/>
              <w:left w:val="nil"/>
              <w:bottom w:val="single" w:sz="8" w:space="0" w:color="auto"/>
              <w:right w:val="nil"/>
            </w:tcBorders>
            <w:shd w:val="clear" w:color="000000" w:fill="FFFFFF"/>
            <w:noWrap/>
            <w:vAlign w:val="center"/>
            <w:hideMark/>
          </w:tcPr>
          <w:p w14:paraId="487D335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$18.29</w:t>
            </w:r>
          </w:p>
        </w:tc>
        <w:tc>
          <w:tcPr>
            <w:tcW w:w="1417" w:type="dxa"/>
            <w:tcBorders>
              <w:top w:val="nil"/>
              <w:left w:val="nil"/>
              <w:bottom w:val="single" w:sz="8" w:space="0" w:color="auto"/>
              <w:right w:val="nil"/>
            </w:tcBorders>
            <w:shd w:val="clear" w:color="000000" w:fill="FFFFFF"/>
            <w:noWrap/>
            <w:vAlign w:val="center"/>
            <w:hideMark/>
          </w:tcPr>
          <w:p w14:paraId="06289B8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$8.48</w:t>
            </w:r>
          </w:p>
        </w:tc>
        <w:tc>
          <w:tcPr>
            <w:tcW w:w="1418" w:type="dxa"/>
            <w:tcBorders>
              <w:top w:val="nil"/>
              <w:left w:val="nil"/>
              <w:bottom w:val="single" w:sz="8" w:space="0" w:color="auto"/>
              <w:right w:val="nil"/>
            </w:tcBorders>
            <w:shd w:val="clear" w:color="000000" w:fill="FFFFFF"/>
            <w:noWrap/>
            <w:vAlign w:val="center"/>
            <w:hideMark/>
          </w:tcPr>
          <w:p w14:paraId="5EE45A7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$0.87</w:t>
            </w:r>
          </w:p>
        </w:tc>
        <w:tc>
          <w:tcPr>
            <w:tcW w:w="1315" w:type="dxa"/>
            <w:tcBorders>
              <w:top w:val="nil"/>
              <w:left w:val="nil"/>
              <w:bottom w:val="single" w:sz="8" w:space="0" w:color="auto"/>
              <w:right w:val="nil"/>
            </w:tcBorders>
            <w:shd w:val="clear" w:color="000000" w:fill="FFFFFF"/>
            <w:noWrap/>
            <w:vAlign w:val="center"/>
            <w:hideMark/>
          </w:tcPr>
          <w:p w14:paraId="796F9D2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$12.09</w:t>
            </w:r>
          </w:p>
        </w:tc>
      </w:tr>
      <w:tr w:rsidR="00D24563" w:rsidRPr="00D24563" w14:paraId="41236E49"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7F7CA5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non-recurrent income</w:t>
            </w:r>
          </w:p>
        </w:tc>
        <w:tc>
          <w:tcPr>
            <w:tcW w:w="1418" w:type="dxa"/>
            <w:tcBorders>
              <w:top w:val="nil"/>
              <w:left w:val="nil"/>
              <w:bottom w:val="single" w:sz="8" w:space="0" w:color="auto"/>
              <w:right w:val="nil"/>
            </w:tcBorders>
            <w:shd w:val="clear" w:color="000000" w:fill="FFFFFF"/>
            <w:noWrap/>
            <w:vAlign w:val="center"/>
            <w:hideMark/>
          </w:tcPr>
          <w:p w14:paraId="6819739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$3.33</w:t>
            </w:r>
          </w:p>
        </w:tc>
        <w:tc>
          <w:tcPr>
            <w:tcW w:w="1417" w:type="dxa"/>
            <w:tcBorders>
              <w:top w:val="nil"/>
              <w:left w:val="nil"/>
              <w:bottom w:val="single" w:sz="8" w:space="0" w:color="auto"/>
              <w:right w:val="nil"/>
            </w:tcBorders>
            <w:shd w:val="clear" w:color="000000" w:fill="FFFFFF"/>
            <w:noWrap/>
            <w:vAlign w:val="center"/>
            <w:hideMark/>
          </w:tcPr>
          <w:p w14:paraId="3373825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$2.96</w:t>
            </w:r>
          </w:p>
        </w:tc>
        <w:tc>
          <w:tcPr>
            <w:tcW w:w="1418" w:type="dxa"/>
            <w:tcBorders>
              <w:top w:val="nil"/>
              <w:left w:val="nil"/>
              <w:bottom w:val="single" w:sz="8" w:space="0" w:color="auto"/>
              <w:right w:val="nil"/>
            </w:tcBorders>
            <w:shd w:val="clear" w:color="000000" w:fill="FFFFFF"/>
            <w:noWrap/>
            <w:vAlign w:val="center"/>
            <w:hideMark/>
          </w:tcPr>
          <w:p w14:paraId="715BA5A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$9.42</w:t>
            </w:r>
          </w:p>
        </w:tc>
        <w:tc>
          <w:tcPr>
            <w:tcW w:w="1315" w:type="dxa"/>
            <w:tcBorders>
              <w:top w:val="nil"/>
              <w:left w:val="nil"/>
              <w:bottom w:val="single" w:sz="8" w:space="0" w:color="auto"/>
              <w:right w:val="nil"/>
            </w:tcBorders>
            <w:shd w:val="clear" w:color="000000" w:fill="FFFFFF"/>
            <w:noWrap/>
            <w:vAlign w:val="center"/>
            <w:hideMark/>
          </w:tcPr>
          <w:p w14:paraId="63EE1EE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$3.34</w:t>
            </w:r>
          </w:p>
        </w:tc>
      </w:tr>
      <w:tr w:rsidR="00D24563" w:rsidRPr="00D24563" w14:paraId="4B48E2B2"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074ACA7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non-recurrent income</w:t>
            </w:r>
          </w:p>
        </w:tc>
        <w:tc>
          <w:tcPr>
            <w:tcW w:w="1418" w:type="dxa"/>
            <w:tcBorders>
              <w:top w:val="nil"/>
              <w:left w:val="nil"/>
              <w:bottom w:val="single" w:sz="8" w:space="0" w:color="auto"/>
              <w:right w:val="nil"/>
            </w:tcBorders>
            <w:shd w:val="clear" w:color="000000" w:fill="D8DADA"/>
            <w:noWrap/>
            <w:vAlign w:val="center"/>
            <w:hideMark/>
          </w:tcPr>
          <w:p w14:paraId="5B4669A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$23.94</w:t>
            </w:r>
          </w:p>
        </w:tc>
        <w:tc>
          <w:tcPr>
            <w:tcW w:w="1417" w:type="dxa"/>
            <w:tcBorders>
              <w:top w:val="nil"/>
              <w:left w:val="nil"/>
              <w:bottom w:val="single" w:sz="8" w:space="0" w:color="auto"/>
              <w:right w:val="nil"/>
            </w:tcBorders>
            <w:shd w:val="clear" w:color="000000" w:fill="D8DADA"/>
            <w:noWrap/>
            <w:vAlign w:val="center"/>
            <w:hideMark/>
          </w:tcPr>
          <w:p w14:paraId="374F585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$16.68</w:t>
            </w:r>
          </w:p>
        </w:tc>
        <w:tc>
          <w:tcPr>
            <w:tcW w:w="1418" w:type="dxa"/>
            <w:tcBorders>
              <w:top w:val="nil"/>
              <w:left w:val="nil"/>
              <w:bottom w:val="single" w:sz="8" w:space="0" w:color="auto"/>
              <w:right w:val="nil"/>
            </w:tcBorders>
            <w:shd w:val="clear" w:color="000000" w:fill="D8DADA"/>
            <w:noWrap/>
            <w:vAlign w:val="center"/>
            <w:hideMark/>
          </w:tcPr>
          <w:p w14:paraId="79FD28C4"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$15.48</w:t>
            </w:r>
          </w:p>
        </w:tc>
        <w:tc>
          <w:tcPr>
            <w:tcW w:w="1315" w:type="dxa"/>
            <w:tcBorders>
              <w:top w:val="nil"/>
              <w:left w:val="nil"/>
              <w:bottom w:val="single" w:sz="8" w:space="0" w:color="auto"/>
              <w:right w:val="nil"/>
            </w:tcBorders>
            <w:shd w:val="clear" w:color="000000" w:fill="D8DADA"/>
            <w:noWrap/>
            <w:vAlign w:val="center"/>
            <w:hideMark/>
          </w:tcPr>
          <w:p w14:paraId="0011F0A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$19.51</w:t>
            </w:r>
          </w:p>
        </w:tc>
      </w:tr>
      <w:tr w:rsidR="00D24563" w:rsidRPr="00D24563" w14:paraId="7ADED3D0"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462DA5D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income</w:t>
            </w:r>
          </w:p>
        </w:tc>
        <w:tc>
          <w:tcPr>
            <w:tcW w:w="1418" w:type="dxa"/>
            <w:tcBorders>
              <w:top w:val="nil"/>
              <w:left w:val="nil"/>
              <w:bottom w:val="single" w:sz="8" w:space="0" w:color="auto"/>
              <w:right w:val="nil"/>
            </w:tcBorders>
            <w:shd w:val="clear" w:color="000000" w:fill="D8DADA"/>
            <w:noWrap/>
            <w:vAlign w:val="center"/>
            <w:hideMark/>
          </w:tcPr>
          <w:p w14:paraId="603F6AF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$359.56</w:t>
            </w:r>
          </w:p>
        </w:tc>
        <w:tc>
          <w:tcPr>
            <w:tcW w:w="1417" w:type="dxa"/>
            <w:tcBorders>
              <w:top w:val="nil"/>
              <w:left w:val="nil"/>
              <w:bottom w:val="single" w:sz="8" w:space="0" w:color="auto"/>
              <w:right w:val="nil"/>
            </w:tcBorders>
            <w:shd w:val="clear" w:color="000000" w:fill="D8DADA"/>
            <w:noWrap/>
            <w:vAlign w:val="center"/>
            <w:hideMark/>
          </w:tcPr>
          <w:p w14:paraId="7BF855D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$343.56</w:t>
            </w:r>
          </w:p>
        </w:tc>
        <w:tc>
          <w:tcPr>
            <w:tcW w:w="1418" w:type="dxa"/>
            <w:tcBorders>
              <w:top w:val="nil"/>
              <w:left w:val="nil"/>
              <w:bottom w:val="single" w:sz="8" w:space="0" w:color="auto"/>
              <w:right w:val="nil"/>
            </w:tcBorders>
            <w:shd w:val="clear" w:color="000000" w:fill="D8DADA"/>
            <w:noWrap/>
            <w:vAlign w:val="center"/>
            <w:hideMark/>
          </w:tcPr>
          <w:p w14:paraId="0102AC9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$436.53</w:t>
            </w:r>
          </w:p>
        </w:tc>
        <w:tc>
          <w:tcPr>
            <w:tcW w:w="1315" w:type="dxa"/>
            <w:tcBorders>
              <w:top w:val="nil"/>
              <w:left w:val="nil"/>
              <w:bottom w:val="single" w:sz="8" w:space="0" w:color="auto"/>
              <w:right w:val="nil"/>
            </w:tcBorders>
            <w:shd w:val="clear" w:color="000000" w:fill="D8DADA"/>
            <w:noWrap/>
            <w:vAlign w:val="center"/>
            <w:hideMark/>
          </w:tcPr>
          <w:p w14:paraId="5EA4FF3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$353.17</w:t>
            </w:r>
          </w:p>
        </w:tc>
      </w:tr>
      <w:tr w:rsidR="00D24563" w:rsidRPr="00D24563" w14:paraId="39559B08"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170D62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Expense</w:t>
            </w:r>
          </w:p>
        </w:tc>
        <w:tc>
          <w:tcPr>
            <w:tcW w:w="1418" w:type="dxa"/>
            <w:tcBorders>
              <w:top w:val="nil"/>
              <w:left w:val="nil"/>
              <w:bottom w:val="single" w:sz="8" w:space="0" w:color="auto"/>
              <w:right w:val="nil"/>
            </w:tcBorders>
            <w:shd w:val="clear" w:color="000000" w:fill="D8DADA"/>
            <w:noWrap/>
            <w:vAlign w:val="center"/>
            <w:hideMark/>
          </w:tcPr>
          <w:p w14:paraId="70D3D50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09A159D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0E0092B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4708D80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3F35EC8D" w14:textId="77777777" w:rsidTr="00D24563">
        <w:trPr>
          <w:trHeight w:val="320"/>
        </w:trPr>
        <w:tc>
          <w:tcPr>
            <w:tcW w:w="3402" w:type="dxa"/>
            <w:tcBorders>
              <w:top w:val="nil"/>
              <w:left w:val="nil"/>
              <w:bottom w:val="single" w:sz="8" w:space="0" w:color="auto"/>
              <w:right w:val="nil"/>
            </w:tcBorders>
            <w:shd w:val="clear" w:color="auto" w:fill="auto"/>
            <w:vAlign w:val="center"/>
            <w:hideMark/>
          </w:tcPr>
          <w:p w14:paraId="242944BF" w14:textId="77777777" w:rsidR="00D24563" w:rsidRPr="00D24563" w:rsidRDefault="00D24563" w:rsidP="00D24563">
            <w:pPr>
              <w:spacing w:before="0" w:after="0" w:line="240" w:lineRule="auto"/>
              <w:rPr>
                <w:rFonts w:cs="Arial"/>
                <w:b/>
                <w:i/>
                <w:iCs/>
                <w:color w:val="1E1545"/>
                <w:sz w:val="21"/>
                <w:szCs w:val="21"/>
                <w:lang w:eastAsia="en-AU"/>
              </w:rPr>
            </w:pPr>
            <w:r w:rsidRPr="00D24563">
              <w:rPr>
                <w:rFonts w:cs="Arial"/>
                <w:b/>
                <w:i/>
                <w:iCs/>
                <w:color w:val="1E1545"/>
                <w:sz w:val="21"/>
                <w:szCs w:val="21"/>
                <w:lang w:eastAsia="en-AU"/>
              </w:rPr>
              <w:t>Care expenses</w:t>
            </w:r>
          </w:p>
        </w:tc>
        <w:tc>
          <w:tcPr>
            <w:tcW w:w="1418" w:type="dxa"/>
            <w:tcBorders>
              <w:top w:val="nil"/>
              <w:left w:val="nil"/>
              <w:bottom w:val="single" w:sz="8" w:space="0" w:color="auto"/>
              <w:right w:val="nil"/>
            </w:tcBorders>
            <w:shd w:val="clear" w:color="000000" w:fill="FFFFFF"/>
            <w:noWrap/>
            <w:vAlign w:val="center"/>
            <w:hideMark/>
          </w:tcPr>
          <w:p w14:paraId="5E3F07C3" w14:textId="77777777" w:rsidR="00D24563" w:rsidRPr="00D24563" w:rsidRDefault="00D24563" w:rsidP="00D24563">
            <w:pPr>
              <w:spacing w:before="0" w:after="0" w:line="240" w:lineRule="auto"/>
              <w:rPr>
                <w:rFonts w:cs="Arial"/>
                <w:b/>
                <w:i/>
                <w:iCs/>
                <w:color w:val="1E1545"/>
                <w:sz w:val="21"/>
                <w:szCs w:val="21"/>
                <w:lang w:eastAsia="en-AU"/>
              </w:rPr>
            </w:pPr>
            <w:r w:rsidRPr="00D24563">
              <w:rPr>
                <w:rFonts w:cs="Arial"/>
                <w:b/>
                <w:i/>
                <w:iCs/>
                <w:color w:val="1E1545"/>
                <w:sz w:val="21"/>
                <w:szCs w:val="21"/>
                <w:lang w:eastAsia="en-AU"/>
              </w:rPr>
              <w:t> </w:t>
            </w:r>
          </w:p>
        </w:tc>
        <w:tc>
          <w:tcPr>
            <w:tcW w:w="1417" w:type="dxa"/>
            <w:tcBorders>
              <w:top w:val="nil"/>
              <w:left w:val="nil"/>
              <w:bottom w:val="single" w:sz="8" w:space="0" w:color="auto"/>
              <w:right w:val="nil"/>
            </w:tcBorders>
            <w:shd w:val="clear" w:color="000000" w:fill="FFFFFF"/>
            <w:noWrap/>
            <w:vAlign w:val="center"/>
            <w:hideMark/>
          </w:tcPr>
          <w:p w14:paraId="33199C68" w14:textId="77777777" w:rsidR="00D24563" w:rsidRPr="00D24563" w:rsidRDefault="00D24563" w:rsidP="00D24563">
            <w:pPr>
              <w:spacing w:before="0" w:after="0" w:line="240" w:lineRule="auto"/>
              <w:rPr>
                <w:rFonts w:cs="Arial"/>
                <w:b/>
                <w:i/>
                <w:iCs/>
                <w:color w:val="1E1545"/>
                <w:sz w:val="21"/>
                <w:szCs w:val="21"/>
                <w:lang w:eastAsia="en-AU"/>
              </w:rPr>
            </w:pPr>
            <w:r w:rsidRPr="00D24563">
              <w:rPr>
                <w:rFonts w:cs="Arial"/>
                <w:b/>
                <w:i/>
                <w:iCs/>
                <w:color w:val="1E1545"/>
                <w:sz w:val="21"/>
                <w:szCs w:val="21"/>
                <w:lang w:eastAsia="en-AU"/>
              </w:rPr>
              <w:t> </w:t>
            </w:r>
          </w:p>
        </w:tc>
        <w:tc>
          <w:tcPr>
            <w:tcW w:w="1418" w:type="dxa"/>
            <w:tcBorders>
              <w:top w:val="nil"/>
              <w:left w:val="nil"/>
              <w:bottom w:val="single" w:sz="8" w:space="0" w:color="auto"/>
              <w:right w:val="nil"/>
            </w:tcBorders>
            <w:shd w:val="clear" w:color="000000" w:fill="FFFFFF"/>
            <w:noWrap/>
            <w:vAlign w:val="center"/>
            <w:hideMark/>
          </w:tcPr>
          <w:p w14:paraId="78921014" w14:textId="77777777" w:rsidR="00D24563" w:rsidRPr="00D24563" w:rsidRDefault="00D24563" w:rsidP="00D24563">
            <w:pPr>
              <w:spacing w:before="0" w:after="0" w:line="240" w:lineRule="auto"/>
              <w:rPr>
                <w:rFonts w:cs="Arial"/>
                <w:b/>
                <w:i/>
                <w:iCs/>
                <w:color w:val="1E1545"/>
                <w:sz w:val="21"/>
                <w:szCs w:val="21"/>
                <w:lang w:eastAsia="en-AU"/>
              </w:rPr>
            </w:pPr>
            <w:r w:rsidRPr="00D24563">
              <w:rPr>
                <w:rFonts w:cs="Arial"/>
                <w:b/>
                <w:i/>
                <w:iCs/>
                <w:color w:val="1E1545"/>
                <w:sz w:val="21"/>
                <w:szCs w:val="21"/>
                <w:lang w:eastAsia="en-AU"/>
              </w:rPr>
              <w:t> </w:t>
            </w:r>
          </w:p>
        </w:tc>
        <w:tc>
          <w:tcPr>
            <w:tcW w:w="1315" w:type="dxa"/>
            <w:tcBorders>
              <w:top w:val="nil"/>
              <w:left w:val="nil"/>
              <w:bottom w:val="single" w:sz="8" w:space="0" w:color="auto"/>
              <w:right w:val="nil"/>
            </w:tcBorders>
            <w:shd w:val="clear" w:color="000000" w:fill="FFFFFF"/>
            <w:noWrap/>
            <w:vAlign w:val="center"/>
            <w:hideMark/>
          </w:tcPr>
          <w:p w14:paraId="167FC85A" w14:textId="77777777" w:rsidR="00D24563" w:rsidRPr="00D24563" w:rsidRDefault="00D24563" w:rsidP="00D24563">
            <w:pPr>
              <w:spacing w:before="0" w:after="0" w:line="240" w:lineRule="auto"/>
              <w:rPr>
                <w:rFonts w:cs="Arial"/>
                <w:b/>
                <w:i/>
                <w:iCs/>
                <w:color w:val="1E1545"/>
                <w:sz w:val="21"/>
                <w:szCs w:val="21"/>
                <w:lang w:eastAsia="en-AU"/>
              </w:rPr>
            </w:pPr>
            <w:r w:rsidRPr="00D24563">
              <w:rPr>
                <w:rFonts w:cs="Arial"/>
                <w:b/>
                <w:i/>
                <w:iCs/>
                <w:color w:val="1E1545"/>
                <w:sz w:val="21"/>
                <w:szCs w:val="21"/>
                <w:lang w:eastAsia="en-AU"/>
              </w:rPr>
              <w:t> </w:t>
            </w:r>
          </w:p>
        </w:tc>
      </w:tr>
      <w:tr w:rsidR="00D24563" w:rsidRPr="00D24563" w14:paraId="3CA10E8E" w14:textId="77777777" w:rsidTr="00D24563">
        <w:trPr>
          <w:trHeight w:val="320"/>
        </w:trPr>
        <w:tc>
          <w:tcPr>
            <w:tcW w:w="3402" w:type="dxa"/>
            <w:tcBorders>
              <w:top w:val="nil"/>
              <w:left w:val="nil"/>
              <w:bottom w:val="single" w:sz="8" w:space="0" w:color="auto"/>
              <w:right w:val="nil"/>
            </w:tcBorders>
            <w:shd w:val="clear" w:color="auto" w:fill="auto"/>
            <w:vAlign w:val="center"/>
            <w:hideMark/>
          </w:tcPr>
          <w:p w14:paraId="12C0BE7C"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Employee labour costs</w:t>
            </w:r>
          </w:p>
        </w:tc>
        <w:tc>
          <w:tcPr>
            <w:tcW w:w="1418" w:type="dxa"/>
            <w:tcBorders>
              <w:top w:val="nil"/>
              <w:left w:val="nil"/>
              <w:bottom w:val="single" w:sz="8" w:space="0" w:color="auto"/>
              <w:right w:val="nil"/>
            </w:tcBorders>
            <w:shd w:val="clear" w:color="000000" w:fill="FFFFFF"/>
            <w:noWrap/>
            <w:vAlign w:val="center"/>
            <w:hideMark/>
          </w:tcPr>
          <w:p w14:paraId="075845A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417" w:type="dxa"/>
            <w:tcBorders>
              <w:top w:val="nil"/>
              <w:left w:val="nil"/>
              <w:bottom w:val="single" w:sz="8" w:space="0" w:color="auto"/>
              <w:right w:val="nil"/>
            </w:tcBorders>
            <w:shd w:val="clear" w:color="000000" w:fill="FFFFFF"/>
            <w:noWrap/>
            <w:vAlign w:val="center"/>
            <w:hideMark/>
          </w:tcPr>
          <w:p w14:paraId="60760B9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418" w:type="dxa"/>
            <w:tcBorders>
              <w:top w:val="nil"/>
              <w:left w:val="nil"/>
              <w:bottom w:val="single" w:sz="8" w:space="0" w:color="auto"/>
              <w:right w:val="nil"/>
            </w:tcBorders>
            <w:shd w:val="clear" w:color="000000" w:fill="FFFFFF"/>
            <w:noWrap/>
            <w:vAlign w:val="center"/>
            <w:hideMark/>
          </w:tcPr>
          <w:p w14:paraId="2BA852F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315" w:type="dxa"/>
            <w:tcBorders>
              <w:top w:val="nil"/>
              <w:left w:val="nil"/>
              <w:bottom w:val="single" w:sz="8" w:space="0" w:color="auto"/>
              <w:right w:val="nil"/>
            </w:tcBorders>
            <w:shd w:val="clear" w:color="000000" w:fill="FFFFFF"/>
            <w:noWrap/>
            <w:vAlign w:val="center"/>
            <w:hideMark/>
          </w:tcPr>
          <w:p w14:paraId="73847C4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40F657D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9B8382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Registered nurses</w:t>
            </w:r>
          </w:p>
        </w:tc>
        <w:tc>
          <w:tcPr>
            <w:tcW w:w="1418" w:type="dxa"/>
            <w:tcBorders>
              <w:top w:val="nil"/>
              <w:left w:val="nil"/>
              <w:bottom w:val="single" w:sz="8" w:space="0" w:color="auto"/>
              <w:right w:val="nil"/>
            </w:tcBorders>
            <w:shd w:val="clear" w:color="000000" w:fill="FFFFFF"/>
            <w:noWrap/>
            <w:vAlign w:val="center"/>
            <w:hideMark/>
          </w:tcPr>
          <w:p w14:paraId="7B4FE0F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$35.49</w:t>
            </w:r>
          </w:p>
        </w:tc>
        <w:tc>
          <w:tcPr>
            <w:tcW w:w="1417" w:type="dxa"/>
            <w:tcBorders>
              <w:top w:val="nil"/>
              <w:left w:val="nil"/>
              <w:bottom w:val="single" w:sz="8" w:space="0" w:color="auto"/>
              <w:right w:val="nil"/>
            </w:tcBorders>
            <w:shd w:val="clear" w:color="000000" w:fill="FFFFFF"/>
            <w:noWrap/>
            <w:vAlign w:val="center"/>
            <w:hideMark/>
          </w:tcPr>
          <w:p w14:paraId="4276AD5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$34.57</w:t>
            </w:r>
          </w:p>
        </w:tc>
        <w:tc>
          <w:tcPr>
            <w:tcW w:w="1418" w:type="dxa"/>
            <w:tcBorders>
              <w:top w:val="nil"/>
              <w:left w:val="nil"/>
              <w:bottom w:val="single" w:sz="8" w:space="0" w:color="auto"/>
              <w:right w:val="nil"/>
            </w:tcBorders>
            <w:shd w:val="clear" w:color="000000" w:fill="FFFFFF"/>
            <w:noWrap/>
            <w:vAlign w:val="center"/>
            <w:hideMark/>
          </w:tcPr>
          <w:p w14:paraId="5DE59AD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$80.11</w:t>
            </w:r>
          </w:p>
        </w:tc>
        <w:tc>
          <w:tcPr>
            <w:tcW w:w="1315" w:type="dxa"/>
            <w:tcBorders>
              <w:top w:val="nil"/>
              <w:left w:val="nil"/>
              <w:bottom w:val="single" w:sz="8" w:space="0" w:color="auto"/>
              <w:right w:val="nil"/>
            </w:tcBorders>
            <w:shd w:val="clear" w:color="000000" w:fill="FFFFFF"/>
            <w:noWrap/>
            <w:vAlign w:val="center"/>
            <w:hideMark/>
          </w:tcPr>
          <w:p w14:paraId="4C71B33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$36.54</w:t>
            </w:r>
          </w:p>
        </w:tc>
      </w:tr>
      <w:tr w:rsidR="00D24563" w:rsidRPr="00D24563" w14:paraId="408FB013"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4595D3A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Enrolled and licensed nurses (registered with the NMBA) </w:t>
            </w:r>
          </w:p>
        </w:tc>
        <w:tc>
          <w:tcPr>
            <w:tcW w:w="1418" w:type="dxa"/>
            <w:tcBorders>
              <w:top w:val="nil"/>
              <w:left w:val="nil"/>
              <w:bottom w:val="single" w:sz="8" w:space="0" w:color="auto"/>
              <w:right w:val="nil"/>
            </w:tcBorders>
            <w:shd w:val="clear" w:color="000000" w:fill="FFFFFF"/>
            <w:noWrap/>
            <w:vAlign w:val="center"/>
            <w:hideMark/>
          </w:tcPr>
          <w:p w14:paraId="1FE4F4F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$8.70</w:t>
            </w:r>
          </w:p>
        </w:tc>
        <w:tc>
          <w:tcPr>
            <w:tcW w:w="1417" w:type="dxa"/>
            <w:tcBorders>
              <w:top w:val="nil"/>
              <w:left w:val="nil"/>
              <w:bottom w:val="single" w:sz="8" w:space="0" w:color="auto"/>
              <w:right w:val="nil"/>
            </w:tcBorders>
            <w:shd w:val="clear" w:color="000000" w:fill="FFFFFF"/>
            <w:noWrap/>
            <w:vAlign w:val="center"/>
            <w:hideMark/>
          </w:tcPr>
          <w:p w14:paraId="2D95D4D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$10.24</w:t>
            </w:r>
          </w:p>
        </w:tc>
        <w:tc>
          <w:tcPr>
            <w:tcW w:w="1418" w:type="dxa"/>
            <w:tcBorders>
              <w:top w:val="nil"/>
              <w:left w:val="nil"/>
              <w:bottom w:val="single" w:sz="8" w:space="0" w:color="auto"/>
              <w:right w:val="nil"/>
            </w:tcBorders>
            <w:shd w:val="clear" w:color="000000" w:fill="FFFFFF"/>
            <w:noWrap/>
            <w:vAlign w:val="center"/>
            <w:hideMark/>
          </w:tcPr>
          <w:p w14:paraId="6813D9C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$84.33</w:t>
            </w:r>
          </w:p>
        </w:tc>
        <w:tc>
          <w:tcPr>
            <w:tcW w:w="1315" w:type="dxa"/>
            <w:tcBorders>
              <w:top w:val="nil"/>
              <w:left w:val="nil"/>
              <w:bottom w:val="single" w:sz="8" w:space="0" w:color="auto"/>
              <w:right w:val="nil"/>
            </w:tcBorders>
            <w:shd w:val="clear" w:color="000000" w:fill="FFFFFF"/>
            <w:noWrap/>
            <w:vAlign w:val="center"/>
            <w:hideMark/>
          </w:tcPr>
          <w:p w14:paraId="5C97A48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$12.24</w:t>
            </w:r>
          </w:p>
        </w:tc>
      </w:tr>
      <w:tr w:rsidR="00D24563" w:rsidRPr="00D24563" w14:paraId="30443525"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362AB5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Personal care staff / assistants in nursing</w:t>
            </w:r>
          </w:p>
        </w:tc>
        <w:tc>
          <w:tcPr>
            <w:tcW w:w="1418" w:type="dxa"/>
            <w:tcBorders>
              <w:top w:val="nil"/>
              <w:left w:val="nil"/>
              <w:bottom w:val="single" w:sz="8" w:space="0" w:color="auto"/>
              <w:right w:val="nil"/>
            </w:tcBorders>
            <w:shd w:val="clear" w:color="000000" w:fill="FFFFFF"/>
            <w:noWrap/>
            <w:vAlign w:val="center"/>
            <w:hideMark/>
          </w:tcPr>
          <w:p w14:paraId="5B54B5D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$91.17</w:t>
            </w:r>
          </w:p>
        </w:tc>
        <w:tc>
          <w:tcPr>
            <w:tcW w:w="1417" w:type="dxa"/>
            <w:tcBorders>
              <w:top w:val="nil"/>
              <w:left w:val="nil"/>
              <w:bottom w:val="single" w:sz="8" w:space="0" w:color="auto"/>
              <w:right w:val="nil"/>
            </w:tcBorders>
            <w:shd w:val="clear" w:color="000000" w:fill="FFFFFF"/>
            <w:noWrap/>
            <w:vAlign w:val="center"/>
            <w:hideMark/>
          </w:tcPr>
          <w:p w14:paraId="5BD02B7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$97.14</w:t>
            </w:r>
          </w:p>
        </w:tc>
        <w:tc>
          <w:tcPr>
            <w:tcW w:w="1418" w:type="dxa"/>
            <w:tcBorders>
              <w:top w:val="nil"/>
              <w:left w:val="nil"/>
              <w:bottom w:val="single" w:sz="8" w:space="0" w:color="auto"/>
              <w:right w:val="nil"/>
            </w:tcBorders>
            <w:shd w:val="clear" w:color="000000" w:fill="FFFFFF"/>
            <w:noWrap/>
            <w:vAlign w:val="center"/>
            <w:hideMark/>
          </w:tcPr>
          <w:p w14:paraId="5C20E0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$68.44</w:t>
            </w:r>
          </w:p>
        </w:tc>
        <w:tc>
          <w:tcPr>
            <w:tcW w:w="1315" w:type="dxa"/>
            <w:tcBorders>
              <w:top w:val="nil"/>
              <w:left w:val="nil"/>
              <w:bottom w:val="single" w:sz="8" w:space="0" w:color="auto"/>
              <w:right w:val="nil"/>
            </w:tcBorders>
            <w:shd w:val="clear" w:color="000000" w:fill="FFFFFF"/>
            <w:noWrap/>
            <w:vAlign w:val="center"/>
            <w:hideMark/>
          </w:tcPr>
          <w:p w14:paraId="74565D3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$93.77</w:t>
            </w:r>
          </w:p>
        </w:tc>
      </w:tr>
      <w:tr w:rsidR="00D24563" w:rsidRPr="00D24563" w14:paraId="4EF5871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3B79EA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Care management staff</w:t>
            </w:r>
          </w:p>
        </w:tc>
        <w:tc>
          <w:tcPr>
            <w:tcW w:w="1418" w:type="dxa"/>
            <w:tcBorders>
              <w:top w:val="nil"/>
              <w:left w:val="nil"/>
              <w:bottom w:val="single" w:sz="8" w:space="0" w:color="auto"/>
              <w:right w:val="nil"/>
            </w:tcBorders>
            <w:shd w:val="clear" w:color="000000" w:fill="FFFFFF"/>
            <w:noWrap/>
            <w:vAlign w:val="center"/>
            <w:hideMark/>
          </w:tcPr>
          <w:p w14:paraId="764DB70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$5.09</w:t>
            </w:r>
          </w:p>
        </w:tc>
        <w:tc>
          <w:tcPr>
            <w:tcW w:w="1417" w:type="dxa"/>
            <w:tcBorders>
              <w:top w:val="nil"/>
              <w:left w:val="nil"/>
              <w:bottom w:val="single" w:sz="8" w:space="0" w:color="auto"/>
              <w:right w:val="nil"/>
            </w:tcBorders>
            <w:shd w:val="clear" w:color="000000" w:fill="FFFFFF"/>
            <w:noWrap/>
            <w:vAlign w:val="center"/>
            <w:hideMark/>
          </w:tcPr>
          <w:p w14:paraId="1E73128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$7.07</w:t>
            </w:r>
          </w:p>
        </w:tc>
        <w:tc>
          <w:tcPr>
            <w:tcW w:w="1418" w:type="dxa"/>
            <w:tcBorders>
              <w:top w:val="nil"/>
              <w:left w:val="nil"/>
              <w:bottom w:val="single" w:sz="8" w:space="0" w:color="auto"/>
              <w:right w:val="nil"/>
            </w:tcBorders>
            <w:shd w:val="clear" w:color="000000" w:fill="FFFFFF"/>
            <w:noWrap/>
            <w:vAlign w:val="center"/>
            <w:hideMark/>
          </w:tcPr>
          <w:p w14:paraId="3F9BC6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$17.73</w:t>
            </w:r>
          </w:p>
        </w:tc>
        <w:tc>
          <w:tcPr>
            <w:tcW w:w="1315" w:type="dxa"/>
            <w:tcBorders>
              <w:top w:val="nil"/>
              <w:left w:val="nil"/>
              <w:bottom w:val="single" w:sz="8" w:space="0" w:color="auto"/>
              <w:right w:val="nil"/>
            </w:tcBorders>
            <w:shd w:val="clear" w:color="000000" w:fill="FFFFFF"/>
            <w:noWrap/>
            <w:vAlign w:val="center"/>
            <w:hideMark/>
          </w:tcPr>
          <w:p w14:paraId="561717B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$6.66</w:t>
            </w:r>
          </w:p>
        </w:tc>
      </w:tr>
      <w:tr w:rsidR="00D24563" w:rsidRPr="00D24563" w14:paraId="561DB331"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C4C85BA"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Allied health </w:t>
            </w:r>
          </w:p>
        </w:tc>
        <w:tc>
          <w:tcPr>
            <w:tcW w:w="1418" w:type="dxa"/>
            <w:tcBorders>
              <w:top w:val="nil"/>
              <w:left w:val="nil"/>
              <w:bottom w:val="single" w:sz="8" w:space="0" w:color="auto"/>
              <w:right w:val="nil"/>
            </w:tcBorders>
            <w:shd w:val="clear" w:color="000000" w:fill="FFFFFF"/>
            <w:noWrap/>
            <w:vAlign w:val="center"/>
            <w:hideMark/>
          </w:tcPr>
          <w:p w14:paraId="5EB2FA8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$1.88</w:t>
            </w:r>
          </w:p>
        </w:tc>
        <w:tc>
          <w:tcPr>
            <w:tcW w:w="1417" w:type="dxa"/>
            <w:tcBorders>
              <w:top w:val="nil"/>
              <w:left w:val="nil"/>
              <w:bottom w:val="single" w:sz="8" w:space="0" w:color="auto"/>
              <w:right w:val="nil"/>
            </w:tcBorders>
            <w:shd w:val="clear" w:color="000000" w:fill="FFFFFF"/>
            <w:noWrap/>
            <w:vAlign w:val="center"/>
            <w:hideMark/>
          </w:tcPr>
          <w:p w14:paraId="1341CB3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$2.04</w:t>
            </w:r>
          </w:p>
        </w:tc>
        <w:tc>
          <w:tcPr>
            <w:tcW w:w="1418" w:type="dxa"/>
            <w:tcBorders>
              <w:top w:val="nil"/>
              <w:left w:val="nil"/>
              <w:bottom w:val="single" w:sz="8" w:space="0" w:color="auto"/>
              <w:right w:val="nil"/>
            </w:tcBorders>
            <w:shd w:val="clear" w:color="000000" w:fill="FFFFFF"/>
            <w:noWrap/>
            <w:vAlign w:val="center"/>
            <w:hideMark/>
          </w:tcPr>
          <w:p w14:paraId="5E1E8D7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$4.27</w:t>
            </w:r>
          </w:p>
        </w:tc>
        <w:tc>
          <w:tcPr>
            <w:tcW w:w="1315" w:type="dxa"/>
            <w:tcBorders>
              <w:top w:val="nil"/>
              <w:left w:val="nil"/>
              <w:bottom w:val="single" w:sz="8" w:space="0" w:color="auto"/>
              <w:right w:val="nil"/>
            </w:tcBorders>
            <w:shd w:val="clear" w:color="000000" w:fill="FFFFFF"/>
            <w:noWrap/>
            <w:vAlign w:val="center"/>
            <w:hideMark/>
          </w:tcPr>
          <w:p w14:paraId="55270CA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$2.05</w:t>
            </w:r>
          </w:p>
        </w:tc>
      </w:tr>
      <w:tr w:rsidR="00D24563" w:rsidRPr="00D24563" w14:paraId="6DC6859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4C704C0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Diversional therapy / lifestyle / recreation / activities officer</w:t>
            </w:r>
          </w:p>
        </w:tc>
        <w:tc>
          <w:tcPr>
            <w:tcW w:w="1418" w:type="dxa"/>
            <w:tcBorders>
              <w:top w:val="nil"/>
              <w:left w:val="nil"/>
              <w:bottom w:val="single" w:sz="8" w:space="0" w:color="auto"/>
              <w:right w:val="nil"/>
            </w:tcBorders>
            <w:shd w:val="clear" w:color="000000" w:fill="FFFFFF"/>
            <w:noWrap/>
            <w:vAlign w:val="center"/>
            <w:hideMark/>
          </w:tcPr>
          <w:p w14:paraId="0B223BC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$4.66</w:t>
            </w:r>
          </w:p>
        </w:tc>
        <w:tc>
          <w:tcPr>
            <w:tcW w:w="1417" w:type="dxa"/>
            <w:tcBorders>
              <w:top w:val="nil"/>
              <w:left w:val="nil"/>
              <w:bottom w:val="single" w:sz="8" w:space="0" w:color="auto"/>
              <w:right w:val="nil"/>
            </w:tcBorders>
            <w:shd w:val="clear" w:color="000000" w:fill="FFFFFF"/>
            <w:noWrap/>
            <w:vAlign w:val="center"/>
            <w:hideMark/>
          </w:tcPr>
          <w:p w14:paraId="3B5B3B5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$4.81</w:t>
            </w:r>
          </w:p>
        </w:tc>
        <w:tc>
          <w:tcPr>
            <w:tcW w:w="1418" w:type="dxa"/>
            <w:tcBorders>
              <w:top w:val="nil"/>
              <w:left w:val="nil"/>
              <w:bottom w:val="single" w:sz="8" w:space="0" w:color="auto"/>
              <w:right w:val="nil"/>
            </w:tcBorders>
            <w:shd w:val="clear" w:color="000000" w:fill="FFFFFF"/>
            <w:noWrap/>
            <w:vAlign w:val="center"/>
            <w:hideMark/>
          </w:tcPr>
          <w:p w14:paraId="35FF9B5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$8.25</w:t>
            </w:r>
          </w:p>
        </w:tc>
        <w:tc>
          <w:tcPr>
            <w:tcW w:w="1315" w:type="dxa"/>
            <w:tcBorders>
              <w:top w:val="nil"/>
              <w:left w:val="nil"/>
              <w:bottom w:val="single" w:sz="8" w:space="0" w:color="auto"/>
              <w:right w:val="nil"/>
            </w:tcBorders>
            <w:shd w:val="clear" w:color="000000" w:fill="FFFFFF"/>
            <w:noWrap/>
            <w:vAlign w:val="center"/>
            <w:hideMark/>
          </w:tcPr>
          <w:p w14:paraId="29F66D2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$4.87</w:t>
            </w:r>
          </w:p>
        </w:tc>
      </w:tr>
      <w:tr w:rsidR="00D24563" w:rsidRPr="00D24563" w14:paraId="0DDB446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400384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employee staff</w:t>
            </w:r>
          </w:p>
        </w:tc>
        <w:tc>
          <w:tcPr>
            <w:tcW w:w="1418" w:type="dxa"/>
            <w:tcBorders>
              <w:top w:val="nil"/>
              <w:left w:val="nil"/>
              <w:bottom w:val="single" w:sz="8" w:space="0" w:color="auto"/>
              <w:right w:val="nil"/>
            </w:tcBorders>
            <w:shd w:val="clear" w:color="000000" w:fill="FFFFFF"/>
            <w:noWrap/>
            <w:vAlign w:val="center"/>
            <w:hideMark/>
          </w:tcPr>
          <w:p w14:paraId="477B61F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7" w:type="dxa"/>
            <w:tcBorders>
              <w:top w:val="nil"/>
              <w:left w:val="nil"/>
              <w:bottom w:val="single" w:sz="8" w:space="0" w:color="auto"/>
              <w:right w:val="nil"/>
            </w:tcBorders>
            <w:shd w:val="clear" w:color="000000" w:fill="FFFFFF"/>
            <w:noWrap/>
            <w:vAlign w:val="center"/>
            <w:hideMark/>
          </w:tcPr>
          <w:p w14:paraId="6369414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8" w:type="dxa"/>
            <w:tcBorders>
              <w:top w:val="nil"/>
              <w:left w:val="nil"/>
              <w:bottom w:val="single" w:sz="8" w:space="0" w:color="auto"/>
              <w:right w:val="nil"/>
            </w:tcBorders>
            <w:shd w:val="clear" w:color="000000" w:fill="FFFFFF"/>
            <w:noWrap/>
            <w:vAlign w:val="center"/>
            <w:hideMark/>
          </w:tcPr>
          <w:p w14:paraId="57FA1BC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3107A89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r>
      <w:tr w:rsidR="00D24563" w:rsidRPr="00D24563" w14:paraId="1691AB47"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FDD03C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employee labour costs</w:t>
            </w:r>
          </w:p>
        </w:tc>
        <w:tc>
          <w:tcPr>
            <w:tcW w:w="1418" w:type="dxa"/>
            <w:tcBorders>
              <w:top w:val="nil"/>
              <w:left w:val="nil"/>
              <w:bottom w:val="single" w:sz="8" w:space="0" w:color="auto"/>
              <w:right w:val="nil"/>
            </w:tcBorders>
            <w:shd w:val="clear" w:color="000000" w:fill="D8DADA"/>
            <w:noWrap/>
            <w:vAlign w:val="center"/>
            <w:hideMark/>
          </w:tcPr>
          <w:p w14:paraId="4CE7D97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$146.99</w:t>
            </w:r>
          </w:p>
        </w:tc>
        <w:tc>
          <w:tcPr>
            <w:tcW w:w="1417" w:type="dxa"/>
            <w:tcBorders>
              <w:top w:val="nil"/>
              <w:left w:val="nil"/>
              <w:bottom w:val="single" w:sz="8" w:space="0" w:color="auto"/>
              <w:right w:val="nil"/>
            </w:tcBorders>
            <w:shd w:val="clear" w:color="000000" w:fill="D8DADA"/>
            <w:noWrap/>
            <w:vAlign w:val="center"/>
            <w:hideMark/>
          </w:tcPr>
          <w:p w14:paraId="758F8093"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$155.87</w:t>
            </w:r>
          </w:p>
        </w:tc>
        <w:tc>
          <w:tcPr>
            <w:tcW w:w="1418" w:type="dxa"/>
            <w:tcBorders>
              <w:top w:val="nil"/>
              <w:left w:val="nil"/>
              <w:bottom w:val="single" w:sz="8" w:space="0" w:color="auto"/>
              <w:right w:val="nil"/>
            </w:tcBorders>
            <w:shd w:val="clear" w:color="000000" w:fill="D8DADA"/>
            <w:noWrap/>
            <w:vAlign w:val="center"/>
            <w:hideMark/>
          </w:tcPr>
          <w:p w14:paraId="1D448463"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$263.13</w:t>
            </w:r>
          </w:p>
        </w:tc>
        <w:tc>
          <w:tcPr>
            <w:tcW w:w="1315" w:type="dxa"/>
            <w:tcBorders>
              <w:top w:val="nil"/>
              <w:left w:val="nil"/>
              <w:bottom w:val="single" w:sz="8" w:space="0" w:color="auto"/>
              <w:right w:val="nil"/>
            </w:tcBorders>
            <w:shd w:val="clear" w:color="000000" w:fill="D8DADA"/>
            <w:noWrap/>
            <w:vAlign w:val="center"/>
            <w:hideMark/>
          </w:tcPr>
          <w:p w14:paraId="68977C8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$156.14</w:t>
            </w:r>
          </w:p>
        </w:tc>
      </w:tr>
      <w:tr w:rsidR="00D24563" w:rsidRPr="00D24563" w14:paraId="7AD73B99"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6D6480E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Agency labour costs</w:t>
            </w:r>
          </w:p>
        </w:tc>
        <w:tc>
          <w:tcPr>
            <w:tcW w:w="1418" w:type="dxa"/>
            <w:tcBorders>
              <w:top w:val="nil"/>
              <w:left w:val="nil"/>
              <w:bottom w:val="single" w:sz="8" w:space="0" w:color="auto"/>
              <w:right w:val="nil"/>
            </w:tcBorders>
            <w:shd w:val="clear" w:color="000000" w:fill="D8DADA"/>
            <w:noWrap/>
            <w:vAlign w:val="center"/>
            <w:hideMark/>
          </w:tcPr>
          <w:p w14:paraId="43B2346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2690168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00BCEFB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6B46166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4D686C56"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E16467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Registered nurses</w:t>
            </w:r>
          </w:p>
        </w:tc>
        <w:tc>
          <w:tcPr>
            <w:tcW w:w="1418" w:type="dxa"/>
            <w:tcBorders>
              <w:top w:val="nil"/>
              <w:left w:val="nil"/>
              <w:bottom w:val="single" w:sz="8" w:space="0" w:color="auto"/>
              <w:right w:val="nil"/>
            </w:tcBorders>
            <w:shd w:val="clear" w:color="000000" w:fill="FFFFFF"/>
            <w:noWrap/>
            <w:vAlign w:val="center"/>
            <w:hideMark/>
          </w:tcPr>
          <w:p w14:paraId="2799C34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$3.24</w:t>
            </w:r>
          </w:p>
        </w:tc>
        <w:tc>
          <w:tcPr>
            <w:tcW w:w="1417" w:type="dxa"/>
            <w:tcBorders>
              <w:top w:val="nil"/>
              <w:left w:val="nil"/>
              <w:bottom w:val="single" w:sz="8" w:space="0" w:color="auto"/>
              <w:right w:val="nil"/>
            </w:tcBorders>
            <w:shd w:val="clear" w:color="000000" w:fill="FFFFFF"/>
            <w:noWrap/>
            <w:vAlign w:val="center"/>
            <w:hideMark/>
          </w:tcPr>
          <w:p w14:paraId="50E6682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$5.49</w:t>
            </w:r>
          </w:p>
        </w:tc>
        <w:tc>
          <w:tcPr>
            <w:tcW w:w="1418" w:type="dxa"/>
            <w:tcBorders>
              <w:top w:val="nil"/>
              <w:left w:val="nil"/>
              <w:bottom w:val="single" w:sz="8" w:space="0" w:color="auto"/>
              <w:right w:val="nil"/>
            </w:tcBorders>
            <w:shd w:val="clear" w:color="000000" w:fill="FFFFFF"/>
            <w:noWrap/>
            <w:vAlign w:val="center"/>
            <w:hideMark/>
          </w:tcPr>
          <w:p w14:paraId="323620F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$10.86</w:t>
            </w:r>
          </w:p>
        </w:tc>
        <w:tc>
          <w:tcPr>
            <w:tcW w:w="1315" w:type="dxa"/>
            <w:tcBorders>
              <w:top w:val="nil"/>
              <w:left w:val="nil"/>
              <w:bottom w:val="single" w:sz="8" w:space="0" w:color="auto"/>
              <w:right w:val="nil"/>
            </w:tcBorders>
            <w:shd w:val="clear" w:color="000000" w:fill="FFFFFF"/>
            <w:noWrap/>
            <w:vAlign w:val="center"/>
            <w:hideMark/>
          </w:tcPr>
          <w:p w14:paraId="619C8A0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$4.79</w:t>
            </w:r>
          </w:p>
        </w:tc>
      </w:tr>
      <w:tr w:rsidR="00D24563" w:rsidRPr="00D24563" w14:paraId="12D6C7DD"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A10FCC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Enrolled and licensed nurses (registered with the NMBA) </w:t>
            </w:r>
          </w:p>
        </w:tc>
        <w:tc>
          <w:tcPr>
            <w:tcW w:w="1418" w:type="dxa"/>
            <w:tcBorders>
              <w:top w:val="nil"/>
              <w:left w:val="nil"/>
              <w:bottom w:val="single" w:sz="8" w:space="0" w:color="auto"/>
              <w:right w:val="nil"/>
            </w:tcBorders>
            <w:shd w:val="clear" w:color="000000" w:fill="FFFFFF"/>
            <w:noWrap/>
            <w:vAlign w:val="center"/>
            <w:hideMark/>
          </w:tcPr>
          <w:p w14:paraId="38BD45F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$0.74</w:t>
            </w:r>
          </w:p>
        </w:tc>
        <w:tc>
          <w:tcPr>
            <w:tcW w:w="1417" w:type="dxa"/>
            <w:tcBorders>
              <w:top w:val="nil"/>
              <w:left w:val="nil"/>
              <w:bottom w:val="single" w:sz="8" w:space="0" w:color="auto"/>
              <w:right w:val="nil"/>
            </w:tcBorders>
            <w:shd w:val="clear" w:color="000000" w:fill="FFFFFF"/>
            <w:noWrap/>
            <w:vAlign w:val="center"/>
            <w:hideMark/>
          </w:tcPr>
          <w:p w14:paraId="5031E40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$1.09</w:t>
            </w:r>
          </w:p>
        </w:tc>
        <w:tc>
          <w:tcPr>
            <w:tcW w:w="1418" w:type="dxa"/>
            <w:tcBorders>
              <w:top w:val="nil"/>
              <w:left w:val="nil"/>
              <w:bottom w:val="single" w:sz="8" w:space="0" w:color="auto"/>
              <w:right w:val="nil"/>
            </w:tcBorders>
            <w:shd w:val="clear" w:color="000000" w:fill="FFFFFF"/>
            <w:noWrap/>
            <w:vAlign w:val="center"/>
            <w:hideMark/>
          </w:tcPr>
          <w:p w14:paraId="2504DAF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$3.42</w:t>
            </w:r>
          </w:p>
        </w:tc>
        <w:tc>
          <w:tcPr>
            <w:tcW w:w="1315" w:type="dxa"/>
            <w:tcBorders>
              <w:top w:val="nil"/>
              <w:left w:val="nil"/>
              <w:bottom w:val="single" w:sz="8" w:space="0" w:color="auto"/>
              <w:right w:val="nil"/>
            </w:tcBorders>
            <w:shd w:val="clear" w:color="000000" w:fill="FFFFFF"/>
            <w:noWrap/>
            <w:vAlign w:val="center"/>
            <w:hideMark/>
          </w:tcPr>
          <w:p w14:paraId="465054E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$1.03</w:t>
            </w:r>
          </w:p>
        </w:tc>
      </w:tr>
      <w:tr w:rsidR="00D24563" w:rsidRPr="00D24563" w14:paraId="6BDCE2EE"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4BE32DD"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Personal care staff / assistants in nursing</w:t>
            </w:r>
          </w:p>
        </w:tc>
        <w:tc>
          <w:tcPr>
            <w:tcW w:w="1418" w:type="dxa"/>
            <w:tcBorders>
              <w:top w:val="nil"/>
              <w:left w:val="nil"/>
              <w:bottom w:val="single" w:sz="8" w:space="0" w:color="auto"/>
              <w:right w:val="nil"/>
            </w:tcBorders>
            <w:shd w:val="clear" w:color="000000" w:fill="FFFFFF"/>
            <w:noWrap/>
            <w:vAlign w:val="center"/>
            <w:hideMark/>
          </w:tcPr>
          <w:p w14:paraId="1FB2305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$7.03</w:t>
            </w:r>
          </w:p>
        </w:tc>
        <w:tc>
          <w:tcPr>
            <w:tcW w:w="1417" w:type="dxa"/>
            <w:tcBorders>
              <w:top w:val="nil"/>
              <w:left w:val="nil"/>
              <w:bottom w:val="single" w:sz="8" w:space="0" w:color="auto"/>
              <w:right w:val="nil"/>
            </w:tcBorders>
            <w:shd w:val="clear" w:color="000000" w:fill="FFFFFF"/>
            <w:noWrap/>
            <w:vAlign w:val="center"/>
            <w:hideMark/>
          </w:tcPr>
          <w:p w14:paraId="11F61EB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$11.11</w:t>
            </w:r>
          </w:p>
        </w:tc>
        <w:tc>
          <w:tcPr>
            <w:tcW w:w="1418" w:type="dxa"/>
            <w:tcBorders>
              <w:top w:val="nil"/>
              <w:left w:val="nil"/>
              <w:bottom w:val="single" w:sz="8" w:space="0" w:color="auto"/>
              <w:right w:val="nil"/>
            </w:tcBorders>
            <w:shd w:val="clear" w:color="000000" w:fill="FFFFFF"/>
            <w:noWrap/>
            <w:vAlign w:val="center"/>
            <w:hideMark/>
          </w:tcPr>
          <w:p w14:paraId="2A058F3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$4.46</w:t>
            </w:r>
          </w:p>
        </w:tc>
        <w:tc>
          <w:tcPr>
            <w:tcW w:w="1315" w:type="dxa"/>
            <w:tcBorders>
              <w:top w:val="nil"/>
              <w:left w:val="nil"/>
              <w:bottom w:val="single" w:sz="8" w:space="0" w:color="auto"/>
              <w:right w:val="nil"/>
            </w:tcBorders>
            <w:shd w:val="clear" w:color="000000" w:fill="FFFFFF"/>
            <w:noWrap/>
            <w:vAlign w:val="center"/>
            <w:hideMark/>
          </w:tcPr>
          <w:p w14:paraId="32546CC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$9.26</w:t>
            </w:r>
          </w:p>
        </w:tc>
      </w:tr>
      <w:tr w:rsidR="00D24563" w:rsidRPr="00D24563" w14:paraId="2E33B921"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3FAB4D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Care management staff</w:t>
            </w:r>
          </w:p>
        </w:tc>
        <w:tc>
          <w:tcPr>
            <w:tcW w:w="1418" w:type="dxa"/>
            <w:tcBorders>
              <w:top w:val="nil"/>
              <w:left w:val="nil"/>
              <w:bottom w:val="single" w:sz="8" w:space="0" w:color="auto"/>
              <w:right w:val="nil"/>
            </w:tcBorders>
            <w:shd w:val="clear" w:color="000000" w:fill="FFFFFF"/>
            <w:noWrap/>
            <w:vAlign w:val="center"/>
            <w:hideMark/>
          </w:tcPr>
          <w:p w14:paraId="13F8FAB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417" w:type="dxa"/>
            <w:tcBorders>
              <w:top w:val="nil"/>
              <w:left w:val="nil"/>
              <w:bottom w:val="single" w:sz="8" w:space="0" w:color="auto"/>
              <w:right w:val="nil"/>
            </w:tcBorders>
            <w:shd w:val="clear" w:color="000000" w:fill="FFFFFF"/>
            <w:noWrap/>
            <w:vAlign w:val="center"/>
            <w:hideMark/>
          </w:tcPr>
          <w:p w14:paraId="51B7316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$0.09</w:t>
            </w:r>
          </w:p>
        </w:tc>
        <w:tc>
          <w:tcPr>
            <w:tcW w:w="1418" w:type="dxa"/>
            <w:tcBorders>
              <w:top w:val="nil"/>
              <w:left w:val="nil"/>
              <w:bottom w:val="single" w:sz="8" w:space="0" w:color="auto"/>
              <w:right w:val="nil"/>
            </w:tcBorders>
            <w:shd w:val="clear" w:color="000000" w:fill="FFFFFF"/>
            <w:noWrap/>
            <w:vAlign w:val="center"/>
            <w:hideMark/>
          </w:tcPr>
          <w:p w14:paraId="7BEFC82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$0.12</w:t>
            </w:r>
          </w:p>
        </w:tc>
        <w:tc>
          <w:tcPr>
            <w:tcW w:w="1315" w:type="dxa"/>
            <w:tcBorders>
              <w:top w:val="nil"/>
              <w:left w:val="nil"/>
              <w:bottom w:val="single" w:sz="8" w:space="0" w:color="auto"/>
              <w:right w:val="nil"/>
            </w:tcBorders>
            <w:shd w:val="clear" w:color="000000" w:fill="FFFFFF"/>
            <w:noWrap/>
            <w:vAlign w:val="center"/>
            <w:hideMark/>
          </w:tcPr>
          <w:p w14:paraId="38DDC0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$0.06</w:t>
            </w:r>
          </w:p>
        </w:tc>
      </w:tr>
      <w:tr w:rsidR="00D24563" w:rsidRPr="00D24563" w14:paraId="429F57D9"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151FC4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Allied health </w:t>
            </w:r>
          </w:p>
        </w:tc>
        <w:tc>
          <w:tcPr>
            <w:tcW w:w="1418" w:type="dxa"/>
            <w:tcBorders>
              <w:top w:val="nil"/>
              <w:left w:val="nil"/>
              <w:bottom w:val="single" w:sz="8" w:space="0" w:color="auto"/>
              <w:right w:val="nil"/>
            </w:tcBorders>
            <w:shd w:val="clear" w:color="000000" w:fill="FFFFFF"/>
            <w:noWrap/>
            <w:vAlign w:val="center"/>
            <w:hideMark/>
          </w:tcPr>
          <w:p w14:paraId="11473E9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$3.81</w:t>
            </w:r>
          </w:p>
        </w:tc>
        <w:tc>
          <w:tcPr>
            <w:tcW w:w="1417" w:type="dxa"/>
            <w:tcBorders>
              <w:top w:val="nil"/>
              <w:left w:val="nil"/>
              <w:bottom w:val="single" w:sz="8" w:space="0" w:color="auto"/>
              <w:right w:val="nil"/>
            </w:tcBorders>
            <w:shd w:val="clear" w:color="000000" w:fill="FFFFFF"/>
            <w:noWrap/>
            <w:vAlign w:val="center"/>
            <w:hideMark/>
          </w:tcPr>
          <w:p w14:paraId="75387BF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$4.84</w:t>
            </w:r>
          </w:p>
        </w:tc>
        <w:tc>
          <w:tcPr>
            <w:tcW w:w="1418" w:type="dxa"/>
            <w:tcBorders>
              <w:top w:val="nil"/>
              <w:left w:val="nil"/>
              <w:bottom w:val="single" w:sz="8" w:space="0" w:color="auto"/>
              <w:right w:val="nil"/>
            </w:tcBorders>
            <w:shd w:val="clear" w:color="000000" w:fill="FFFFFF"/>
            <w:noWrap/>
            <w:vAlign w:val="center"/>
            <w:hideMark/>
          </w:tcPr>
          <w:p w14:paraId="12F9C3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$3.05</w:t>
            </w:r>
          </w:p>
        </w:tc>
        <w:tc>
          <w:tcPr>
            <w:tcW w:w="1315" w:type="dxa"/>
            <w:tcBorders>
              <w:top w:val="nil"/>
              <w:left w:val="nil"/>
              <w:bottom w:val="single" w:sz="8" w:space="0" w:color="auto"/>
              <w:right w:val="nil"/>
            </w:tcBorders>
            <w:shd w:val="clear" w:color="000000" w:fill="FFFFFF"/>
            <w:noWrap/>
            <w:vAlign w:val="center"/>
            <w:hideMark/>
          </w:tcPr>
          <w:p w14:paraId="12C8F65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$4.37</w:t>
            </w:r>
          </w:p>
        </w:tc>
      </w:tr>
      <w:tr w:rsidR="00D24563" w:rsidRPr="00D24563" w14:paraId="2C037AA3"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5F9FD6A"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Diversional therapy / lifestyle / recreation / activities officer</w:t>
            </w:r>
          </w:p>
        </w:tc>
        <w:tc>
          <w:tcPr>
            <w:tcW w:w="1418" w:type="dxa"/>
            <w:tcBorders>
              <w:top w:val="nil"/>
              <w:left w:val="nil"/>
              <w:bottom w:val="single" w:sz="8" w:space="0" w:color="auto"/>
              <w:right w:val="nil"/>
            </w:tcBorders>
            <w:shd w:val="clear" w:color="000000" w:fill="FFFFFF"/>
            <w:noWrap/>
            <w:vAlign w:val="center"/>
            <w:hideMark/>
          </w:tcPr>
          <w:p w14:paraId="127BC6B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$0.07</w:t>
            </w:r>
          </w:p>
        </w:tc>
        <w:tc>
          <w:tcPr>
            <w:tcW w:w="1417" w:type="dxa"/>
            <w:tcBorders>
              <w:top w:val="nil"/>
              <w:left w:val="nil"/>
              <w:bottom w:val="single" w:sz="8" w:space="0" w:color="auto"/>
              <w:right w:val="nil"/>
            </w:tcBorders>
            <w:shd w:val="clear" w:color="000000" w:fill="FFFFFF"/>
            <w:noWrap/>
            <w:vAlign w:val="center"/>
            <w:hideMark/>
          </w:tcPr>
          <w:p w14:paraId="31823F7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418" w:type="dxa"/>
            <w:tcBorders>
              <w:top w:val="nil"/>
              <w:left w:val="nil"/>
              <w:bottom w:val="single" w:sz="8" w:space="0" w:color="auto"/>
              <w:right w:val="nil"/>
            </w:tcBorders>
            <w:shd w:val="clear" w:color="000000" w:fill="FFFFFF"/>
            <w:noWrap/>
            <w:vAlign w:val="center"/>
            <w:hideMark/>
          </w:tcPr>
          <w:p w14:paraId="6CC9261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315" w:type="dxa"/>
            <w:tcBorders>
              <w:top w:val="nil"/>
              <w:left w:val="nil"/>
              <w:bottom w:val="single" w:sz="8" w:space="0" w:color="auto"/>
              <w:right w:val="nil"/>
            </w:tcBorders>
            <w:shd w:val="clear" w:color="000000" w:fill="FFFFFF"/>
            <w:noWrap/>
            <w:vAlign w:val="center"/>
            <w:hideMark/>
          </w:tcPr>
          <w:p w14:paraId="7BC7689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r>
      <w:tr w:rsidR="00D24563" w:rsidRPr="00D24563" w14:paraId="02E25223"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C8491B7"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employee staff</w:t>
            </w:r>
          </w:p>
        </w:tc>
        <w:tc>
          <w:tcPr>
            <w:tcW w:w="1418" w:type="dxa"/>
            <w:tcBorders>
              <w:top w:val="nil"/>
              <w:left w:val="nil"/>
              <w:bottom w:val="single" w:sz="8" w:space="0" w:color="auto"/>
              <w:right w:val="nil"/>
            </w:tcBorders>
            <w:shd w:val="clear" w:color="000000" w:fill="FFFFFF"/>
            <w:noWrap/>
            <w:vAlign w:val="center"/>
            <w:hideMark/>
          </w:tcPr>
          <w:p w14:paraId="24D6CC6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7" w:type="dxa"/>
            <w:tcBorders>
              <w:top w:val="nil"/>
              <w:left w:val="nil"/>
              <w:bottom w:val="single" w:sz="8" w:space="0" w:color="auto"/>
              <w:right w:val="nil"/>
            </w:tcBorders>
            <w:shd w:val="clear" w:color="000000" w:fill="FFFFFF"/>
            <w:noWrap/>
            <w:vAlign w:val="center"/>
            <w:hideMark/>
          </w:tcPr>
          <w:p w14:paraId="5F6D859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8" w:type="dxa"/>
            <w:tcBorders>
              <w:top w:val="nil"/>
              <w:left w:val="nil"/>
              <w:bottom w:val="single" w:sz="8" w:space="0" w:color="auto"/>
              <w:right w:val="nil"/>
            </w:tcBorders>
            <w:shd w:val="clear" w:color="000000" w:fill="FFFFFF"/>
            <w:noWrap/>
            <w:vAlign w:val="center"/>
            <w:hideMark/>
          </w:tcPr>
          <w:p w14:paraId="07AA750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315772F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r>
      <w:tr w:rsidR="00D24563" w:rsidRPr="00D24563" w14:paraId="13DEA989"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3F75CB7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agency labour costs</w:t>
            </w:r>
          </w:p>
        </w:tc>
        <w:tc>
          <w:tcPr>
            <w:tcW w:w="1418" w:type="dxa"/>
            <w:tcBorders>
              <w:top w:val="nil"/>
              <w:left w:val="nil"/>
              <w:bottom w:val="single" w:sz="8" w:space="0" w:color="auto"/>
              <w:right w:val="nil"/>
            </w:tcBorders>
            <w:shd w:val="clear" w:color="000000" w:fill="D8DADA"/>
            <w:noWrap/>
            <w:vAlign w:val="center"/>
            <w:hideMark/>
          </w:tcPr>
          <w:p w14:paraId="250BDB18"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$14.92</w:t>
            </w:r>
          </w:p>
        </w:tc>
        <w:tc>
          <w:tcPr>
            <w:tcW w:w="1417" w:type="dxa"/>
            <w:tcBorders>
              <w:top w:val="nil"/>
              <w:left w:val="nil"/>
              <w:bottom w:val="single" w:sz="8" w:space="0" w:color="auto"/>
              <w:right w:val="nil"/>
            </w:tcBorders>
            <w:shd w:val="clear" w:color="000000" w:fill="D8DADA"/>
            <w:noWrap/>
            <w:vAlign w:val="center"/>
            <w:hideMark/>
          </w:tcPr>
          <w:p w14:paraId="52E0F50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$22.65</w:t>
            </w:r>
          </w:p>
        </w:tc>
        <w:tc>
          <w:tcPr>
            <w:tcW w:w="1418" w:type="dxa"/>
            <w:tcBorders>
              <w:top w:val="nil"/>
              <w:left w:val="nil"/>
              <w:bottom w:val="single" w:sz="8" w:space="0" w:color="auto"/>
              <w:right w:val="nil"/>
            </w:tcBorders>
            <w:shd w:val="clear" w:color="000000" w:fill="D8DADA"/>
            <w:noWrap/>
            <w:vAlign w:val="center"/>
            <w:hideMark/>
          </w:tcPr>
          <w:p w14:paraId="1B25923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$21.92</w:t>
            </w:r>
          </w:p>
        </w:tc>
        <w:tc>
          <w:tcPr>
            <w:tcW w:w="1315" w:type="dxa"/>
            <w:tcBorders>
              <w:top w:val="nil"/>
              <w:left w:val="nil"/>
              <w:bottom w:val="single" w:sz="8" w:space="0" w:color="auto"/>
              <w:right w:val="nil"/>
            </w:tcBorders>
            <w:shd w:val="clear" w:color="000000" w:fill="D8DADA"/>
            <w:noWrap/>
            <w:vAlign w:val="center"/>
            <w:hideMark/>
          </w:tcPr>
          <w:p w14:paraId="0B67456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$19.57</w:t>
            </w:r>
          </w:p>
        </w:tc>
      </w:tr>
      <w:tr w:rsidR="00D24563" w:rsidRPr="00D24563" w14:paraId="4A786FE3"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01A9ED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labour - management entity staff costs</w:t>
            </w:r>
          </w:p>
        </w:tc>
        <w:tc>
          <w:tcPr>
            <w:tcW w:w="1418" w:type="dxa"/>
            <w:tcBorders>
              <w:top w:val="nil"/>
              <w:left w:val="nil"/>
              <w:bottom w:val="single" w:sz="8" w:space="0" w:color="auto"/>
              <w:right w:val="nil"/>
            </w:tcBorders>
            <w:shd w:val="clear" w:color="000000" w:fill="FFFFFF"/>
            <w:noWrap/>
            <w:vAlign w:val="center"/>
            <w:hideMark/>
          </w:tcPr>
          <w:p w14:paraId="784BC50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7" w:type="dxa"/>
            <w:tcBorders>
              <w:top w:val="nil"/>
              <w:left w:val="nil"/>
              <w:bottom w:val="single" w:sz="8" w:space="0" w:color="auto"/>
              <w:right w:val="nil"/>
            </w:tcBorders>
            <w:shd w:val="clear" w:color="000000" w:fill="FFFFFF"/>
            <w:noWrap/>
            <w:vAlign w:val="center"/>
            <w:hideMark/>
          </w:tcPr>
          <w:p w14:paraId="0DD2056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8" w:type="dxa"/>
            <w:tcBorders>
              <w:top w:val="nil"/>
              <w:left w:val="nil"/>
              <w:bottom w:val="single" w:sz="8" w:space="0" w:color="auto"/>
              <w:right w:val="nil"/>
            </w:tcBorders>
            <w:shd w:val="clear" w:color="000000" w:fill="FFFFFF"/>
            <w:noWrap/>
            <w:vAlign w:val="center"/>
            <w:hideMark/>
          </w:tcPr>
          <w:p w14:paraId="4D26A12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5E003ED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r>
      <w:tr w:rsidR="00D24563" w:rsidRPr="00D24563" w14:paraId="054D9BE6"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09693BD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direct care labour costs</w:t>
            </w:r>
          </w:p>
        </w:tc>
        <w:tc>
          <w:tcPr>
            <w:tcW w:w="1418" w:type="dxa"/>
            <w:tcBorders>
              <w:top w:val="nil"/>
              <w:left w:val="nil"/>
              <w:bottom w:val="single" w:sz="8" w:space="0" w:color="auto"/>
              <w:right w:val="nil"/>
            </w:tcBorders>
            <w:shd w:val="clear" w:color="000000" w:fill="D8DADA"/>
            <w:noWrap/>
            <w:vAlign w:val="center"/>
            <w:hideMark/>
          </w:tcPr>
          <w:p w14:paraId="252A9CC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$161.92</w:t>
            </w:r>
          </w:p>
        </w:tc>
        <w:tc>
          <w:tcPr>
            <w:tcW w:w="1417" w:type="dxa"/>
            <w:tcBorders>
              <w:top w:val="nil"/>
              <w:left w:val="nil"/>
              <w:bottom w:val="single" w:sz="8" w:space="0" w:color="auto"/>
              <w:right w:val="nil"/>
            </w:tcBorders>
            <w:shd w:val="clear" w:color="000000" w:fill="D8DADA"/>
            <w:noWrap/>
            <w:vAlign w:val="center"/>
            <w:hideMark/>
          </w:tcPr>
          <w:p w14:paraId="6ECD2BB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$178.52</w:t>
            </w:r>
          </w:p>
        </w:tc>
        <w:tc>
          <w:tcPr>
            <w:tcW w:w="1418" w:type="dxa"/>
            <w:tcBorders>
              <w:top w:val="nil"/>
              <w:left w:val="nil"/>
              <w:bottom w:val="single" w:sz="8" w:space="0" w:color="auto"/>
              <w:right w:val="nil"/>
            </w:tcBorders>
            <w:shd w:val="clear" w:color="000000" w:fill="D8DADA"/>
            <w:noWrap/>
            <w:vAlign w:val="center"/>
            <w:hideMark/>
          </w:tcPr>
          <w:p w14:paraId="50124EB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$285.06</w:t>
            </w:r>
          </w:p>
        </w:tc>
        <w:tc>
          <w:tcPr>
            <w:tcW w:w="1315" w:type="dxa"/>
            <w:tcBorders>
              <w:top w:val="nil"/>
              <w:left w:val="nil"/>
              <w:bottom w:val="single" w:sz="8" w:space="0" w:color="auto"/>
              <w:right w:val="nil"/>
            </w:tcBorders>
            <w:shd w:val="clear" w:color="000000" w:fill="D8DADA"/>
            <w:noWrap/>
            <w:vAlign w:val="center"/>
            <w:hideMark/>
          </w:tcPr>
          <w:p w14:paraId="6962907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$175.70</w:t>
            </w:r>
          </w:p>
        </w:tc>
      </w:tr>
      <w:tr w:rsidR="00D24563" w:rsidRPr="00D24563" w14:paraId="64979448"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0D62788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Resident expenses</w:t>
            </w:r>
          </w:p>
        </w:tc>
        <w:tc>
          <w:tcPr>
            <w:tcW w:w="1418" w:type="dxa"/>
            <w:tcBorders>
              <w:top w:val="nil"/>
              <w:left w:val="nil"/>
              <w:bottom w:val="single" w:sz="8" w:space="0" w:color="auto"/>
              <w:right w:val="nil"/>
            </w:tcBorders>
            <w:shd w:val="clear" w:color="000000" w:fill="D8DADA"/>
            <w:noWrap/>
            <w:vAlign w:val="center"/>
            <w:hideMark/>
          </w:tcPr>
          <w:p w14:paraId="15B6D92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22B5FF5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3B1199B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2D4253D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5E6AF3FA"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6206FF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Medical supplies </w:t>
            </w:r>
          </w:p>
        </w:tc>
        <w:tc>
          <w:tcPr>
            <w:tcW w:w="1418" w:type="dxa"/>
            <w:tcBorders>
              <w:top w:val="nil"/>
              <w:left w:val="nil"/>
              <w:bottom w:val="single" w:sz="8" w:space="0" w:color="auto"/>
              <w:right w:val="nil"/>
            </w:tcBorders>
            <w:shd w:val="clear" w:color="000000" w:fill="FFFFFF"/>
            <w:noWrap/>
            <w:vAlign w:val="center"/>
            <w:hideMark/>
          </w:tcPr>
          <w:p w14:paraId="4573259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$2.52</w:t>
            </w:r>
          </w:p>
        </w:tc>
        <w:tc>
          <w:tcPr>
            <w:tcW w:w="1417" w:type="dxa"/>
            <w:tcBorders>
              <w:top w:val="nil"/>
              <w:left w:val="nil"/>
              <w:bottom w:val="single" w:sz="8" w:space="0" w:color="auto"/>
              <w:right w:val="nil"/>
            </w:tcBorders>
            <w:shd w:val="clear" w:color="000000" w:fill="FFFFFF"/>
            <w:noWrap/>
            <w:vAlign w:val="center"/>
            <w:hideMark/>
          </w:tcPr>
          <w:p w14:paraId="6D764F7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$3.27</w:t>
            </w:r>
          </w:p>
        </w:tc>
        <w:tc>
          <w:tcPr>
            <w:tcW w:w="1418" w:type="dxa"/>
            <w:tcBorders>
              <w:top w:val="nil"/>
              <w:left w:val="nil"/>
              <w:bottom w:val="single" w:sz="8" w:space="0" w:color="auto"/>
              <w:right w:val="nil"/>
            </w:tcBorders>
            <w:shd w:val="clear" w:color="000000" w:fill="FFFFFF"/>
            <w:noWrap/>
            <w:vAlign w:val="center"/>
            <w:hideMark/>
          </w:tcPr>
          <w:p w14:paraId="6ED4B11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$4.32</w:t>
            </w:r>
          </w:p>
        </w:tc>
        <w:tc>
          <w:tcPr>
            <w:tcW w:w="1315" w:type="dxa"/>
            <w:tcBorders>
              <w:top w:val="nil"/>
              <w:left w:val="nil"/>
              <w:bottom w:val="single" w:sz="8" w:space="0" w:color="auto"/>
              <w:right w:val="nil"/>
            </w:tcBorders>
            <w:shd w:val="clear" w:color="000000" w:fill="FFFFFF"/>
            <w:noWrap/>
            <w:vAlign w:val="center"/>
            <w:hideMark/>
          </w:tcPr>
          <w:p w14:paraId="7099FC2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$3.01</w:t>
            </w:r>
          </w:p>
        </w:tc>
      </w:tr>
      <w:tr w:rsidR="00D24563" w:rsidRPr="00D24563" w14:paraId="1A0860B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81EA43F"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Incontinence supplies</w:t>
            </w:r>
          </w:p>
        </w:tc>
        <w:tc>
          <w:tcPr>
            <w:tcW w:w="1418" w:type="dxa"/>
            <w:tcBorders>
              <w:top w:val="nil"/>
              <w:left w:val="nil"/>
              <w:bottom w:val="single" w:sz="8" w:space="0" w:color="auto"/>
              <w:right w:val="nil"/>
            </w:tcBorders>
            <w:shd w:val="clear" w:color="000000" w:fill="FFFFFF"/>
            <w:noWrap/>
            <w:vAlign w:val="center"/>
            <w:hideMark/>
          </w:tcPr>
          <w:p w14:paraId="5A8FEA5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$1.77</w:t>
            </w:r>
          </w:p>
        </w:tc>
        <w:tc>
          <w:tcPr>
            <w:tcW w:w="1417" w:type="dxa"/>
            <w:tcBorders>
              <w:top w:val="nil"/>
              <w:left w:val="nil"/>
              <w:bottom w:val="single" w:sz="8" w:space="0" w:color="auto"/>
              <w:right w:val="nil"/>
            </w:tcBorders>
            <w:shd w:val="clear" w:color="000000" w:fill="FFFFFF"/>
            <w:noWrap/>
            <w:vAlign w:val="center"/>
            <w:hideMark/>
          </w:tcPr>
          <w:p w14:paraId="5E1DE33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$1.86</w:t>
            </w:r>
          </w:p>
        </w:tc>
        <w:tc>
          <w:tcPr>
            <w:tcW w:w="1418" w:type="dxa"/>
            <w:tcBorders>
              <w:top w:val="nil"/>
              <w:left w:val="nil"/>
              <w:bottom w:val="single" w:sz="8" w:space="0" w:color="auto"/>
              <w:right w:val="nil"/>
            </w:tcBorders>
            <w:shd w:val="clear" w:color="000000" w:fill="FFFFFF"/>
            <w:noWrap/>
            <w:vAlign w:val="center"/>
            <w:hideMark/>
          </w:tcPr>
          <w:p w14:paraId="3BA1DBF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$1.90</w:t>
            </w:r>
          </w:p>
        </w:tc>
        <w:tc>
          <w:tcPr>
            <w:tcW w:w="1315" w:type="dxa"/>
            <w:tcBorders>
              <w:top w:val="nil"/>
              <w:left w:val="nil"/>
              <w:bottom w:val="single" w:sz="8" w:space="0" w:color="auto"/>
              <w:right w:val="nil"/>
            </w:tcBorders>
            <w:shd w:val="clear" w:color="000000" w:fill="FFFFFF"/>
            <w:noWrap/>
            <w:vAlign w:val="center"/>
            <w:hideMark/>
          </w:tcPr>
          <w:p w14:paraId="4B8074A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$1.83</w:t>
            </w:r>
          </w:p>
        </w:tc>
      </w:tr>
      <w:tr w:rsidR="00D24563" w:rsidRPr="00D24563" w14:paraId="0297172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E7441B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Nutritional supplements </w:t>
            </w:r>
          </w:p>
        </w:tc>
        <w:tc>
          <w:tcPr>
            <w:tcW w:w="1418" w:type="dxa"/>
            <w:tcBorders>
              <w:top w:val="nil"/>
              <w:left w:val="nil"/>
              <w:bottom w:val="single" w:sz="8" w:space="0" w:color="auto"/>
              <w:right w:val="nil"/>
            </w:tcBorders>
            <w:shd w:val="clear" w:color="000000" w:fill="FFFFFF"/>
            <w:noWrap/>
            <w:vAlign w:val="center"/>
            <w:hideMark/>
          </w:tcPr>
          <w:p w14:paraId="5D09405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$0.56</w:t>
            </w:r>
          </w:p>
        </w:tc>
        <w:tc>
          <w:tcPr>
            <w:tcW w:w="1417" w:type="dxa"/>
            <w:tcBorders>
              <w:top w:val="nil"/>
              <w:left w:val="nil"/>
              <w:bottom w:val="single" w:sz="8" w:space="0" w:color="auto"/>
              <w:right w:val="nil"/>
            </w:tcBorders>
            <w:shd w:val="clear" w:color="000000" w:fill="FFFFFF"/>
            <w:noWrap/>
            <w:vAlign w:val="center"/>
            <w:hideMark/>
          </w:tcPr>
          <w:p w14:paraId="46F68BB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$0.53</w:t>
            </w:r>
          </w:p>
        </w:tc>
        <w:tc>
          <w:tcPr>
            <w:tcW w:w="1418" w:type="dxa"/>
            <w:tcBorders>
              <w:top w:val="nil"/>
              <w:left w:val="nil"/>
              <w:bottom w:val="single" w:sz="8" w:space="0" w:color="auto"/>
              <w:right w:val="nil"/>
            </w:tcBorders>
            <w:shd w:val="clear" w:color="000000" w:fill="FFFFFF"/>
            <w:noWrap/>
            <w:vAlign w:val="center"/>
            <w:hideMark/>
          </w:tcPr>
          <w:p w14:paraId="7B5BEA1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$0.74</w:t>
            </w:r>
          </w:p>
        </w:tc>
        <w:tc>
          <w:tcPr>
            <w:tcW w:w="1315" w:type="dxa"/>
            <w:tcBorders>
              <w:top w:val="nil"/>
              <w:left w:val="nil"/>
              <w:bottom w:val="single" w:sz="8" w:space="0" w:color="auto"/>
              <w:right w:val="nil"/>
            </w:tcBorders>
            <w:shd w:val="clear" w:color="000000" w:fill="FFFFFF"/>
            <w:noWrap/>
            <w:vAlign w:val="center"/>
            <w:hideMark/>
          </w:tcPr>
          <w:p w14:paraId="102F533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$0.55</w:t>
            </w:r>
          </w:p>
        </w:tc>
      </w:tr>
      <w:tr w:rsidR="00D24563" w:rsidRPr="00D24563" w14:paraId="4FC6816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9600E47"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 Health living expenses</w:t>
            </w:r>
          </w:p>
        </w:tc>
        <w:tc>
          <w:tcPr>
            <w:tcW w:w="1418" w:type="dxa"/>
            <w:tcBorders>
              <w:top w:val="nil"/>
              <w:left w:val="nil"/>
              <w:bottom w:val="single" w:sz="8" w:space="0" w:color="auto"/>
              <w:right w:val="nil"/>
            </w:tcBorders>
            <w:shd w:val="clear" w:color="000000" w:fill="FFFFFF"/>
            <w:noWrap/>
            <w:vAlign w:val="center"/>
            <w:hideMark/>
          </w:tcPr>
          <w:p w14:paraId="7510B53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417" w:type="dxa"/>
            <w:tcBorders>
              <w:top w:val="nil"/>
              <w:left w:val="nil"/>
              <w:bottom w:val="single" w:sz="8" w:space="0" w:color="auto"/>
              <w:right w:val="nil"/>
            </w:tcBorders>
            <w:shd w:val="clear" w:color="000000" w:fill="FFFFFF"/>
            <w:noWrap/>
            <w:vAlign w:val="center"/>
            <w:hideMark/>
          </w:tcPr>
          <w:p w14:paraId="1D045C9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418" w:type="dxa"/>
            <w:tcBorders>
              <w:top w:val="nil"/>
              <w:left w:val="nil"/>
              <w:bottom w:val="single" w:sz="8" w:space="0" w:color="auto"/>
              <w:right w:val="nil"/>
            </w:tcBorders>
            <w:shd w:val="clear" w:color="000000" w:fill="FFFFFF"/>
            <w:noWrap/>
            <w:vAlign w:val="center"/>
            <w:hideMark/>
          </w:tcPr>
          <w:p w14:paraId="4B60D87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315" w:type="dxa"/>
            <w:tcBorders>
              <w:top w:val="nil"/>
              <w:left w:val="nil"/>
              <w:bottom w:val="single" w:sz="8" w:space="0" w:color="auto"/>
              <w:right w:val="nil"/>
            </w:tcBorders>
            <w:shd w:val="clear" w:color="000000" w:fill="FFFFFF"/>
            <w:noWrap/>
            <w:vAlign w:val="center"/>
            <w:hideMark/>
          </w:tcPr>
          <w:p w14:paraId="5D5CE4E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r>
      <w:tr w:rsidR="00D24563" w:rsidRPr="00D24563" w14:paraId="45917CC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0D5F468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resident services and consumables</w:t>
            </w:r>
          </w:p>
        </w:tc>
        <w:tc>
          <w:tcPr>
            <w:tcW w:w="1418" w:type="dxa"/>
            <w:tcBorders>
              <w:top w:val="nil"/>
              <w:left w:val="nil"/>
              <w:bottom w:val="single" w:sz="8" w:space="0" w:color="auto"/>
              <w:right w:val="nil"/>
            </w:tcBorders>
            <w:shd w:val="clear" w:color="000000" w:fill="FFFFFF"/>
            <w:noWrap/>
            <w:vAlign w:val="center"/>
            <w:hideMark/>
          </w:tcPr>
          <w:p w14:paraId="1B226BE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$1.96</w:t>
            </w:r>
          </w:p>
        </w:tc>
        <w:tc>
          <w:tcPr>
            <w:tcW w:w="1417" w:type="dxa"/>
            <w:tcBorders>
              <w:top w:val="nil"/>
              <w:left w:val="nil"/>
              <w:bottom w:val="single" w:sz="8" w:space="0" w:color="auto"/>
              <w:right w:val="nil"/>
            </w:tcBorders>
            <w:shd w:val="clear" w:color="000000" w:fill="FFFFFF"/>
            <w:noWrap/>
            <w:vAlign w:val="center"/>
            <w:hideMark/>
          </w:tcPr>
          <w:p w14:paraId="1292979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$1.52</w:t>
            </w:r>
          </w:p>
        </w:tc>
        <w:tc>
          <w:tcPr>
            <w:tcW w:w="1418" w:type="dxa"/>
            <w:tcBorders>
              <w:top w:val="nil"/>
              <w:left w:val="nil"/>
              <w:bottom w:val="single" w:sz="8" w:space="0" w:color="auto"/>
              <w:right w:val="nil"/>
            </w:tcBorders>
            <w:shd w:val="clear" w:color="000000" w:fill="FFFFFF"/>
            <w:noWrap/>
            <w:vAlign w:val="center"/>
            <w:hideMark/>
          </w:tcPr>
          <w:p w14:paraId="1CCD924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$2.35</w:t>
            </w:r>
          </w:p>
        </w:tc>
        <w:tc>
          <w:tcPr>
            <w:tcW w:w="1315" w:type="dxa"/>
            <w:tcBorders>
              <w:top w:val="nil"/>
              <w:left w:val="nil"/>
              <w:bottom w:val="single" w:sz="8" w:space="0" w:color="auto"/>
              <w:right w:val="nil"/>
            </w:tcBorders>
            <w:shd w:val="clear" w:color="000000" w:fill="FFFFFF"/>
            <w:noWrap/>
            <w:vAlign w:val="center"/>
            <w:hideMark/>
          </w:tcPr>
          <w:p w14:paraId="1571B09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$1.72</w:t>
            </w:r>
          </w:p>
        </w:tc>
      </w:tr>
      <w:tr w:rsidR="00D24563" w:rsidRPr="00D24563" w14:paraId="4DEBD893"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96CE74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resident expenses</w:t>
            </w:r>
          </w:p>
        </w:tc>
        <w:tc>
          <w:tcPr>
            <w:tcW w:w="1418" w:type="dxa"/>
            <w:tcBorders>
              <w:top w:val="nil"/>
              <w:left w:val="nil"/>
              <w:bottom w:val="single" w:sz="8" w:space="0" w:color="auto"/>
              <w:right w:val="nil"/>
            </w:tcBorders>
            <w:shd w:val="clear" w:color="000000" w:fill="D8DADA"/>
            <w:noWrap/>
            <w:vAlign w:val="center"/>
            <w:hideMark/>
          </w:tcPr>
          <w:p w14:paraId="61F0D0A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$6.87</w:t>
            </w:r>
          </w:p>
        </w:tc>
        <w:tc>
          <w:tcPr>
            <w:tcW w:w="1417" w:type="dxa"/>
            <w:tcBorders>
              <w:top w:val="nil"/>
              <w:left w:val="nil"/>
              <w:bottom w:val="single" w:sz="8" w:space="0" w:color="auto"/>
              <w:right w:val="nil"/>
            </w:tcBorders>
            <w:shd w:val="clear" w:color="000000" w:fill="D8DADA"/>
            <w:noWrap/>
            <w:vAlign w:val="center"/>
            <w:hideMark/>
          </w:tcPr>
          <w:p w14:paraId="6E8266D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$7.24</w:t>
            </w:r>
          </w:p>
        </w:tc>
        <w:tc>
          <w:tcPr>
            <w:tcW w:w="1418" w:type="dxa"/>
            <w:tcBorders>
              <w:top w:val="nil"/>
              <w:left w:val="nil"/>
              <w:bottom w:val="single" w:sz="8" w:space="0" w:color="auto"/>
              <w:right w:val="nil"/>
            </w:tcBorders>
            <w:shd w:val="clear" w:color="000000" w:fill="D8DADA"/>
            <w:noWrap/>
            <w:vAlign w:val="center"/>
            <w:hideMark/>
          </w:tcPr>
          <w:p w14:paraId="1BB153A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$9.36</w:t>
            </w:r>
          </w:p>
        </w:tc>
        <w:tc>
          <w:tcPr>
            <w:tcW w:w="1315" w:type="dxa"/>
            <w:tcBorders>
              <w:top w:val="nil"/>
              <w:left w:val="nil"/>
              <w:bottom w:val="single" w:sz="8" w:space="0" w:color="auto"/>
              <w:right w:val="nil"/>
            </w:tcBorders>
            <w:shd w:val="clear" w:color="000000" w:fill="D8DADA"/>
            <w:noWrap/>
            <w:vAlign w:val="center"/>
            <w:hideMark/>
          </w:tcPr>
          <w:p w14:paraId="7CE3E59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$7.16</w:t>
            </w:r>
          </w:p>
        </w:tc>
      </w:tr>
      <w:tr w:rsidR="00D24563" w:rsidRPr="00D24563" w14:paraId="63C42F5D"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6BE0700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Other direct care expenses</w:t>
            </w:r>
          </w:p>
        </w:tc>
        <w:tc>
          <w:tcPr>
            <w:tcW w:w="1418" w:type="dxa"/>
            <w:tcBorders>
              <w:top w:val="nil"/>
              <w:left w:val="nil"/>
              <w:bottom w:val="single" w:sz="8" w:space="0" w:color="auto"/>
              <w:right w:val="nil"/>
            </w:tcBorders>
            <w:shd w:val="clear" w:color="000000" w:fill="D8DADA"/>
            <w:noWrap/>
            <w:vAlign w:val="center"/>
            <w:hideMark/>
          </w:tcPr>
          <w:p w14:paraId="1C3649E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69BD237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1806673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48B1B04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0E81FCDD"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859FCFD"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Workcover premium (care employee labour)</w:t>
            </w:r>
          </w:p>
        </w:tc>
        <w:tc>
          <w:tcPr>
            <w:tcW w:w="1418" w:type="dxa"/>
            <w:tcBorders>
              <w:top w:val="nil"/>
              <w:left w:val="nil"/>
              <w:bottom w:val="single" w:sz="8" w:space="0" w:color="auto"/>
              <w:right w:val="nil"/>
            </w:tcBorders>
            <w:shd w:val="clear" w:color="000000" w:fill="FFFFFF"/>
            <w:noWrap/>
            <w:vAlign w:val="center"/>
            <w:hideMark/>
          </w:tcPr>
          <w:p w14:paraId="2F4B7FE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$3.32</w:t>
            </w:r>
          </w:p>
        </w:tc>
        <w:tc>
          <w:tcPr>
            <w:tcW w:w="1417" w:type="dxa"/>
            <w:tcBorders>
              <w:top w:val="nil"/>
              <w:left w:val="nil"/>
              <w:bottom w:val="single" w:sz="8" w:space="0" w:color="auto"/>
              <w:right w:val="nil"/>
            </w:tcBorders>
            <w:shd w:val="clear" w:color="000000" w:fill="FFFFFF"/>
            <w:noWrap/>
            <w:vAlign w:val="center"/>
            <w:hideMark/>
          </w:tcPr>
          <w:p w14:paraId="7E77976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$3.85</w:t>
            </w:r>
          </w:p>
        </w:tc>
        <w:tc>
          <w:tcPr>
            <w:tcW w:w="1418" w:type="dxa"/>
            <w:tcBorders>
              <w:top w:val="nil"/>
              <w:left w:val="nil"/>
              <w:bottom w:val="single" w:sz="8" w:space="0" w:color="auto"/>
              <w:right w:val="nil"/>
            </w:tcBorders>
            <w:shd w:val="clear" w:color="000000" w:fill="FFFFFF"/>
            <w:noWrap/>
            <w:vAlign w:val="center"/>
            <w:hideMark/>
          </w:tcPr>
          <w:p w14:paraId="4CF8A21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$3.71</w:t>
            </w:r>
          </w:p>
        </w:tc>
        <w:tc>
          <w:tcPr>
            <w:tcW w:w="1315" w:type="dxa"/>
            <w:tcBorders>
              <w:top w:val="nil"/>
              <w:left w:val="nil"/>
              <w:bottom w:val="single" w:sz="8" w:space="0" w:color="auto"/>
              <w:right w:val="nil"/>
            </w:tcBorders>
            <w:shd w:val="clear" w:color="000000" w:fill="FFFFFF"/>
            <w:noWrap/>
            <w:vAlign w:val="center"/>
            <w:hideMark/>
          </w:tcPr>
          <w:p w14:paraId="796E10A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$3.64</w:t>
            </w:r>
          </w:p>
        </w:tc>
      </w:tr>
      <w:tr w:rsidR="00D24563" w:rsidRPr="00D24563" w14:paraId="3DD653A6"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2BCE594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Payroll tax (care employee labour)</w:t>
            </w:r>
          </w:p>
        </w:tc>
        <w:tc>
          <w:tcPr>
            <w:tcW w:w="1418" w:type="dxa"/>
            <w:tcBorders>
              <w:top w:val="nil"/>
              <w:left w:val="nil"/>
              <w:bottom w:val="single" w:sz="8" w:space="0" w:color="auto"/>
              <w:right w:val="nil"/>
            </w:tcBorders>
            <w:shd w:val="clear" w:color="000000" w:fill="FFFFFF"/>
            <w:noWrap/>
            <w:vAlign w:val="center"/>
            <w:hideMark/>
          </w:tcPr>
          <w:p w14:paraId="26435B4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$6.52</w:t>
            </w:r>
          </w:p>
        </w:tc>
        <w:tc>
          <w:tcPr>
            <w:tcW w:w="1417" w:type="dxa"/>
            <w:tcBorders>
              <w:top w:val="nil"/>
              <w:left w:val="nil"/>
              <w:bottom w:val="single" w:sz="8" w:space="0" w:color="auto"/>
              <w:right w:val="nil"/>
            </w:tcBorders>
            <w:shd w:val="clear" w:color="000000" w:fill="FFFFFF"/>
            <w:noWrap/>
            <w:vAlign w:val="center"/>
            <w:hideMark/>
          </w:tcPr>
          <w:p w14:paraId="0111508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c>
          <w:tcPr>
            <w:tcW w:w="1418" w:type="dxa"/>
            <w:tcBorders>
              <w:top w:val="nil"/>
              <w:left w:val="nil"/>
              <w:bottom w:val="single" w:sz="8" w:space="0" w:color="auto"/>
              <w:right w:val="nil"/>
            </w:tcBorders>
            <w:shd w:val="clear" w:color="000000" w:fill="FFFFFF"/>
            <w:noWrap/>
            <w:vAlign w:val="center"/>
            <w:hideMark/>
          </w:tcPr>
          <w:p w14:paraId="104B9C3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$0.18</w:t>
            </w:r>
          </w:p>
        </w:tc>
        <w:tc>
          <w:tcPr>
            <w:tcW w:w="1315" w:type="dxa"/>
            <w:tcBorders>
              <w:top w:val="nil"/>
              <w:left w:val="nil"/>
              <w:bottom w:val="single" w:sz="8" w:space="0" w:color="auto"/>
              <w:right w:val="nil"/>
            </w:tcBorders>
            <w:shd w:val="clear" w:color="000000" w:fill="FFFFFF"/>
            <w:noWrap/>
            <w:vAlign w:val="center"/>
            <w:hideMark/>
          </w:tcPr>
          <w:p w14:paraId="3FB5D5C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$2.63</w:t>
            </w:r>
          </w:p>
        </w:tc>
      </w:tr>
      <w:tr w:rsidR="00D24563" w:rsidRPr="00D24563" w14:paraId="07CDB0C2"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253D32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Quality, compliance and training external costs</w:t>
            </w:r>
          </w:p>
        </w:tc>
        <w:tc>
          <w:tcPr>
            <w:tcW w:w="1418" w:type="dxa"/>
            <w:tcBorders>
              <w:top w:val="nil"/>
              <w:left w:val="nil"/>
              <w:bottom w:val="single" w:sz="8" w:space="0" w:color="auto"/>
              <w:right w:val="nil"/>
            </w:tcBorders>
            <w:shd w:val="clear" w:color="000000" w:fill="FFFFFF"/>
            <w:noWrap/>
            <w:vAlign w:val="center"/>
            <w:hideMark/>
          </w:tcPr>
          <w:p w14:paraId="44D7924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$0.56</w:t>
            </w:r>
          </w:p>
        </w:tc>
        <w:tc>
          <w:tcPr>
            <w:tcW w:w="1417" w:type="dxa"/>
            <w:tcBorders>
              <w:top w:val="nil"/>
              <w:left w:val="nil"/>
              <w:bottom w:val="single" w:sz="8" w:space="0" w:color="auto"/>
              <w:right w:val="nil"/>
            </w:tcBorders>
            <w:shd w:val="clear" w:color="000000" w:fill="FFFFFF"/>
            <w:noWrap/>
            <w:vAlign w:val="center"/>
            <w:hideMark/>
          </w:tcPr>
          <w:p w14:paraId="1D144A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$0.76</w:t>
            </w:r>
          </w:p>
        </w:tc>
        <w:tc>
          <w:tcPr>
            <w:tcW w:w="1418" w:type="dxa"/>
            <w:tcBorders>
              <w:top w:val="nil"/>
              <w:left w:val="nil"/>
              <w:bottom w:val="single" w:sz="8" w:space="0" w:color="auto"/>
              <w:right w:val="nil"/>
            </w:tcBorders>
            <w:shd w:val="clear" w:color="000000" w:fill="FFFFFF"/>
            <w:noWrap/>
            <w:vAlign w:val="center"/>
            <w:hideMark/>
          </w:tcPr>
          <w:p w14:paraId="2E75F36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$0.85</w:t>
            </w:r>
          </w:p>
        </w:tc>
        <w:tc>
          <w:tcPr>
            <w:tcW w:w="1315" w:type="dxa"/>
            <w:tcBorders>
              <w:top w:val="nil"/>
              <w:left w:val="nil"/>
              <w:bottom w:val="single" w:sz="8" w:space="0" w:color="auto"/>
              <w:right w:val="nil"/>
            </w:tcBorders>
            <w:shd w:val="clear" w:color="000000" w:fill="FFFFFF"/>
            <w:noWrap/>
            <w:vAlign w:val="center"/>
            <w:hideMark/>
          </w:tcPr>
          <w:p w14:paraId="7E07AEE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$0.68</w:t>
            </w:r>
          </w:p>
        </w:tc>
      </w:tr>
      <w:tr w:rsidR="00D24563" w:rsidRPr="00D24563" w14:paraId="6266D371"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902B80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 xml:space="preserve">Chaplaincy / pastoral care </w:t>
            </w:r>
          </w:p>
        </w:tc>
        <w:tc>
          <w:tcPr>
            <w:tcW w:w="1418" w:type="dxa"/>
            <w:tcBorders>
              <w:top w:val="nil"/>
              <w:left w:val="nil"/>
              <w:bottom w:val="single" w:sz="8" w:space="0" w:color="auto"/>
              <w:right w:val="nil"/>
            </w:tcBorders>
            <w:shd w:val="clear" w:color="000000" w:fill="FFFFFF"/>
            <w:noWrap/>
            <w:vAlign w:val="center"/>
            <w:hideMark/>
          </w:tcPr>
          <w:p w14:paraId="785B9FB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7" w:type="dxa"/>
            <w:tcBorders>
              <w:top w:val="nil"/>
              <w:left w:val="nil"/>
              <w:bottom w:val="single" w:sz="8" w:space="0" w:color="auto"/>
              <w:right w:val="nil"/>
            </w:tcBorders>
            <w:shd w:val="clear" w:color="000000" w:fill="FFFFFF"/>
            <w:noWrap/>
            <w:vAlign w:val="center"/>
            <w:hideMark/>
          </w:tcPr>
          <w:p w14:paraId="6E0A228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$0.56</w:t>
            </w:r>
          </w:p>
        </w:tc>
        <w:tc>
          <w:tcPr>
            <w:tcW w:w="1418" w:type="dxa"/>
            <w:tcBorders>
              <w:top w:val="nil"/>
              <w:left w:val="nil"/>
              <w:bottom w:val="single" w:sz="8" w:space="0" w:color="auto"/>
              <w:right w:val="nil"/>
            </w:tcBorders>
            <w:shd w:val="clear" w:color="000000" w:fill="FFFFFF"/>
            <w:noWrap/>
            <w:vAlign w:val="center"/>
            <w:hideMark/>
          </w:tcPr>
          <w:p w14:paraId="15DBEED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$0.07</w:t>
            </w:r>
          </w:p>
        </w:tc>
        <w:tc>
          <w:tcPr>
            <w:tcW w:w="1315" w:type="dxa"/>
            <w:tcBorders>
              <w:top w:val="nil"/>
              <w:left w:val="nil"/>
              <w:bottom w:val="single" w:sz="8" w:space="0" w:color="auto"/>
              <w:right w:val="nil"/>
            </w:tcBorders>
            <w:shd w:val="clear" w:color="000000" w:fill="FFFFFF"/>
            <w:noWrap/>
            <w:vAlign w:val="center"/>
            <w:hideMark/>
          </w:tcPr>
          <w:p w14:paraId="316748F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$0.32</w:t>
            </w:r>
          </w:p>
        </w:tc>
      </w:tr>
      <w:tr w:rsidR="00D24563" w:rsidRPr="00D24563" w14:paraId="024F7611"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DCA7A3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direct care expenses</w:t>
            </w:r>
          </w:p>
        </w:tc>
        <w:tc>
          <w:tcPr>
            <w:tcW w:w="1418" w:type="dxa"/>
            <w:tcBorders>
              <w:top w:val="nil"/>
              <w:left w:val="nil"/>
              <w:bottom w:val="single" w:sz="8" w:space="0" w:color="auto"/>
              <w:right w:val="nil"/>
            </w:tcBorders>
            <w:shd w:val="clear" w:color="000000" w:fill="FFFFFF"/>
            <w:noWrap/>
            <w:vAlign w:val="center"/>
            <w:hideMark/>
          </w:tcPr>
          <w:p w14:paraId="7BBFFDA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$1.17</w:t>
            </w:r>
          </w:p>
        </w:tc>
        <w:tc>
          <w:tcPr>
            <w:tcW w:w="1417" w:type="dxa"/>
            <w:tcBorders>
              <w:top w:val="nil"/>
              <w:left w:val="nil"/>
              <w:bottom w:val="single" w:sz="8" w:space="0" w:color="auto"/>
              <w:right w:val="nil"/>
            </w:tcBorders>
            <w:shd w:val="clear" w:color="000000" w:fill="FFFFFF"/>
            <w:noWrap/>
            <w:vAlign w:val="center"/>
            <w:hideMark/>
          </w:tcPr>
          <w:p w14:paraId="0F72CFC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$0.88</w:t>
            </w:r>
          </w:p>
        </w:tc>
        <w:tc>
          <w:tcPr>
            <w:tcW w:w="1418" w:type="dxa"/>
            <w:tcBorders>
              <w:top w:val="nil"/>
              <w:left w:val="nil"/>
              <w:bottom w:val="single" w:sz="8" w:space="0" w:color="auto"/>
              <w:right w:val="nil"/>
            </w:tcBorders>
            <w:shd w:val="clear" w:color="000000" w:fill="FFFFFF"/>
            <w:noWrap/>
            <w:vAlign w:val="center"/>
            <w:hideMark/>
          </w:tcPr>
          <w:p w14:paraId="429AC71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$2.42</w:t>
            </w:r>
          </w:p>
        </w:tc>
        <w:tc>
          <w:tcPr>
            <w:tcW w:w="1315" w:type="dxa"/>
            <w:tcBorders>
              <w:top w:val="nil"/>
              <w:left w:val="nil"/>
              <w:bottom w:val="single" w:sz="8" w:space="0" w:color="auto"/>
              <w:right w:val="nil"/>
            </w:tcBorders>
            <w:shd w:val="clear" w:color="000000" w:fill="FFFFFF"/>
            <w:noWrap/>
            <w:vAlign w:val="center"/>
            <w:hideMark/>
          </w:tcPr>
          <w:p w14:paraId="46D55C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$1.05</w:t>
            </w:r>
          </w:p>
        </w:tc>
      </w:tr>
      <w:tr w:rsidR="00D24563" w:rsidRPr="00D24563" w14:paraId="6DE61522"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D711B0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Total other direct care expenses</w:t>
            </w:r>
          </w:p>
        </w:tc>
        <w:tc>
          <w:tcPr>
            <w:tcW w:w="1418" w:type="dxa"/>
            <w:tcBorders>
              <w:top w:val="nil"/>
              <w:left w:val="nil"/>
              <w:bottom w:val="single" w:sz="8" w:space="0" w:color="auto"/>
              <w:right w:val="nil"/>
            </w:tcBorders>
            <w:shd w:val="clear" w:color="000000" w:fill="FFFFFF"/>
            <w:noWrap/>
            <w:vAlign w:val="center"/>
            <w:hideMark/>
          </w:tcPr>
          <w:p w14:paraId="3726C5D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$11.59</w:t>
            </w:r>
          </w:p>
        </w:tc>
        <w:tc>
          <w:tcPr>
            <w:tcW w:w="1417" w:type="dxa"/>
            <w:tcBorders>
              <w:top w:val="nil"/>
              <w:left w:val="nil"/>
              <w:bottom w:val="single" w:sz="8" w:space="0" w:color="auto"/>
              <w:right w:val="nil"/>
            </w:tcBorders>
            <w:shd w:val="clear" w:color="000000" w:fill="FFFFFF"/>
            <w:noWrap/>
            <w:vAlign w:val="center"/>
            <w:hideMark/>
          </w:tcPr>
          <w:p w14:paraId="6581BCD3"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$6.12</w:t>
            </w:r>
          </w:p>
        </w:tc>
        <w:tc>
          <w:tcPr>
            <w:tcW w:w="1418" w:type="dxa"/>
            <w:tcBorders>
              <w:top w:val="nil"/>
              <w:left w:val="nil"/>
              <w:bottom w:val="single" w:sz="8" w:space="0" w:color="auto"/>
              <w:right w:val="nil"/>
            </w:tcBorders>
            <w:shd w:val="clear" w:color="000000" w:fill="FFFFFF"/>
            <w:noWrap/>
            <w:vAlign w:val="center"/>
            <w:hideMark/>
          </w:tcPr>
          <w:p w14:paraId="3D35C91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$7.23</w:t>
            </w:r>
          </w:p>
        </w:tc>
        <w:tc>
          <w:tcPr>
            <w:tcW w:w="1315" w:type="dxa"/>
            <w:tcBorders>
              <w:top w:val="nil"/>
              <w:left w:val="nil"/>
              <w:bottom w:val="single" w:sz="8" w:space="0" w:color="auto"/>
              <w:right w:val="nil"/>
            </w:tcBorders>
            <w:shd w:val="clear" w:color="000000" w:fill="FFFFFF"/>
            <w:noWrap/>
            <w:vAlign w:val="center"/>
            <w:hideMark/>
          </w:tcPr>
          <w:p w14:paraId="536F3F8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$8.32</w:t>
            </w:r>
          </w:p>
        </w:tc>
      </w:tr>
      <w:tr w:rsidR="00D24563" w:rsidRPr="00D24563" w14:paraId="313740B4"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EC59E6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care expenses</w:t>
            </w:r>
          </w:p>
        </w:tc>
        <w:tc>
          <w:tcPr>
            <w:tcW w:w="1418" w:type="dxa"/>
            <w:tcBorders>
              <w:top w:val="nil"/>
              <w:left w:val="nil"/>
              <w:bottom w:val="single" w:sz="8" w:space="0" w:color="auto"/>
              <w:right w:val="nil"/>
            </w:tcBorders>
            <w:shd w:val="clear" w:color="000000" w:fill="D8DADA"/>
            <w:noWrap/>
            <w:vAlign w:val="center"/>
            <w:hideMark/>
          </w:tcPr>
          <w:p w14:paraId="6E5BBD25"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$180.37</w:t>
            </w:r>
          </w:p>
        </w:tc>
        <w:tc>
          <w:tcPr>
            <w:tcW w:w="1417" w:type="dxa"/>
            <w:tcBorders>
              <w:top w:val="nil"/>
              <w:left w:val="nil"/>
              <w:bottom w:val="single" w:sz="8" w:space="0" w:color="auto"/>
              <w:right w:val="nil"/>
            </w:tcBorders>
            <w:shd w:val="clear" w:color="000000" w:fill="D8DADA"/>
            <w:noWrap/>
            <w:vAlign w:val="center"/>
            <w:hideMark/>
          </w:tcPr>
          <w:p w14:paraId="507436D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$191.88</w:t>
            </w:r>
          </w:p>
        </w:tc>
        <w:tc>
          <w:tcPr>
            <w:tcW w:w="1418" w:type="dxa"/>
            <w:tcBorders>
              <w:top w:val="nil"/>
              <w:left w:val="nil"/>
              <w:bottom w:val="single" w:sz="8" w:space="0" w:color="auto"/>
              <w:right w:val="nil"/>
            </w:tcBorders>
            <w:shd w:val="clear" w:color="000000" w:fill="D8DADA"/>
            <w:noWrap/>
            <w:vAlign w:val="center"/>
            <w:hideMark/>
          </w:tcPr>
          <w:p w14:paraId="1567CBD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$301.66</w:t>
            </w:r>
          </w:p>
        </w:tc>
        <w:tc>
          <w:tcPr>
            <w:tcW w:w="1315" w:type="dxa"/>
            <w:tcBorders>
              <w:top w:val="nil"/>
              <w:left w:val="nil"/>
              <w:bottom w:val="single" w:sz="8" w:space="0" w:color="auto"/>
              <w:right w:val="nil"/>
            </w:tcBorders>
            <w:shd w:val="clear" w:color="000000" w:fill="D8DADA"/>
            <w:noWrap/>
            <w:vAlign w:val="center"/>
            <w:hideMark/>
          </w:tcPr>
          <w:p w14:paraId="4A04B24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$191.19</w:t>
            </w:r>
          </w:p>
        </w:tc>
      </w:tr>
      <w:tr w:rsidR="00D24563" w:rsidRPr="00D24563" w14:paraId="01DB2B09"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FBA121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Hotel expenses</w:t>
            </w:r>
          </w:p>
        </w:tc>
        <w:tc>
          <w:tcPr>
            <w:tcW w:w="1418" w:type="dxa"/>
            <w:tcBorders>
              <w:top w:val="nil"/>
              <w:left w:val="nil"/>
              <w:bottom w:val="single" w:sz="8" w:space="0" w:color="auto"/>
              <w:right w:val="nil"/>
            </w:tcBorders>
            <w:shd w:val="clear" w:color="000000" w:fill="D8DADA"/>
            <w:noWrap/>
            <w:vAlign w:val="center"/>
            <w:hideMark/>
          </w:tcPr>
          <w:p w14:paraId="1055720C"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390500D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0FFE00B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E6E205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7827F65D"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00E96B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Catering expenses</w:t>
            </w:r>
          </w:p>
        </w:tc>
        <w:tc>
          <w:tcPr>
            <w:tcW w:w="1418" w:type="dxa"/>
            <w:tcBorders>
              <w:top w:val="nil"/>
              <w:left w:val="nil"/>
              <w:bottom w:val="single" w:sz="8" w:space="0" w:color="auto"/>
              <w:right w:val="nil"/>
            </w:tcBorders>
            <w:shd w:val="clear" w:color="000000" w:fill="D8DADA"/>
            <w:noWrap/>
            <w:vAlign w:val="center"/>
            <w:hideMark/>
          </w:tcPr>
          <w:p w14:paraId="5AB7D46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595C449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43BF3DA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AACF46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5A6D6E1F"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02358C7"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5711A20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$19.96</w:t>
            </w:r>
          </w:p>
        </w:tc>
        <w:tc>
          <w:tcPr>
            <w:tcW w:w="1417" w:type="dxa"/>
            <w:tcBorders>
              <w:top w:val="nil"/>
              <w:left w:val="nil"/>
              <w:bottom w:val="single" w:sz="8" w:space="0" w:color="auto"/>
              <w:right w:val="nil"/>
            </w:tcBorders>
            <w:shd w:val="clear" w:color="000000" w:fill="FFFFFF"/>
            <w:noWrap/>
            <w:vAlign w:val="center"/>
            <w:hideMark/>
          </w:tcPr>
          <w:p w14:paraId="5A8201A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$19.24</w:t>
            </w:r>
          </w:p>
        </w:tc>
        <w:tc>
          <w:tcPr>
            <w:tcW w:w="1418" w:type="dxa"/>
            <w:tcBorders>
              <w:top w:val="nil"/>
              <w:left w:val="nil"/>
              <w:bottom w:val="single" w:sz="8" w:space="0" w:color="auto"/>
              <w:right w:val="nil"/>
            </w:tcBorders>
            <w:shd w:val="clear" w:color="000000" w:fill="FFFFFF"/>
            <w:noWrap/>
            <w:vAlign w:val="center"/>
            <w:hideMark/>
          </w:tcPr>
          <w:p w14:paraId="4885F0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$26.86</w:t>
            </w:r>
          </w:p>
        </w:tc>
        <w:tc>
          <w:tcPr>
            <w:tcW w:w="1315" w:type="dxa"/>
            <w:tcBorders>
              <w:top w:val="nil"/>
              <w:left w:val="nil"/>
              <w:bottom w:val="single" w:sz="8" w:space="0" w:color="auto"/>
              <w:right w:val="nil"/>
            </w:tcBorders>
            <w:shd w:val="clear" w:color="000000" w:fill="FFFFFF"/>
            <w:noWrap/>
            <w:vAlign w:val="center"/>
            <w:hideMark/>
          </w:tcPr>
          <w:p w14:paraId="556D3A9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$19.79</w:t>
            </w:r>
          </w:p>
        </w:tc>
      </w:tr>
      <w:tr w:rsidR="00D24563" w:rsidRPr="00D24563" w14:paraId="4A3E269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3268F1A"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Consumables</w:t>
            </w:r>
          </w:p>
        </w:tc>
        <w:tc>
          <w:tcPr>
            <w:tcW w:w="1418" w:type="dxa"/>
            <w:tcBorders>
              <w:top w:val="nil"/>
              <w:left w:val="nil"/>
              <w:bottom w:val="single" w:sz="8" w:space="0" w:color="auto"/>
              <w:right w:val="nil"/>
            </w:tcBorders>
            <w:shd w:val="clear" w:color="000000" w:fill="FFFFFF"/>
            <w:noWrap/>
            <w:vAlign w:val="center"/>
            <w:hideMark/>
          </w:tcPr>
          <w:p w14:paraId="694CAB3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$11.43</w:t>
            </w:r>
          </w:p>
        </w:tc>
        <w:tc>
          <w:tcPr>
            <w:tcW w:w="1417" w:type="dxa"/>
            <w:tcBorders>
              <w:top w:val="nil"/>
              <w:left w:val="nil"/>
              <w:bottom w:val="single" w:sz="8" w:space="0" w:color="auto"/>
              <w:right w:val="nil"/>
            </w:tcBorders>
            <w:shd w:val="clear" w:color="000000" w:fill="FFFFFF"/>
            <w:noWrap/>
            <w:vAlign w:val="center"/>
            <w:hideMark/>
          </w:tcPr>
          <w:p w14:paraId="3D52385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$11.48</w:t>
            </w:r>
          </w:p>
        </w:tc>
        <w:tc>
          <w:tcPr>
            <w:tcW w:w="1418" w:type="dxa"/>
            <w:tcBorders>
              <w:top w:val="nil"/>
              <w:left w:val="nil"/>
              <w:bottom w:val="single" w:sz="8" w:space="0" w:color="auto"/>
              <w:right w:val="nil"/>
            </w:tcBorders>
            <w:shd w:val="clear" w:color="000000" w:fill="FFFFFF"/>
            <w:noWrap/>
            <w:vAlign w:val="center"/>
            <w:hideMark/>
          </w:tcPr>
          <w:p w14:paraId="16488B7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$11.26</w:t>
            </w:r>
          </w:p>
        </w:tc>
        <w:tc>
          <w:tcPr>
            <w:tcW w:w="1315" w:type="dxa"/>
            <w:tcBorders>
              <w:top w:val="nil"/>
              <w:left w:val="nil"/>
              <w:bottom w:val="single" w:sz="8" w:space="0" w:color="auto"/>
              <w:right w:val="nil"/>
            </w:tcBorders>
            <w:shd w:val="clear" w:color="000000" w:fill="FFFFFF"/>
            <w:noWrap/>
            <w:vAlign w:val="center"/>
            <w:hideMark/>
          </w:tcPr>
          <w:p w14:paraId="781B4BF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$11.45</w:t>
            </w:r>
          </w:p>
        </w:tc>
      </w:tr>
      <w:tr w:rsidR="00D24563" w:rsidRPr="00D24563" w14:paraId="48374A1B"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D5C0D7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internal</w:t>
            </w:r>
          </w:p>
        </w:tc>
        <w:tc>
          <w:tcPr>
            <w:tcW w:w="1418" w:type="dxa"/>
            <w:tcBorders>
              <w:top w:val="nil"/>
              <w:left w:val="nil"/>
              <w:bottom w:val="single" w:sz="8" w:space="0" w:color="auto"/>
              <w:right w:val="nil"/>
            </w:tcBorders>
            <w:shd w:val="clear" w:color="000000" w:fill="FFFFFF"/>
            <w:noWrap/>
            <w:vAlign w:val="center"/>
            <w:hideMark/>
          </w:tcPr>
          <w:p w14:paraId="5F7D12B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$0.21</w:t>
            </w:r>
          </w:p>
        </w:tc>
        <w:tc>
          <w:tcPr>
            <w:tcW w:w="1417" w:type="dxa"/>
            <w:tcBorders>
              <w:top w:val="nil"/>
              <w:left w:val="nil"/>
              <w:bottom w:val="single" w:sz="8" w:space="0" w:color="auto"/>
              <w:right w:val="nil"/>
            </w:tcBorders>
            <w:shd w:val="clear" w:color="000000" w:fill="FFFFFF"/>
            <w:noWrap/>
            <w:vAlign w:val="center"/>
            <w:hideMark/>
          </w:tcPr>
          <w:p w14:paraId="5C443F8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$1.85</w:t>
            </w:r>
          </w:p>
        </w:tc>
        <w:tc>
          <w:tcPr>
            <w:tcW w:w="1418" w:type="dxa"/>
            <w:tcBorders>
              <w:top w:val="nil"/>
              <w:left w:val="nil"/>
              <w:bottom w:val="single" w:sz="8" w:space="0" w:color="auto"/>
              <w:right w:val="nil"/>
            </w:tcBorders>
            <w:shd w:val="clear" w:color="000000" w:fill="FFFFFF"/>
            <w:noWrap/>
            <w:vAlign w:val="center"/>
            <w:hideMark/>
          </w:tcPr>
          <w:p w14:paraId="41456B8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$10.61</w:t>
            </w:r>
          </w:p>
        </w:tc>
        <w:tc>
          <w:tcPr>
            <w:tcW w:w="1315" w:type="dxa"/>
            <w:tcBorders>
              <w:top w:val="nil"/>
              <w:left w:val="nil"/>
              <w:bottom w:val="single" w:sz="8" w:space="0" w:color="auto"/>
              <w:right w:val="nil"/>
            </w:tcBorders>
            <w:shd w:val="clear" w:color="000000" w:fill="FFFFFF"/>
            <w:noWrap/>
            <w:vAlign w:val="center"/>
            <w:hideMark/>
          </w:tcPr>
          <w:p w14:paraId="1F3B7D0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$1.51</w:t>
            </w:r>
          </w:p>
        </w:tc>
      </w:tr>
      <w:tr w:rsidR="00D24563" w:rsidRPr="00D24563" w14:paraId="50170E39"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C22D73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outsourcing</w:t>
            </w:r>
          </w:p>
        </w:tc>
        <w:tc>
          <w:tcPr>
            <w:tcW w:w="1418" w:type="dxa"/>
            <w:tcBorders>
              <w:top w:val="nil"/>
              <w:left w:val="nil"/>
              <w:bottom w:val="single" w:sz="8" w:space="0" w:color="auto"/>
              <w:right w:val="nil"/>
            </w:tcBorders>
            <w:shd w:val="clear" w:color="000000" w:fill="FFFFFF"/>
            <w:noWrap/>
            <w:vAlign w:val="center"/>
            <w:hideMark/>
          </w:tcPr>
          <w:p w14:paraId="2FA7E21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$3.46</w:t>
            </w:r>
          </w:p>
        </w:tc>
        <w:tc>
          <w:tcPr>
            <w:tcW w:w="1417" w:type="dxa"/>
            <w:tcBorders>
              <w:top w:val="nil"/>
              <w:left w:val="nil"/>
              <w:bottom w:val="single" w:sz="8" w:space="0" w:color="auto"/>
              <w:right w:val="nil"/>
            </w:tcBorders>
            <w:shd w:val="clear" w:color="000000" w:fill="FFFFFF"/>
            <w:noWrap/>
            <w:vAlign w:val="center"/>
            <w:hideMark/>
          </w:tcPr>
          <w:p w14:paraId="5698E57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$5.12</w:t>
            </w:r>
          </w:p>
        </w:tc>
        <w:tc>
          <w:tcPr>
            <w:tcW w:w="1418" w:type="dxa"/>
            <w:tcBorders>
              <w:top w:val="nil"/>
              <w:left w:val="nil"/>
              <w:bottom w:val="single" w:sz="8" w:space="0" w:color="auto"/>
              <w:right w:val="nil"/>
            </w:tcBorders>
            <w:shd w:val="clear" w:color="000000" w:fill="FFFFFF"/>
            <w:noWrap/>
            <w:vAlign w:val="center"/>
            <w:hideMark/>
          </w:tcPr>
          <w:p w14:paraId="42A7FC0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$2.88</w:t>
            </w:r>
          </w:p>
        </w:tc>
        <w:tc>
          <w:tcPr>
            <w:tcW w:w="1315" w:type="dxa"/>
            <w:tcBorders>
              <w:top w:val="nil"/>
              <w:left w:val="nil"/>
              <w:bottom w:val="single" w:sz="8" w:space="0" w:color="auto"/>
              <w:right w:val="nil"/>
            </w:tcBorders>
            <w:shd w:val="clear" w:color="000000" w:fill="FFFFFF"/>
            <w:noWrap/>
            <w:vAlign w:val="center"/>
            <w:hideMark/>
          </w:tcPr>
          <w:p w14:paraId="417C13F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$4.38</w:t>
            </w:r>
          </w:p>
        </w:tc>
      </w:tr>
      <w:tr w:rsidR="00D24563" w:rsidRPr="00D24563" w14:paraId="00911C3B"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1F89879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catering expenses</w:t>
            </w:r>
          </w:p>
        </w:tc>
        <w:tc>
          <w:tcPr>
            <w:tcW w:w="1418" w:type="dxa"/>
            <w:tcBorders>
              <w:top w:val="nil"/>
              <w:left w:val="nil"/>
              <w:bottom w:val="single" w:sz="8" w:space="0" w:color="auto"/>
              <w:right w:val="nil"/>
            </w:tcBorders>
            <w:shd w:val="clear" w:color="000000" w:fill="D8DADA"/>
            <w:noWrap/>
            <w:vAlign w:val="center"/>
            <w:hideMark/>
          </w:tcPr>
          <w:p w14:paraId="7A23480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$35.05</w:t>
            </w:r>
          </w:p>
        </w:tc>
        <w:tc>
          <w:tcPr>
            <w:tcW w:w="1417" w:type="dxa"/>
            <w:tcBorders>
              <w:top w:val="nil"/>
              <w:left w:val="nil"/>
              <w:bottom w:val="single" w:sz="8" w:space="0" w:color="auto"/>
              <w:right w:val="nil"/>
            </w:tcBorders>
            <w:shd w:val="clear" w:color="000000" w:fill="D8DADA"/>
            <w:noWrap/>
            <w:vAlign w:val="center"/>
            <w:hideMark/>
          </w:tcPr>
          <w:p w14:paraId="368F19C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$37.69</w:t>
            </w:r>
          </w:p>
        </w:tc>
        <w:tc>
          <w:tcPr>
            <w:tcW w:w="1418" w:type="dxa"/>
            <w:tcBorders>
              <w:top w:val="nil"/>
              <w:left w:val="nil"/>
              <w:bottom w:val="single" w:sz="8" w:space="0" w:color="auto"/>
              <w:right w:val="nil"/>
            </w:tcBorders>
            <w:shd w:val="clear" w:color="000000" w:fill="D8DADA"/>
            <w:noWrap/>
            <w:vAlign w:val="center"/>
            <w:hideMark/>
          </w:tcPr>
          <w:p w14:paraId="2ADC83B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$51.61</w:t>
            </w:r>
          </w:p>
        </w:tc>
        <w:tc>
          <w:tcPr>
            <w:tcW w:w="1315" w:type="dxa"/>
            <w:tcBorders>
              <w:top w:val="nil"/>
              <w:left w:val="nil"/>
              <w:bottom w:val="single" w:sz="8" w:space="0" w:color="auto"/>
              <w:right w:val="nil"/>
            </w:tcBorders>
            <w:shd w:val="clear" w:color="000000" w:fill="D8DADA"/>
            <w:noWrap/>
            <w:vAlign w:val="center"/>
            <w:hideMark/>
          </w:tcPr>
          <w:p w14:paraId="68B4F11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$37.14</w:t>
            </w:r>
          </w:p>
        </w:tc>
      </w:tr>
      <w:tr w:rsidR="00D24563" w:rsidRPr="00D24563" w14:paraId="57B2C79C"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9F4AAF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Cleaning expenses</w:t>
            </w:r>
          </w:p>
        </w:tc>
        <w:tc>
          <w:tcPr>
            <w:tcW w:w="1418" w:type="dxa"/>
            <w:tcBorders>
              <w:top w:val="nil"/>
              <w:left w:val="nil"/>
              <w:bottom w:val="single" w:sz="8" w:space="0" w:color="auto"/>
              <w:right w:val="nil"/>
            </w:tcBorders>
            <w:shd w:val="clear" w:color="000000" w:fill="D8DADA"/>
            <w:noWrap/>
            <w:vAlign w:val="center"/>
            <w:hideMark/>
          </w:tcPr>
          <w:p w14:paraId="1A50CEE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291D75A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6A37D21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7A84E78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41F6FF9A"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00A093E7"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2B56AB6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$5.89</w:t>
            </w:r>
          </w:p>
        </w:tc>
        <w:tc>
          <w:tcPr>
            <w:tcW w:w="1417" w:type="dxa"/>
            <w:tcBorders>
              <w:top w:val="nil"/>
              <w:left w:val="nil"/>
              <w:bottom w:val="single" w:sz="8" w:space="0" w:color="auto"/>
              <w:right w:val="nil"/>
            </w:tcBorders>
            <w:shd w:val="clear" w:color="000000" w:fill="FFFFFF"/>
            <w:noWrap/>
            <w:vAlign w:val="center"/>
            <w:hideMark/>
          </w:tcPr>
          <w:p w14:paraId="36FB82B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$6.38</w:t>
            </w:r>
          </w:p>
        </w:tc>
        <w:tc>
          <w:tcPr>
            <w:tcW w:w="1418" w:type="dxa"/>
            <w:tcBorders>
              <w:top w:val="nil"/>
              <w:left w:val="nil"/>
              <w:bottom w:val="single" w:sz="8" w:space="0" w:color="auto"/>
              <w:right w:val="nil"/>
            </w:tcBorders>
            <w:shd w:val="clear" w:color="000000" w:fill="FFFFFF"/>
            <w:noWrap/>
            <w:vAlign w:val="center"/>
            <w:hideMark/>
          </w:tcPr>
          <w:p w14:paraId="69D3619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$14.95</w:t>
            </w:r>
          </w:p>
        </w:tc>
        <w:tc>
          <w:tcPr>
            <w:tcW w:w="1315" w:type="dxa"/>
            <w:tcBorders>
              <w:top w:val="nil"/>
              <w:left w:val="nil"/>
              <w:bottom w:val="single" w:sz="8" w:space="0" w:color="auto"/>
              <w:right w:val="nil"/>
            </w:tcBorders>
            <w:shd w:val="clear" w:color="000000" w:fill="FFFFFF"/>
            <w:noWrap/>
            <w:vAlign w:val="center"/>
            <w:hideMark/>
          </w:tcPr>
          <w:p w14:paraId="6D53C69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$6.49</w:t>
            </w:r>
          </w:p>
        </w:tc>
      </w:tr>
      <w:tr w:rsidR="00D24563" w:rsidRPr="00D24563" w14:paraId="2413DB9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BB881F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Consumables</w:t>
            </w:r>
          </w:p>
        </w:tc>
        <w:tc>
          <w:tcPr>
            <w:tcW w:w="1418" w:type="dxa"/>
            <w:tcBorders>
              <w:top w:val="nil"/>
              <w:left w:val="nil"/>
              <w:bottom w:val="single" w:sz="8" w:space="0" w:color="auto"/>
              <w:right w:val="nil"/>
            </w:tcBorders>
            <w:shd w:val="clear" w:color="000000" w:fill="FFFFFF"/>
            <w:noWrap/>
            <w:vAlign w:val="center"/>
            <w:hideMark/>
          </w:tcPr>
          <w:p w14:paraId="305E1A4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$1.51</w:t>
            </w:r>
          </w:p>
        </w:tc>
        <w:tc>
          <w:tcPr>
            <w:tcW w:w="1417" w:type="dxa"/>
            <w:tcBorders>
              <w:top w:val="nil"/>
              <w:left w:val="nil"/>
              <w:bottom w:val="single" w:sz="8" w:space="0" w:color="auto"/>
              <w:right w:val="nil"/>
            </w:tcBorders>
            <w:shd w:val="clear" w:color="000000" w:fill="FFFFFF"/>
            <w:noWrap/>
            <w:vAlign w:val="center"/>
            <w:hideMark/>
          </w:tcPr>
          <w:p w14:paraId="2523B95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$1.66</w:t>
            </w:r>
          </w:p>
        </w:tc>
        <w:tc>
          <w:tcPr>
            <w:tcW w:w="1418" w:type="dxa"/>
            <w:tcBorders>
              <w:top w:val="nil"/>
              <w:left w:val="nil"/>
              <w:bottom w:val="single" w:sz="8" w:space="0" w:color="auto"/>
              <w:right w:val="nil"/>
            </w:tcBorders>
            <w:shd w:val="clear" w:color="000000" w:fill="FFFFFF"/>
            <w:noWrap/>
            <w:vAlign w:val="center"/>
            <w:hideMark/>
          </w:tcPr>
          <w:p w14:paraId="668A0F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$2.34</w:t>
            </w:r>
          </w:p>
        </w:tc>
        <w:tc>
          <w:tcPr>
            <w:tcW w:w="1315" w:type="dxa"/>
            <w:tcBorders>
              <w:top w:val="nil"/>
              <w:left w:val="nil"/>
              <w:bottom w:val="single" w:sz="8" w:space="0" w:color="auto"/>
              <w:right w:val="nil"/>
            </w:tcBorders>
            <w:shd w:val="clear" w:color="000000" w:fill="FFFFFF"/>
            <w:noWrap/>
            <w:vAlign w:val="center"/>
            <w:hideMark/>
          </w:tcPr>
          <w:p w14:paraId="597CCEB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$1.62</w:t>
            </w:r>
          </w:p>
        </w:tc>
      </w:tr>
      <w:tr w:rsidR="00D24563" w:rsidRPr="00D24563" w14:paraId="393DB695"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8DCDD4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internal</w:t>
            </w:r>
          </w:p>
        </w:tc>
        <w:tc>
          <w:tcPr>
            <w:tcW w:w="1418" w:type="dxa"/>
            <w:tcBorders>
              <w:top w:val="nil"/>
              <w:left w:val="nil"/>
              <w:bottom w:val="single" w:sz="8" w:space="0" w:color="auto"/>
              <w:right w:val="nil"/>
            </w:tcBorders>
            <w:shd w:val="clear" w:color="000000" w:fill="FFFFFF"/>
            <w:noWrap/>
            <w:vAlign w:val="center"/>
            <w:hideMark/>
          </w:tcPr>
          <w:p w14:paraId="3C22561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417" w:type="dxa"/>
            <w:tcBorders>
              <w:top w:val="nil"/>
              <w:left w:val="nil"/>
              <w:bottom w:val="single" w:sz="8" w:space="0" w:color="auto"/>
              <w:right w:val="nil"/>
            </w:tcBorders>
            <w:shd w:val="clear" w:color="000000" w:fill="FFFFFF"/>
            <w:noWrap/>
            <w:vAlign w:val="center"/>
            <w:hideMark/>
          </w:tcPr>
          <w:p w14:paraId="0C4EAED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$0.11</w:t>
            </w:r>
          </w:p>
        </w:tc>
        <w:tc>
          <w:tcPr>
            <w:tcW w:w="1418" w:type="dxa"/>
            <w:tcBorders>
              <w:top w:val="nil"/>
              <w:left w:val="nil"/>
              <w:bottom w:val="single" w:sz="8" w:space="0" w:color="auto"/>
              <w:right w:val="nil"/>
            </w:tcBorders>
            <w:shd w:val="clear" w:color="000000" w:fill="FFFFFF"/>
            <w:noWrap/>
            <w:vAlign w:val="center"/>
            <w:hideMark/>
          </w:tcPr>
          <w:p w14:paraId="419738B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$4.15</w:t>
            </w:r>
          </w:p>
        </w:tc>
        <w:tc>
          <w:tcPr>
            <w:tcW w:w="1315" w:type="dxa"/>
            <w:tcBorders>
              <w:top w:val="nil"/>
              <w:left w:val="nil"/>
              <w:bottom w:val="single" w:sz="8" w:space="0" w:color="auto"/>
              <w:right w:val="nil"/>
            </w:tcBorders>
            <w:shd w:val="clear" w:color="000000" w:fill="FFFFFF"/>
            <w:noWrap/>
            <w:vAlign w:val="center"/>
            <w:hideMark/>
          </w:tcPr>
          <w:p w14:paraId="6166A10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$0.22</w:t>
            </w:r>
          </w:p>
        </w:tc>
      </w:tr>
      <w:tr w:rsidR="00D24563" w:rsidRPr="00D24563" w14:paraId="7F9DA1C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F924ED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outsourcing</w:t>
            </w:r>
          </w:p>
        </w:tc>
        <w:tc>
          <w:tcPr>
            <w:tcW w:w="1418" w:type="dxa"/>
            <w:tcBorders>
              <w:top w:val="nil"/>
              <w:left w:val="nil"/>
              <w:bottom w:val="single" w:sz="8" w:space="0" w:color="auto"/>
              <w:right w:val="nil"/>
            </w:tcBorders>
            <w:shd w:val="clear" w:color="000000" w:fill="FFFFFF"/>
            <w:noWrap/>
            <w:vAlign w:val="center"/>
            <w:hideMark/>
          </w:tcPr>
          <w:p w14:paraId="7AE675D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$1.87</w:t>
            </w:r>
          </w:p>
        </w:tc>
        <w:tc>
          <w:tcPr>
            <w:tcW w:w="1417" w:type="dxa"/>
            <w:tcBorders>
              <w:top w:val="nil"/>
              <w:left w:val="nil"/>
              <w:bottom w:val="single" w:sz="8" w:space="0" w:color="auto"/>
              <w:right w:val="nil"/>
            </w:tcBorders>
            <w:shd w:val="clear" w:color="000000" w:fill="FFFFFF"/>
            <w:noWrap/>
            <w:vAlign w:val="center"/>
            <w:hideMark/>
          </w:tcPr>
          <w:p w14:paraId="7644026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$2.82</w:t>
            </w:r>
          </w:p>
        </w:tc>
        <w:tc>
          <w:tcPr>
            <w:tcW w:w="1418" w:type="dxa"/>
            <w:tcBorders>
              <w:top w:val="nil"/>
              <w:left w:val="nil"/>
              <w:bottom w:val="single" w:sz="8" w:space="0" w:color="auto"/>
              <w:right w:val="nil"/>
            </w:tcBorders>
            <w:shd w:val="clear" w:color="000000" w:fill="FFFFFF"/>
            <w:noWrap/>
            <w:vAlign w:val="center"/>
            <w:hideMark/>
          </w:tcPr>
          <w:p w14:paraId="2A1E5F3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$1.36</w:t>
            </w:r>
          </w:p>
        </w:tc>
        <w:tc>
          <w:tcPr>
            <w:tcW w:w="1315" w:type="dxa"/>
            <w:tcBorders>
              <w:top w:val="nil"/>
              <w:left w:val="nil"/>
              <w:bottom w:val="single" w:sz="8" w:space="0" w:color="auto"/>
              <w:right w:val="nil"/>
            </w:tcBorders>
            <w:shd w:val="clear" w:color="000000" w:fill="FFFFFF"/>
            <w:noWrap/>
            <w:vAlign w:val="center"/>
            <w:hideMark/>
          </w:tcPr>
          <w:p w14:paraId="6A37F42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$2.40</w:t>
            </w:r>
          </w:p>
        </w:tc>
      </w:tr>
      <w:tr w:rsidR="00D24563" w:rsidRPr="00D24563" w14:paraId="4BE4B257"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D55336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cleaning expenses</w:t>
            </w:r>
          </w:p>
        </w:tc>
        <w:tc>
          <w:tcPr>
            <w:tcW w:w="1418" w:type="dxa"/>
            <w:tcBorders>
              <w:top w:val="nil"/>
              <w:left w:val="nil"/>
              <w:bottom w:val="single" w:sz="8" w:space="0" w:color="auto"/>
              <w:right w:val="nil"/>
            </w:tcBorders>
            <w:shd w:val="clear" w:color="000000" w:fill="D8DADA"/>
            <w:noWrap/>
            <w:vAlign w:val="center"/>
            <w:hideMark/>
          </w:tcPr>
          <w:p w14:paraId="28A2C37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$9.30</w:t>
            </w:r>
          </w:p>
        </w:tc>
        <w:tc>
          <w:tcPr>
            <w:tcW w:w="1417" w:type="dxa"/>
            <w:tcBorders>
              <w:top w:val="nil"/>
              <w:left w:val="nil"/>
              <w:bottom w:val="single" w:sz="8" w:space="0" w:color="auto"/>
              <w:right w:val="nil"/>
            </w:tcBorders>
            <w:shd w:val="clear" w:color="000000" w:fill="D8DADA"/>
            <w:noWrap/>
            <w:vAlign w:val="center"/>
            <w:hideMark/>
          </w:tcPr>
          <w:p w14:paraId="0731E1DC"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$10.96</w:t>
            </w:r>
          </w:p>
        </w:tc>
        <w:tc>
          <w:tcPr>
            <w:tcW w:w="1418" w:type="dxa"/>
            <w:tcBorders>
              <w:top w:val="nil"/>
              <w:left w:val="nil"/>
              <w:bottom w:val="single" w:sz="8" w:space="0" w:color="auto"/>
              <w:right w:val="nil"/>
            </w:tcBorders>
            <w:shd w:val="clear" w:color="000000" w:fill="D8DADA"/>
            <w:noWrap/>
            <w:vAlign w:val="center"/>
            <w:hideMark/>
          </w:tcPr>
          <w:p w14:paraId="1FB273C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$22.81</w:t>
            </w:r>
          </w:p>
        </w:tc>
        <w:tc>
          <w:tcPr>
            <w:tcW w:w="1315" w:type="dxa"/>
            <w:tcBorders>
              <w:top w:val="nil"/>
              <w:left w:val="nil"/>
              <w:bottom w:val="single" w:sz="8" w:space="0" w:color="auto"/>
              <w:right w:val="nil"/>
            </w:tcBorders>
            <w:shd w:val="clear" w:color="000000" w:fill="D8DADA"/>
            <w:noWrap/>
            <w:vAlign w:val="center"/>
            <w:hideMark/>
          </w:tcPr>
          <w:p w14:paraId="1C10CF1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$10.72</w:t>
            </w:r>
          </w:p>
        </w:tc>
      </w:tr>
      <w:tr w:rsidR="00D24563" w:rsidRPr="00D24563" w14:paraId="01F2EDD9"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1F9A946A"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Laundry expenses</w:t>
            </w:r>
          </w:p>
        </w:tc>
        <w:tc>
          <w:tcPr>
            <w:tcW w:w="1418" w:type="dxa"/>
            <w:tcBorders>
              <w:top w:val="nil"/>
              <w:left w:val="nil"/>
              <w:bottom w:val="single" w:sz="8" w:space="0" w:color="auto"/>
              <w:right w:val="nil"/>
            </w:tcBorders>
            <w:shd w:val="clear" w:color="000000" w:fill="D8DADA"/>
            <w:noWrap/>
            <w:vAlign w:val="center"/>
            <w:hideMark/>
          </w:tcPr>
          <w:p w14:paraId="083C741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123D3D3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526231A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1C18E41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56BF93A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F9B46B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62F5C79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$2.93</w:t>
            </w:r>
          </w:p>
        </w:tc>
        <w:tc>
          <w:tcPr>
            <w:tcW w:w="1417" w:type="dxa"/>
            <w:tcBorders>
              <w:top w:val="nil"/>
              <w:left w:val="nil"/>
              <w:bottom w:val="single" w:sz="8" w:space="0" w:color="auto"/>
              <w:right w:val="nil"/>
            </w:tcBorders>
            <w:shd w:val="clear" w:color="000000" w:fill="FFFFFF"/>
            <w:noWrap/>
            <w:vAlign w:val="center"/>
            <w:hideMark/>
          </w:tcPr>
          <w:p w14:paraId="09F77B5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$2.54</w:t>
            </w:r>
          </w:p>
        </w:tc>
        <w:tc>
          <w:tcPr>
            <w:tcW w:w="1418" w:type="dxa"/>
            <w:tcBorders>
              <w:top w:val="nil"/>
              <w:left w:val="nil"/>
              <w:bottom w:val="single" w:sz="8" w:space="0" w:color="auto"/>
              <w:right w:val="nil"/>
            </w:tcBorders>
            <w:shd w:val="clear" w:color="000000" w:fill="FFFFFF"/>
            <w:noWrap/>
            <w:vAlign w:val="center"/>
            <w:hideMark/>
          </w:tcPr>
          <w:p w14:paraId="7642D5D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$3.04</w:t>
            </w:r>
          </w:p>
        </w:tc>
        <w:tc>
          <w:tcPr>
            <w:tcW w:w="1315" w:type="dxa"/>
            <w:tcBorders>
              <w:top w:val="nil"/>
              <w:left w:val="nil"/>
              <w:bottom w:val="single" w:sz="8" w:space="0" w:color="auto"/>
              <w:right w:val="nil"/>
            </w:tcBorders>
            <w:shd w:val="clear" w:color="000000" w:fill="FFFFFF"/>
            <w:noWrap/>
            <w:vAlign w:val="center"/>
            <w:hideMark/>
          </w:tcPr>
          <w:p w14:paraId="7D12D69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$2.71</w:t>
            </w:r>
          </w:p>
        </w:tc>
      </w:tr>
      <w:tr w:rsidR="00D24563" w:rsidRPr="00D24563" w14:paraId="43D7B01F"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E90796A"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Consumables</w:t>
            </w:r>
          </w:p>
        </w:tc>
        <w:tc>
          <w:tcPr>
            <w:tcW w:w="1418" w:type="dxa"/>
            <w:tcBorders>
              <w:top w:val="nil"/>
              <w:left w:val="nil"/>
              <w:bottom w:val="single" w:sz="8" w:space="0" w:color="auto"/>
              <w:right w:val="nil"/>
            </w:tcBorders>
            <w:shd w:val="clear" w:color="000000" w:fill="FFFFFF"/>
            <w:noWrap/>
            <w:vAlign w:val="center"/>
            <w:hideMark/>
          </w:tcPr>
          <w:p w14:paraId="578E81C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$0.59</w:t>
            </w:r>
          </w:p>
        </w:tc>
        <w:tc>
          <w:tcPr>
            <w:tcW w:w="1417" w:type="dxa"/>
            <w:tcBorders>
              <w:top w:val="nil"/>
              <w:left w:val="nil"/>
              <w:bottom w:val="single" w:sz="8" w:space="0" w:color="auto"/>
              <w:right w:val="nil"/>
            </w:tcBorders>
            <w:shd w:val="clear" w:color="000000" w:fill="FFFFFF"/>
            <w:noWrap/>
            <w:vAlign w:val="center"/>
            <w:hideMark/>
          </w:tcPr>
          <w:p w14:paraId="1115272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$0.52</w:t>
            </w:r>
          </w:p>
        </w:tc>
        <w:tc>
          <w:tcPr>
            <w:tcW w:w="1418" w:type="dxa"/>
            <w:tcBorders>
              <w:top w:val="nil"/>
              <w:left w:val="nil"/>
              <w:bottom w:val="single" w:sz="8" w:space="0" w:color="auto"/>
              <w:right w:val="nil"/>
            </w:tcBorders>
            <w:shd w:val="clear" w:color="000000" w:fill="FFFFFF"/>
            <w:noWrap/>
            <w:vAlign w:val="center"/>
            <w:hideMark/>
          </w:tcPr>
          <w:p w14:paraId="738AD82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$0.48</w:t>
            </w:r>
          </w:p>
        </w:tc>
        <w:tc>
          <w:tcPr>
            <w:tcW w:w="1315" w:type="dxa"/>
            <w:tcBorders>
              <w:top w:val="nil"/>
              <w:left w:val="nil"/>
              <w:bottom w:val="single" w:sz="8" w:space="0" w:color="auto"/>
              <w:right w:val="nil"/>
            </w:tcBorders>
            <w:shd w:val="clear" w:color="000000" w:fill="FFFFFF"/>
            <w:noWrap/>
            <w:vAlign w:val="center"/>
            <w:hideMark/>
          </w:tcPr>
          <w:p w14:paraId="3094499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$0.55</w:t>
            </w:r>
          </w:p>
        </w:tc>
      </w:tr>
      <w:tr w:rsidR="00D24563" w:rsidRPr="00D24563" w14:paraId="63107C9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48C6AA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internal</w:t>
            </w:r>
          </w:p>
        </w:tc>
        <w:tc>
          <w:tcPr>
            <w:tcW w:w="1418" w:type="dxa"/>
            <w:tcBorders>
              <w:top w:val="nil"/>
              <w:left w:val="nil"/>
              <w:bottom w:val="single" w:sz="8" w:space="0" w:color="auto"/>
              <w:right w:val="nil"/>
            </w:tcBorders>
            <w:shd w:val="clear" w:color="000000" w:fill="FFFFFF"/>
            <w:noWrap/>
            <w:vAlign w:val="center"/>
            <w:hideMark/>
          </w:tcPr>
          <w:p w14:paraId="59E571B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$0.10</w:t>
            </w:r>
          </w:p>
        </w:tc>
        <w:tc>
          <w:tcPr>
            <w:tcW w:w="1417" w:type="dxa"/>
            <w:tcBorders>
              <w:top w:val="nil"/>
              <w:left w:val="nil"/>
              <w:bottom w:val="single" w:sz="8" w:space="0" w:color="auto"/>
              <w:right w:val="nil"/>
            </w:tcBorders>
            <w:shd w:val="clear" w:color="000000" w:fill="FFFFFF"/>
            <w:noWrap/>
            <w:vAlign w:val="center"/>
            <w:hideMark/>
          </w:tcPr>
          <w:p w14:paraId="524992B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$0.26</w:t>
            </w:r>
          </w:p>
        </w:tc>
        <w:tc>
          <w:tcPr>
            <w:tcW w:w="1418" w:type="dxa"/>
            <w:tcBorders>
              <w:top w:val="nil"/>
              <w:left w:val="nil"/>
              <w:bottom w:val="single" w:sz="8" w:space="0" w:color="auto"/>
              <w:right w:val="nil"/>
            </w:tcBorders>
            <w:shd w:val="clear" w:color="000000" w:fill="FFFFFF"/>
            <w:noWrap/>
            <w:vAlign w:val="center"/>
            <w:hideMark/>
          </w:tcPr>
          <w:p w14:paraId="6B8F3B2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$1.66</w:t>
            </w:r>
          </w:p>
        </w:tc>
        <w:tc>
          <w:tcPr>
            <w:tcW w:w="1315" w:type="dxa"/>
            <w:tcBorders>
              <w:top w:val="nil"/>
              <w:left w:val="nil"/>
              <w:bottom w:val="single" w:sz="8" w:space="0" w:color="auto"/>
              <w:right w:val="nil"/>
            </w:tcBorders>
            <w:shd w:val="clear" w:color="000000" w:fill="FFFFFF"/>
            <w:noWrap/>
            <w:vAlign w:val="center"/>
            <w:hideMark/>
          </w:tcPr>
          <w:p w14:paraId="70DCD62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$0.25</w:t>
            </w:r>
          </w:p>
        </w:tc>
      </w:tr>
      <w:tr w:rsidR="00D24563" w:rsidRPr="00D24563" w14:paraId="0A7DF54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A88B8C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outsourcing</w:t>
            </w:r>
          </w:p>
        </w:tc>
        <w:tc>
          <w:tcPr>
            <w:tcW w:w="1418" w:type="dxa"/>
            <w:tcBorders>
              <w:top w:val="nil"/>
              <w:left w:val="nil"/>
              <w:bottom w:val="single" w:sz="8" w:space="0" w:color="auto"/>
              <w:right w:val="nil"/>
            </w:tcBorders>
            <w:shd w:val="clear" w:color="000000" w:fill="FFFFFF"/>
            <w:noWrap/>
            <w:vAlign w:val="center"/>
            <w:hideMark/>
          </w:tcPr>
          <w:p w14:paraId="3A2455F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$0.75</w:t>
            </w:r>
          </w:p>
        </w:tc>
        <w:tc>
          <w:tcPr>
            <w:tcW w:w="1417" w:type="dxa"/>
            <w:tcBorders>
              <w:top w:val="nil"/>
              <w:left w:val="nil"/>
              <w:bottom w:val="single" w:sz="8" w:space="0" w:color="auto"/>
              <w:right w:val="nil"/>
            </w:tcBorders>
            <w:shd w:val="clear" w:color="000000" w:fill="FFFFFF"/>
            <w:noWrap/>
            <w:vAlign w:val="center"/>
            <w:hideMark/>
          </w:tcPr>
          <w:p w14:paraId="1F02079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$1.30</w:t>
            </w:r>
          </w:p>
        </w:tc>
        <w:tc>
          <w:tcPr>
            <w:tcW w:w="1418" w:type="dxa"/>
            <w:tcBorders>
              <w:top w:val="nil"/>
              <w:left w:val="nil"/>
              <w:bottom w:val="single" w:sz="8" w:space="0" w:color="auto"/>
              <w:right w:val="nil"/>
            </w:tcBorders>
            <w:shd w:val="clear" w:color="000000" w:fill="FFFFFF"/>
            <w:noWrap/>
            <w:vAlign w:val="center"/>
            <w:hideMark/>
          </w:tcPr>
          <w:p w14:paraId="2BEA348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$2.81</w:t>
            </w:r>
          </w:p>
        </w:tc>
        <w:tc>
          <w:tcPr>
            <w:tcW w:w="1315" w:type="dxa"/>
            <w:tcBorders>
              <w:top w:val="nil"/>
              <w:left w:val="nil"/>
              <w:bottom w:val="single" w:sz="8" w:space="0" w:color="auto"/>
              <w:right w:val="nil"/>
            </w:tcBorders>
            <w:shd w:val="clear" w:color="000000" w:fill="FFFFFF"/>
            <w:noWrap/>
            <w:vAlign w:val="center"/>
            <w:hideMark/>
          </w:tcPr>
          <w:p w14:paraId="52EDDE8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$1.14</w:t>
            </w:r>
          </w:p>
        </w:tc>
      </w:tr>
      <w:tr w:rsidR="00D24563" w:rsidRPr="00D24563" w14:paraId="04B59104"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1D3836CF"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laundry expenses</w:t>
            </w:r>
          </w:p>
        </w:tc>
        <w:tc>
          <w:tcPr>
            <w:tcW w:w="1418" w:type="dxa"/>
            <w:tcBorders>
              <w:top w:val="nil"/>
              <w:left w:val="nil"/>
              <w:bottom w:val="single" w:sz="8" w:space="0" w:color="auto"/>
              <w:right w:val="nil"/>
            </w:tcBorders>
            <w:shd w:val="clear" w:color="000000" w:fill="D8DADA"/>
            <w:noWrap/>
            <w:vAlign w:val="center"/>
            <w:hideMark/>
          </w:tcPr>
          <w:p w14:paraId="109B60A5"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$4.37</w:t>
            </w:r>
          </w:p>
        </w:tc>
        <w:tc>
          <w:tcPr>
            <w:tcW w:w="1417" w:type="dxa"/>
            <w:tcBorders>
              <w:top w:val="nil"/>
              <w:left w:val="nil"/>
              <w:bottom w:val="single" w:sz="8" w:space="0" w:color="auto"/>
              <w:right w:val="nil"/>
            </w:tcBorders>
            <w:shd w:val="clear" w:color="000000" w:fill="D8DADA"/>
            <w:noWrap/>
            <w:vAlign w:val="center"/>
            <w:hideMark/>
          </w:tcPr>
          <w:p w14:paraId="33D74B5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$4.63</w:t>
            </w:r>
          </w:p>
        </w:tc>
        <w:tc>
          <w:tcPr>
            <w:tcW w:w="1418" w:type="dxa"/>
            <w:tcBorders>
              <w:top w:val="nil"/>
              <w:left w:val="nil"/>
              <w:bottom w:val="single" w:sz="8" w:space="0" w:color="auto"/>
              <w:right w:val="nil"/>
            </w:tcBorders>
            <w:shd w:val="clear" w:color="000000" w:fill="D8DADA"/>
            <w:noWrap/>
            <w:vAlign w:val="center"/>
            <w:hideMark/>
          </w:tcPr>
          <w:p w14:paraId="65715729"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$8.00</w:t>
            </w:r>
          </w:p>
        </w:tc>
        <w:tc>
          <w:tcPr>
            <w:tcW w:w="1315" w:type="dxa"/>
            <w:tcBorders>
              <w:top w:val="nil"/>
              <w:left w:val="nil"/>
              <w:bottom w:val="single" w:sz="8" w:space="0" w:color="auto"/>
              <w:right w:val="nil"/>
            </w:tcBorders>
            <w:shd w:val="clear" w:color="000000" w:fill="D8DADA"/>
            <w:noWrap/>
            <w:vAlign w:val="center"/>
            <w:hideMark/>
          </w:tcPr>
          <w:p w14:paraId="4829BFF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$4.64</w:t>
            </w:r>
          </w:p>
        </w:tc>
      </w:tr>
      <w:tr w:rsidR="00D24563" w:rsidRPr="00D24563" w14:paraId="1F054C9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48901B9"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Utilities</w:t>
            </w:r>
          </w:p>
        </w:tc>
        <w:tc>
          <w:tcPr>
            <w:tcW w:w="1418" w:type="dxa"/>
            <w:tcBorders>
              <w:top w:val="nil"/>
              <w:left w:val="nil"/>
              <w:bottom w:val="single" w:sz="8" w:space="0" w:color="auto"/>
              <w:right w:val="nil"/>
            </w:tcBorders>
            <w:shd w:val="clear" w:color="000000" w:fill="FFFFFF"/>
            <w:noWrap/>
            <w:vAlign w:val="center"/>
            <w:hideMark/>
          </w:tcPr>
          <w:p w14:paraId="5713E3A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$7.18</w:t>
            </w:r>
          </w:p>
        </w:tc>
        <w:tc>
          <w:tcPr>
            <w:tcW w:w="1417" w:type="dxa"/>
            <w:tcBorders>
              <w:top w:val="nil"/>
              <w:left w:val="nil"/>
              <w:bottom w:val="single" w:sz="8" w:space="0" w:color="auto"/>
              <w:right w:val="nil"/>
            </w:tcBorders>
            <w:shd w:val="clear" w:color="000000" w:fill="FFFFFF"/>
            <w:noWrap/>
            <w:vAlign w:val="center"/>
            <w:hideMark/>
          </w:tcPr>
          <w:p w14:paraId="3112835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$7.39</w:t>
            </w:r>
          </w:p>
        </w:tc>
        <w:tc>
          <w:tcPr>
            <w:tcW w:w="1418" w:type="dxa"/>
            <w:tcBorders>
              <w:top w:val="nil"/>
              <w:left w:val="nil"/>
              <w:bottom w:val="single" w:sz="8" w:space="0" w:color="auto"/>
              <w:right w:val="nil"/>
            </w:tcBorders>
            <w:shd w:val="clear" w:color="000000" w:fill="FFFFFF"/>
            <w:noWrap/>
            <w:vAlign w:val="center"/>
            <w:hideMark/>
          </w:tcPr>
          <w:p w14:paraId="2E46A25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$7.35</w:t>
            </w:r>
          </w:p>
        </w:tc>
        <w:tc>
          <w:tcPr>
            <w:tcW w:w="1315" w:type="dxa"/>
            <w:tcBorders>
              <w:top w:val="nil"/>
              <w:left w:val="nil"/>
              <w:bottom w:val="single" w:sz="8" w:space="0" w:color="auto"/>
              <w:right w:val="nil"/>
            </w:tcBorders>
            <w:shd w:val="clear" w:color="000000" w:fill="FFFFFF"/>
            <w:noWrap/>
            <w:vAlign w:val="center"/>
            <w:hideMark/>
          </w:tcPr>
          <w:p w14:paraId="66CE9A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$7.30</w:t>
            </w:r>
          </w:p>
        </w:tc>
      </w:tr>
      <w:tr w:rsidR="00D24563" w:rsidRPr="00D24563" w14:paraId="57B3C5BE"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958E08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Motor vehicle expenses</w:t>
            </w:r>
          </w:p>
        </w:tc>
        <w:tc>
          <w:tcPr>
            <w:tcW w:w="1418" w:type="dxa"/>
            <w:tcBorders>
              <w:top w:val="nil"/>
              <w:left w:val="nil"/>
              <w:bottom w:val="single" w:sz="8" w:space="0" w:color="auto"/>
              <w:right w:val="nil"/>
            </w:tcBorders>
            <w:shd w:val="clear" w:color="000000" w:fill="FFFFFF"/>
            <w:noWrap/>
            <w:vAlign w:val="center"/>
            <w:hideMark/>
          </w:tcPr>
          <w:p w14:paraId="51AB5FE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$0.14</w:t>
            </w:r>
          </w:p>
        </w:tc>
        <w:tc>
          <w:tcPr>
            <w:tcW w:w="1417" w:type="dxa"/>
            <w:tcBorders>
              <w:top w:val="nil"/>
              <w:left w:val="nil"/>
              <w:bottom w:val="single" w:sz="8" w:space="0" w:color="auto"/>
              <w:right w:val="nil"/>
            </w:tcBorders>
            <w:shd w:val="clear" w:color="000000" w:fill="FFFFFF"/>
            <w:noWrap/>
            <w:vAlign w:val="center"/>
            <w:hideMark/>
          </w:tcPr>
          <w:p w14:paraId="368C1E1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$0.36</w:t>
            </w:r>
          </w:p>
        </w:tc>
        <w:tc>
          <w:tcPr>
            <w:tcW w:w="1418" w:type="dxa"/>
            <w:tcBorders>
              <w:top w:val="nil"/>
              <w:left w:val="nil"/>
              <w:bottom w:val="single" w:sz="8" w:space="0" w:color="auto"/>
              <w:right w:val="nil"/>
            </w:tcBorders>
            <w:shd w:val="clear" w:color="000000" w:fill="FFFFFF"/>
            <w:noWrap/>
            <w:vAlign w:val="center"/>
            <w:hideMark/>
          </w:tcPr>
          <w:p w14:paraId="386ABF5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$0.46</w:t>
            </w:r>
          </w:p>
        </w:tc>
        <w:tc>
          <w:tcPr>
            <w:tcW w:w="1315" w:type="dxa"/>
            <w:tcBorders>
              <w:top w:val="nil"/>
              <w:left w:val="nil"/>
              <w:bottom w:val="single" w:sz="8" w:space="0" w:color="auto"/>
              <w:right w:val="nil"/>
            </w:tcBorders>
            <w:shd w:val="clear" w:color="000000" w:fill="FFFFFF"/>
            <w:noWrap/>
            <w:vAlign w:val="center"/>
            <w:hideMark/>
          </w:tcPr>
          <w:p w14:paraId="723AE01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$0.28</w:t>
            </w:r>
          </w:p>
        </w:tc>
      </w:tr>
      <w:tr w:rsidR="00D24563" w:rsidRPr="00D24563" w14:paraId="78E56DCC"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6B5FFB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Other hotel expenses</w:t>
            </w:r>
          </w:p>
        </w:tc>
        <w:tc>
          <w:tcPr>
            <w:tcW w:w="1418" w:type="dxa"/>
            <w:tcBorders>
              <w:top w:val="nil"/>
              <w:left w:val="nil"/>
              <w:bottom w:val="single" w:sz="8" w:space="0" w:color="auto"/>
              <w:right w:val="nil"/>
            </w:tcBorders>
            <w:shd w:val="clear" w:color="000000" w:fill="D8DADA"/>
            <w:noWrap/>
            <w:vAlign w:val="center"/>
            <w:hideMark/>
          </w:tcPr>
          <w:p w14:paraId="2F20B6D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15137DB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27CAE259"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2D5A366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2FB25AB0"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14B2124A"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Workcover premium (hotel services employee labour)</w:t>
            </w:r>
          </w:p>
        </w:tc>
        <w:tc>
          <w:tcPr>
            <w:tcW w:w="1418" w:type="dxa"/>
            <w:tcBorders>
              <w:top w:val="nil"/>
              <w:left w:val="nil"/>
              <w:bottom w:val="single" w:sz="8" w:space="0" w:color="auto"/>
              <w:right w:val="nil"/>
            </w:tcBorders>
            <w:shd w:val="clear" w:color="000000" w:fill="FFFFFF"/>
            <w:noWrap/>
            <w:vAlign w:val="center"/>
            <w:hideMark/>
          </w:tcPr>
          <w:p w14:paraId="0E74590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$0.59</w:t>
            </w:r>
          </w:p>
        </w:tc>
        <w:tc>
          <w:tcPr>
            <w:tcW w:w="1417" w:type="dxa"/>
            <w:tcBorders>
              <w:top w:val="nil"/>
              <w:left w:val="nil"/>
              <w:bottom w:val="single" w:sz="8" w:space="0" w:color="auto"/>
              <w:right w:val="nil"/>
            </w:tcBorders>
            <w:shd w:val="clear" w:color="000000" w:fill="FFFFFF"/>
            <w:noWrap/>
            <w:vAlign w:val="center"/>
            <w:hideMark/>
          </w:tcPr>
          <w:p w14:paraId="2087571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$0.68</w:t>
            </w:r>
          </w:p>
        </w:tc>
        <w:tc>
          <w:tcPr>
            <w:tcW w:w="1418" w:type="dxa"/>
            <w:tcBorders>
              <w:top w:val="nil"/>
              <w:left w:val="nil"/>
              <w:bottom w:val="single" w:sz="8" w:space="0" w:color="auto"/>
              <w:right w:val="nil"/>
            </w:tcBorders>
            <w:shd w:val="clear" w:color="000000" w:fill="FFFFFF"/>
            <w:noWrap/>
            <w:vAlign w:val="center"/>
            <w:hideMark/>
          </w:tcPr>
          <w:p w14:paraId="03245A5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$0.46</w:t>
            </w:r>
          </w:p>
        </w:tc>
        <w:tc>
          <w:tcPr>
            <w:tcW w:w="1315" w:type="dxa"/>
            <w:tcBorders>
              <w:top w:val="nil"/>
              <w:left w:val="nil"/>
              <w:bottom w:val="single" w:sz="8" w:space="0" w:color="auto"/>
              <w:right w:val="nil"/>
            </w:tcBorders>
            <w:shd w:val="clear" w:color="000000" w:fill="FFFFFF"/>
            <w:noWrap/>
            <w:vAlign w:val="center"/>
            <w:hideMark/>
          </w:tcPr>
          <w:p w14:paraId="24AA2DF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$0.64</w:t>
            </w:r>
          </w:p>
        </w:tc>
      </w:tr>
      <w:tr w:rsidR="00D24563" w:rsidRPr="00D24563" w14:paraId="621F034D"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84DE96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Payroll tax (hotel services employee labour)</w:t>
            </w:r>
          </w:p>
        </w:tc>
        <w:tc>
          <w:tcPr>
            <w:tcW w:w="1418" w:type="dxa"/>
            <w:tcBorders>
              <w:top w:val="nil"/>
              <w:left w:val="nil"/>
              <w:bottom w:val="single" w:sz="8" w:space="0" w:color="auto"/>
              <w:right w:val="nil"/>
            </w:tcBorders>
            <w:shd w:val="clear" w:color="000000" w:fill="FFFFFF"/>
            <w:noWrap/>
            <w:vAlign w:val="center"/>
            <w:hideMark/>
          </w:tcPr>
          <w:p w14:paraId="0FFF071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$1.28</w:t>
            </w:r>
          </w:p>
        </w:tc>
        <w:tc>
          <w:tcPr>
            <w:tcW w:w="1417" w:type="dxa"/>
            <w:tcBorders>
              <w:top w:val="nil"/>
              <w:left w:val="nil"/>
              <w:bottom w:val="single" w:sz="8" w:space="0" w:color="auto"/>
              <w:right w:val="nil"/>
            </w:tcBorders>
            <w:shd w:val="clear" w:color="000000" w:fill="FFFFFF"/>
            <w:noWrap/>
            <w:vAlign w:val="center"/>
            <w:hideMark/>
          </w:tcPr>
          <w:p w14:paraId="45C05A9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8" w:type="dxa"/>
            <w:tcBorders>
              <w:top w:val="nil"/>
              <w:left w:val="nil"/>
              <w:bottom w:val="single" w:sz="8" w:space="0" w:color="auto"/>
              <w:right w:val="nil"/>
            </w:tcBorders>
            <w:shd w:val="clear" w:color="000000" w:fill="FFFFFF"/>
            <w:noWrap/>
            <w:vAlign w:val="center"/>
            <w:hideMark/>
          </w:tcPr>
          <w:p w14:paraId="7F6147F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c>
          <w:tcPr>
            <w:tcW w:w="1315" w:type="dxa"/>
            <w:tcBorders>
              <w:top w:val="nil"/>
              <w:left w:val="nil"/>
              <w:bottom w:val="single" w:sz="8" w:space="0" w:color="auto"/>
              <w:right w:val="nil"/>
            </w:tcBorders>
            <w:shd w:val="clear" w:color="000000" w:fill="FFFFFF"/>
            <w:noWrap/>
            <w:vAlign w:val="center"/>
            <w:hideMark/>
          </w:tcPr>
          <w:p w14:paraId="5213F15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$0.51</w:t>
            </w:r>
          </w:p>
        </w:tc>
      </w:tr>
      <w:tr w:rsidR="00D24563" w:rsidRPr="00D24563" w14:paraId="1641D21E"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ACE999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Quality, compliance and training external costs</w:t>
            </w:r>
          </w:p>
        </w:tc>
        <w:tc>
          <w:tcPr>
            <w:tcW w:w="1418" w:type="dxa"/>
            <w:tcBorders>
              <w:top w:val="nil"/>
              <w:left w:val="nil"/>
              <w:bottom w:val="single" w:sz="8" w:space="0" w:color="auto"/>
              <w:right w:val="nil"/>
            </w:tcBorders>
            <w:shd w:val="clear" w:color="000000" w:fill="FFFFFF"/>
            <w:noWrap/>
            <w:vAlign w:val="center"/>
            <w:hideMark/>
          </w:tcPr>
          <w:p w14:paraId="42E7BA1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$0.09</w:t>
            </w:r>
          </w:p>
        </w:tc>
        <w:tc>
          <w:tcPr>
            <w:tcW w:w="1417" w:type="dxa"/>
            <w:tcBorders>
              <w:top w:val="nil"/>
              <w:left w:val="nil"/>
              <w:bottom w:val="single" w:sz="8" w:space="0" w:color="auto"/>
              <w:right w:val="nil"/>
            </w:tcBorders>
            <w:shd w:val="clear" w:color="000000" w:fill="FFFFFF"/>
            <w:noWrap/>
            <w:vAlign w:val="center"/>
            <w:hideMark/>
          </w:tcPr>
          <w:p w14:paraId="4EDA8B4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c>
          <w:tcPr>
            <w:tcW w:w="1418" w:type="dxa"/>
            <w:tcBorders>
              <w:top w:val="nil"/>
              <w:left w:val="nil"/>
              <w:bottom w:val="single" w:sz="8" w:space="0" w:color="auto"/>
              <w:right w:val="nil"/>
            </w:tcBorders>
            <w:shd w:val="clear" w:color="000000" w:fill="FFFFFF"/>
            <w:noWrap/>
            <w:vAlign w:val="center"/>
            <w:hideMark/>
          </w:tcPr>
          <w:p w14:paraId="311CE50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315" w:type="dxa"/>
            <w:tcBorders>
              <w:top w:val="nil"/>
              <w:left w:val="nil"/>
              <w:bottom w:val="single" w:sz="8" w:space="0" w:color="auto"/>
              <w:right w:val="nil"/>
            </w:tcBorders>
            <w:shd w:val="clear" w:color="000000" w:fill="FFFFFF"/>
            <w:noWrap/>
            <w:vAlign w:val="center"/>
            <w:hideMark/>
          </w:tcPr>
          <w:p w14:paraId="3C8A072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r>
      <w:tr w:rsidR="00D24563" w:rsidRPr="00D24563" w14:paraId="6A67A103"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6268609"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hotel expenses</w:t>
            </w:r>
          </w:p>
        </w:tc>
        <w:tc>
          <w:tcPr>
            <w:tcW w:w="1418" w:type="dxa"/>
            <w:tcBorders>
              <w:top w:val="nil"/>
              <w:left w:val="nil"/>
              <w:bottom w:val="single" w:sz="8" w:space="0" w:color="auto"/>
              <w:right w:val="nil"/>
            </w:tcBorders>
            <w:shd w:val="clear" w:color="000000" w:fill="FFFFFF"/>
            <w:noWrap/>
            <w:vAlign w:val="center"/>
            <w:hideMark/>
          </w:tcPr>
          <w:p w14:paraId="3EF10FD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$0.78</w:t>
            </w:r>
          </w:p>
        </w:tc>
        <w:tc>
          <w:tcPr>
            <w:tcW w:w="1417" w:type="dxa"/>
            <w:tcBorders>
              <w:top w:val="nil"/>
              <w:left w:val="nil"/>
              <w:bottom w:val="single" w:sz="8" w:space="0" w:color="auto"/>
              <w:right w:val="nil"/>
            </w:tcBorders>
            <w:shd w:val="clear" w:color="000000" w:fill="FFFFFF"/>
            <w:noWrap/>
            <w:vAlign w:val="center"/>
            <w:hideMark/>
          </w:tcPr>
          <w:p w14:paraId="40FA703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$0.35</w:t>
            </w:r>
          </w:p>
        </w:tc>
        <w:tc>
          <w:tcPr>
            <w:tcW w:w="1418" w:type="dxa"/>
            <w:tcBorders>
              <w:top w:val="nil"/>
              <w:left w:val="nil"/>
              <w:bottom w:val="single" w:sz="8" w:space="0" w:color="auto"/>
              <w:right w:val="nil"/>
            </w:tcBorders>
            <w:shd w:val="clear" w:color="000000" w:fill="FFFFFF"/>
            <w:noWrap/>
            <w:vAlign w:val="center"/>
            <w:hideMark/>
          </w:tcPr>
          <w:p w14:paraId="62AFF38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$0.72</w:t>
            </w:r>
          </w:p>
        </w:tc>
        <w:tc>
          <w:tcPr>
            <w:tcW w:w="1315" w:type="dxa"/>
            <w:tcBorders>
              <w:top w:val="nil"/>
              <w:left w:val="nil"/>
              <w:bottom w:val="single" w:sz="8" w:space="0" w:color="auto"/>
              <w:right w:val="nil"/>
            </w:tcBorders>
            <w:shd w:val="clear" w:color="000000" w:fill="FFFFFF"/>
            <w:noWrap/>
            <w:vAlign w:val="center"/>
            <w:hideMark/>
          </w:tcPr>
          <w:p w14:paraId="131D699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$0.54</w:t>
            </w:r>
          </w:p>
        </w:tc>
      </w:tr>
      <w:tr w:rsidR="00D24563" w:rsidRPr="00D24563" w14:paraId="30C1F3A1"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2498D8E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other hotel expenses</w:t>
            </w:r>
          </w:p>
        </w:tc>
        <w:tc>
          <w:tcPr>
            <w:tcW w:w="1418" w:type="dxa"/>
            <w:tcBorders>
              <w:top w:val="nil"/>
              <w:left w:val="nil"/>
              <w:bottom w:val="single" w:sz="8" w:space="0" w:color="auto"/>
              <w:right w:val="nil"/>
            </w:tcBorders>
            <w:shd w:val="clear" w:color="000000" w:fill="D8DADA"/>
            <w:noWrap/>
            <w:vAlign w:val="center"/>
            <w:hideMark/>
          </w:tcPr>
          <w:p w14:paraId="16C66745"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$2.74</w:t>
            </w:r>
          </w:p>
        </w:tc>
        <w:tc>
          <w:tcPr>
            <w:tcW w:w="1417" w:type="dxa"/>
            <w:tcBorders>
              <w:top w:val="nil"/>
              <w:left w:val="nil"/>
              <w:bottom w:val="single" w:sz="8" w:space="0" w:color="auto"/>
              <w:right w:val="nil"/>
            </w:tcBorders>
            <w:shd w:val="clear" w:color="000000" w:fill="D8DADA"/>
            <w:noWrap/>
            <w:vAlign w:val="center"/>
            <w:hideMark/>
          </w:tcPr>
          <w:p w14:paraId="547488D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$1.13</w:t>
            </w:r>
          </w:p>
        </w:tc>
        <w:tc>
          <w:tcPr>
            <w:tcW w:w="1418" w:type="dxa"/>
            <w:tcBorders>
              <w:top w:val="nil"/>
              <w:left w:val="nil"/>
              <w:bottom w:val="single" w:sz="8" w:space="0" w:color="auto"/>
              <w:right w:val="nil"/>
            </w:tcBorders>
            <w:shd w:val="clear" w:color="000000" w:fill="D8DADA"/>
            <w:noWrap/>
            <w:vAlign w:val="center"/>
            <w:hideMark/>
          </w:tcPr>
          <w:p w14:paraId="15B3C5C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$1.23</w:t>
            </w:r>
          </w:p>
        </w:tc>
        <w:tc>
          <w:tcPr>
            <w:tcW w:w="1315" w:type="dxa"/>
            <w:tcBorders>
              <w:top w:val="nil"/>
              <w:left w:val="nil"/>
              <w:bottom w:val="single" w:sz="8" w:space="0" w:color="auto"/>
              <w:right w:val="nil"/>
            </w:tcBorders>
            <w:shd w:val="clear" w:color="000000" w:fill="D8DADA"/>
            <w:noWrap/>
            <w:vAlign w:val="center"/>
            <w:hideMark/>
          </w:tcPr>
          <w:p w14:paraId="2CB82DC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$1.77</w:t>
            </w:r>
          </w:p>
        </w:tc>
      </w:tr>
      <w:tr w:rsidR="00D24563" w:rsidRPr="00D24563" w14:paraId="5C8913F1"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1BAC3F6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hotel expenses</w:t>
            </w:r>
          </w:p>
        </w:tc>
        <w:tc>
          <w:tcPr>
            <w:tcW w:w="1418" w:type="dxa"/>
            <w:tcBorders>
              <w:top w:val="nil"/>
              <w:left w:val="nil"/>
              <w:bottom w:val="single" w:sz="8" w:space="0" w:color="auto"/>
              <w:right w:val="nil"/>
            </w:tcBorders>
            <w:shd w:val="clear" w:color="000000" w:fill="D8DADA"/>
            <w:noWrap/>
            <w:vAlign w:val="center"/>
            <w:hideMark/>
          </w:tcPr>
          <w:p w14:paraId="3A08488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$58.78</w:t>
            </w:r>
          </w:p>
        </w:tc>
        <w:tc>
          <w:tcPr>
            <w:tcW w:w="1417" w:type="dxa"/>
            <w:tcBorders>
              <w:top w:val="nil"/>
              <w:left w:val="nil"/>
              <w:bottom w:val="single" w:sz="8" w:space="0" w:color="auto"/>
              <w:right w:val="nil"/>
            </w:tcBorders>
            <w:shd w:val="clear" w:color="000000" w:fill="D8DADA"/>
            <w:noWrap/>
            <w:vAlign w:val="center"/>
            <w:hideMark/>
          </w:tcPr>
          <w:p w14:paraId="6AD41AA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$62.15</w:t>
            </w:r>
          </w:p>
        </w:tc>
        <w:tc>
          <w:tcPr>
            <w:tcW w:w="1418" w:type="dxa"/>
            <w:tcBorders>
              <w:top w:val="nil"/>
              <w:left w:val="nil"/>
              <w:bottom w:val="single" w:sz="8" w:space="0" w:color="auto"/>
              <w:right w:val="nil"/>
            </w:tcBorders>
            <w:shd w:val="clear" w:color="000000" w:fill="D8DADA"/>
            <w:noWrap/>
            <w:vAlign w:val="center"/>
            <w:hideMark/>
          </w:tcPr>
          <w:p w14:paraId="660FFCF8"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$91.46</w:t>
            </w:r>
          </w:p>
        </w:tc>
        <w:tc>
          <w:tcPr>
            <w:tcW w:w="1315" w:type="dxa"/>
            <w:tcBorders>
              <w:top w:val="nil"/>
              <w:left w:val="nil"/>
              <w:bottom w:val="single" w:sz="8" w:space="0" w:color="auto"/>
              <w:right w:val="nil"/>
            </w:tcBorders>
            <w:shd w:val="clear" w:color="000000" w:fill="D8DADA"/>
            <w:noWrap/>
            <w:vAlign w:val="center"/>
            <w:hideMark/>
          </w:tcPr>
          <w:p w14:paraId="0E6890D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$61.85</w:t>
            </w:r>
          </w:p>
        </w:tc>
      </w:tr>
      <w:tr w:rsidR="00D24563" w:rsidRPr="00D24563" w14:paraId="102AD817"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11CEF93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Administration expenses</w:t>
            </w:r>
          </w:p>
        </w:tc>
        <w:tc>
          <w:tcPr>
            <w:tcW w:w="1418" w:type="dxa"/>
            <w:tcBorders>
              <w:top w:val="nil"/>
              <w:left w:val="nil"/>
              <w:bottom w:val="single" w:sz="8" w:space="0" w:color="auto"/>
              <w:right w:val="nil"/>
            </w:tcBorders>
            <w:shd w:val="clear" w:color="000000" w:fill="D8DADA"/>
            <w:noWrap/>
            <w:vAlign w:val="center"/>
            <w:hideMark/>
          </w:tcPr>
          <w:p w14:paraId="4C3B85B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2285124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6619DC2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091F487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565D5B76"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56B0B74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Corporate recharge</w:t>
            </w:r>
          </w:p>
        </w:tc>
        <w:tc>
          <w:tcPr>
            <w:tcW w:w="1418" w:type="dxa"/>
            <w:tcBorders>
              <w:top w:val="nil"/>
              <w:left w:val="nil"/>
              <w:bottom w:val="single" w:sz="8" w:space="0" w:color="auto"/>
              <w:right w:val="nil"/>
            </w:tcBorders>
            <w:shd w:val="clear" w:color="000000" w:fill="FFFFFF"/>
            <w:noWrap/>
            <w:vAlign w:val="center"/>
            <w:hideMark/>
          </w:tcPr>
          <w:p w14:paraId="54751A1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$20.62</w:t>
            </w:r>
          </w:p>
        </w:tc>
        <w:tc>
          <w:tcPr>
            <w:tcW w:w="1417" w:type="dxa"/>
            <w:tcBorders>
              <w:top w:val="nil"/>
              <w:left w:val="nil"/>
              <w:bottom w:val="single" w:sz="8" w:space="0" w:color="auto"/>
              <w:right w:val="nil"/>
            </w:tcBorders>
            <w:shd w:val="clear" w:color="000000" w:fill="FFFFFF"/>
            <w:noWrap/>
            <w:vAlign w:val="center"/>
            <w:hideMark/>
          </w:tcPr>
          <w:p w14:paraId="2B765CF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$25.27</w:t>
            </w:r>
          </w:p>
        </w:tc>
        <w:tc>
          <w:tcPr>
            <w:tcW w:w="1418" w:type="dxa"/>
            <w:tcBorders>
              <w:top w:val="nil"/>
              <w:left w:val="nil"/>
              <w:bottom w:val="single" w:sz="8" w:space="0" w:color="auto"/>
              <w:right w:val="nil"/>
            </w:tcBorders>
            <w:shd w:val="clear" w:color="000000" w:fill="FFFFFF"/>
            <w:noWrap/>
            <w:vAlign w:val="center"/>
            <w:hideMark/>
          </w:tcPr>
          <w:p w14:paraId="76D83DB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$34.16</w:t>
            </w:r>
          </w:p>
        </w:tc>
        <w:tc>
          <w:tcPr>
            <w:tcW w:w="1315" w:type="dxa"/>
            <w:tcBorders>
              <w:top w:val="nil"/>
              <w:left w:val="nil"/>
              <w:bottom w:val="single" w:sz="8" w:space="0" w:color="auto"/>
              <w:right w:val="nil"/>
            </w:tcBorders>
            <w:shd w:val="clear" w:color="000000" w:fill="FFFFFF"/>
            <w:noWrap/>
            <w:vAlign w:val="center"/>
            <w:hideMark/>
          </w:tcPr>
          <w:p w14:paraId="60C3E60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$23.74</w:t>
            </w:r>
          </w:p>
        </w:tc>
      </w:tr>
      <w:tr w:rsidR="00D24563" w:rsidRPr="00D24563" w14:paraId="064EEDAB"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68A966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1DB9EEA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$10.82</w:t>
            </w:r>
          </w:p>
        </w:tc>
        <w:tc>
          <w:tcPr>
            <w:tcW w:w="1417" w:type="dxa"/>
            <w:tcBorders>
              <w:top w:val="nil"/>
              <w:left w:val="nil"/>
              <w:bottom w:val="single" w:sz="8" w:space="0" w:color="auto"/>
              <w:right w:val="nil"/>
            </w:tcBorders>
            <w:shd w:val="clear" w:color="000000" w:fill="FFFFFF"/>
            <w:noWrap/>
            <w:vAlign w:val="center"/>
            <w:hideMark/>
          </w:tcPr>
          <w:p w14:paraId="010442D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$10.18</w:t>
            </w:r>
          </w:p>
        </w:tc>
        <w:tc>
          <w:tcPr>
            <w:tcW w:w="1418" w:type="dxa"/>
            <w:tcBorders>
              <w:top w:val="nil"/>
              <w:left w:val="nil"/>
              <w:bottom w:val="single" w:sz="8" w:space="0" w:color="auto"/>
              <w:right w:val="nil"/>
            </w:tcBorders>
            <w:shd w:val="clear" w:color="000000" w:fill="FFFFFF"/>
            <w:noWrap/>
            <w:vAlign w:val="center"/>
            <w:hideMark/>
          </w:tcPr>
          <w:p w14:paraId="1B8546B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$15.10</w:t>
            </w:r>
          </w:p>
        </w:tc>
        <w:tc>
          <w:tcPr>
            <w:tcW w:w="1315" w:type="dxa"/>
            <w:tcBorders>
              <w:top w:val="nil"/>
              <w:left w:val="nil"/>
              <w:bottom w:val="single" w:sz="8" w:space="0" w:color="auto"/>
              <w:right w:val="nil"/>
            </w:tcBorders>
            <w:shd w:val="clear" w:color="000000" w:fill="FFFFFF"/>
            <w:noWrap/>
            <w:vAlign w:val="center"/>
            <w:hideMark/>
          </w:tcPr>
          <w:p w14:paraId="62F5AF3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$10.61</w:t>
            </w:r>
          </w:p>
        </w:tc>
      </w:tr>
      <w:tr w:rsidR="00D24563" w:rsidRPr="00D24563" w14:paraId="0191924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1D00627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Workcover premium (aged care home admin employee labour)</w:t>
            </w:r>
          </w:p>
        </w:tc>
        <w:tc>
          <w:tcPr>
            <w:tcW w:w="1418" w:type="dxa"/>
            <w:tcBorders>
              <w:top w:val="nil"/>
              <w:left w:val="nil"/>
              <w:bottom w:val="single" w:sz="8" w:space="0" w:color="auto"/>
              <w:right w:val="nil"/>
            </w:tcBorders>
            <w:shd w:val="clear" w:color="000000" w:fill="FFFFFF"/>
            <w:noWrap/>
            <w:vAlign w:val="center"/>
            <w:hideMark/>
          </w:tcPr>
          <w:p w14:paraId="32CEECB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$0.42</w:t>
            </w:r>
          </w:p>
        </w:tc>
        <w:tc>
          <w:tcPr>
            <w:tcW w:w="1417" w:type="dxa"/>
            <w:tcBorders>
              <w:top w:val="nil"/>
              <w:left w:val="nil"/>
              <w:bottom w:val="single" w:sz="8" w:space="0" w:color="auto"/>
              <w:right w:val="nil"/>
            </w:tcBorders>
            <w:shd w:val="clear" w:color="000000" w:fill="FFFFFF"/>
            <w:noWrap/>
            <w:vAlign w:val="center"/>
            <w:hideMark/>
          </w:tcPr>
          <w:p w14:paraId="475BEEC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$0.67</w:t>
            </w:r>
          </w:p>
        </w:tc>
        <w:tc>
          <w:tcPr>
            <w:tcW w:w="1418" w:type="dxa"/>
            <w:tcBorders>
              <w:top w:val="nil"/>
              <w:left w:val="nil"/>
              <w:bottom w:val="single" w:sz="8" w:space="0" w:color="auto"/>
              <w:right w:val="nil"/>
            </w:tcBorders>
            <w:shd w:val="clear" w:color="000000" w:fill="FFFFFF"/>
            <w:noWrap/>
            <w:vAlign w:val="center"/>
            <w:hideMark/>
          </w:tcPr>
          <w:p w14:paraId="2CE3973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$0.46</w:t>
            </w:r>
          </w:p>
        </w:tc>
        <w:tc>
          <w:tcPr>
            <w:tcW w:w="1315" w:type="dxa"/>
            <w:tcBorders>
              <w:top w:val="nil"/>
              <w:left w:val="nil"/>
              <w:bottom w:val="single" w:sz="8" w:space="0" w:color="auto"/>
              <w:right w:val="nil"/>
            </w:tcBorders>
            <w:shd w:val="clear" w:color="000000" w:fill="FFFFFF"/>
            <w:noWrap/>
            <w:vAlign w:val="center"/>
            <w:hideMark/>
          </w:tcPr>
          <w:p w14:paraId="322CF3C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$0.56</w:t>
            </w:r>
          </w:p>
        </w:tc>
      </w:tr>
      <w:tr w:rsidR="00D24563" w:rsidRPr="00D24563" w14:paraId="29F69DA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48A59E56"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Payroll tax (aged care home admin employee labour)</w:t>
            </w:r>
          </w:p>
        </w:tc>
        <w:tc>
          <w:tcPr>
            <w:tcW w:w="1418" w:type="dxa"/>
            <w:tcBorders>
              <w:top w:val="nil"/>
              <w:left w:val="nil"/>
              <w:bottom w:val="single" w:sz="8" w:space="0" w:color="auto"/>
              <w:right w:val="nil"/>
            </w:tcBorders>
            <w:shd w:val="clear" w:color="000000" w:fill="FFFFFF"/>
            <w:noWrap/>
            <w:vAlign w:val="center"/>
            <w:hideMark/>
          </w:tcPr>
          <w:p w14:paraId="14B81C5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$0.94</w:t>
            </w:r>
          </w:p>
        </w:tc>
        <w:tc>
          <w:tcPr>
            <w:tcW w:w="1417" w:type="dxa"/>
            <w:tcBorders>
              <w:top w:val="nil"/>
              <w:left w:val="nil"/>
              <w:bottom w:val="single" w:sz="8" w:space="0" w:color="auto"/>
              <w:right w:val="nil"/>
            </w:tcBorders>
            <w:shd w:val="clear" w:color="000000" w:fill="FFFFFF"/>
            <w:noWrap/>
            <w:vAlign w:val="center"/>
            <w:hideMark/>
          </w:tcPr>
          <w:p w14:paraId="7624056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8" w:type="dxa"/>
            <w:tcBorders>
              <w:top w:val="nil"/>
              <w:left w:val="nil"/>
              <w:bottom w:val="single" w:sz="8" w:space="0" w:color="auto"/>
              <w:right w:val="nil"/>
            </w:tcBorders>
            <w:shd w:val="clear" w:color="000000" w:fill="FFFFFF"/>
            <w:noWrap/>
            <w:vAlign w:val="center"/>
            <w:hideMark/>
          </w:tcPr>
          <w:p w14:paraId="5EF02B6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315" w:type="dxa"/>
            <w:tcBorders>
              <w:top w:val="nil"/>
              <w:left w:val="nil"/>
              <w:bottom w:val="single" w:sz="8" w:space="0" w:color="auto"/>
              <w:right w:val="nil"/>
            </w:tcBorders>
            <w:shd w:val="clear" w:color="000000" w:fill="FFFFFF"/>
            <w:noWrap/>
            <w:vAlign w:val="center"/>
            <w:hideMark/>
          </w:tcPr>
          <w:p w14:paraId="3EBE6A0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$0.38</w:t>
            </w:r>
          </w:p>
        </w:tc>
      </w:tr>
      <w:tr w:rsidR="00D24563" w:rsidRPr="00D24563" w14:paraId="23444761"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50B0D5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Fringe benefits tax</w:t>
            </w:r>
          </w:p>
        </w:tc>
        <w:tc>
          <w:tcPr>
            <w:tcW w:w="1418" w:type="dxa"/>
            <w:tcBorders>
              <w:top w:val="nil"/>
              <w:left w:val="nil"/>
              <w:bottom w:val="single" w:sz="8" w:space="0" w:color="auto"/>
              <w:right w:val="nil"/>
            </w:tcBorders>
            <w:shd w:val="clear" w:color="000000" w:fill="FFFFFF"/>
            <w:noWrap/>
            <w:vAlign w:val="center"/>
            <w:hideMark/>
          </w:tcPr>
          <w:p w14:paraId="440AF41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417" w:type="dxa"/>
            <w:tcBorders>
              <w:top w:val="nil"/>
              <w:left w:val="nil"/>
              <w:bottom w:val="single" w:sz="8" w:space="0" w:color="auto"/>
              <w:right w:val="nil"/>
            </w:tcBorders>
            <w:shd w:val="clear" w:color="000000" w:fill="FFFFFF"/>
            <w:noWrap/>
            <w:vAlign w:val="center"/>
            <w:hideMark/>
          </w:tcPr>
          <w:p w14:paraId="734295A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8" w:type="dxa"/>
            <w:tcBorders>
              <w:top w:val="nil"/>
              <w:left w:val="nil"/>
              <w:bottom w:val="single" w:sz="8" w:space="0" w:color="auto"/>
              <w:right w:val="nil"/>
            </w:tcBorders>
            <w:shd w:val="clear" w:color="000000" w:fill="FFFFFF"/>
            <w:noWrap/>
            <w:vAlign w:val="center"/>
            <w:hideMark/>
          </w:tcPr>
          <w:p w14:paraId="5C751C0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315" w:type="dxa"/>
            <w:tcBorders>
              <w:top w:val="nil"/>
              <w:left w:val="nil"/>
              <w:bottom w:val="single" w:sz="8" w:space="0" w:color="auto"/>
              <w:right w:val="nil"/>
            </w:tcBorders>
            <w:shd w:val="clear" w:color="000000" w:fill="FFFFFF"/>
            <w:noWrap/>
            <w:vAlign w:val="center"/>
            <w:hideMark/>
          </w:tcPr>
          <w:p w14:paraId="13C2625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r>
      <w:tr w:rsidR="00D24563" w:rsidRPr="00D24563" w14:paraId="2F03C8B7"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0D73138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Quality, compliance and training external costs</w:t>
            </w:r>
          </w:p>
        </w:tc>
        <w:tc>
          <w:tcPr>
            <w:tcW w:w="1418" w:type="dxa"/>
            <w:tcBorders>
              <w:top w:val="nil"/>
              <w:left w:val="nil"/>
              <w:bottom w:val="single" w:sz="8" w:space="0" w:color="auto"/>
              <w:right w:val="nil"/>
            </w:tcBorders>
            <w:shd w:val="clear" w:color="000000" w:fill="FFFFFF"/>
            <w:noWrap/>
            <w:vAlign w:val="center"/>
            <w:hideMark/>
          </w:tcPr>
          <w:p w14:paraId="12C1F4B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$0.30</w:t>
            </w:r>
          </w:p>
        </w:tc>
        <w:tc>
          <w:tcPr>
            <w:tcW w:w="1417" w:type="dxa"/>
            <w:tcBorders>
              <w:top w:val="nil"/>
              <w:left w:val="nil"/>
              <w:bottom w:val="single" w:sz="8" w:space="0" w:color="auto"/>
              <w:right w:val="nil"/>
            </w:tcBorders>
            <w:shd w:val="clear" w:color="000000" w:fill="FFFFFF"/>
            <w:noWrap/>
            <w:vAlign w:val="center"/>
            <w:hideMark/>
          </w:tcPr>
          <w:p w14:paraId="35D6114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$0.79</w:t>
            </w:r>
          </w:p>
        </w:tc>
        <w:tc>
          <w:tcPr>
            <w:tcW w:w="1418" w:type="dxa"/>
            <w:tcBorders>
              <w:top w:val="nil"/>
              <w:left w:val="nil"/>
              <w:bottom w:val="single" w:sz="8" w:space="0" w:color="auto"/>
              <w:right w:val="nil"/>
            </w:tcBorders>
            <w:shd w:val="clear" w:color="000000" w:fill="FFFFFF"/>
            <w:noWrap/>
            <w:vAlign w:val="center"/>
            <w:hideMark/>
          </w:tcPr>
          <w:p w14:paraId="7061DA3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$0.36</w:t>
            </w:r>
          </w:p>
        </w:tc>
        <w:tc>
          <w:tcPr>
            <w:tcW w:w="1315" w:type="dxa"/>
            <w:tcBorders>
              <w:top w:val="nil"/>
              <w:left w:val="nil"/>
              <w:bottom w:val="single" w:sz="8" w:space="0" w:color="auto"/>
              <w:right w:val="nil"/>
            </w:tcBorders>
            <w:shd w:val="clear" w:color="000000" w:fill="FFFFFF"/>
            <w:noWrap/>
            <w:vAlign w:val="center"/>
            <w:hideMark/>
          </w:tcPr>
          <w:p w14:paraId="74FD28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$0.58</w:t>
            </w:r>
          </w:p>
        </w:tc>
      </w:tr>
      <w:tr w:rsidR="00D24563" w:rsidRPr="00D24563" w14:paraId="25AAC8FE"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F37F17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Insurances</w:t>
            </w:r>
          </w:p>
        </w:tc>
        <w:tc>
          <w:tcPr>
            <w:tcW w:w="1418" w:type="dxa"/>
            <w:tcBorders>
              <w:top w:val="nil"/>
              <w:left w:val="nil"/>
              <w:bottom w:val="single" w:sz="8" w:space="0" w:color="auto"/>
              <w:right w:val="nil"/>
            </w:tcBorders>
            <w:shd w:val="clear" w:color="000000" w:fill="FFFFFF"/>
            <w:noWrap/>
            <w:vAlign w:val="center"/>
            <w:hideMark/>
          </w:tcPr>
          <w:p w14:paraId="60374C0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$1.31</w:t>
            </w:r>
          </w:p>
        </w:tc>
        <w:tc>
          <w:tcPr>
            <w:tcW w:w="1417" w:type="dxa"/>
            <w:tcBorders>
              <w:top w:val="nil"/>
              <w:left w:val="nil"/>
              <w:bottom w:val="single" w:sz="8" w:space="0" w:color="auto"/>
              <w:right w:val="nil"/>
            </w:tcBorders>
            <w:shd w:val="clear" w:color="000000" w:fill="FFFFFF"/>
            <w:noWrap/>
            <w:vAlign w:val="center"/>
            <w:hideMark/>
          </w:tcPr>
          <w:p w14:paraId="446C94A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$1.74</w:t>
            </w:r>
          </w:p>
        </w:tc>
        <w:tc>
          <w:tcPr>
            <w:tcW w:w="1418" w:type="dxa"/>
            <w:tcBorders>
              <w:top w:val="nil"/>
              <w:left w:val="nil"/>
              <w:bottom w:val="single" w:sz="8" w:space="0" w:color="auto"/>
              <w:right w:val="nil"/>
            </w:tcBorders>
            <w:shd w:val="clear" w:color="000000" w:fill="FFFFFF"/>
            <w:noWrap/>
            <w:vAlign w:val="center"/>
            <w:hideMark/>
          </w:tcPr>
          <w:p w14:paraId="14901BB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$1.19</w:t>
            </w:r>
          </w:p>
        </w:tc>
        <w:tc>
          <w:tcPr>
            <w:tcW w:w="1315" w:type="dxa"/>
            <w:tcBorders>
              <w:top w:val="nil"/>
              <w:left w:val="nil"/>
              <w:bottom w:val="single" w:sz="8" w:space="0" w:color="auto"/>
              <w:right w:val="nil"/>
            </w:tcBorders>
            <w:shd w:val="clear" w:color="000000" w:fill="FFFFFF"/>
            <w:noWrap/>
            <w:vAlign w:val="center"/>
            <w:hideMark/>
          </w:tcPr>
          <w:p w14:paraId="7784332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$1.55</w:t>
            </w:r>
          </w:p>
        </w:tc>
      </w:tr>
      <w:tr w:rsidR="00D24563" w:rsidRPr="00D24563" w14:paraId="67B91287"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3ED74B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administration costs</w:t>
            </w:r>
          </w:p>
        </w:tc>
        <w:tc>
          <w:tcPr>
            <w:tcW w:w="1418" w:type="dxa"/>
            <w:tcBorders>
              <w:top w:val="nil"/>
              <w:left w:val="nil"/>
              <w:bottom w:val="single" w:sz="8" w:space="0" w:color="auto"/>
              <w:right w:val="nil"/>
            </w:tcBorders>
            <w:shd w:val="clear" w:color="000000" w:fill="FFFFFF"/>
            <w:noWrap/>
            <w:vAlign w:val="center"/>
            <w:hideMark/>
          </w:tcPr>
          <w:p w14:paraId="67A466E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$9.18</w:t>
            </w:r>
          </w:p>
        </w:tc>
        <w:tc>
          <w:tcPr>
            <w:tcW w:w="1417" w:type="dxa"/>
            <w:tcBorders>
              <w:top w:val="nil"/>
              <w:left w:val="nil"/>
              <w:bottom w:val="single" w:sz="8" w:space="0" w:color="auto"/>
              <w:right w:val="nil"/>
            </w:tcBorders>
            <w:shd w:val="clear" w:color="000000" w:fill="FFFFFF"/>
            <w:noWrap/>
            <w:vAlign w:val="center"/>
            <w:hideMark/>
          </w:tcPr>
          <w:p w14:paraId="290C898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$7.33</w:t>
            </w:r>
          </w:p>
        </w:tc>
        <w:tc>
          <w:tcPr>
            <w:tcW w:w="1418" w:type="dxa"/>
            <w:tcBorders>
              <w:top w:val="nil"/>
              <w:left w:val="nil"/>
              <w:bottom w:val="single" w:sz="8" w:space="0" w:color="auto"/>
              <w:right w:val="nil"/>
            </w:tcBorders>
            <w:shd w:val="clear" w:color="000000" w:fill="FFFFFF"/>
            <w:noWrap/>
            <w:vAlign w:val="center"/>
            <w:hideMark/>
          </w:tcPr>
          <w:p w14:paraId="6103EEA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$9.63</w:t>
            </w:r>
          </w:p>
        </w:tc>
        <w:tc>
          <w:tcPr>
            <w:tcW w:w="1315" w:type="dxa"/>
            <w:tcBorders>
              <w:top w:val="nil"/>
              <w:left w:val="nil"/>
              <w:bottom w:val="single" w:sz="8" w:space="0" w:color="auto"/>
              <w:right w:val="nil"/>
            </w:tcBorders>
            <w:shd w:val="clear" w:color="000000" w:fill="FFFFFF"/>
            <w:noWrap/>
            <w:vAlign w:val="center"/>
            <w:hideMark/>
          </w:tcPr>
          <w:p w14:paraId="6EE87AB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$8.15</w:t>
            </w:r>
          </w:p>
        </w:tc>
      </w:tr>
      <w:tr w:rsidR="00D24563" w:rsidRPr="00D24563" w14:paraId="7D3749FB"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4208A0A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administration expenses</w:t>
            </w:r>
          </w:p>
        </w:tc>
        <w:tc>
          <w:tcPr>
            <w:tcW w:w="1418" w:type="dxa"/>
            <w:tcBorders>
              <w:top w:val="nil"/>
              <w:left w:val="nil"/>
              <w:bottom w:val="single" w:sz="8" w:space="0" w:color="auto"/>
              <w:right w:val="nil"/>
            </w:tcBorders>
            <w:shd w:val="clear" w:color="000000" w:fill="D8DADA"/>
            <w:noWrap/>
            <w:vAlign w:val="center"/>
            <w:hideMark/>
          </w:tcPr>
          <w:p w14:paraId="600912AB"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$43.62</w:t>
            </w:r>
          </w:p>
        </w:tc>
        <w:tc>
          <w:tcPr>
            <w:tcW w:w="1417" w:type="dxa"/>
            <w:tcBorders>
              <w:top w:val="nil"/>
              <w:left w:val="nil"/>
              <w:bottom w:val="single" w:sz="8" w:space="0" w:color="auto"/>
              <w:right w:val="nil"/>
            </w:tcBorders>
            <w:shd w:val="clear" w:color="000000" w:fill="D8DADA"/>
            <w:noWrap/>
            <w:vAlign w:val="center"/>
            <w:hideMark/>
          </w:tcPr>
          <w:p w14:paraId="571E13B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$46.01</w:t>
            </w:r>
          </w:p>
        </w:tc>
        <w:tc>
          <w:tcPr>
            <w:tcW w:w="1418" w:type="dxa"/>
            <w:tcBorders>
              <w:top w:val="nil"/>
              <w:left w:val="nil"/>
              <w:bottom w:val="single" w:sz="8" w:space="0" w:color="auto"/>
              <w:right w:val="nil"/>
            </w:tcBorders>
            <w:shd w:val="clear" w:color="000000" w:fill="D8DADA"/>
            <w:noWrap/>
            <w:vAlign w:val="center"/>
            <w:hideMark/>
          </w:tcPr>
          <w:p w14:paraId="37E66AE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$60.97</w:t>
            </w:r>
          </w:p>
        </w:tc>
        <w:tc>
          <w:tcPr>
            <w:tcW w:w="1315" w:type="dxa"/>
            <w:tcBorders>
              <w:top w:val="nil"/>
              <w:left w:val="nil"/>
              <w:bottom w:val="single" w:sz="8" w:space="0" w:color="auto"/>
              <w:right w:val="nil"/>
            </w:tcBorders>
            <w:shd w:val="clear" w:color="000000" w:fill="D8DADA"/>
            <w:noWrap/>
            <w:vAlign w:val="center"/>
            <w:hideMark/>
          </w:tcPr>
          <w:p w14:paraId="1D9F241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$45.59</w:t>
            </w:r>
          </w:p>
        </w:tc>
      </w:tr>
      <w:tr w:rsidR="00D24563" w:rsidRPr="00D24563" w14:paraId="6520E6FF" w14:textId="77777777" w:rsidTr="00D24563">
        <w:trPr>
          <w:trHeight w:val="550"/>
        </w:trPr>
        <w:tc>
          <w:tcPr>
            <w:tcW w:w="3402" w:type="dxa"/>
            <w:tcBorders>
              <w:top w:val="nil"/>
              <w:left w:val="nil"/>
              <w:bottom w:val="single" w:sz="8" w:space="0" w:color="auto"/>
              <w:right w:val="nil"/>
            </w:tcBorders>
            <w:shd w:val="clear" w:color="000000" w:fill="D8DADA"/>
            <w:vAlign w:val="center"/>
            <w:hideMark/>
          </w:tcPr>
          <w:p w14:paraId="4D1E3006"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Accommodation and finance expenses</w:t>
            </w:r>
          </w:p>
        </w:tc>
        <w:tc>
          <w:tcPr>
            <w:tcW w:w="1418" w:type="dxa"/>
            <w:tcBorders>
              <w:top w:val="nil"/>
              <w:left w:val="nil"/>
              <w:bottom w:val="single" w:sz="8" w:space="0" w:color="auto"/>
              <w:right w:val="nil"/>
            </w:tcBorders>
            <w:shd w:val="clear" w:color="000000" w:fill="D8DADA"/>
            <w:noWrap/>
            <w:vAlign w:val="center"/>
            <w:hideMark/>
          </w:tcPr>
          <w:p w14:paraId="1A252A2D"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1ECFCB9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24C1AE54"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3549A3E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06CB9D6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A4AB2EF"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5EBF3CA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$0.73</w:t>
            </w:r>
          </w:p>
        </w:tc>
        <w:tc>
          <w:tcPr>
            <w:tcW w:w="1417" w:type="dxa"/>
            <w:tcBorders>
              <w:top w:val="nil"/>
              <w:left w:val="nil"/>
              <w:bottom w:val="single" w:sz="8" w:space="0" w:color="auto"/>
              <w:right w:val="nil"/>
            </w:tcBorders>
            <w:shd w:val="clear" w:color="000000" w:fill="FFFFFF"/>
            <w:noWrap/>
            <w:vAlign w:val="center"/>
            <w:hideMark/>
          </w:tcPr>
          <w:p w14:paraId="6987F8D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$0.35</w:t>
            </w:r>
          </w:p>
        </w:tc>
        <w:tc>
          <w:tcPr>
            <w:tcW w:w="1418" w:type="dxa"/>
            <w:tcBorders>
              <w:top w:val="nil"/>
              <w:left w:val="nil"/>
              <w:bottom w:val="single" w:sz="8" w:space="0" w:color="auto"/>
              <w:right w:val="nil"/>
            </w:tcBorders>
            <w:shd w:val="clear" w:color="000000" w:fill="FFFFFF"/>
            <w:noWrap/>
            <w:vAlign w:val="center"/>
            <w:hideMark/>
          </w:tcPr>
          <w:p w14:paraId="20612B5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$1.27</w:t>
            </w:r>
          </w:p>
        </w:tc>
        <w:tc>
          <w:tcPr>
            <w:tcW w:w="1315" w:type="dxa"/>
            <w:tcBorders>
              <w:top w:val="nil"/>
              <w:left w:val="nil"/>
              <w:bottom w:val="single" w:sz="8" w:space="0" w:color="auto"/>
              <w:right w:val="nil"/>
            </w:tcBorders>
            <w:shd w:val="clear" w:color="000000" w:fill="FFFFFF"/>
            <w:noWrap/>
            <w:vAlign w:val="center"/>
            <w:hideMark/>
          </w:tcPr>
          <w:p w14:paraId="4AC8720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$0.53</w:t>
            </w:r>
          </w:p>
        </w:tc>
      </w:tr>
      <w:tr w:rsidR="00D24563" w:rsidRPr="00D24563" w14:paraId="213B209A"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C628C53"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Depreciation - building</w:t>
            </w:r>
          </w:p>
        </w:tc>
        <w:tc>
          <w:tcPr>
            <w:tcW w:w="1418" w:type="dxa"/>
            <w:tcBorders>
              <w:top w:val="nil"/>
              <w:left w:val="nil"/>
              <w:bottom w:val="single" w:sz="8" w:space="0" w:color="auto"/>
              <w:right w:val="nil"/>
            </w:tcBorders>
            <w:shd w:val="clear" w:color="000000" w:fill="FFFFFF"/>
            <w:noWrap/>
            <w:vAlign w:val="center"/>
            <w:hideMark/>
          </w:tcPr>
          <w:p w14:paraId="7BAE3B6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$6.57</w:t>
            </w:r>
          </w:p>
        </w:tc>
        <w:tc>
          <w:tcPr>
            <w:tcW w:w="1417" w:type="dxa"/>
            <w:tcBorders>
              <w:top w:val="nil"/>
              <w:left w:val="nil"/>
              <w:bottom w:val="single" w:sz="8" w:space="0" w:color="auto"/>
              <w:right w:val="nil"/>
            </w:tcBorders>
            <w:shd w:val="clear" w:color="000000" w:fill="FFFFFF"/>
            <w:noWrap/>
            <w:vAlign w:val="center"/>
            <w:hideMark/>
          </w:tcPr>
          <w:p w14:paraId="662A6DF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$13.65</w:t>
            </w:r>
          </w:p>
        </w:tc>
        <w:tc>
          <w:tcPr>
            <w:tcW w:w="1418" w:type="dxa"/>
            <w:tcBorders>
              <w:top w:val="nil"/>
              <w:left w:val="nil"/>
              <w:bottom w:val="single" w:sz="8" w:space="0" w:color="auto"/>
              <w:right w:val="nil"/>
            </w:tcBorders>
            <w:shd w:val="clear" w:color="000000" w:fill="FFFFFF"/>
            <w:noWrap/>
            <w:vAlign w:val="center"/>
            <w:hideMark/>
          </w:tcPr>
          <w:p w14:paraId="04C9340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$29.94</w:t>
            </w:r>
          </w:p>
        </w:tc>
        <w:tc>
          <w:tcPr>
            <w:tcW w:w="1315" w:type="dxa"/>
            <w:tcBorders>
              <w:top w:val="nil"/>
              <w:left w:val="nil"/>
              <w:bottom w:val="single" w:sz="8" w:space="0" w:color="auto"/>
              <w:right w:val="nil"/>
            </w:tcBorders>
            <w:shd w:val="clear" w:color="000000" w:fill="FFFFFF"/>
            <w:noWrap/>
            <w:vAlign w:val="center"/>
            <w:hideMark/>
          </w:tcPr>
          <w:p w14:paraId="35DE038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$11.42</w:t>
            </w:r>
          </w:p>
        </w:tc>
      </w:tr>
      <w:tr w:rsidR="00D24563" w:rsidRPr="00D24563" w14:paraId="549AB9F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45E686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Depreciation - right of use assets AASB 16</w:t>
            </w:r>
          </w:p>
        </w:tc>
        <w:tc>
          <w:tcPr>
            <w:tcW w:w="1418" w:type="dxa"/>
            <w:tcBorders>
              <w:top w:val="nil"/>
              <w:left w:val="nil"/>
              <w:bottom w:val="single" w:sz="8" w:space="0" w:color="auto"/>
              <w:right w:val="nil"/>
            </w:tcBorders>
            <w:shd w:val="clear" w:color="000000" w:fill="FFFFFF"/>
            <w:noWrap/>
            <w:vAlign w:val="center"/>
            <w:hideMark/>
          </w:tcPr>
          <w:p w14:paraId="64D7CA3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$7.30</w:t>
            </w:r>
          </w:p>
        </w:tc>
        <w:tc>
          <w:tcPr>
            <w:tcW w:w="1417" w:type="dxa"/>
            <w:tcBorders>
              <w:top w:val="nil"/>
              <w:left w:val="nil"/>
              <w:bottom w:val="single" w:sz="8" w:space="0" w:color="auto"/>
              <w:right w:val="nil"/>
            </w:tcBorders>
            <w:shd w:val="clear" w:color="000000" w:fill="FFFFFF"/>
            <w:noWrap/>
            <w:vAlign w:val="center"/>
            <w:hideMark/>
          </w:tcPr>
          <w:p w14:paraId="4575DD5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$0.59</w:t>
            </w:r>
          </w:p>
        </w:tc>
        <w:tc>
          <w:tcPr>
            <w:tcW w:w="1418" w:type="dxa"/>
            <w:tcBorders>
              <w:top w:val="nil"/>
              <w:left w:val="nil"/>
              <w:bottom w:val="single" w:sz="8" w:space="0" w:color="auto"/>
              <w:right w:val="nil"/>
            </w:tcBorders>
            <w:shd w:val="clear" w:color="000000" w:fill="FFFFFF"/>
            <w:noWrap/>
            <w:vAlign w:val="center"/>
            <w:hideMark/>
          </w:tcPr>
          <w:p w14:paraId="55B8933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$0.13</w:t>
            </w:r>
          </w:p>
        </w:tc>
        <w:tc>
          <w:tcPr>
            <w:tcW w:w="1315" w:type="dxa"/>
            <w:tcBorders>
              <w:top w:val="nil"/>
              <w:left w:val="nil"/>
              <w:bottom w:val="single" w:sz="8" w:space="0" w:color="auto"/>
              <w:right w:val="nil"/>
            </w:tcBorders>
            <w:shd w:val="clear" w:color="000000" w:fill="FFFFFF"/>
            <w:noWrap/>
            <w:vAlign w:val="center"/>
            <w:hideMark/>
          </w:tcPr>
          <w:p w14:paraId="24F48B8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$3.23</w:t>
            </w:r>
          </w:p>
        </w:tc>
      </w:tr>
      <w:tr w:rsidR="00D24563" w:rsidRPr="00D24563" w14:paraId="388A3790"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EDD7B2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Depreciation - other assets</w:t>
            </w:r>
          </w:p>
        </w:tc>
        <w:tc>
          <w:tcPr>
            <w:tcW w:w="1418" w:type="dxa"/>
            <w:tcBorders>
              <w:top w:val="nil"/>
              <w:left w:val="nil"/>
              <w:bottom w:val="single" w:sz="8" w:space="0" w:color="auto"/>
              <w:right w:val="nil"/>
            </w:tcBorders>
            <w:shd w:val="clear" w:color="000000" w:fill="FFFFFF"/>
            <w:noWrap/>
            <w:vAlign w:val="center"/>
            <w:hideMark/>
          </w:tcPr>
          <w:p w14:paraId="21CB082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$7.87</w:t>
            </w:r>
          </w:p>
        </w:tc>
        <w:tc>
          <w:tcPr>
            <w:tcW w:w="1417" w:type="dxa"/>
            <w:tcBorders>
              <w:top w:val="nil"/>
              <w:left w:val="nil"/>
              <w:bottom w:val="single" w:sz="8" w:space="0" w:color="auto"/>
              <w:right w:val="nil"/>
            </w:tcBorders>
            <w:shd w:val="clear" w:color="000000" w:fill="FFFFFF"/>
            <w:noWrap/>
            <w:vAlign w:val="center"/>
            <w:hideMark/>
          </w:tcPr>
          <w:p w14:paraId="05055AE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$6.72</w:t>
            </w:r>
          </w:p>
        </w:tc>
        <w:tc>
          <w:tcPr>
            <w:tcW w:w="1418" w:type="dxa"/>
            <w:tcBorders>
              <w:top w:val="nil"/>
              <w:left w:val="nil"/>
              <w:bottom w:val="single" w:sz="8" w:space="0" w:color="auto"/>
              <w:right w:val="nil"/>
            </w:tcBorders>
            <w:shd w:val="clear" w:color="000000" w:fill="FFFFFF"/>
            <w:noWrap/>
            <w:vAlign w:val="center"/>
            <w:hideMark/>
          </w:tcPr>
          <w:p w14:paraId="397C038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$3.83</w:t>
            </w:r>
          </w:p>
        </w:tc>
        <w:tc>
          <w:tcPr>
            <w:tcW w:w="1315" w:type="dxa"/>
            <w:tcBorders>
              <w:top w:val="nil"/>
              <w:left w:val="nil"/>
              <w:bottom w:val="single" w:sz="8" w:space="0" w:color="auto"/>
              <w:right w:val="nil"/>
            </w:tcBorders>
            <w:shd w:val="clear" w:color="000000" w:fill="FFFFFF"/>
            <w:noWrap/>
            <w:vAlign w:val="center"/>
            <w:hideMark/>
          </w:tcPr>
          <w:p w14:paraId="659FA50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$7.07</w:t>
            </w:r>
          </w:p>
        </w:tc>
      </w:tr>
      <w:tr w:rsidR="00D24563" w:rsidRPr="00D24563" w14:paraId="7A66A75B"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9825021"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Amortisation</w:t>
            </w:r>
          </w:p>
        </w:tc>
        <w:tc>
          <w:tcPr>
            <w:tcW w:w="1418" w:type="dxa"/>
            <w:tcBorders>
              <w:top w:val="nil"/>
              <w:left w:val="nil"/>
              <w:bottom w:val="single" w:sz="8" w:space="0" w:color="auto"/>
              <w:right w:val="nil"/>
            </w:tcBorders>
            <w:shd w:val="clear" w:color="000000" w:fill="FFFFFF"/>
            <w:noWrap/>
            <w:vAlign w:val="center"/>
            <w:hideMark/>
          </w:tcPr>
          <w:p w14:paraId="0748BA0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$4.17</w:t>
            </w:r>
          </w:p>
        </w:tc>
        <w:tc>
          <w:tcPr>
            <w:tcW w:w="1417" w:type="dxa"/>
            <w:tcBorders>
              <w:top w:val="nil"/>
              <w:left w:val="nil"/>
              <w:bottom w:val="single" w:sz="8" w:space="0" w:color="auto"/>
              <w:right w:val="nil"/>
            </w:tcBorders>
            <w:shd w:val="clear" w:color="000000" w:fill="FFFFFF"/>
            <w:noWrap/>
            <w:vAlign w:val="center"/>
            <w:hideMark/>
          </w:tcPr>
          <w:p w14:paraId="0C15C00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$0.11</w:t>
            </w:r>
          </w:p>
        </w:tc>
        <w:tc>
          <w:tcPr>
            <w:tcW w:w="1418" w:type="dxa"/>
            <w:tcBorders>
              <w:top w:val="nil"/>
              <w:left w:val="nil"/>
              <w:bottom w:val="single" w:sz="8" w:space="0" w:color="auto"/>
              <w:right w:val="nil"/>
            </w:tcBorders>
            <w:shd w:val="clear" w:color="000000" w:fill="FFFFFF"/>
            <w:noWrap/>
            <w:vAlign w:val="center"/>
            <w:hideMark/>
          </w:tcPr>
          <w:p w14:paraId="39741DA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315" w:type="dxa"/>
            <w:tcBorders>
              <w:top w:val="nil"/>
              <w:left w:val="nil"/>
              <w:bottom w:val="single" w:sz="8" w:space="0" w:color="auto"/>
              <w:right w:val="nil"/>
            </w:tcBorders>
            <w:shd w:val="clear" w:color="000000" w:fill="FFFFFF"/>
            <w:noWrap/>
            <w:vAlign w:val="center"/>
            <w:hideMark/>
          </w:tcPr>
          <w:p w14:paraId="36A1DB4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$1.71</w:t>
            </w:r>
          </w:p>
        </w:tc>
      </w:tr>
      <w:tr w:rsidR="00D24563" w:rsidRPr="00D24563" w14:paraId="0B3ABA64"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4F2F4977"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Refurbishment costs</w:t>
            </w:r>
          </w:p>
        </w:tc>
        <w:tc>
          <w:tcPr>
            <w:tcW w:w="1418" w:type="dxa"/>
            <w:tcBorders>
              <w:top w:val="nil"/>
              <w:left w:val="nil"/>
              <w:bottom w:val="single" w:sz="8" w:space="0" w:color="auto"/>
              <w:right w:val="nil"/>
            </w:tcBorders>
            <w:shd w:val="clear" w:color="000000" w:fill="FFFFFF"/>
            <w:noWrap/>
            <w:vAlign w:val="center"/>
            <w:hideMark/>
          </w:tcPr>
          <w:p w14:paraId="64223A5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c>
          <w:tcPr>
            <w:tcW w:w="1417" w:type="dxa"/>
            <w:tcBorders>
              <w:top w:val="nil"/>
              <w:left w:val="nil"/>
              <w:bottom w:val="single" w:sz="8" w:space="0" w:color="auto"/>
              <w:right w:val="nil"/>
            </w:tcBorders>
            <w:shd w:val="clear" w:color="000000" w:fill="FFFFFF"/>
            <w:noWrap/>
            <w:vAlign w:val="center"/>
            <w:hideMark/>
          </w:tcPr>
          <w:p w14:paraId="1025DD5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$0.44</w:t>
            </w:r>
          </w:p>
        </w:tc>
        <w:tc>
          <w:tcPr>
            <w:tcW w:w="1418" w:type="dxa"/>
            <w:tcBorders>
              <w:top w:val="nil"/>
              <w:left w:val="nil"/>
              <w:bottom w:val="single" w:sz="8" w:space="0" w:color="auto"/>
              <w:right w:val="nil"/>
            </w:tcBorders>
            <w:shd w:val="clear" w:color="000000" w:fill="FFFFFF"/>
            <w:noWrap/>
            <w:vAlign w:val="center"/>
            <w:hideMark/>
          </w:tcPr>
          <w:p w14:paraId="17A977D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$0.95</w:t>
            </w:r>
          </w:p>
        </w:tc>
        <w:tc>
          <w:tcPr>
            <w:tcW w:w="1315" w:type="dxa"/>
            <w:tcBorders>
              <w:top w:val="nil"/>
              <w:left w:val="nil"/>
              <w:bottom w:val="single" w:sz="8" w:space="0" w:color="auto"/>
              <w:right w:val="nil"/>
            </w:tcBorders>
            <w:shd w:val="clear" w:color="000000" w:fill="FFFFFF"/>
            <w:noWrap/>
            <w:vAlign w:val="center"/>
            <w:hideMark/>
          </w:tcPr>
          <w:p w14:paraId="5B66A0F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$0.32</w:t>
            </w:r>
          </w:p>
        </w:tc>
      </w:tr>
      <w:tr w:rsidR="00D24563" w:rsidRPr="00D24563" w14:paraId="0BA0F0BD"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70D55CF"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Rent for buildings - not captured by AASB 16</w:t>
            </w:r>
          </w:p>
        </w:tc>
        <w:tc>
          <w:tcPr>
            <w:tcW w:w="1418" w:type="dxa"/>
            <w:tcBorders>
              <w:top w:val="nil"/>
              <w:left w:val="nil"/>
              <w:bottom w:val="single" w:sz="8" w:space="0" w:color="auto"/>
              <w:right w:val="nil"/>
            </w:tcBorders>
            <w:shd w:val="clear" w:color="000000" w:fill="FFFFFF"/>
            <w:noWrap/>
            <w:vAlign w:val="center"/>
            <w:hideMark/>
          </w:tcPr>
          <w:p w14:paraId="05A1CAF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$3.99</w:t>
            </w:r>
          </w:p>
        </w:tc>
        <w:tc>
          <w:tcPr>
            <w:tcW w:w="1417" w:type="dxa"/>
            <w:tcBorders>
              <w:top w:val="nil"/>
              <w:left w:val="nil"/>
              <w:bottom w:val="single" w:sz="8" w:space="0" w:color="auto"/>
              <w:right w:val="nil"/>
            </w:tcBorders>
            <w:shd w:val="clear" w:color="000000" w:fill="FFFFFF"/>
            <w:noWrap/>
            <w:vAlign w:val="center"/>
            <w:hideMark/>
          </w:tcPr>
          <w:p w14:paraId="2AF4BE6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$0.29</w:t>
            </w:r>
          </w:p>
        </w:tc>
        <w:tc>
          <w:tcPr>
            <w:tcW w:w="1418" w:type="dxa"/>
            <w:tcBorders>
              <w:top w:val="nil"/>
              <w:left w:val="nil"/>
              <w:bottom w:val="single" w:sz="8" w:space="0" w:color="auto"/>
              <w:right w:val="nil"/>
            </w:tcBorders>
            <w:shd w:val="clear" w:color="000000" w:fill="FFFFFF"/>
            <w:noWrap/>
            <w:vAlign w:val="center"/>
            <w:hideMark/>
          </w:tcPr>
          <w:p w14:paraId="0A3A1AC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$0.63</w:t>
            </w:r>
          </w:p>
        </w:tc>
        <w:tc>
          <w:tcPr>
            <w:tcW w:w="1315" w:type="dxa"/>
            <w:tcBorders>
              <w:top w:val="nil"/>
              <w:left w:val="nil"/>
              <w:bottom w:val="single" w:sz="8" w:space="0" w:color="auto"/>
              <w:right w:val="nil"/>
            </w:tcBorders>
            <w:shd w:val="clear" w:color="000000" w:fill="FFFFFF"/>
            <w:noWrap/>
            <w:vAlign w:val="center"/>
            <w:hideMark/>
          </w:tcPr>
          <w:p w14:paraId="722189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$1.76</w:t>
            </w:r>
          </w:p>
        </w:tc>
      </w:tr>
      <w:tr w:rsidR="00D24563" w:rsidRPr="00D24563" w14:paraId="04E392BF"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38403EA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Interest expense - lease liabilities AASB 16</w:t>
            </w:r>
          </w:p>
        </w:tc>
        <w:tc>
          <w:tcPr>
            <w:tcW w:w="1418" w:type="dxa"/>
            <w:tcBorders>
              <w:top w:val="nil"/>
              <w:left w:val="nil"/>
              <w:bottom w:val="single" w:sz="8" w:space="0" w:color="auto"/>
              <w:right w:val="nil"/>
            </w:tcBorders>
            <w:shd w:val="clear" w:color="000000" w:fill="FFFFFF"/>
            <w:noWrap/>
            <w:vAlign w:val="center"/>
            <w:hideMark/>
          </w:tcPr>
          <w:p w14:paraId="13B15FA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$5.27</w:t>
            </w:r>
          </w:p>
        </w:tc>
        <w:tc>
          <w:tcPr>
            <w:tcW w:w="1417" w:type="dxa"/>
            <w:tcBorders>
              <w:top w:val="nil"/>
              <w:left w:val="nil"/>
              <w:bottom w:val="single" w:sz="8" w:space="0" w:color="auto"/>
              <w:right w:val="nil"/>
            </w:tcBorders>
            <w:shd w:val="clear" w:color="000000" w:fill="FFFFFF"/>
            <w:noWrap/>
            <w:vAlign w:val="center"/>
            <w:hideMark/>
          </w:tcPr>
          <w:p w14:paraId="16AF0CE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$0.76</w:t>
            </w:r>
          </w:p>
        </w:tc>
        <w:tc>
          <w:tcPr>
            <w:tcW w:w="1418" w:type="dxa"/>
            <w:tcBorders>
              <w:top w:val="nil"/>
              <w:left w:val="nil"/>
              <w:bottom w:val="single" w:sz="8" w:space="0" w:color="auto"/>
              <w:right w:val="nil"/>
            </w:tcBorders>
            <w:shd w:val="clear" w:color="000000" w:fill="FFFFFF"/>
            <w:noWrap/>
            <w:vAlign w:val="center"/>
            <w:hideMark/>
          </w:tcPr>
          <w:p w14:paraId="548E596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315" w:type="dxa"/>
            <w:tcBorders>
              <w:top w:val="nil"/>
              <w:left w:val="nil"/>
              <w:bottom w:val="single" w:sz="8" w:space="0" w:color="auto"/>
              <w:right w:val="nil"/>
            </w:tcBorders>
            <w:shd w:val="clear" w:color="000000" w:fill="FFFFFF"/>
            <w:noWrap/>
            <w:vAlign w:val="center"/>
            <w:hideMark/>
          </w:tcPr>
          <w:p w14:paraId="74087E5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$2.52</w:t>
            </w:r>
          </w:p>
        </w:tc>
      </w:tr>
      <w:tr w:rsidR="00D24563" w:rsidRPr="00D24563" w14:paraId="5265C5A7"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9815346"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Interest paid (RAD / bond)</w:t>
            </w:r>
          </w:p>
        </w:tc>
        <w:tc>
          <w:tcPr>
            <w:tcW w:w="1418" w:type="dxa"/>
            <w:tcBorders>
              <w:top w:val="nil"/>
              <w:left w:val="nil"/>
              <w:bottom w:val="single" w:sz="8" w:space="0" w:color="auto"/>
              <w:right w:val="nil"/>
            </w:tcBorders>
            <w:shd w:val="clear" w:color="000000" w:fill="FFFFFF"/>
            <w:noWrap/>
            <w:vAlign w:val="center"/>
            <w:hideMark/>
          </w:tcPr>
          <w:p w14:paraId="61646C8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$1.98</w:t>
            </w:r>
          </w:p>
        </w:tc>
        <w:tc>
          <w:tcPr>
            <w:tcW w:w="1417" w:type="dxa"/>
            <w:tcBorders>
              <w:top w:val="nil"/>
              <w:left w:val="nil"/>
              <w:bottom w:val="single" w:sz="8" w:space="0" w:color="auto"/>
              <w:right w:val="nil"/>
            </w:tcBorders>
            <w:shd w:val="clear" w:color="000000" w:fill="FFFFFF"/>
            <w:noWrap/>
            <w:vAlign w:val="center"/>
            <w:hideMark/>
          </w:tcPr>
          <w:p w14:paraId="64A3AD6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$1.27</w:t>
            </w:r>
          </w:p>
        </w:tc>
        <w:tc>
          <w:tcPr>
            <w:tcW w:w="1418" w:type="dxa"/>
            <w:tcBorders>
              <w:top w:val="nil"/>
              <w:left w:val="nil"/>
              <w:bottom w:val="single" w:sz="8" w:space="0" w:color="auto"/>
              <w:right w:val="nil"/>
            </w:tcBorders>
            <w:shd w:val="clear" w:color="000000" w:fill="FFFFFF"/>
            <w:noWrap/>
            <w:vAlign w:val="center"/>
            <w:hideMark/>
          </w:tcPr>
          <w:p w14:paraId="763F99F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$0.45</w:t>
            </w:r>
          </w:p>
        </w:tc>
        <w:tc>
          <w:tcPr>
            <w:tcW w:w="1315" w:type="dxa"/>
            <w:tcBorders>
              <w:top w:val="nil"/>
              <w:left w:val="nil"/>
              <w:bottom w:val="single" w:sz="8" w:space="0" w:color="auto"/>
              <w:right w:val="nil"/>
            </w:tcBorders>
            <w:shd w:val="clear" w:color="000000" w:fill="FFFFFF"/>
            <w:noWrap/>
            <w:vAlign w:val="center"/>
            <w:hideMark/>
          </w:tcPr>
          <w:p w14:paraId="01025AE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$1.52</w:t>
            </w:r>
          </w:p>
        </w:tc>
      </w:tr>
      <w:tr w:rsidR="00D24563" w:rsidRPr="00D24563" w14:paraId="255AA54B"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55C75E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Financing interest</w:t>
            </w:r>
          </w:p>
        </w:tc>
        <w:tc>
          <w:tcPr>
            <w:tcW w:w="1418" w:type="dxa"/>
            <w:tcBorders>
              <w:top w:val="nil"/>
              <w:left w:val="nil"/>
              <w:bottom w:val="single" w:sz="8" w:space="0" w:color="auto"/>
              <w:right w:val="nil"/>
            </w:tcBorders>
            <w:shd w:val="clear" w:color="000000" w:fill="FFFFFF"/>
            <w:noWrap/>
            <w:vAlign w:val="center"/>
            <w:hideMark/>
          </w:tcPr>
          <w:p w14:paraId="6724FDB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$2.71</w:t>
            </w:r>
          </w:p>
        </w:tc>
        <w:tc>
          <w:tcPr>
            <w:tcW w:w="1417" w:type="dxa"/>
            <w:tcBorders>
              <w:top w:val="nil"/>
              <w:left w:val="nil"/>
              <w:bottom w:val="single" w:sz="8" w:space="0" w:color="auto"/>
              <w:right w:val="nil"/>
            </w:tcBorders>
            <w:shd w:val="clear" w:color="000000" w:fill="FFFFFF"/>
            <w:noWrap/>
            <w:vAlign w:val="center"/>
            <w:hideMark/>
          </w:tcPr>
          <w:p w14:paraId="1126D9B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$0.84</w:t>
            </w:r>
          </w:p>
        </w:tc>
        <w:tc>
          <w:tcPr>
            <w:tcW w:w="1418" w:type="dxa"/>
            <w:tcBorders>
              <w:top w:val="nil"/>
              <w:left w:val="nil"/>
              <w:bottom w:val="single" w:sz="8" w:space="0" w:color="auto"/>
              <w:right w:val="nil"/>
            </w:tcBorders>
            <w:shd w:val="clear" w:color="000000" w:fill="FFFFFF"/>
            <w:noWrap/>
            <w:vAlign w:val="center"/>
            <w:hideMark/>
          </w:tcPr>
          <w:p w14:paraId="1A7AC8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$0.75</w:t>
            </w:r>
          </w:p>
        </w:tc>
        <w:tc>
          <w:tcPr>
            <w:tcW w:w="1315" w:type="dxa"/>
            <w:tcBorders>
              <w:top w:val="nil"/>
              <w:left w:val="nil"/>
              <w:bottom w:val="single" w:sz="8" w:space="0" w:color="auto"/>
              <w:right w:val="nil"/>
            </w:tcBorders>
            <w:shd w:val="clear" w:color="000000" w:fill="FFFFFF"/>
            <w:noWrap/>
            <w:vAlign w:val="center"/>
            <w:hideMark/>
          </w:tcPr>
          <w:p w14:paraId="7365D99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$1.58</w:t>
            </w:r>
          </w:p>
        </w:tc>
      </w:tr>
      <w:tr w:rsidR="00D24563" w:rsidRPr="00D24563" w14:paraId="191CF69D"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18403E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Routine maintenance expenses</w:t>
            </w:r>
          </w:p>
        </w:tc>
        <w:tc>
          <w:tcPr>
            <w:tcW w:w="1418" w:type="dxa"/>
            <w:tcBorders>
              <w:top w:val="nil"/>
              <w:left w:val="nil"/>
              <w:bottom w:val="single" w:sz="8" w:space="0" w:color="auto"/>
              <w:right w:val="nil"/>
            </w:tcBorders>
            <w:shd w:val="clear" w:color="000000" w:fill="FFFFFF"/>
            <w:noWrap/>
            <w:vAlign w:val="center"/>
            <w:hideMark/>
          </w:tcPr>
          <w:p w14:paraId="60960CE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417" w:type="dxa"/>
            <w:tcBorders>
              <w:top w:val="nil"/>
              <w:left w:val="nil"/>
              <w:bottom w:val="single" w:sz="8" w:space="0" w:color="auto"/>
              <w:right w:val="nil"/>
            </w:tcBorders>
            <w:shd w:val="clear" w:color="000000" w:fill="FFFFFF"/>
            <w:noWrap/>
            <w:vAlign w:val="center"/>
            <w:hideMark/>
          </w:tcPr>
          <w:p w14:paraId="7779FA4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418" w:type="dxa"/>
            <w:tcBorders>
              <w:top w:val="nil"/>
              <w:left w:val="nil"/>
              <w:bottom w:val="single" w:sz="8" w:space="0" w:color="auto"/>
              <w:right w:val="nil"/>
            </w:tcBorders>
            <w:shd w:val="clear" w:color="000000" w:fill="FFFFFF"/>
            <w:noWrap/>
            <w:vAlign w:val="center"/>
            <w:hideMark/>
          </w:tcPr>
          <w:p w14:paraId="1D8308A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c>
          <w:tcPr>
            <w:tcW w:w="1315" w:type="dxa"/>
            <w:tcBorders>
              <w:top w:val="nil"/>
              <w:left w:val="nil"/>
              <w:bottom w:val="single" w:sz="8" w:space="0" w:color="auto"/>
              <w:right w:val="nil"/>
            </w:tcBorders>
            <w:shd w:val="clear" w:color="000000" w:fill="FFFFFF"/>
            <w:noWrap/>
            <w:vAlign w:val="center"/>
            <w:hideMark/>
          </w:tcPr>
          <w:p w14:paraId="46F0A5FF"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 </w:t>
            </w:r>
          </w:p>
        </w:tc>
      </w:tr>
      <w:tr w:rsidR="00D24563" w:rsidRPr="00D24563" w14:paraId="64C2E0A7"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072DA9C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7DD5CD8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$2.61</w:t>
            </w:r>
          </w:p>
        </w:tc>
        <w:tc>
          <w:tcPr>
            <w:tcW w:w="1417" w:type="dxa"/>
            <w:tcBorders>
              <w:top w:val="nil"/>
              <w:left w:val="nil"/>
              <w:bottom w:val="single" w:sz="8" w:space="0" w:color="auto"/>
              <w:right w:val="nil"/>
            </w:tcBorders>
            <w:shd w:val="clear" w:color="000000" w:fill="FFFFFF"/>
            <w:noWrap/>
            <w:vAlign w:val="center"/>
            <w:hideMark/>
          </w:tcPr>
          <w:p w14:paraId="0E3A259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$3.19</w:t>
            </w:r>
          </w:p>
        </w:tc>
        <w:tc>
          <w:tcPr>
            <w:tcW w:w="1418" w:type="dxa"/>
            <w:tcBorders>
              <w:top w:val="nil"/>
              <w:left w:val="nil"/>
              <w:bottom w:val="single" w:sz="8" w:space="0" w:color="auto"/>
              <w:right w:val="nil"/>
            </w:tcBorders>
            <w:shd w:val="clear" w:color="000000" w:fill="FFFFFF"/>
            <w:noWrap/>
            <w:vAlign w:val="center"/>
            <w:hideMark/>
          </w:tcPr>
          <w:p w14:paraId="67C09CD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$4.23</w:t>
            </w:r>
          </w:p>
        </w:tc>
        <w:tc>
          <w:tcPr>
            <w:tcW w:w="1315" w:type="dxa"/>
            <w:tcBorders>
              <w:top w:val="nil"/>
              <w:left w:val="nil"/>
              <w:bottom w:val="single" w:sz="8" w:space="0" w:color="auto"/>
              <w:right w:val="nil"/>
            </w:tcBorders>
            <w:shd w:val="clear" w:color="000000" w:fill="FFFFFF"/>
            <w:noWrap/>
            <w:vAlign w:val="center"/>
            <w:hideMark/>
          </w:tcPr>
          <w:p w14:paraId="634EE56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$3.00</w:t>
            </w:r>
          </w:p>
        </w:tc>
      </w:tr>
      <w:tr w:rsidR="00D24563" w:rsidRPr="00D24563" w14:paraId="5661BBE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233150C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Repairs and maintenance</w:t>
            </w:r>
          </w:p>
        </w:tc>
        <w:tc>
          <w:tcPr>
            <w:tcW w:w="1418" w:type="dxa"/>
            <w:tcBorders>
              <w:top w:val="nil"/>
              <w:left w:val="nil"/>
              <w:bottom w:val="single" w:sz="8" w:space="0" w:color="auto"/>
              <w:right w:val="nil"/>
            </w:tcBorders>
            <w:shd w:val="clear" w:color="000000" w:fill="FFFFFF"/>
            <w:noWrap/>
            <w:vAlign w:val="center"/>
            <w:hideMark/>
          </w:tcPr>
          <w:p w14:paraId="35F450D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$5.42</w:t>
            </w:r>
          </w:p>
        </w:tc>
        <w:tc>
          <w:tcPr>
            <w:tcW w:w="1417" w:type="dxa"/>
            <w:tcBorders>
              <w:top w:val="nil"/>
              <w:left w:val="nil"/>
              <w:bottom w:val="single" w:sz="8" w:space="0" w:color="auto"/>
              <w:right w:val="nil"/>
            </w:tcBorders>
            <w:shd w:val="clear" w:color="000000" w:fill="FFFFFF"/>
            <w:noWrap/>
            <w:vAlign w:val="center"/>
            <w:hideMark/>
          </w:tcPr>
          <w:p w14:paraId="78CDEF3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$8.15</w:t>
            </w:r>
          </w:p>
        </w:tc>
        <w:tc>
          <w:tcPr>
            <w:tcW w:w="1418" w:type="dxa"/>
            <w:tcBorders>
              <w:top w:val="nil"/>
              <w:left w:val="nil"/>
              <w:bottom w:val="single" w:sz="8" w:space="0" w:color="auto"/>
              <w:right w:val="nil"/>
            </w:tcBorders>
            <w:shd w:val="clear" w:color="000000" w:fill="FFFFFF"/>
            <w:noWrap/>
            <w:vAlign w:val="center"/>
            <w:hideMark/>
          </w:tcPr>
          <w:p w14:paraId="0F5F0A2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$6.82</w:t>
            </w:r>
          </w:p>
        </w:tc>
        <w:tc>
          <w:tcPr>
            <w:tcW w:w="1315" w:type="dxa"/>
            <w:tcBorders>
              <w:top w:val="nil"/>
              <w:left w:val="nil"/>
              <w:bottom w:val="single" w:sz="8" w:space="0" w:color="auto"/>
              <w:right w:val="nil"/>
            </w:tcBorders>
            <w:shd w:val="clear" w:color="000000" w:fill="FFFFFF"/>
            <w:noWrap/>
            <w:vAlign w:val="center"/>
            <w:hideMark/>
          </w:tcPr>
          <w:p w14:paraId="4C14D5F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$7.02</w:t>
            </w:r>
          </w:p>
        </w:tc>
      </w:tr>
      <w:tr w:rsidR="00D24563" w:rsidRPr="00D24563" w14:paraId="593CE70E"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7E73405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internal</w:t>
            </w:r>
          </w:p>
        </w:tc>
        <w:tc>
          <w:tcPr>
            <w:tcW w:w="1418" w:type="dxa"/>
            <w:tcBorders>
              <w:top w:val="nil"/>
              <w:left w:val="nil"/>
              <w:bottom w:val="single" w:sz="8" w:space="0" w:color="auto"/>
              <w:right w:val="nil"/>
            </w:tcBorders>
            <w:shd w:val="clear" w:color="000000" w:fill="FFFFFF"/>
            <w:noWrap/>
            <w:vAlign w:val="center"/>
            <w:hideMark/>
          </w:tcPr>
          <w:p w14:paraId="26787A9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$0.80</w:t>
            </w:r>
          </w:p>
        </w:tc>
        <w:tc>
          <w:tcPr>
            <w:tcW w:w="1417" w:type="dxa"/>
            <w:tcBorders>
              <w:top w:val="nil"/>
              <w:left w:val="nil"/>
              <w:bottom w:val="single" w:sz="8" w:space="0" w:color="auto"/>
              <w:right w:val="nil"/>
            </w:tcBorders>
            <w:shd w:val="clear" w:color="000000" w:fill="FFFFFF"/>
            <w:noWrap/>
            <w:vAlign w:val="center"/>
            <w:hideMark/>
          </w:tcPr>
          <w:p w14:paraId="7703A7D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$0.13</w:t>
            </w:r>
          </w:p>
        </w:tc>
        <w:tc>
          <w:tcPr>
            <w:tcW w:w="1418" w:type="dxa"/>
            <w:tcBorders>
              <w:top w:val="nil"/>
              <w:left w:val="nil"/>
              <w:bottom w:val="single" w:sz="8" w:space="0" w:color="auto"/>
              <w:right w:val="nil"/>
            </w:tcBorders>
            <w:shd w:val="clear" w:color="000000" w:fill="FFFFFF"/>
            <w:noWrap/>
            <w:vAlign w:val="center"/>
            <w:hideMark/>
          </w:tcPr>
          <w:p w14:paraId="624A59F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$1.72</w:t>
            </w:r>
          </w:p>
        </w:tc>
        <w:tc>
          <w:tcPr>
            <w:tcW w:w="1315" w:type="dxa"/>
            <w:tcBorders>
              <w:top w:val="nil"/>
              <w:left w:val="nil"/>
              <w:bottom w:val="single" w:sz="8" w:space="0" w:color="auto"/>
              <w:right w:val="nil"/>
            </w:tcBorders>
            <w:shd w:val="clear" w:color="000000" w:fill="FFFFFF"/>
            <w:noWrap/>
            <w:vAlign w:val="center"/>
            <w:hideMark/>
          </w:tcPr>
          <w:p w14:paraId="596A2C9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$0.45</w:t>
            </w:r>
          </w:p>
        </w:tc>
      </w:tr>
      <w:tr w:rsidR="00D24563" w:rsidRPr="00D24563" w14:paraId="2B5B579C"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078F44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Contract services - outsourcing</w:t>
            </w:r>
          </w:p>
        </w:tc>
        <w:tc>
          <w:tcPr>
            <w:tcW w:w="1418" w:type="dxa"/>
            <w:tcBorders>
              <w:top w:val="nil"/>
              <w:left w:val="nil"/>
              <w:bottom w:val="single" w:sz="8" w:space="0" w:color="auto"/>
              <w:right w:val="nil"/>
            </w:tcBorders>
            <w:shd w:val="clear" w:color="000000" w:fill="FFFFFF"/>
            <w:noWrap/>
            <w:vAlign w:val="center"/>
            <w:hideMark/>
          </w:tcPr>
          <w:p w14:paraId="0B3F383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$0.67</w:t>
            </w:r>
          </w:p>
        </w:tc>
        <w:tc>
          <w:tcPr>
            <w:tcW w:w="1417" w:type="dxa"/>
            <w:tcBorders>
              <w:top w:val="nil"/>
              <w:left w:val="nil"/>
              <w:bottom w:val="single" w:sz="8" w:space="0" w:color="auto"/>
              <w:right w:val="nil"/>
            </w:tcBorders>
            <w:shd w:val="clear" w:color="000000" w:fill="FFFFFF"/>
            <w:noWrap/>
            <w:vAlign w:val="center"/>
            <w:hideMark/>
          </w:tcPr>
          <w:p w14:paraId="135D086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$0.80</w:t>
            </w:r>
          </w:p>
        </w:tc>
        <w:tc>
          <w:tcPr>
            <w:tcW w:w="1418" w:type="dxa"/>
            <w:tcBorders>
              <w:top w:val="nil"/>
              <w:left w:val="nil"/>
              <w:bottom w:val="single" w:sz="8" w:space="0" w:color="auto"/>
              <w:right w:val="nil"/>
            </w:tcBorders>
            <w:shd w:val="clear" w:color="000000" w:fill="FFFFFF"/>
            <w:noWrap/>
            <w:vAlign w:val="center"/>
            <w:hideMark/>
          </w:tcPr>
          <w:p w14:paraId="731715A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$1.33</w:t>
            </w:r>
          </w:p>
        </w:tc>
        <w:tc>
          <w:tcPr>
            <w:tcW w:w="1315" w:type="dxa"/>
            <w:tcBorders>
              <w:top w:val="nil"/>
              <w:left w:val="nil"/>
              <w:bottom w:val="single" w:sz="8" w:space="0" w:color="auto"/>
              <w:right w:val="nil"/>
            </w:tcBorders>
            <w:shd w:val="clear" w:color="000000" w:fill="FFFFFF"/>
            <w:noWrap/>
            <w:vAlign w:val="center"/>
            <w:hideMark/>
          </w:tcPr>
          <w:p w14:paraId="57A68C2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$0.77</w:t>
            </w:r>
          </w:p>
        </w:tc>
      </w:tr>
      <w:tr w:rsidR="00D24563" w:rsidRPr="00D24563" w14:paraId="1D59762E"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6A3CD249"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Total routine maintenance expenses</w:t>
            </w:r>
          </w:p>
        </w:tc>
        <w:tc>
          <w:tcPr>
            <w:tcW w:w="1418" w:type="dxa"/>
            <w:tcBorders>
              <w:top w:val="nil"/>
              <w:left w:val="nil"/>
              <w:bottom w:val="single" w:sz="8" w:space="0" w:color="auto"/>
              <w:right w:val="nil"/>
            </w:tcBorders>
            <w:shd w:val="clear" w:color="000000" w:fill="FFFFFF"/>
            <w:noWrap/>
            <w:vAlign w:val="center"/>
            <w:hideMark/>
          </w:tcPr>
          <w:p w14:paraId="3A5C39D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$9.50</w:t>
            </w:r>
          </w:p>
        </w:tc>
        <w:tc>
          <w:tcPr>
            <w:tcW w:w="1417" w:type="dxa"/>
            <w:tcBorders>
              <w:top w:val="nil"/>
              <w:left w:val="nil"/>
              <w:bottom w:val="single" w:sz="8" w:space="0" w:color="auto"/>
              <w:right w:val="nil"/>
            </w:tcBorders>
            <w:shd w:val="clear" w:color="000000" w:fill="FFFFFF"/>
            <w:noWrap/>
            <w:vAlign w:val="center"/>
            <w:hideMark/>
          </w:tcPr>
          <w:p w14:paraId="7F231E6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$12.27</w:t>
            </w:r>
          </w:p>
        </w:tc>
        <w:tc>
          <w:tcPr>
            <w:tcW w:w="1418" w:type="dxa"/>
            <w:tcBorders>
              <w:top w:val="nil"/>
              <w:left w:val="nil"/>
              <w:bottom w:val="single" w:sz="8" w:space="0" w:color="auto"/>
              <w:right w:val="nil"/>
            </w:tcBorders>
            <w:shd w:val="clear" w:color="000000" w:fill="FFFFFF"/>
            <w:noWrap/>
            <w:vAlign w:val="center"/>
            <w:hideMark/>
          </w:tcPr>
          <w:p w14:paraId="0153467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$14.10</w:t>
            </w:r>
          </w:p>
        </w:tc>
        <w:tc>
          <w:tcPr>
            <w:tcW w:w="1315" w:type="dxa"/>
            <w:tcBorders>
              <w:top w:val="nil"/>
              <w:left w:val="nil"/>
              <w:bottom w:val="single" w:sz="8" w:space="0" w:color="auto"/>
              <w:right w:val="nil"/>
            </w:tcBorders>
            <w:shd w:val="clear" w:color="000000" w:fill="FFFFFF"/>
            <w:noWrap/>
            <w:vAlign w:val="center"/>
            <w:hideMark/>
          </w:tcPr>
          <w:p w14:paraId="72C226D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$11.24</w:t>
            </w:r>
          </w:p>
        </w:tc>
      </w:tr>
      <w:tr w:rsidR="00D24563" w:rsidRPr="00D24563" w14:paraId="658205EB" w14:textId="77777777" w:rsidTr="00D24563">
        <w:trPr>
          <w:trHeight w:val="830"/>
        </w:trPr>
        <w:tc>
          <w:tcPr>
            <w:tcW w:w="3402" w:type="dxa"/>
            <w:tcBorders>
              <w:top w:val="nil"/>
              <w:left w:val="nil"/>
              <w:bottom w:val="single" w:sz="8" w:space="0" w:color="auto"/>
              <w:right w:val="nil"/>
            </w:tcBorders>
            <w:shd w:val="clear" w:color="auto" w:fill="auto"/>
            <w:vAlign w:val="bottom"/>
            <w:hideMark/>
          </w:tcPr>
          <w:p w14:paraId="0C1780D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Workcover premium (accommodation employee labour)</w:t>
            </w:r>
          </w:p>
        </w:tc>
        <w:tc>
          <w:tcPr>
            <w:tcW w:w="1418" w:type="dxa"/>
            <w:tcBorders>
              <w:top w:val="nil"/>
              <w:left w:val="nil"/>
              <w:bottom w:val="single" w:sz="8" w:space="0" w:color="auto"/>
              <w:right w:val="nil"/>
            </w:tcBorders>
            <w:shd w:val="clear" w:color="000000" w:fill="FFFFFF"/>
            <w:noWrap/>
            <w:vAlign w:val="center"/>
            <w:hideMark/>
          </w:tcPr>
          <w:p w14:paraId="7CB60EB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417" w:type="dxa"/>
            <w:tcBorders>
              <w:top w:val="nil"/>
              <w:left w:val="nil"/>
              <w:bottom w:val="single" w:sz="8" w:space="0" w:color="auto"/>
              <w:right w:val="nil"/>
            </w:tcBorders>
            <w:shd w:val="clear" w:color="000000" w:fill="FFFFFF"/>
            <w:noWrap/>
            <w:vAlign w:val="center"/>
            <w:hideMark/>
          </w:tcPr>
          <w:p w14:paraId="6F60850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c>
          <w:tcPr>
            <w:tcW w:w="1418" w:type="dxa"/>
            <w:tcBorders>
              <w:top w:val="nil"/>
              <w:left w:val="nil"/>
              <w:bottom w:val="single" w:sz="8" w:space="0" w:color="auto"/>
              <w:right w:val="nil"/>
            </w:tcBorders>
            <w:shd w:val="clear" w:color="000000" w:fill="FFFFFF"/>
            <w:noWrap/>
            <w:vAlign w:val="center"/>
            <w:hideMark/>
          </w:tcPr>
          <w:p w14:paraId="64DC876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315" w:type="dxa"/>
            <w:tcBorders>
              <w:top w:val="nil"/>
              <w:left w:val="nil"/>
              <w:bottom w:val="single" w:sz="8" w:space="0" w:color="auto"/>
              <w:right w:val="nil"/>
            </w:tcBorders>
            <w:shd w:val="clear" w:color="000000" w:fill="FFFFFF"/>
            <w:noWrap/>
            <w:vAlign w:val="center"/>
            <w:hideMark/>
          </w:tcPr>
          <w:p w14:paraId="7B43723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$0.07</w:t>
            </w:r>
          </w:p>
        </w:tc>
      </w:tr>
      <w:tr w:rsidR="00D24563" w:rsidRPr="00D24563" w14:paraId="49C12BE0"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4829E31C"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Payroll tax (accommodation employee labour)</w:t>
            </w:r>
          </w:p>
        </w:tc>
        <w:tc>
          <w:tcPr>
            <w:tcW w:w="1418" w:type="dxa"/>
            <w:tcBorders>
              <w:top w:val="nil"/>
              <w:left w:val="nil"/>
              <w:bottom w:val="single" w:sz="8" w:space="0" w:color="auto"/>
              <w:right w:val="nil"/>
            </w:tcBorders>
            <w:shd w:val="clear" w:color="000000" w:fill="FFFFFF"/>
            <w:noWrap/>
            <w:vAlign w:val="center"/>
            <w:hideMark/>
          </w:tcPr>
          <w:p w14:paraId="09FA81B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$0.11</w:t>
            </w:r>
          </w:p>
        </w:tc>
        <w:tc>
          <w:tcPr>
            <w:tcW w:w="1417" w:type="dxa"/>
            <w:tcBorders>
              <w:top w:val="nil"/>
              <w:left w:val="nil"/>
              <w:bottom w:val="single" w:sz="8" w:space="0" w:color="auto"/>
              <w:right w:val="nil"/>
            </w:tcBorders>
            <w:shd w:val="clear" w:color="000000" w:fill="FFFFFF"/>
            <w:noWrap/>
            <w:vAlign w:val="center"/>
            <w:hideMark/>
          </w:tcPr>
          <w:p w14:paraId="6A4FFDF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8" w:type="dxa"/>
            <w:tcBorders>
              <w:top w:val="nil"/>
              <w:left w:val="nil"/>
              <w:bottom w:val="single" w:sz="8" w:space="0" w:color="auto"/>
              <w:right w:val="nil"/>
            </w:tcBorders>
            <w:shd w:val="clear" w:color="000000" w:fill="FFFFFF"/>
            <w:noWrap/>
            <w:vAlign w:val="center"/>
            <w:hideMark/>
          </w:tcPr>
          <w:p w14:paraId="19CE991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25D3CF3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r>
      <w:tr w:rsidR="00D24563" w:rsidRPr="00D24563" w14:paraId="016740BA"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12BD016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accommodation expenses</w:t>
            </w:r>
          </w:p>
        </w:tc>
        <w:tc>
          <w:tcPr>
            <w:tcW w:w="1418" w:type="dxa"/>
            <w:tcBorders>
              <w:top w:val="nil"/>
              <w:left w:val="nil"/>
              <w:bottom w:val="single" w:sz="8" w:space="0" w:color="auto"/>
              <w:right w:val="nil"/>
            </w:tcBorders>
            <w:shd w:val="clear" w:color="000000" w:fill="FFFFFF"/>
            <w:noWrap/>
            <w:vAlign w:val="center"/>
            <w:hideMark/>
          </w:tcPr>
          <w:p w14:paraId="77EA80E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$0.99</w:t>
            </w:r>
          </w:p>
        </w:tc>
        <w:tc>
          <w:tcPr>
            <w:tcW w:w="1417" w:type="dxa"/>
            <w:tcBorders>
              <w:top w:val="nil"/>
              <w:left w:val="nil"/>
              <w:bottom w:val="single" w:sz="8" w:space="0" w:color="auto"/>
              <w:right w:val="nil"/>
            </w:tcBorders>
            <w:shd w:val="clear" w:color="000000" w:fill="FFFFFF"/>
            <w:noWrap/>
            <w:vAlign w:val="center"/>
            <w:hideMark/>
          </w:tcPr>
          <w:p w14:paraId="7A605DF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$1.00</w:t>
            </w:r>
          </w:p>
        </w:tc>
        <w:tc>
          <w:tcPr>
            <w:tcW w:w="1418" w:type="dxa"/>
            <w:tcBorders>
              <w:top w:val="nil"/>
              <w:left w:val="nil"/>
              <w:bottom w:val="single" w:sz="8" w:space="0" w:color="auto"/>
              <w:right w:val="nil"/>
            </w:tcBorders>
            <w:shd w:val="clear" w:color="000000" w:fill="FFFFFF"/>
            <w:noWrap/>
            <w:vAlign w:val="center"/>
            <w:hideMark/>
          </w:tcPr>
          <w:p w14:paraId="5E016ED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$0.39</w:t>
            </w:r>
          </w:p>
        </w:tc>
        <w:tc>
          <w:tcPr>
            <w:tcW w:w="1315" w:type="dxa"/>
            <w:tcBorders>
              <w:top w:val="nil"/>
              <w:left w:val="nil"/>
              <w:bottom w:val="single" w:sz="8" w:space="0" w:color="auto"/>
              <w:right w:val="nil"/>
            </w:tcBorders>
            <w:shd w:val="clear" w:color="000000" w:fill="FFFFFF"/>
            <w:noWrap/>
            <w:vAlign w:val="center"/>
            <w:hideMark/>
          </w:tcPr>
          <w:p w14:paraId="7805610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$0.97</w:t>
            </w:r>
          </w:p>
        </w:tc>
      </w:tr>
      <w:tr w:rsidR="00D24563" w:rsidRPr="00D24563" w14:paraId="122A4EA0" w14:textId="77777777" w:rsidTr="00D24563">
        <w:trPr>
          <w:trHeight w:val="550"/>
        </w:trPr>
        <w:tc>
          <w:tcPr>
            <w:tcW w:w="3402" w:type="dxa"/>
            <w:tcBorders>
              <w:top w:val="nil"/>
              <w:left w:val="nil"/>
              <w:bottom w:val="single" w:sz="8" w:space="0" w:color="auto"/>
              <w:right w:val="nil"/>
            </w:tcBorders>
            <w:shd w:val="clear" w:color="000000" w:fill="D8DADA"/>
            <w:vAlign w:val="center"/>
            <w:hideMark/>
          </w:tcPr>
          <w:p w14:paraId="712ADFA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accommodation and finance expenses</w:t>
            </w:r>
          </w:p>
        </w:tc>
        <w:tc>
          <w:tcPr>
            <w:tcW w:w="1418" w:type="dxa"/>
            <w:tcBorders>
              <w:top w:val="nil"/>
              <w:left w:val="nil"/>
              <w:bottom w:val="single" w:sz="8" w:space="0" w:color="auto"/>
              <w:right w:val="nil"/>
            </w:tcBorders>
            <w:shd w:val="clear" w:color="000000" w:fill="D8DADA"/>
            <w:noWrap/>
            <w:vAlign w:val="center"/>
            <w:hideMark/>
          </w:tcPr>
          <w:p w14:paraId="14D22F4F"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$51.31</w:t>
            </w:r>
          </w:p>
        </w:tc>
        <w:tc>
          <w:tcPr>
            <w:tcW w:w="1417" w:type="dxa"/>
            <w:tcBorders>
              <w:top w:val="nil"/>
              <w:left w:val="nil"/>
              <w:bottom w:val="single" w:sz="8" w:space="0" w:color="auto"/>
              <w:right w:val="nil"/>
            </w:tcBorders>
            <w:shd w:val="clear" w:color="000000" w:fill="D8DADA"/>
            <w:noWrap/>
            <w:vAlign w:val="center"/>
            <w:hideMark/>
          </w:tcPr>
          <w:p w14:paraId="5E6DA67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$38.37</w:t>
            </w:r>
          </w:p>
        </w:tc>
        <w:tc>
          <w:tcPr>
            <w:tcW w:w="1418" w:type="dxa"/>
            <w:tcBorders>
              <w:top w:val="nil"/>
              <w:left w:val="nil"/>
              <w:bottom w:val="single" w:sz="8" w:space="0" w:color="auto"/>
              <w:right w:val="nil"/>
            </w:tcBorders>
            <w:shd w:val="clear" w:color="000000" w:fill="D8DADA"/>
            <w:noWrap/>
            <w:vAlign w:val="center"/>
            <w:hideMark/>
          </w:tcPr>
          <w:p w14:paraId="2F9808FC"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$52.56</w:t>
            </w:r>
          </w:p>
        </w:tc>
        <w:tc>
          <w:tcPr>
            <w:tcW w:w="1315" w:type="dxa"/>
            <w:tcBorders>
              <w:top w:val="nil"/>
              <w:left w:val="nil"/>
              <w:bottom w:val="single" w:sz="8" w:space="0" w:color="auto"/>
              <w:right w:val="nil"/>
            </w:tcBorders>
            <w:shd w:val="clear" w:color="000000" w:fill="D8DADA"/>
            <w:noWrap/>
            <w:vAlign w:val="center"/>
            <w:hideMark/>
          </w:tcPr>
          <w:p w14:paraId="769D78A5"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$43.99</w:t>
            </w:r>
          </w:p>
        </w:tc>
      </w:tr>
      <w:tr w:rsidR="00D24563" w:rsidRPr="00D24563" w14:paraId="6BB57701"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C170D3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COVID-19 expenses</w:t>
            </w:r>
          </w:p>
        </w:tc>
        <w:tc>
          <w:tcPr>
            <w:tcW w:w="1418" w:type="dxa"/>
            <w:tcBorders>
              <w:top w:val="nil"/>
              <w:left w:val="nil"/>
              <w:bottom w:val="single" w:sz="8" w:space="0" w:color="auto"/>
              <w:right w:val="nil"/>
            </w:tcBorders>
            <w:shd w:val="clear" w:color="000000" w:fill="D8DADA"/>
            <w:noWrap/>
            <w:vAlign w:val="center"/>
            <w:hideMark/>
          </w:tcPr>
          <w:p w14:paraId="1B61EC1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16AA04F2"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138C774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0EC9B871"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4E111F6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2BA344C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Employee and Agency labour costs</w:t>
            </w:r>
          </w:p>
        </w:tc>
        <w:tc>
          <w:tcPr>
            <w:tcW w:w="1418" w:type="dxa"/>
            <w:tcBorders>
              <w:top w:val="nil"/>
              <w:left w:val="nil"/>
              <w:bottom w:val="single" w:sz="8" w:space="0" w:color="auto"/>
              <w:right w:val="nil"/>
            </w:tcBorders>
            <w:shd w:val="clear" w:color="000000" w:fill="FFFFFF"/>
            <w:noWrap/>
            <w:vAlign w:val="center"/>
            <w:hideMark/>
          </w:tcPr>
          <w:p w14:paraId="3192FB1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$6.27</w:t>
            </w:r>
          </w:p>
        </w:tc>
        <w:tc>
          <w:tcPr>
            <w:tcW w:w="1417" w:type="dxa"/>
            <w:tcBorders>
              <w:top w:val="nil"/>
              <w:left w:val="nil"/>
              <w:bottom w:val="single" w:sz="8" w:space="0" w:color="auto"/>
              <w:right w:val="nil"/>
            </w:tcBorders>
            <w:shd w:val="clear" w:color="000000" w:fill="FFFFFF"/>
            <w:noWrap/>
            <w:vAlign w:val="center"/>
            <w:hideMark/>
          </w:tcPr>
          <w:p w14:paraId="6EB73E9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$3.86</w:t>
            </w:r>
          </w:p>
        </w:tc>
        <w:tc>
          <w:tcPr>
            <w:tcW w:w="1418" w:type="dxa"/>
            <w:tcBorders>
              <w:top w:val="nil"/>
              <w:left w:val="nil"/>
              <w:bottom w:val="single" w:sz="8" w:space="0" w:color="auto"/>
              <w:right w:val="nil"/>
            </w:tcBorders>
            <w:shd w:val="clear" w:color="000000" w:fill="FFFFFF"/>
            <w:noWrap/>
            <w:vAlign w:val="center"/>
            <w:hideMark/>
          </w:tcPr>
          <w:p w14:paraId="06E8877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$4.27</w:t>
            </w:r>
          </w:p>
        </w:tc>
        <w:tc>
          <w:tcPr>
            <w:tcW w:w="1315" w:type="dxa"/>
            <w:tcBorders>
              <w:top w:val="nil"/>
              <w:left w:val="nil"/>
              <w:bottom w:val="single" w:sz="8" w:space="0" w:color="auto"/>
              <w:right w:val="nil"/>
            </w:tcBorders>
            <w:shd w:val="clear" w:color="000000" w:fill="FFFFFF"/>
            <w:noWrap/>
            <w:vAlign w:val="center"/>
            <w:hideMark/>
          </w:tcPr>
          <w:p w14:paraId="21A18FA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$4.83</w:t>
            </w:r>
          </w:p>
        </w:tc>
      </w:tr>
      <w:tr w:rsidR="00D24563" w:rsidRPr="00D24563" w14:paraId="396B88B6"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01EED0E5"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Resident support</w:t>
            </w:r>
          </w:p>
        </w:tc>
        <w:tc>
          <w:tcPr>
            <w:tcW w:w="1418" w:type="dxa"/>
            <w:tcBorders>
              <w:top w:val="nil"/>
              <w:left w:val="nil"/>
              <w:bottom w:val="single" w:sz="8" w:space="0" w:color="auto"/>
              <w:right w:val="nil"/>
            </w:tcBorders>
            <w:shd w:val="clear" w:color="000000" w:fill="FFFFFF"/>
            <w:noWrap/>
            <w:vAlign w:val="center"/>
            <w:hideMark/>
          </w:tcPr>
          <w:p w14:paraId="41D09B3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$0.19</w:t>
            </w:r>
          </w:p>
        </w:tc>
        <w:tc>
          <w:tcPr>
            <w:tcW w:w="1417" w:type="dxa"/>
            <w:tcBorders>
              <w:top w:val="nil"/>
              <w:left w:val="nil"/>
              <w:bottom w:val="single" w:sz="8" w:space="0" w:color="auto"/>
              <w:right w:val="nil"/>
            </w:tcBorders>
            <w:shd w:val="clear" w:color="000000" w:fill="FFFFFF"/>
            <w:noWrap/>
            <w:vAlign w:val="center"/>
            <w:hideMark/>
          </w:tcPr>
          <w:p w14:paraId="7ADE4A8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$0.07</w:t>
            </w:r>
          </w:p>
        </w:tc>
        <w:tc>
          <w:tcPr>
            <w:tcW w:w="1418" w:type="dxa"/>
            <w:tcBorders>
              <w:top w:val="nil"/>
              <w:left w:val="nil"/>
              <w:bottom w:val="single" w:sz="8" w:space="0" w:color="auto"/>
              <w:right w:val="nil"/>
            </w:tcBorders>
            <w:shd w:val="clear" w:color="000000" w:fill="FFFFFF"/>
            <w:noWrap/>
            <w:vAlign w:val="center"/>
            <w:hideMark/>
          </w:tcPr>
          <w:p w14:paraId="3CDE99A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315" w:type="dxa"/>
            <w:tcBorders>
              <w:top w:val="nil"/>
              <w:left w:val="nil"/>
              <w:bottom w:val="single" w:sz="8" w:space="0" w:color="auto"/>
              <w:right w:val="nil"/>
            </w:tcBorders>
            <w:shd w:val="clear" w:color="000000" w:fill="FFFFFF"/>
            <w:noWrap/>
            <w:vAlign w:val="center"/>
            <w:hideMark/>
          </w:tcPr>
          <w:p w14:paraId="42B874F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$0.11</w:t>
            </w:r>
          </w:p>
        </w:tc>
      </w:tr>
      <w:tr w:rsidR="00D24563" w:rsidRPr="00D24563" w14:paraId="2FC1165E"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6D688050"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Preventative measures</w:t>
            </w:r>
          </w:p>
        </w:tc>
        <w:tc>
          <w:tcPr>
            <w:tcW w:w="1418" w:type="dxa"/>
            <w:tcBorders>
              <w:top w:val="nil"/>
              <w:left w:val="nil"/>
              <w:bottom w:val="single" w:sz="8" w:space="0" w:color="auto"/>
              <w:right w:val="nil"/>
            </w:tcBorders>
            <w:shd w:val="clear" w:color="000000" w:fill="FFFFFF"/>
            <w:noWrap/>
            <w:vAlign w:val="center"/>
            <w:hideMark/>
          </w:tcPr>
          <w:p w14:paraId="5D0F60D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$1.37</w:t>
            </w:r>
          </w:p>
        </w:tc>
        <w:tc>
          <w:tcPr>
            <w:tcW w:w="1417" w:type="dxa"/>
            <w:tcBorders>
              <w:top w:val="nil"/>
              <w:left w:val="nil"/>
              <w:bottom w:val="single" w:sz="8" w:space="0" w:color="auto"/>
              <w:right w:val="nil"/>
            </w:tcBorders>
            <w:shd w:val="clear" w:color="000000" w:fill="FFFFFF"/>
            <w:noWrap/>
            <w:vAlign w:val="center"/>
            <w:hideMark/>
          </w:tcPr>
          <w:p w14:paraId="3203FC6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$1.04</w:t>
            </w:r>
          </w:p>
        </w:tc>
        <w:tc>
          <w:tcPr>
            <w:tcW w:w="1418" w:type="dxa"/>
            <w:tcBorders>
              <w:top w:val="nil"/>
              <w:left w:val="nil"/>
              <w:bottom w:val="single" w:sz="8" w:space="0" w:color="auto"/>
              <w:right w:val="nil"/>
            </w:tcBorders>
            <w:shd w:val="clear" w:color="000000" w:fill="FFFFFF"/>
            <w:noWrap/>
            <w:vAlign w:val="center"/>
            <w:hideMark/>
          </w:tcPr>
          <w:p w14:paraId="5DF656B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$0.51</w:t>
            </w:r>
          </w:p>
        </w:tc>
        <w:tc>
          <w:tcPr>
            <w:tcW w:w="1315" w:type="dxa"/>
            <w:tcBorders>
              <w:top w:val="nil"/>
              <w:left w:val="nil"/>
              <w:bottom w:val="single" w:sz="8" w:space="0" w:color="auto"/>
              <w:right w:val="nil"/>
            </w:tcBorders>
            <w:shd w:val="clear" w:color="000000" w:fill="FFFFFF"/>
            <w:noWrap/>
            <w:vAlign w:val="center"/>
            <w:hideMark/>
          </w:tcPr>
          <w:p w14:paraId="4E691114" w14:textId="5386CA4B" w:rsidR="00D24563" w:rsidRPr="00D24563" w:rsidRDefault="00D24563" w:rsidP="00D24563">
            <w:pPr>
              <w:spacing w:before="0" w:after="0" w:line="240" w:lineRule="auto"/>
              <w:jc w:val="right"/>
              <w:rPr>
                <w:rFonts w:cs="Arial"/>
                <w:bCs w:val="0"/>
                <w:color w:val="1E1545"/>
                <w:sz w:val="21"/>
                <w:szCs w:val="21"/>
                <w:lang w:eastAsia="en-AU"/>
              </w:rPr>
            </w:pPr>
            <w:r>
              <w:rPr>
                <w:rFonts w:cs="Arial"/>
                <w:bCs w:val="0"/>
                <w:color w:val="1E1545"/>
                <w:sz w:val="21"/>
                <w:szCs w:val="21"/>
                <w:lang w:eastAsia="en-AU"/>
              </w:rPr>
              <w:t xml:space="preserve"> </w:t>
            </w:r>
            <w:r w:rsidRPr="00D24563">
              <w:rPr>
                <w:rFonts w:cs="Arial"/>
                <w:bCs w:val="0"/>
                <w:color w:val="1E1545"/>
                <w:sz w:val="21"/>
                <w:szCs w:val="21"/>
                <w:lang w:eastAsia="en-AU"/>
              </w:rPr>
              <w:t>$1.15</w:t>
            </w:r>
          </w:p>
        </w:tc>
      </w:tr>
      <w:tr w:rsidR="00D24563" w:rsidRPr="00D24563" w14:paraId="2F407267"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1D83CF6B"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Infection prevention and control (IPC) lead expenses</w:t>
            </w:r>
          </w:p>
        </w:tc>
        <w:tc>
          <w:tcPr>
            <w:tcW w:w="1418" w:type="dxa"/>
            <w:tcBorders>
              <w:top w:val="nil"/>
              <w:left w:val="nil"/>
              <w:bottom w:val="single" w:sz="8" w:space="0" w:color="auto"/>
              <w:right w:val="nil"/>
            </w:tcBorders>
            <w:shd w:val="clear" w:color="000000" w:fill="FFFFFF"/>
            <w:noWrap/>
            <w:vAlign w:val="center"/>
            <w:hideMark/>
          </w:tcPr>
          <w:p w14:paraId="64B9095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$0.43</w:t>
            </w:r>
          </w:p>
        </w:tc>
        <w:tc>
          <w:tcPr>
            <w:tcW w:w="1417" w:type="dxa"/>
            <w:tcBorders>
              <w:top w:val="nil"/>
              <w:left w:val="nil"/>
              <w:bottom w:val="single" w:sz="8" w:space="0" w:color="auto"/>
              <w:right w:val="nil"/>
            </w:tcBorders>
            <w:shd w:val="clear" w:color="000000" w:fill="FFFFFF"/>
            <w:noWrap/>
            <w:vAlign w:val="center"/>
            <w:hideMark/>
          </w:tcPr>
          <w:p w14:paraId="29A86E2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$0.50</w:t>
            </w:r>
          </w:p>
        </w:tc>
        <w:tc>
          <w:tcPr>
            <w:tcW w:w="1418" w:type="dxa"/>
            <w:tcBorders>
              <w:top w:val="nil"/>
              <w:left w:val="nil"/>
              <w:bottom w:val="single" w:sz="8" w:space="0" w:color="auto"/>
              <w:right w:val="nil"/>
            </w:tcBorders>
            <w:shd w:val="clear" w:color="000000" w:fill="FFFFFF"/>
            <w:noWrap/>
            <w:vAlign w:val="center"/>
            <w:hideMark/>
          </w:tcPr>
          <w:p w14:paraId="3D95B6D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$0.25</w:t>
            </w:r>
          </w:p>
        </w:tc>
        <w:tc>
          <w:tcPr>
            <w:tcW w:w="1315" w:type="dxa"/>
            <w:tcBorders>
              <w:top w:val="nil"/>
              <w:left w:val="nil"/>
              <w:bottom w:val="single" w:sz="8" w:space="0" w:color="auto"/>
              <w:right w:val="nil"/>
            </w:tcBorders>
            <w:shd w:val="clear" w:color="000000" w:fill="FFFFFF"/>
            <w:noWrap/>
            <w:vAlign w:val="center"/>
            <w:hideMark/>
          </w:tcPr>
          <w:p w14:paraId="339326B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$0.46</w:t>
            </w:r>
          </w:p>
        </w:tc>
      </w:tr>
      <w:tr w:rsidR="00D24563" w:rsidRPr="00D24563" w14:paraId="16209679"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567196EF"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COVID-19 expenses</w:t>
            </w:r>
          </w:p>
        </w:tc>
        <w:tc>
          <w:tcPr>
            <w:tcW w:w="1418" w:type="dxa"/>
            <w:tcBorders>
              <w:top w:val="nil"/>
              <w:left w:val="nil"/>
              <w:bottom w:val="single" w:sz="8" w:space="0" w:color="auto"/>
              <w:right w:val="nil"/>
            </w:tcBorders>
            <w:shd w:val="clear" w:color="000000" w:fill="FFFFFF"/>
            <w:noWrap/>
            <w:vAlign w:val="center"/>
            <w:hideMark/>
          </w:tcPr>
          <w:p w14:paraId="5EB82D8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$0.24</w:t>
            </w:r>
          </w:p>
        </w:tc>
        <w:tc>
          <w:tcPr>
            <w:tcW w:w="1417" w:type="dxa"/>
            <w:tcBorders>
              <w:top w:val="nil"/>
              <w:left w:val="nil"/>
              <w:bottom w:val="single" w:sz="8" w:space="0" w:color="auto"/>
              <w:right w:val="nil"/>
            </w:tcBorders>
            <w:shd w:val="clear" w:color="000000" w:fill="FFFFFF"/>
            <w:noWrap/>
            <w:vAlign w:val="center"/>
            <w:hideMark/>
          </w:tcPr>
          <w:p w14:paraId="5AB7AB0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418" w:type="dxa"/>
            <w:tcBorders>
              <w:top w:val="nil"/>
              <w:left w:val="nil"/>
              <w:bottom w:val="single" w:sz="8" w:space="0" w:color="auto"/>
              <w:right w:val="nil"/>
            </w:tcBorders>
            <w:shd w:val="clear" w:color="000000" w:fill="FFFFFF"/>
            <w:noWrap/>
            <w:vAlign w:val="center"/>
            <w:hideMark/>
          </w:tcPr>
          <w:p w14:paraId="5328DF3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$0.20</w:t>
            </w:r>
          </w:p>
        </w:tc>
        <w:tc>
          <w:tcPr>
            <w:tcW w:w="1315" w:type="dxa"/>
            <w:tcBorders>
              <w:top w:val="nil"/>
              <w:left w:val="nil"/>
              <w:bottom w:val="single" w:sz="8" w:space="0" w:color="auto"/>
              <w:right w:val="nil"/>
            </w:tcBorders>
            <w:shd w:val="clear" w:color="000000" w:fill="FFFFFF"/>
            <w:noWrap/>
            <w:vAlign w:val="center"/>
            <w:hideMark/>
          </w:tcPr>
          <w:p w14:paraId="6209341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$0.13</w:t>
            </w:r>
          </w:p>
        </w:tc>
      </w:tr>
      <w:tr w:rsidR="00D24563" w:rsidRPr="00D24563" w14:paraId="2A57905F"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B396F4E"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COVID-19 expenses</w:t>
            </w:r>
          </w:p>
        </w:tc>
        <w:tc>
          <w:tcPr>
            <w:tcW w:w="1418" w:type="dxa"/>
            <w:tcBorders>
              <w:top w:val="nil"/>
              <w:left w:val="nil"/>
              <w:bottom w:val="single" w:sz="8" w:space="0" w:color="auto"/>
              <w:right w:val="nil"/>
            </w:tcBorders>
            <w:shd w:val="clear" w:color="000000" w:fill="D8DADA"/>
            <w:noWrap/>
            <w:vAlign w:val="center"/>
            <w:hideMark/>
          </w:tcPr>
          <w:p w14:paraId="656FEAE3"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$8.50</w:t>
            </w:r>
          </w:p>
        </w:tc>
        <w:tc>
          <w:tcPr>
            <w:tcW w:w="1417" w:type="dxa"/>
            <w:tcBorders>
              <w:top w:val="nil"/>
              <w:left w:val="nil"/>
              <w:bottom w:val="single" w:sz="8" w:space="0" w:color="auto"/>
              <w:right w:val="nil"/>
            </w:tcBorders>
            <w:shd w:val="clear" w:color="000000" w:fill="D8DADA"/>
            <w:noWrap/>
            <w:vAlign w:val="center"/>
            <w:hideMark/>
          </w:tcPr>
          <w:p w14:paraId="1192E18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$5.52</w:t>
            </w:r>
          </w:p>
        </w:tc>
        <w:tc>
          <w:tcPr>
            <w:tcW w:w="1418" w:type="dxa"/>
            <w:tcBorders>
              <w:top w:val="nil"/>
              <w:left w:val="nil"/>
              <w:bottom w:val="single" w:sz="8" w:space="0" w:color="auto"/>
              <w:right w:val="nil"/>
            </w:tcBorders>
            <w:shd w:val="clear" w:color="000000" w:fill="D8DADA"/>
            <w:noWrap/>
            <w:vAlign w:val="center"/>
            <w:hideMark/>
          </w:tcPr>
          <w:p w14:paraId="4AE1DFF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$5.23</w:t>
            </w:r>
          </w:p>
        </w:tc>
        <w:tc>
          <w:tcPr>
            <w:tcW w:w="1315" w:type="dxa"/>
            <w:tcBorders>
              <w:top w:val="nil"/>
              <w:left w:val="nil"/>
              <w:bottom w:val="single" w:sz="8" w:space="0" w:color="auto"/>
              <w:right w:val="nil"/>
            </w:tcBorders>
            <w:shd w:val="clear" w:color="000000" w:fill="D8DADA"/>
            <w:noWrap/>
            <w:vAlign w:val="center"/>
            <w:hideMark/>
          </w:tcPr>
          <w:p w14:paraId="5658DE5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$6.69</w:t>
            </w:r>
          </w:p>
        </w:tc>
      </w:tr>
      <w:tr w:rsidR="00D24563" w:rsidRPr="00D24563" w14:paraId="783392D8"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7C4A4647"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recurrent expense</w:t>
            </w:r>
          </w:p>
        </w:tc>
        <w:tc>
          <w:tcPr>
            <w:tcW w:w="1418" w:type="dxa"/>
            <w:tcBorders>
              <w:top w:val="nil"/>
              <w:left w:val="nil"/>
              <w:bottom w:val="single" w:sz="8" w:space="0" w:color="auto"/>
              <w:right w:val="nil"/>
            </w:tcBorders>
            <w:shd w:val="clear" w:color="000000" w:fill="D8DADA"/>
            <w:noWrap/>
            <w:vAlign w:val="center"/>
            <w:hideMark/>
          </w:tcPr>
          <w:p w14:paraId="487713B8"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$342.58</w:t>
            </w:r>
          </w:p>
        </w:tc>
        <w:tc>
          <w:tcPr>
            <w:tcW w:w="1417" w:type="dxa"/>
            <w:tcBorders>
              <w:top w:val="nil"/>
              <w:left w:val="nil"/>
              <w:bottom w:val="single" w:sz="8" w:space="0" w:color="auto"/>
              <w:right w:val="nil"/>
            </w:tcBorders>
            <w:shd w:val="clear" w:color="000000" w:fill="D8DADA"/>
            <w:noWrap/>
            <w:vAlign w:val="center"/>
            <w:hideMark/>
          </w:tcPr>
          <w:p w14:paraId="1B3C527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$343.92</w:t>
            </w:r>
          </w:p>
        </w:tc>
        <w:tc>
          <w:tcPr>
            <w:tcW w:w="1418" w:type="dxa"/>
            <w:tcBorders>
              <w:top w:val="nil"/>
              <w:left w:val="nil"/>
              <w:bottom w:val="single" w:sz="8" w:space="0" w:color="auto"/>
              <w:right w:val="nil"/>
            </w:tcBorders>
            <w:shd w:val="clear" w:color="000000" w:fill="D8DADA"/>
            <w:noWrap/>
            <w:vAlign w:val="center"/>
            <w:hideMark/>
          </w:tcPr>
          <w:p w14:paraId="7435345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$511.88</w:t>
            </w:r>
          </w:p>
        </w:tc>
        <w:tc>
          <w:tcPr>
            <w:tcW w:w="1315" w:type="dxa"/>
            <w:tcBorders>
              <w:top w:val="nil"/>
              <w:left w:val="nil"/>
              <w:bottom w:val="single" w:sz="8" w:space="0" w:color="auto"/>
              <w:right w:val="nil"/>
            </w:tcBorders>
            <w:shd w:val="clear" w:color="000000" w:fill="D8DADA"/>
            <w:noWrap/>
            <w:vAlign w:val="center"/>
            <w:hideMark/>
          </w:tcPr>
          <w:p w14:paraId="3824D607"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$349.30</w:t>
            </w:r>
          </w:p>
        </w:tc>
      </w:tr>
      <w:tr w:rsidR="00D24563" w:rsidRPr="00D24563" w14:paraId="5FAC61E0"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6D95738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Non-recurrent expenses</w:t>
            </w:r>
          </w:p>
        </w:tc>
        <w:tc>
          <w:tcPr>
            <w:tcW w:w="1418" w:type="dxa"/>
            <w:tcBorders>
              <w:top w:val="nil"/>
              <w:left w:val="nil"/>
              <w:bottom w:val="single" w:sz="8" w:space="0" w:color="auto"/>
              <w:right w:val="nil"/>
            </w:tcBorders>
            <w:shd w:val="clear" w:color="000000" w:fill="D8DADA"/>
            <w:noWrap/>
            <w:vAlign w:val="center"/>
            <w:hideMark/>
          </w:tcPr>
          <w:p w14:paraId="197E2D6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7" w:type="dxa"/>
            <w:tcBorders>
              <w:top w:val="nil"/>
              <w:left w:val="nil"/>
              <w:bottom w:val="single" w:sz="8" w:space="0" w:color="auto"/>
              <w:right w:val="nil"/>
            </w:tcBorders>
            <w:shd w:val="clear" w:color="000000" w:fill="D8DADA"/>
            <w:noWrap/>
            <w:vAlign w:val="center"/>
            <w:hideMark/>
          </w:tcPr>
          <w:p w14:paraId="18A0B22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418" w:type="dxa"/>
            <w:tcBorders>
              <w:top w:val="nil"/>
              <w:left w:val="nil"/>
              <w:bottom w:val="single" w:sz="8" w:space="0" w:color="auto"/>
              <w:right w:val="nil"/>
            </w:tcBorders>
            <w:shd w:val="clear" w:color="000000" w:fill="D8DADA"/>
            <w:noWrap/>
            <w:vAlign w:val="center"/>
            <w:hideMark/>
          </w:tcPr>
          <w:p w14:paraId="67DEF43B"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c>
          <w:tcPr>
            <w:tcW w:w="1315" w:type="dxa"/>
            <w:tcBorders>
              <w:top w:val="nil"/>
              <w:left w:val="nil"/>
              <w:bottom w:val="single" w:sz="8" w:space="0" w:color="auto"/>
              <w:right w:val="nil"/>
            </w:tcBorders>
            <w:shd w:val="clear" w:color="000000" w:fill="D8DADA"/>
            <w:noWrap/>
            <w:vAlign w:val="center"/>
            <w:hideMark/>
          </w:tcPr>
          <w:p w14:paraId="6F4C5D83"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 </w:t>
            </w:r>
          </w:p>
        </w:tc>
      </w:tr>
      <w:tr w:rsidR="00D24563" w:rsidRPr="00D24563" w14:paraId="29D8B419"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333AEC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Fair value losses on financial assets</w:t>
            </w:r>
          </w:p>
        </w:tc>
        <w:tc>
          <w:tcPr>
            <w:tcW w:w="1418" w:type="dxa"/>
            <w:tcBorders>
              <w:top w:val="nil"/>
              <w:left w:val="nil"/>
              <w:bottom w:val="single" w:sz="8" w:space="0" w:color="auto"/>
              <w:right w:val="nil"/>
            </w:tcBorders>
            <w:shd w:val="clear" w:color="000000" w:fill="FFFFFF"/>
            <w:noWrap/>
            <w:vAlign w:val="center"/>
            <w:hideMark/>
          </w:tcPr>
          <w:p w14:paraId="20C60C4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417" w:type="dxa"/>
            <w:tcBorders>
              <w:top w:val="nil"/>
              <w:left w:val="nil"/>
              <w:bottom w:val="single" w:sz="8" w:space="0" w:color="auto"/>
              <w:right w:val="nil"/>
            </w:tcBorders>
            <w:shd w:val="clear" w:color="000000" w:fill="FFFFFF"/>
            <w:noWrap/>
            <w:vAlign w:val="center"/>
            <w:hideMark/>
          </w:tcPr>
          <w:p w14:paraId="68D1A19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$0.01</w:t>
            </w:r>
          </w:p>
        </w:tc>
        <w:tc>
          <w:tcPr>
            <w:tcW w:w="1418" w:type="dxa"/>
            <w:tcBorders>
              <w:top w:val="nil"/>
              <w:left w:val="nil"/>
              <w:bottom w:val="single" w:sz="8" w:space="0" w:color="auto"/>
              <w:right w:val="nil"/>
            </w:tcBorders>
            <w:shd w:val="clear" w:color="000000" w:fill="FFFFFF"/>
            <w:noWrap/>
            <w:vAlign w:val="center"/>
            <w:hideMark/>
          </w:tcPr>
          <w:p w14:paraId="4D30CE4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315" w:type="dxa"/>
            <w:tcBorders>
              <w:top w:val="nil"/>
              <w:left w:val="nil"/>
              <w:bottom w:val="single" w:sz="8" w:space="0" w:color="auto"/>
              <w:right w:val="nil"/>
            </w:tcBorders>
            <w:shd w:val="clear" w:color="000000" w:fill="FFFFFF"/>
            <w:noWrap/>
            <w:vAlign w:val="center"/>
            <w:hideMark/>
          </w:tcPr>
          <w:p w14:paraId="6465A0D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$0.02</w:t>
            </w:r>
          </w:p>
        </w:tc>
      </w:tr>
      <w:tr w:rsidR="00D24563" w:rsidRPr="00D24563" w14:paraId="5BA8B551" w14:textId="77777777" w:rsidTr="00D24563">
        <w:trPr>
          <w:trHeight w:val="405"/>
        </w:trPr>
        <w:tc>
          <w:tcPr>
            <w:tcW w:w="3402" w:type="dxa"/>
            <w:tcBorders>
              <w:top w:val="nil"/>
              <w:left w:val="nil"/>
              <w:bottom w:val="single" w:sz="8" w:space="0" w:color="auto"/>
              <w:right w:val="nil"/>
            </w:tcBorders>
            <w:shd w:val="clear" w:color="auto" w:fill="auto"/>
            <w:vAlign w:val="bottom"/>
            <w:hideMark/>
          </w:tcPr>
          <w:p w14:paraId="7981E1F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Fair value loss / asset revaluation decreases on other assets</w:t>
            </w:r>
          </w:p>
        </w:tc>
        <w:tc>
          <w:tcPr>
            <w:tcW w:w="1418" w:type="dxa"/>
            <w:tcBorders>
              <w:top w:val="nil"/>
              <w:left w:val="nil"/>
              <w:bottom w:val="single" w:sz="8" w:space="0" w:color="auto"/>
              <w:right w:val="nil"/>
            </w:tcBorders>
            <w:shd w:val="clear" w:color="000000" w:fill="FFFFFF"/>
            <w:noWrap/>
            <w:vAlign w:val="center"/>
            <w:hideMark/>
          </w:tcPr>
          <w:p w14:paraId="06C5E9F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417" w:type="dxa"/>
            <w:tcBorders>
              <w:top w:val="nil"/>
              <w:left w:val="nil"/>
              <w:bottom w:val="single" w:sz="8" w:space="0" w:color="auto"/>
              <w:right w:val="nil"/>
            </w:tcBorders>
            <w:shd w:val="clear" w:color="000000" w:fill="FFFFFF"/>
            <w:noWrap/>
            <w:vAlign w:val="center"/>
            <w:hideMark/>
          </w:tcPr>
          <w:p w14:paraId="71AD75AE"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$0.05</w:t>
            </w:r>
          </w:p>
        </w:tc>
        <w:tc>
          <w:tcPr>
            <w:tcW w:w="1418" w:type="dxa"/>
            <w:tcBorders>
              <w:top w:val="nil"/>
              <w:left w:val="nil"/>
              <w:bottom w:val="single" w:sz="8" w:space="0" w:color="auto"/>
              <w:right w:val="nil"/>
            </w:tcBorders>
            <w:shd w:val="clear" w:color="000000" w:fill="FFFFFF"/>
            <w:noWrap/>
            <w:vAlign w:val="center"/>
            <w:hideMark/>
          </w:tcPr>
          <w:p w14:paraId="268882F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c>
          <w:tcPr>
            <w:tcW w:w="1315" w:type="dxa"/>
            <w:tcBorders>
              <w:top w:val="nil"/>
              <w:left w:val="nil"/>
              <w:bottom w:val="single" w:sz="8" w:space="0" w:color="auto"/>
              <w:right w:val="nil"/>
            </w:tcBorders>
            <w:shd w:val="clear" w:color="000000" w:fill="FFFFFF"/>
            <w:noWrap/>
            <w:vAlign w:val="center"/>
            <w:hideMark/>
          </w:tcPr>
          <w:p w14:paraId="5E14B676"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$0.03</w:t>
            </w:r>
          </w:p>
        </w:tc>
      </w:tr>
      <w:tr w:rsidR="00D24563" w:rsidRPr="00D24563" w14:paraId="3F95BE0A"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240C63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Amortisation / Impairment of Bed Licenses</w:t>
            </w:r>
          </w:p>
        </w:tc>
        <w:tc>
          <w:tcPr>
            <w:tcW w:w="1418" w:type="dxa"/>
            <w:tcBorders>
              <w:top w:val="nil"/>
              <w:left w:val="nil"/>
              <w:bottom w:val="single" w:sz="8" w:space="0" w:color="auto"/>
              <w:right w:val="nil"/>
            </w:tcBorders>
            <w:shd w:val="clear" w:color="000000" w:fill="FFFFFF"/>
            <w:noWrap/>
            <w:vAlign w:val="center"/>
            <w:hideMark/>
          </w:tcPr>
          <w:p w14:paraId="3A00BAAB"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$20.80</w:t>
            </w:r>
          </w:p>
        </w:tc>
        <w:tc>
          <w:tcPr>
            <w:tcW w:w="1417" w:type="dxa"/>
            <w:tcBorders>
              <w:top w:val="nil"/>
              <w:left w:val="nil"/>
              <w:bottom w:val="single" w:sz="8" w:space="0" w:color="auto"/>
              <w:right w:val="nil"/>
            </w:tcBorders>
            <w:shd w:val="clear" w:color="000000" w:fill="FFFFFF"/>
            <w:noWrap/>
            <w:vAlign w:val="center"/>
            <w:hideMark/>
          </w:tcPr>
          <w:p w14:paraId="4905FCA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$5.13</w:t>
            </w:r>
          </w:p>
        </w:tc>
        <w:tc>
          <w:tcPr>
            <w:tcW w:w="1418" w:type="dxa"/>
            <w:tcBorders>
              <w:top w:val="nil"/>
              <w:left w:val="nil"/>
              <w:bottom w:val="single" w:sz="8" w:space="0" w:color="auto"/>
              <w:right w:val="nil"/>
            </w:tcBorders>
            <w:shd w:val="clear" w:color="000000" w:fill="FFFFFF"/>
            <w:noWrap/>
            <w:vAlign w:val="center"/>
            <w:hideMark/>
          </w:tcPr>
          <w:p w14:paraId="05BB486D"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$0.08</w:t>
            </w:r>
          </w:p>
        </w:tc>
        <w:tc>
          <w:tcPr>
            <w:tcW w:w="1315" w:type="dxa"/>
            <w:tcBorders>
              <w:top w:val="nil"/>
              <w:left w:val="nil"/>
              <w:bottom w:val="single" w:sz="8" w:space="0" w:color="auto"/>
              <w:right w:val="nil"/>
            </w:tcBorders>
            <w:shd w:val="clear" w:color="000000" w:fill="FFFFFF"/>
            <w:noWrap/>
            <w:vAlign w:val="center"/>
            <w:hideMark/>
          </w:tcPr>
          <w:p w14:paraId="7CD62D5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$11.16</w:t>
            </w:r>
          </w:p>
        </w:tc>
      </w:tr>
      <w:tr w:rsidR="00D24563" w:rsidRPr="00D24563" w14:paraId="22AFEB3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6EA86D42"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Impairment loss</w:t>
            </w:r>
          </w:p>
        </w:tc>
        <w:tc>
          <w:tcPr>
            <w:tcW w:w="1418" w:type="dxa"/>
            <w:tcBorders>
              <w:top w:val="nil"/>
              <w:left w:val="nil"/>
              <w:bottom w:val="single" w:sz="8" w:space="0" w:color="auto"/>
              <w:right w:val="nil"/>
            </w:tcBorders>
            <w:shd w:val="clear" w:color="000000" w:fill="FFFFFF"/>
            <w:noWrap/>
            <w:vAlign w:val="center"/>
            <w:hideMark/>
          </w:tcPr>
          <w:p w14:paraId="4E745ED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$2.84</w:t>
            </w:r>
          </w:p>
        </w:tc>
        <w:tc>
          <w:tcPr>
            <w:tcW w:w="1417" w:type="dxa"/>
            <w:tcBorders>
              <w:top w:val="nil"/>
              <w:left w:val="nil"/>
              <w:bottom w:val="single" w:sz="8" w:space="0" w:color="auto"/>
              <w:right w:val="nil"/>
            </w:tcBorders>
            <w:shd w:val="clear" w:color="000000" w:fill="FFFFFF"/>
            <w:noWrap/>
            <w:vAlign w:val="center"/>
            <w:hideMark/>
          </w:tcPr>
          <w:p w14:paraId="6166F3E8"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$0.99</w:t>
            </w:r>
          </w:p>
        </w:tc>
        <w:tc>
          <w:tcPr>
            <w:tcW w:w="1418" w:type="dxa"/>
            <w:tcBorders>
              <w:top w:val="nil"/>
              <w:left w:val="nil"/>
              <w:bottom w:val="single" w:sz="8" w:space="0" w:color="auto"/>
              <w:right w:val="nil"/>
            </w:tcBorders>
            <w:shd w:val="clear" w:color="000000" w:fill="FFFFFF"/>
            <w:noWrap/>
            <w:vAlign w:val="center"/>
            <w:hideMark/>
          </w:tcPr>
          <w:p w14:paraId="45A80604"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$0.00</w:t>
            </w:r>
          </w:p>
        </w:tc>
        <w:tc>
          <w:tcPr>
            <w:tcW w:w="1315" w:type="dxa"/>
            <w:tcBorders>
              <w:top w:val="nil"/>
              <w:left w:val="nil"/>
              <w:bottom w:val="single" w:sz="8" w:space="0" w:color="auto"/>
              <w:right w:val="nil"/>
            </w:tcBorders>
            <w:shd w:val="clear" w:color="000000" w:fill="FFFFFF"/>
            <w:noWrap/>
            <w:vAlign w:val="center"/>
            <w:hideMark/>
          </w:tcPr>
          <w:p w14:paraId="59FB8F2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$1.69</w:t>
            </w:r>
          </w:p>
        </w:tc>
      </w:tr>
      <w:tr w:rsidR="00D24563" w:rsidRPr="00D24563" w14:paraId="1609162C"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51DF7638"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Realised losses on disposal of assets</w:t>
            </w:r>
          </w:p>
        </w:tc>
        <w:tc>
          <w:tcPr>
            <w:tcW w:w="1418" w:type="dxa"/>
            <w:tcBorders>
              <w:top w:val="nil"/>
              <w:left w:val="nil"/>
              <w:bottom w:val="single" w:sz="8" w:space="0" w:color="auto"/>
              <w:right w:val="nil"/>
            </w:tcBorders>
            <w:shd w:val="clear" w:color="000000" w:fill="FFFFFF"/>
            <w:noWrap/>
            <w:vAlign w:val="center"/>
            <w:hideMark/>
          </w:tcPr>
          <w:p w14:paraId="04C7290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$4.82</w:t>
            </w:r>
          </w:p>
        </w:tc>
        <w:tc>
          <w:tcPr>
            <w:tcW w:w="1417" w:type="dxa"/>
            <w:tcBorders>
              <w:top w:val="nil"/>
              <w:left w:val="nil"/>
              <w:bottom w:val="single" w:sz="8" w:space="0" w:color="auto"/>
              <w:right w:val="nil"/>
            </w:tcBorders>
            <w:shd w:val="clear" w:color="000000" w:fill="FFFFFF"/>
            <w:noWrap/>
            <w:vAlign w:val="center"/>
            <w:hideMark/>
          </w:tcPr>
          <w:p w14:paraId="677C92A1"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$0.06</w:t>
            </w:r>
          </w:p>
        </w:tc>
        <w:tc>
          <w:tcPr>
            <w:tcW w:w="1418" w:type="dxa"/>
            <w:tcBorders>
              <w:top w:val="nil"/>
              <w:left w:val="nil"/>
              <w:bottom w:val="single" w:sz="8" w:space="0" w:color="auto"/>
              <w:right w:val="nil"/>
            </w:tcBorders>
            <w:shd w:val="clear" w:color="000000" w:fill="FFFFFF"/>
            <w:noWrap/>
            <w:vAlign w:val="center"/>
            <w:hideMark/>
          </w:tcPr>
          <w:p w14:paraId="31121C15"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$0.04</w:t>
            </w:r>
          </w:p>
        </w:tc>
        <w:tc>
          <w:tcPr>
            <w:tcW w:w="1315" w:type="dxa"/>
            <w:tcBorders>
              <w:top w:val="nil"/>
              <w:left w:val="nil"/>
              <w:bottom w:val="single" w:sz="8" w:space="0" w:color="auto"/>
              <w:right w:val="nil"/>
            </w:tcBorders>
            <w:shd w:val="clear" w:color="000000" w:fill="FFFFFF"/>
            <w:noWrap/>
            <w:vAlign w:val="center"/>
            <w:hideMark/>
          </w:tcPr>
          <w:p w14:paraId="1ECC1332"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$1.94</w:t>
            </w:r>
          </w:p>
        </w:tc>
      </w:tr>
      <w:tr w:rsidR="00D24563" w:rsidRPr="00D24563" w14:paraId="5648AAE8" w14:textId="77777777" w:rsidTr="00D24563">
        <w:trPr>
          <w:trHeight w:val="560"/>
        </w:trPr>
        <w:tc>
          <w:tcPr>
            <w:tcW w:w="3402" w:type="dxa"/>
            <w:tcBorders>
              <w:top w:val="nil"/>
              <w:left w:val="nil"/>
              <w:bottom w:val="single" w:sz="8" w:space="0" w:color="auto"/>
              <w:right w:val="nil"/>
            </w:tcBorders>
            <w:shd w:val="clear" w:color="auto" w:fill="auto"/>
            <w:vAlign w:val="bottom"/>
            <w:hideMark/>
          </w:tcPr>
          <w:p w14:paraId="75A44184"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Effect of adoption of AASB16 leases - RADs only</w:t>
            </w:r>
          </w:p>
        </w:tc>
        <w:tc>
          <w:tcPr>
            <w:tcW w:w="1418" w:type="dxa"/>
            <w:tcBorders>
              <w:top w:val="nil"/>
              <w:left w:val="nil"/>
              <w:bottom w:val="single" w:sz="8" w:space="0" w:color="auto"/>
              <w:right w:val="nil"/>
            </w:tcBorders>
            <w:shd w:val="clear" w:color="000000" w:fill="FFFFFF"/>
            <w:noWrap/>
            <w:vAlign w:val="center"/>
            <w:hideMark/>
          </w:tcPr>
          <w:p w14:paraId="39725340"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$17.92</w:t>
            </w:r>
          </w:p>
        </w:tc>
        <w:tc>
          <w:tcPr>
            <w:tcW w:w="1417" w:type="dxa"/>
            <w:tcBorders>
              <w:top w:val="nil"/>
              <w:left w:val="nil"/>
              <w:bottom w:val="single" w:sz="8" w:space="0" w:color="auto"/>
              <w:right w:val="nil"/>
            </w:tcBorders>
            <w:shd w:val="clear" w:color="000000" w:fill="FFFFFF"/>
            <w:noWrap/>
            <w:vAlign w:val="center"/>
            <w:hideMark/>
          </w:tcPr>
          <w:p w14:paraId="71F0801C"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$8.08</w:t>
            </w:r>
          </w:p>
        </w:tc>
        <w:tc>
          <w:tcPr>
            <w:tcW w:w="1418" w:type="dxa"/>
            <w:tcBorders>
              <w:top w:val="nil"/>
              <w:left w:val="nil"/>
              <w:bottom w:val="single" w:sz="8" w:space="0" w:color="auto"/>
              <w:right w:val="nil"/>
            </w:tcBorders>
            <w:shd w:val="clear" w:color="000000" w:fill="FFFFFF"/>
            <w:noWrap/>
            <w:vAlign w:val="center"/>
            <w:hideMark/>
          </w:tcPr>
          <w:p w14:paraId="326FA56A"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$0.89</w:t>
            </w:r>
          </w:p>
        </w:tc>
        <w:tc>
          <w:tcPr>
            <w:tcW w:w="1315" w:type="dxa"/>
            <w:tcBorders>
              <w:top w:val="nil"/>
              <w:left w:val="nil"/>
              <w:bottom w:val="single" w:sz="8" w:space="0" w:color="auto"/>
              <w:right w:val="nil"/>
            </w:tcBorders>
            <w:shd w:val="clear" w:color="000000" w:fill="FFFFFF"/>
            <w:noWrap/>
            <w:vAlign w:val="center"/>
            <w:hideMark/>
          </w:tcPr>
          <w:p w14:paraId="0029951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$11.72</w:t>
            </w:r>
          </w:p>
        </w:tc>
      </w:tr>
      <w:tr w:rsidR="00D24563" w:rsidRPr="00D24563" w14:paraId="20248878" w14:textId="77777777" w:rsidTr="00D24563">
        <w:trPr>
          <w:trHeight w:val="320"/>
        </w:trPr>
        <w:tc>
          <w:tcPr>
            <w:tcW w:w="3402" w:type="dxa"/>
            <w:tcBorders>
              <w:top w:val="nil"/>
              <w:left w:val="nil"/>
              <w:bottom w:val="single" w:sz="8" w:space="0" w:color="auto"/>
              <w:right w:val="nil"/>
            </w:tcBorders>
            <w:shd w:val="clear" w:color="auto" w:fill="auto"/>
            <w:vAlign w:val="bottom"/>
            <w:hideMark/>
          </w:tcPr>
          <w:p w14:paraId="3CD1582E" w14:textId="77777777" w:rsidR="00D24563" w:rsidRPr="00D24563" w:rsidRDefault="00D24563" w:rsidP="00D24563">
            <w:pPr>
              <w:spacing w:before="0" w:after="0" w:line="240" w:lineRule="auto"/>
              <w:rPr>
                <w:rFonts w:cs="Arial"/>
                <w:bCs w:val="0"/>
                <w:color w:val="1E1545"/>
                <w:sz w:val="21"/>
                <w:szCs w:val="21"/>
                <w:lang w:eastAsia="en-AU"/>
              </w:rPr>
            </w:pPr>
            <w:r w:rsidRPr="00D24563">
              <w:rPr>
                <w:rFonts w:cs="Arial"/>
                <w:bCs w:val="0"/>
                <w:color w:val="1E1545"/>
                <w:sz w:val="21"/>
                <w:szCs w:val="21"/>
                <w:lang w:eastAsia="en-AU"/>
              </w:rPr>
              <w:t>Other non-recurrent expenses</w:t>
            </w:r>
          </w:p>
        </w:tc>
        <w:tc>
          <w:tcPr>
            <w:tcW w:w="1418" w:type="dxa"/>
            <w:tcBorders>
              <w:top w:val="nil"/>
              <w:left w:val="nil"/>
              <w:bottom w:val="single" w:sz="8" w:space="0" w:color="auto"/>
              <w:right w:val="nil"/>
            </w:tcBorders>
            <w:shd w:val="clear" w:color="000000" w:fill="FFFFFF"/>
            <w:noWrap/>
            <w:vAlign w:val="center"/>
            <w:hideMark/>
          </w:tcPr>
          <w:p w14:paraId="4630B307"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$5.27</w:t>
            </w:r>
          </w:p>
        </w:tc>
        <w:tc>
          <w:tcPr>
            <w:tcW w:w="1417" w:type="dxa"/>
            <w:tcBorders>
              <w:top w:val="nil"/>
              <w:left w:val="nil"/>
              <w:bottom w:val="single" w:sz="8" w:space="0" w:color="auto"/>
              <w:right w:val="nil"/>
            </w:tcBorders>
            <w:shd w:val="clear" w:color="000000" w:fill="FFFFFF"/>
            <w:noWrap/>
            <w:vAlign w:val="center"/>
            <w:hideMark/>
          </w:tcPr>
          <w:p w14:paraId="5550F6F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$0.93</w:t>
            </w:r>
          </w:p>
        </w:tc>
        <w:tc>
          <w:tcPr>
            <w:tcW w:w="1418" w:type="dxa"/>
            <w:tcBorders>
              <w:top w:val="nil"/>
              <w:left w:val="nil"/>
              <w:bottom w:val="single" w:sz="8" w:space="0" w:color="auto"/>
              <w:right w:val="nil"/>
            </w:tcBorders>
            <w:shd w:val="clear" w:color="000000" w:fill="FFFFFF"/>
            <w:noWrap/>
            <w:vAlign w:val="center"/>
            <w:hideMark/>
          </w:tcPr>
          <w:p w14:paraId="1E1F89B9"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$0.44</w:t>
            </w:r>
          </w:p>
        </w:tc>
        <w:tc>
          <w:tcPr>
            <w:tcW w:w="1315" w:type="dxa"/>
            <w:tcBorders>
              <w:top w:val="nil"/>
              <w:left w:val="nil"/>
              <w:bottom w:val="single" w:sz="8" w:space="0" w:color="auto"/>
              <w:right w:val="nil"/>
            </w:tcBorders>
            <w:shd w:val="clear" w:color="000000" w:fill="FFFFFF"/>
            <w:noWrap/>
            <w:vAlign w:val="center"/>
            <w:hideMark/>
          </w:tcPr>
          <w:p w14:paraId="3AF33AD3" w14:textId="77777777" w:rsidR="00D24563" w:rsidRPr="00D24563" w:rsidRDefault="00D24563" w:rsidP="00D24563">
            <w:pPr>
              <w:spacing w:before="0" w:after="0" w:line="240" w:lineRule="auto"/>
              <w:jc w:val="right"/>
              <w:rPr>
                <w:rFonts w:cs="Arial"/>
                <w:bCs w:val="0"/>
                <w:color w:val="1E1545"/>
                <w:sz w:val="21"/>
                <w:szCs w:val="21"/>
                <w:lang w:eastAsia="en-AU"/>
              </w:rPr>
            </w:pPr>
            <w:r w:rsidRPr="00D24563">
              <w:rPr>
                <w:rFonts w:cs="Arial"/>
                <w:bCs w:val="0"/>
                <w:color w:val="1E1545"/>
                <w:sz w:val="21"/>
                <w:szCs w:val="21"/>
                <w:lang w:eastAsia="en-AU"/>
              </w:rPr>
              <w:t>$2.63</w:t>
            </w:r>
          </w:p>
        </w:tc>
      </w:tr>
      <w:tr w:rsidR="00D24563" w:rsidRPr="00D24563" w14:paraId="6030AA61"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349438F0"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non-recurrent expenses</w:t>
            </w:r>
          </w:p>
        </w:tc>
        <w:tc>
          <w:tcPr>
            <w:tcW w:w="1418" w:type="dxa"/>
            <w:tcBorders>
              <w:top w:val="nil"/>
              <w:left w:val="nil"/>
              <w:bottom w:val="single" w:sz="8" w:space="0" w:color="auto"/>
              <w:right w:val="nil"/>
            </w:tcBorders>
            <w:shd w:val="clear" w:color="000000" w:fill="D8DADA"/>
            <w:noWrap/>
            <w:vAlign w:val="center"/>
            <w:hideMark/>
          </w:tcPr>
          <w:p w14:paraId="355924C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$51.67</w:t>
            </w:r>
          </w:p>
        </w:tc>
        <w:tc>
          <w:tcPr>
            <w:tcW w:w="1417" w:type="dxa"/>
            <w:tcBorders>
              <w:top w:val="nil"/>
              <w:left w:val="nil"/>
              <w:bottom w:val="single" w:sz="8" w:space="0" w:color="auto"/>
              <w:right w:val="nil"/>
            </w:tcBorders>
            <w:shd w:val="clear" w:color="000000" w:fill="D8DADA"/>
            <w:noWrap/>
            <w:vAlign w:val="center"/>
            <w:hideMark/>
          </w:tcPr>
          <w:p w14:paraId="37E3EA9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$15.24</w:t>
            </w:r>
          </w:p>
        </w:tc>
        <w:tc>
          <w:tcPr>
            <w:tcW w:w="1418" w:type="dxa"/>
            <w:tcBorders>
              <w:top w:val="nil"/>
              <w:left w:val="nil"/>
              <w:bottom w:val="single" w:sz="8" w:space="0" w:color="auto"/>
              <w:right w:val="nil"/>
            </w:tcBorders>
            <w:shd w:val="clear" w:color="000000" w:fill="D8DADA"/>
            <w:noWrap/>
            <w:vAlign w:val="center"/>
            <w:hideMark/>
          </w:tcPr>
          <w:p w14:paraId="3DAB5A9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$1.50</w:t>
            </w:r>
          </w:p>
        </w:tc>
        <w:tc>
          <w:tcPr>
            <w:tcW w:w="1315" w:type="dxa"/>
            <w:tcBorders>
              <w:top w:val="nil"/>
              <w:left w:val="nil"/>
              <w:bottom w:val="single" w:sz="8" w:space="0" w:color="auto"/>
              <w:right w:val="nil"/>
            </w:tcBorders>
            <w:shd w:val="clear" w:color="000000" w:fill="D8DADA"/>
            <w:noWrap/>
            <w:vAlign w:val="center"/>
            <w:hideMark/>
          </w:tcPr>
          <w:p w14:paraId="71BFA52D"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$29.17</w:t>
            </w:r>
          </w:p>
        </w:tc>
      </w:tr>
      <w:tr w:rsidR="00D24563" w:rsidRPr="00D24563" w14:paraId="13AC7840"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46052EF8"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Total expense</w:t>
            </w:r>
          </w:p>
        </w:tc>
        <w:tc>
          <w:tcPr>
            <w:tcW w:w="1418" w:type="dxa"/>
            <w:tcBorders>
              <w:top w:val="nil"/>
              <w:left w:val="nil"/>
              <w:bottom w:val="single" w:sz="8" w:space="0" w:color="auto"/>
              <w:right w:val="nil"/>
            </w:tcBorders>
            <w:shd w:val="clear" w:color="000000" w:fill="D8DADA"/>
            <w:noWrap/>
            <w:vAlign w:val="center"/>
            <w:hideMark/>
          </w:tcPr>
          <w:p w14:paraId="4FE7B0DE"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$394.25</w:t>
            </w:r>
          </w:p>
        </w:tc>
        <w:tc>
          <w:tcPr>
            <w:tcW w:w="1417" w:type="dxa"/>
            <w:tcBorders>
              <w:top w:val="nil"/>
              <w:left w:val="nil"/>
              <w:bottom w:val="single" w:sz="8" w:space="0" w:color="auto"/>
              <w:right w:val="nil"/>
            </w:tcBorders>
            <w:shd w:val="clear" w:color="000000" w:fill="D8DADA"/>
            <w:noWrap/>
            <w:vAlign w:val="center"/>
            <w:hideMark/>
          </w:tcPr>
          <w:p w14:paraId="06790726"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$359.16</w:t>
            </w:r>
          </w:p>
        </w:tc>
        <w:tc>
          <w:tcPr>
            <w:tcW w:w="1418" w:type="dxa"/>
            <w:tcBorders>
              <w:top w:val="nil"/>
              <w:left w:val="nil"/>
              <w:bottom w:val="single" w:sz="8" w:space="0" w:color="auto"/>
              <w:right w:val="nil"/>
            </w:tcBorders>
            <w:shd w:val="clear" w:color="000000" w:fill="D8DADA"/>
            <w:noWrap/>
            <w:vAlign w:val="center"/>
            <w:hideMark/>
          </w:tcPr>
          <w:p w14:paraId="6C13EFC1"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$513.38</w:t>
            </w:r>
          </w:p>
        </w:tc>
        <w:tc>
          <w:tcPr>
            <w:tcW w:w="1315" w:type="dxa"/>
            <w:tcBorders>
              <w:top w:val="nil"/>
              <w:left w:val="nil"/>
              <w:bottom w:val="single" w:sz="8" w:space="0" w:color="auto"/>
              <w:right w:val="nil"/>
            </w:tcBorders>
            <w:shd w:val="clear" w:color="000000" w:fill="D8DADA"/>
            <w:noWrap/>
            <w:vAlign w:val="center"/>
            <w:hideMark/>
          </w:tcPr>
          <w:p w14:paraId="53E1ACBC"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$378.48</w:t>
            </w:r>
          </w:p>
        </w:tc>
      </w:tr>
      <w:tr w:rsidR="00D24563" w:rsidRPr="00D24563" w14:paraId="4AE41946" w14:textId="77777777" w:rsidTr="00D24563">
        <w:trPr>
          <w:trHeight w:val="320"/>
        </w:trPr>
        <w:tc>
          <w:tcPr>
            <w:tcW w:w="3402" w:type="dxa"/>
            <w:tcBorders>
              <w:top w:val="nil"/>
              <w:left w:val="nil"/>
              <w:bottom w:val="single" w:sz="8" w:space="0" w:color="auto"/>
              <w:right w:val="nil"/>
            </w:tcBorders>
            <w:shd w:val="clear" w:color="000000" w:fill="D8DADA"/>
            <w:vAlign w:val="center"/>
            <w:hideMark/>
          </w:tcPr>
          <w:p w14:paraId="5A8DDB75" w14:textId="77777777" w:rsidR="00D24563" w:rsidRPr="00D24563" w:rsidRDefault="00D24563" w:rsidP="00D24563">
            <w:pPr>
              <w:spacing w:before="0" w:after="0" w:line="240" w:lineRule="auto"/>
              <w:rPr>
                <w:rFonts w:cs="Arial"/>
                <w:b/>
                <w:color w:val="1E1545"/>
                <w:sz w:val="21"/>
                <w:szCs w:val="21"/>
                <w:lang w:eastAsia="en-AU"/>
              </w:rPr>
            </w:pPr>
            <w:r w:rsidRPr="00D24563">
              <w:rPr>
                <w:rFonts w:cs="Arial"/>
                <w:b/>
                <w:color w:val="1E1545"/>
                <w:sz w:val="21"/>
                <w:szCs w:val="21"/>
                <w:lang w:eastAsia="en-AU"/>
              </w:rPr>
              <w:t>Net profit/(loss)</w:t>
            </w:r>
          </w:p>
        </w:tc>
        <w:tc>
          <w:tcPr>
            <w:tcW w:w="1418" w:type="dxa"/>
            <w:tcBorders>
              <w:top w:val="nil"/>
              <w:left w:val="nil"/>
              <w:bottom w:val="single" w:sz="8" w:space="0" w:color="auto"/>
              <w:right w:val="nil"/>
            </w:tcBorders>
            <w:shd w:val="clear" w:color="000000" w:fill="D8DADA"/>
            <w:noWrap/>
            <w:vAlign w:val="center"/>
            <w:hideMark/>
          </w:tcPr>
          <w:p w14:paraId="0F28F7CA"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($34.69)</w:t>
            </w:r>
          </w:p>
        </w:tc>
        <w:tc>
          <w:tcPr>
            <w:tcW w:w="1417" w:type="dxa"/>
            <w:tcBorders>
              <w:top w:val="nil"/>
              <w:left w:val="nil"/>
              <w:bottom w:val="single" w:sz="8" w:space="0" w:color="auto"/>
              <w:right w:val="nil"/>
            </w:tcBorders>
            <w:shd w:val="clear" w:color="000000" w:fill="D8DADA"/>
            <w:noWrap/>
            <w:vAlign w:val="center"/>
            <w:hideMark/>
          </w:tcPr>
          <w:p w14:paraId="31B6C385"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($15.60)</w:t>
            </w:r>
          </w:p>
        </w:tc>
        <w:tc>
          <w:tcPr>
            <w:tcW w:w="1418" w:type="dxa"/>
            <w:tcBorders>
              <w:top w:val="nil"/>
              <w:left w:val="nil"/>
              <w:bottom w:val="single" w:sz="8" w:space="0" w:color="auto"/>
              <w:right w:val="nil"/>
            </w:tcBorders>
            <w:shd w:val="clear" w:color="000000" w:fill="D8DADA"/>
            <w:noWrap/>
            <w:vAlign w:val="center"/>
            <w:hideMark/>
          </w:tcPr>
          <w:p w14:paraId="4B779590"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($76.84)</w:t>
            </w:r>
          </w:p>
        </w:tc>
        <w:tc>
          <w:tcPr>
            <w:tcW w:w="1315" w:type="dxa"/>
            <w:tcBorders>
              <w:top w:val="nil"/>
              <w:left w:val="nil"/>
              <w:bottom w:val="single" w:sz="8" w:space="0" w:color="auto"/>
              <w:right w:val="nil"/>
            </w:tcBorders>
            <w:shd w:val="clear" w:color="000000" w:fill="D8DADA"/>
            <w:noWrap/>
            <w:vAlign w:val="center"/>
            <w:hideMark/>
          </w:tcPr>
          <w:p w14:paraId="45B1A3C2" w14:textId="77777777" w:rsidR="00D24563" w:rsidRPr="00D24563" w:rsidRDefault="00D24563" w:rsidP="00D24563">
            <w:pPr>
              <w:spacing w:before="0" w:after="0" w:line="240" w:lineRule="auto"/>
              <w:jc w:val="right"/>
              <w:rPr>
                <w:rFonts w:cs="Arial"/>
                <w:b/>
                <w:color w:val="1E1545"/>
                <w:sz w:val="21"/>
                <w:szCs w:val="21"/>
                <w:lang w:eastAsia="en-AU"/>
              </w:rPr>
            </w:pPr>
            <w:r w:rsidRPr="00D24563">
              <w:rPr>
                <w:rFonts w:cs="Arial"/>
                <w:b/>
                <w:color w:val="1E1545"/>
                <w:sz w:val="21"/>
                <w:szCs w:val="21"/>
                <w:lang w:eastAsia="en-AU"/>
              </w:rPr>
              <w:t>($25.31)</w:t>
            </w:r>
          </w:p>
        </w:tc>
      </w:tr>
    </w:tbl>
    <w:p w14:paraId="59A0750E" w14:textId="6006B2DC" w:rsidR="004938C0" w:rsidRPr="00525FE2" w:rsidRDefault="004938C0" w:rsidP="00784315">
      <w:pPr>
        <w:spacing w:after="120"/>
        <w:rPr>
          <w:bCs w:val="0"/>
          <w:sz w:val="28"/>
        </w:rPr>
      </w:pPr>
      <w:r w:rsidRPr="00525FE2">
        <w:rPr>
          <w:b/>
          <w:bCs w:val="0"/>
          <w:sz w:val="28"/>
          <w:szCs w:val="28"/>
        </w:rPr>
        <w:t xml:space="preserve">Appendix </w:t>
      </w:r>
      <w:r w:rsidR="0046425D" w:rsidRPr="00525FE2">
        <w:rPr>
          <w:b/>
          <w:bCs w:val="0"/>
          <w:sz w:val="28"/>
          <w:szCs w:val="28"/>
        </w:rPr>
        <w:t>D</w:t>
      </w:r>
    </w:p>
    <w:p w14:paraId="7BB78F1F" w14:textId="621E5CC0" w:rsidR="004938C0" w:rsidRDefault="004938C0" w:rsidP="00784315">
      <w:pPr>
        <w:spacing w:after="120"/>
      </w:pPr>
      <w:r w:rsidRPr="001F530A">
        <w:t>Financial performance results of home care providers per care recipient per day, by ownership type, by quartile, 202</w:t>
      </w:r>
      <w:r>
        <w:t>2-23</w:t>
      </w:r>
    </w:p>
    <w:tbl>
      <w:tblPr>
        <w:tblW w:w="9214" w:type="dxa"/>
        <w:tblLayout w:type="fixed"/>
        <w:tblLook w:val="04A0" w:firstRow="1" w:lastRow="0" w:firstColumn="1" w:lastColumn="0" w:noHBand="0" w:noVBand="1"/>
      </w:tblPr>
      <w:tblGrid>
        <w:gridCol w:w="2977"/>
        <w:gridCol w:w="1247"/>
        <w:gridCol w:w="1247"/>
        <w:gridCol w:w="1248"/>
        <w:gridCol w:w="1247"/>
        <w:gridCol w:w="1248"/>
      </w:tblGrid>
      <w:tr w:rsidR="00762C7B" w:rsidRPr="00762C7B" w14:paraId="2EB11C61" w14:textId="77777777" w:rsidTr="008D2B97">
        <w:trPr>
          <w:trHeight w:val="570"/>
        </w:trPr>
        <w:tc>
          <w:tcPr>
            <w:tcW w:w="2977" w:type="dxa"/>
            <w:tcBorders>
              <w:top w:val="single" w:sz="12" w:space="0" w:color="1E1545"/>
              <w:left w:val="nil"/>
              <w:bottom w:val="single" w:sz="12" w:space="0" w:color="1E1545"/>
              <w:right w:val="nil"/>
            </w:tcBorders>
            <w:shd w:val="clear" w:color="000000" w:fill="1E1545"/>
            <w:vAlign w:val="center"/>
            <w:hideMark/>
          </w:tcPr>
          <w:p w14:paraId="1DF6749E" w14:textId="77777777" w:rsidR="00762C7B" w:rsidRPr="00762C7B" w:rsidRDefault="00762C7B" w:rsidP="00762C7B">
            <w:pPr>
              <w:spacing w:before="0" w:after="0" w:line="240" w:lineRule="auto"/>
              <w:rPr>
                <w:rFonts w:cs="Arial"/>
                <w:b/>
                <w:color w:val="F1F2F2"/>
                <w:sz w:val="21"/>
                <w:szCs w:val="21"/>
                <w:lang w:eastAsia="en-AU"/>
              </w:rPr>
            </w:pPr>
            <w:r w:rsidRPr="00762C7B">
              <w:rPr>
                <w:rFonts w:cs="Arial"/>
                <w:b/>
                <w:color w:val="F1F2F2"/>
                <w:sz w:val="21"/>
                <w:szCs w:val="21"/>
                <w:lang w:eastAsia="en-AU"/>
              </w:rPr>
              <w:t> </w:t>
            </w:r>
          </w:p>
        </w:tc>
        <w:tc>
          <w:tcPr>
            <w:tcW w:w="1247" w:type="dxa"/>
            <w:tcBorders>
              <w:top w:val="single" w:sz="12" w:space="0" w:color="1E1545"/>
              <w:left w:val="nil"/>
              <w:bottom w:val="single" w:sz="12" w:space="0" w:color="1E1545"/>
              <w:right w:val="nil"/>
            </w:tcBorders>
            <w:shd w:val="clear" w:color="000000" w:fill="1E1545"/>
            <w:vAlign w:val="center"/>
            <w:hideMark/>
          </w:tcPr>
          <w:p w14:paraId="12E49FAA" w14:textId="77777777" w:rsidR="00762C7B" w:rsidRPr="00762C7B" w:rsidRDefault="00762C7B" w:rsidP="00762C7B">
            <w:pPr>
              <w:spacing w:before="0" w:after="0" w:line="240" w:lineRule="auto"/>
              <w:jc w:val="right"/>
              <w:rPr>
                <w:rFonts w:cs="Arial"/>
                <w:b/>
                <w:color w:val="F1F2F2"/>
                <w:sz w:val="21"/>
                <w:szCs w:val="21"/>
                <w:lang w:eastAsia="en-AU"/>
              </w:rPr>
            </w:pPr>
            <w:r w:rsidRPr="00762C7B">
              <w:rPr>
                <w:rFonts w:cs="Arial"/>
                <w:b/>
                <w:color w:val="F1F2F2"/>
                <w:sz w:val="21"/>
                <w:szCs w:val="21"/>
                <w:lang w:eastAsia="en-AU"/>
              </w:rPr>
              <w:t>Top quartile</w:t>
            </w:r>
          </w:p>
        </w:tc>
        <w:tc>
          <w:tcPr>
            <w:tcW w:w="1247" w:type="dxa"/>
            <w:tcBorders>
              <w:top w:val="single" w:sz="12" w:space="0" w:color="1E1545"/>
              <w:left w:val="nil"/>
              <w:bottom w:val="single" w:sz="12" w:space="0" w:color="1E1545"/>
              <w:right w:val="nil"/>
            </w:tcBorders>
            <w:shd w:val="clear" w:color="000000" w:fill="1E1545"/>
            <w:vAlign w:val="center"/>
            <w:hideMark/>
          </w:tcPr>
          <w:p w14:paraId="67CDF8D0" w14:textId="77777777" w:rsidR="00762C7B" w:rsidRPr="00762C7B" w:rsidRDefault="00762C7B" w:rsidP="00762C7B">
            <w:pPr>
              <w:spacing w:before="0" w:after="0" w:line="240" w:lineRule="auto"/>
              <w:jc w:val="right"/>
              <w:rPr>
                <w:rFonts w:cs="Arial"/>
                <w:b/>
                <w:color w:val="F1F2F2"/>
                <w:sz w:val="21"/>
                <w:szCs w:val="21"/>
                <w:lang w:eastAsia="en-AU"/>
              </w:rPr>
            </w:pPr>
            <w:r w:rsidRPr="00762C7B">
              <w:rPr>
                <w:rFonts w:cs="Arial"/>
                <w:b/>
                <w:color w:val="F1F2F2"/>
                <w:sz w:val="21"/>
                <w:szCs w:val="21"/>
                <w:lang w:eastAsia="en-AU"/>
              </w:rPr>
              <w:t>Next top</w:t>
            </w:r>
          </w:p>
        </w:tc>
        <w:tc>
          <w:tcPr>
            <w:tcW w:w="1248" w:type="dxa"/>
            <w:tcBorders>
              <w:top w:val="single" w:sz="12" w:space="0" w:color="1E1545"/>
              <w:left w:val="nil"/>
              <w:bottom w:val="single" w:sz="12" w:space="0" w:color="1E1545"/>
              <w:right w:val="nil"/>
            </w:tcBorders>
            <w:shd w:val="clear" w:color="000000" w:fill="1E1545"/>
            <w:vAlign w:val="center"/>
            <w:hideMark/>
          </w:tcPr>
          <w:p w14:paraId="63CF20A9" w14:textId="77777777" w:rsidR="00762C7B" w:rsidRPr="00762C7B" w:rsidRDefault="00762C7B" w:rsidP="00762C7B">
            <w:pPr>
              <w:spacing w:before="0" w:after="0" w:line="240" w:lineRule="auto"/>
              <w:jc w:val="right"/>
              <w:rPr>
                <w:rFonts w:cs="Arial"/>
                <w:b/>
                <w:color w:val="F1F2F2"/>
                <w:sz w:val="21"/>
                <w:szCs w:val="21"/>
                <w:lang w:eastAsia="en-AU"/>
              </w:rPr>
            </w:pPr>
            <w:r w:rsidRPr="00762C7B">
              <w:rPr>
                <w:rFonts w:cs="Arial"/>
                <w:b/>
                <w:color w:val="F1F2F2"/>
                <w:sz w:val="21"/>
                <w:szCs w:val="21"/>
                <w:lang w:eastAsia="en-AU"/>
              </w:rPr>
              <w:t>Next bottom</w:t>
            </w:r>
          </w:p>
        </w:tc>
        <w:tc>
          <w:tcPr>
            <w:tcW w:w="1247" w:type="dxa"/>
            <w:tcBorders>
              <w:top w:val="single" w:sz="12" w:space="0" w:color="1E1545"/>
              <w:left w:val="nil"/>
              <w:bottom w:val="single" w:sz="12" w:space="0" w:color="1E1545"/>
              <w:right w:val="nil"/>
            </w:tcBorders>
            <w:shd w:val="clear" w:color="000000" w:fill="1E1545"/>
            <w:vAlign w:val="center"/>
            <w:hideMark/>
          </w:tcPr>
          <w:p w14:paraId="1C24D481" w14:textId="77777777" w:rsidR="00762C7B" w:rsidRPr="00762C7B" w:rsidRDefault="00762C7B" w:rsidP="00762C7B">
            <w:pPr>
              <w:spacing w:before="0" w:after="0" w:line="240" w:lineRule="auto"/>
              <w:jc w:val="right"/>
              <w:rPr>
                <w:rFonts w:cs="Arial"/>
                <w:b/>
                <w:color w:val="F1F2F2"/>
                <w:sz w:val="21"/>
                <w:szCs w:val="21"/>
                <w:lang w:eastAsia="en-AU"/>
              </w:rPr>
            </w:pPr>
            <w:r w:rsidRPr="00762C7B">
              <w:rPr>
                <w:rFonts w:cs="Arial"/>
                <w:b/>
                <w:color w:val="F1F2F2"/>
                <w:sz w:val="21"/>
                <w:szCs w:val="21"/>
                <w:lang w:eastAsia="en-AU"/>
              </w:rPr>
              <w:t>Bottom</w:t>
            </w:r>
          </w:p>
        </w:tc>
        <w:tc>
          <w:tcPr>
            <w:tcW w:w="1248" w:type="dxa"/>
            <w:tcBorders>
              <w:top w:val="single" w:sz="12" w:space="0" w:color="1E1545"/>
              <w:left w:val="nil"/>
              <w:bottom w:val="single" w:sz="12" w:space="0" w:color="1E1545"/>
              <w:right w:val="nil"/>
            </w:tcBorders>
            <w:shd w:val="clear" w:color="000000" w:fill="1E1545"/>
            <w:vAlign w:val="center"/>
            <w:hideMark/>
          </w:tcPr>
          <w:p w14:paraId="4BF91BEC" w14:textId="77777777" w:rsidR="00762C7B" w:rsidRPr="00762C7B" w:rsidRDefault="00762C7B" w:rsidP="00762C7B">
            <w:pPr>
              <w:spacing w:before="0" w:after="0" w:line="240" w:lineRule="auto"/>
              <w:jc w:val="right"/>
              <w:rPr>
                <w:rFonts w:cs="Arial"/>
                <w:b/>
                <w:color w:val="F1F2F2"/>
                <w:sz w:val="21"/>
                <w:szCs w:val="21"/>
                <w:lang w:eastAsia="en-AU"/>
              </w:rPr>
            </w:pPr>
            <w:r w:rsidRPr="00762C7B">
              <w:rPr>
                <w:rFonts w:cs="Arial"/>
                <w:b/>
                <w:color w:val="F1F2F2"/>
                <w:sz w:val="21"/>
                <w:szCs w:val="21"/>
                <w:lang w:eastAsia="en-AU"/>
              </w:rPr>
              <w:t>Total</w:t>
            </w:r>
          </w:p>
        </w:tc>
      </w:tr>
      <w:tr w:rsidR="00762C7B" w:rsidRPr="00762C7B" w14:paraId="76CEA516" w14:textId="77777777" w:rsidTr="008D2B97">
        <w:trPr>
          <w:trHeight w:val="330"/>
        </w:trPr>
        <w:tc>
          <w:tcPr>
            <w:tcW w:w="2977" w:type="dxa"/>
            <w:tcBorders>
              <w:top w:val="nil"/>
              <w:left w:val="nil"/>
              <w:bottom w:val="single" w:sz="8" w:space="0" w:color="auto"/>
              <w:right w:val="nil"/>
            </w:tcBorders>
            <w:shd w:val="clear" w:color="000000" w:fill="D8DADA"/>
            <w:vAlign w:val="center"/>
            <w:hideMark/>
          </w:tcPr>
          <w:p w14:paraId="5B9A8170"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For-profit</w:t>
            </w:r>
          </w:p>
        </w:tc>
        <w:tc>
          <w:tcPr>
            <w:tcW w:w="1247" w:type="dxa"/>
            <w:tcBorders>
              <w:top w:val="nil"/>
              <w:left w:val="nil"/>
              <w:bottom w:val="single" w:sz="8" w:space="0" w:color="auto"/>
              <w:right w:val="nil"/>
            </w:tcBorders>
            <w:shd w:val="clear" w:color="000000" w:fill="D8DADA"/>
            <w:noWrap/>
            <w:vAlign w:val="center"/>
            <w:hideMark/>
          </w:tcPr>
          <w:p w14:paraId="51649B79"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1BAD5F7B"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6534A216"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2F3B0CDF"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0769898D"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r>
      <w:tr w:rsidR="00762C7B" w:rsidRPr="00762C7B" w14:paraId="078D0F96"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0A0260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Number of providers</w:t>
            </w:r>
          </w:p>
        </w:tc>
        <w:tc>
          <w:tcPr>
            <w:tcW w:w="1247" w:type="dxa"/>
            <w:tcBorders>
              <w:top w:val="nil"/>
              <w:left w:val="nil"/>
              <w:bottom w:val="single" w:sz="8" w:space="0" w:color="auto"/>
              <w:right w:val="nil"/>
            </w:tcBorders>
            <w:shd w:val="clear" w:color="000000" w:fill="FFFFFF"/>
            <w:noWrap/>
            <w:vAlign w:val="center"/>
            <w:hideMark/>
          </w:tcPr>
          <w:p w14:paraId="4AE040F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107</w:t>
            </w:r>
          </w:p>
        </w:tc>
        <w:tc>
          <w:tcPr>
            <w:tcW w:w="1247" w:type="dxa"/>
            <w:tcBorders>
              <w:top w:val="nil"/>
              <w:left w:val="nil"/>
              <w:bottom w:val="single" w:sz="8" w:space="0" w:color="auto"/>
              <w:right w:val="nil"/>
            </w:tcBorders>
            <w:shd w:val="clear" w:color="000000" w:fill="FFFFFF"/>
            <w:noWrap/>
            <w:vAlign w:val="center"/>
            <w:hideMark/>
          </w:tcPr>
          <w:p w14:paraId="182872B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79</w:t>
            </w:r>
          </w:p>
        </w:tc>
        <w:tc>
          <w:tcPr>
            <w:tcW w:w="1248" w:type="dxa"/>
            <w:tcBorders>
              <w:top w:val="nil"/>
              <w:left w:val="nil"/>
              <w:bottom w:val="single" w:sz="8" w:space="0" w:color="auto"/>
              <w:right w:val="nil"/>
            </w:tcBorders>
            <w:shd w:val="clear" w:color="000000" w:fill="FFFFFF"/>
            <w:noWrap/>
            <w:vAlign w:val="center"/>
            <w:hideMark/>
          </w:tcPr>
          <w:p w14:paraId="62C6629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56</w:t>
            </w:r>
          </w:p>
        </w:tc>
        <w:tc>
          <w:tcPr>
            <w:tcW w:w="1247" w:type="dxa"/>
            <w:tcBorders>
              <w:top w:val="nil"/>
              <w:left w:val="nil"/>
              <w:bottom w:val="single" w:sz="8" w:space="0" w:color="auto"/>
              <w:right w:val="nil"/>
            </w:tcBorders>
            <w:shd w:val="clear" w:color="000000" w:fill="FFFFFF"/>
            <w:noWrap/>
            <w:vAlign w:val="center"/>
            <w:hideMark/>
          </w:tcPr>
          <w:p w14:paraId="6FC077C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72</w:t>
            </w:r>
          </w:p>
        </w:tc>
        <w:tc>
          <w:tcPr>
            <w:tcW w:w="1248" w:type="dxa"/>
            <w:tcBorders>
              <w:top w:val="nil"/>
              <w:left w:val="nil"/>
              <w:bottom w:val="single" w:sz="8" w:space="0" w:color="auto"/>
              <w:right w:val="nil"/>
            </w:tcBorders>
            <w:shd w:val="clear" w:color="000000" w:fill="FFFFFF"/>
            <w:noWrap/>
            <w:vAlign w:val="center"/>
            <w:hideMark/>
          </w:tcPr>
          <w:p w14:paraId="45C0912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314</w:t>
            </w:r>
          </w:p>
        </w:tc>
      </w:tr>
      <w:tr w:rsidR="00762C7B" w:rsidRPr="00762C7B" w14:paraId="1EF29428"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99BAA7C"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direct care services</w:t>
            </w:r>
          </w:p>
        </w:tc>
        <w:tc>
          <w:tcPr>
            <w:tcW w:w="1247" w:type="dxa"/>
            <w:tcBorders>
              <w:top w:val="nil"/>
              <w:left w:val="nil"/>
              <w:bottom w:val="single" w:sz="8" w:space="0" w:color="auto"/>
              <w:right w:val="nil"/>
            </w:tcBorders>
            <w:shd w:val="clear" w:color="000000" w:fill="FFFFFF"/>
            <w:noWrap/>
            <w:vAlign w:val="center"/>
            <w:hideMark/>
          </w:tcPr>
          <w:p w14:paraId="73E82B5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$52.11 </w:t>
            </w:r>
          </w:p>
        </w:tc>
        <w:tc>
          <w:tcPr>
            <w:tcW w:w="1247" w:type="dxa"/>
            <w:tcBorders>
              <w:top w:val="nil"/>
              <w:left w:val="nil"/>
              <w:bottom w:val="single" w:sz="8" w:space="0" w:color="auto"/>
              <w:right w:val="nil"/>
            </w:tcBorders>
            <w:shd w:val="clear" w:color="000000" w:fill="FFFFFF"/>
            <w:noWrap/>
            <w:vAlign w:val="center"/>
            <w:hideMark/>
          </w:tcPr>
          <w:p w14:paraId="2CD38FB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$19.79 </w:t>
            </w:r>
          </w:p>
        </w:tc>
        <w:tc>
          <w:tcPr>
            <w:tcW w:w="1248" w:type="dxa"/>
            <w:tcBorders>
              <w:top w:val="nil"/>
              <w:left w:val="nil"/>
              <w:bottom w:val="single" w:sz="8" w:space="0" w:color="auto"/>
              <w:right w:val="nil"/>
            </w:tcBorders>
            <w:shd w:val="clear" w:color="000000" w:fill="FFFFFF"/>
            <w:noWrap/>
            <w:vAlign w:val="center"/>
            <w:hideMark/>
          </w:tcPr>
          <w:p w14:paraId="4B3CEA3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$22.29 </w:t>
            </w:r>
          </w:p>
        </w:tc>
        <w:tc>
          <w:tcPr>
            <w:tcW w:w="1247" w:type="dxa"/>
            <w:tcBorders>
              <w:top w:val="nil"/>
              <w:left w:val="nil"/>
              <w:bottom w:val="single" w:sz="8" w:space="0" w:color="auto"/>
              <w:right w:val="nil"/>
            </w:tcBorders>
            <w:shd w:val="clear" w:color="000000" w:fill="FFFFFF"/>
            <w:noWrap/>
            <w:vAlign w:val="center"/>
            <w:hideMark/>
          </w:tcPr>
          <w:p w14:paraId="7AF1590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$22.43 </w:t>
            </w:r>
          </w:p>
        </w:tc>
        <w:tc>
          <w:tcPr>
            <w:tcW w:w="1248" w:type="dxa"/>
            <w:tcBorders>
              <w:top w:val="nil"/>
              <w:left w:val="nil"/>
              <w:bottom w:val="single" w:sz="8" w:space="0" w:color="auto"/>
              <w:right w:val="nil"/>
            </w:tcBorders>
            <w:shd w:val="clear" w:color="000000" w:fill="FFFFFF"/>
            <w:noWrap/>
            <w:vAlign w:val="center"/>
            <w:hideMark/>
          </w:tcPr>
          <w:p w14:paraId="17F14BB8"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$26.39 </w:t>
            </w:r>
          </w:p>
        </w:tc>
      </w:tr>
      <w:tr w:rsidR="00762C7B" w:rsidRPr="00762C7B" w14:paraId="141929E9"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5B2A92D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sub-contracted services</w:t>
            </w:r>
          </w:p>
        </w:tc>
        <w:tc>
          <w:tcPr>
            <w:tcW w:w="1247" w:type="dxa"/>
            <w:tcBorders>
              <w:top w:val="nil"/>
              <w:left w:val="nil"/>
              <w:bottom w:val="single" w:sz="8" w:space="0" w:color="auto"/>
              <w:right w:val="nil"/>
            </w:tcBorders>
            <w:shd w:val="clear" w:color="000000" w:fill="FFFFFF"/>
            <w:noWrap/>
            <w:vAlign w:val="center"/>
            <w:hideMark/>
          </w:tcPr>
          <w:p w14:paraId="0B50AA9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$13.95 </w:t>
            </w:r>
          </w:p>
        </w:tc>
        <w:tc>
          <w:tcPr>
            <w:tcW w:w="1247" w:type="dxa"/>
            <w:tcBorders>
              <w:top w:val="nil"/>
              <w:left w:val="nil"/>
              <w:bottom w:val="single" w:sz="8" w:space="0" w:color="auto"/>
              <w:right w:val="nil"/>
            </w:tcBorders>
            <w:shd w:val="clear" w:color="000000" w:fill="FFFFFF"/>
            <w:noWrap/>
            <w:vAlign w:val="center"/>
            <w:hideMark/>
          </w:tcPr>
          <w:p w14:paraId="30ADEE5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$11.54 </w:t>
            </w:r>
          </w:p>
        </w:tc>
        <w:tc>
          <w:tcPr>
            <w:tcW w:w="1248" w:type="dxa"/>
            <w:tcBorders>
              <w:top w:val="nil"/>
              <w:left w:val="nil"/>
              <w:bottom w:val="single" w:sz="8" w:space="0" w:color="auto"/>
              <w:right w:val="nil"/>
            </w:tcBorders>
            <w:shd w:val="clear" w:color="000000" w:fill="FFFFFF"/>
            <w:noWrap/>
            <w:vAlign w:val="center"/>
            <w:hideMark/>
          </w:tcPr>
          <w:p w14:paraId="1B9DB7B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$27.14 </w:t>
            </w:r>
          </w:p>
        </w:tc>
        <w:tc>
          <w:tcPr>
            <w:tcW w:w="1247" w:type="dxa"/>
            <w:tcBorders>
              <w:top w:val="nil"/>
              <w:left w:val="nil"/>
              <w:bottom w:val="single" w:sz="8" w:space="0" w:color="auto"/>
              <w:right w:val="nil"/>
            </w:tcBorders>
            <w:shd w:val="clear" w:color="000000" w:fill="FFFFFF"/>
            <w:noWrap/>
            <w:vAlign w:val="center"/>
            <w:hideMark/>
          </w:tcPr>
          <w:p w14:paraId="0C9D596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$20.83 </w:t>
            </w:r>
          </w:p>
        </w:tc>
        <w:tc>
          <w:tcPr>
            <w:tcW w:w="1248" w:type="dxa"/>
            <w:tcBorders>
              <w:top w:val="nil"/>
              <w:left w:val="nil"/>
              <w:bottom w:val="single" w:sz="8" w:space="0" w:color="auto"/>
              <w:right w:val="nil"/>
            </w:tcBorders>
            <w:shd w:val="clear" w:color="000000" w:fill="FFFFFF"/>
            <w:noWrap/>
            <w:vAlign w:val="center"/>
            <w:hideMark/>
          </w:tcPr>
          <w:p w14:paraId="0B7B4BD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$16.08 </w:t>
            </w:r>
          </w:p>
        </w:tc>
      </w:tr>
      <w:tr w:rsidR="00762C7B" w:rsidRPr="00762C7B" w14:paraId="4B63F987"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246988F7"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Client/case management fees charged</w:t>
            </w:r>
          </w:p>
        </w:tc>
        <w:tc>
          <w:tcPr>
            <w:tcW w:w="1247" w:type="dxa"/>
            <w:tcBorders>
              <w:top w:val="nil"/>
              <w:left w:val="nil"/>
              <w:bottom w:val="single" w:sz="8" w:space="0" w:color="auto"/>
              <w:right w:val="nil"/>
            </w:tcBorders>
            <w:shd w:val="clear" w:color="000000" w:fill="FFFFFF"/>
            <w:noWrap/>
            <w:vAlign w:val="center"/>
            <w:hideMark/>
          </w:tcPr>
          <w:p w14:paraId="7FB843D8"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$10.31 </w:t>
            </w:r>
          </w:p>
        </w:tc>
        <w:tc>
          <w:tcPr>
            <w:tcW w:w="1247" w:type="dxa"/>
            <w:tcBorders>
              <w:top w:val="nil"/>
              <w:left w:val="nil"/>
              <w:bottom w:val="single" w:sz="8" w:space="0" w:color="auto"/>
              <w:right w:val="nil"/>
            </w:tcBorders>
            <w:shd w:val="clear" w:color="000000" w:fill="FFFFFF"/>
            <w:noWrap/>
            <w:vAlign w:val="center"/>
            <w:hideMark/>
          </w:tcPr>
          <w:p w14:paraId="5B0FA6A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$8.61 </w:t>
            </w:r>
          </w:p>
        </w:tc>
        <w:tc>
          <w:tcPr>
            <w:tcW w:w="1248" w:type="dxa"/>
            <w:tcBorders>
              <w:top w:val="nil"/>
              <w:left w:val="nil"/>
              <w:bottom w:val="single" w:sz="8" w:space="0" w:color="auto"/>
              <w:right w:val="nil"/>
            </w:tcBorders>
            <w:shd w:val="clear" w:color="000000" w:fill="FFFFFF"/>
            <w:noWrap/>
            <w:vAlign w:val="center"/>
            <w:hideMark/>
          </w:tcPr>
          <w:p w14:paraId="027A731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$9.66 </w:t>
            </w:r>
          </w:p>
        </w:tc>
        <w:tc>
          <w:tcPr>
            <w:tcW w:w="1247" w:type="dxa"/>
            <w:tcBorders>
              <w:top w:val="nil"/>
              <w:left w:val="nil"/>
              <w:bottom w:val="single" w:sz="8" w:space="0" w:color="auto"/>
              <w:right w:val="nil"/>
            </w:tcBorders>
            <w:shd w:val="clear" w:color="000000" w:fill="FFFFFF"/>
            <w:noWrap/>
            <w:vAlign w:val="center"/>
            <w:hideMark/>
          </w:tcPr>
          <w:p w14:paraId="2E9E52A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$9.80 </w:t>
            </w:r>
          </w:p>
        </w:tc>
        <w:tc>
          <w:tcPr>
            <w:tcW w:w="1248" w:type="dxa"/>
            <w:tcBorders>
              <w:top w:val="nil"/>
              <w:left w:val="nil"/>
              <w:bottom w:val="single" w:sz="8" w:space="0" w:color="auto"/>
              <w:right w:val="nil"/>
            </w:tcBorders>
            <w:shd w:val="clear" w:color="000000" w:fill="FFFFFF"/>
            <w:noWrap/>
            <w:vAlign w:val="center"/>
            <w:hideMark/>
          </w:tcPr>
          <w:p w14:paraId="0AD5E94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$9.27 </w:t>
            </w:r>
          </w:p>
        </w:tc>
      </w:tr>
      <w:tr w:rsidR="00762C7B" w:rsidRPr="00762C7B" w14:paraId="4F5F4A28"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55687F9E"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Admin and management of packages</w:t>
            </w:r>
          </w:p>
        </w:tc>
        <w:tc>
          <w:tcPr>
            <w:tcW w:w="1247" w:type="dxa"/>
            <w:tcBorders>
              <w:top w:val="nil"/>
              <w:left w:val="nil"/>
              <w:bottom w:val="single" w:sz="8" w:space="0" w:color="auto"/>
              <w:right w:val="nil"/>
            </w:tcBorders>
            <w:shd w:val="clear" w:color="000000" w:fill="FFFFFF"/>
            <w:noWrap/>
            <w:vAlign w:val="center"/>
            <w:hideMark/>
          </w:tcPr>
          <w:p w14:paraId="24F4A67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$7.78 </w:t>
            </w:r>
          </w:p>
        </w:tc>
        <w:tc>
          <w:tcPr>
            <w:tcW w:w="1247" w:type="dxa"/>
            <w:tcBorders>
              <w:top w:val="nil"/>
              <w:left w:val="nil"/>
              <w:bottom w:val="single" w:sz="8" w:space="0" w:color="auto"/>
              <w:right w:val="nil"/>
            </w:tcBorders>
            <w:shd w:val="clear" w:color="000000" w:fill="FFFFFF"/>
            <w:noWrap/>
            <w:vAlign w:val="center"/>
            <w:hideMark/>
          </w:tcPr>
          <w:p w14:paraId="58A3FE4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$7.54 </w:t>
            </w:r>
          </w:p>
        </w:tc>
        <w:tc>
          <w:tcPr>
            <w:tcW w:w="1248" w:type="dxa"/>
            <w:tcBorders>
              <w:top w:val="nil"/>
              <w:left w:val="nil"/>
              <w:bottom w:val="single" w:sz="8" w:space="0" w:color="auto"/>
              <w:right w:val="nil"/>
            </w:tcBorders>
            <w:shd w:val="clear" w:color="000000" w:fill="FFFFFF"/>
            <w:noWrap/>
            <w:vAlign w:val="center"/>
            <w:hideMark/>
          </w:tcPr>
          <w:p w14:paraId="265F913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$6.76 </w:t>
            </w:r>
          </w:p>
        </w:tc>
        <w:tc>
          <w:tcPr>
            <w:tcW w:w="1247" w:type="dxa"/>
            <w:tcBorders>
              <w:top w:val="nil"/>
              <w:left w:val="nil"/>
              <w:bottom w:val="single" w:sz="8" w:space="0" w:color="auto"/>
              <w:right w:val="nil"/>
            </w:tcBorders>
            <w:shd w:val="clear" w:color="000000" w:fill="FFFFFF"/>
            <w:noWrap/>
            <w:vAlign w:val="center"/>
            <w:hideMark/>
          </w:tcPr>
          <w:p w14:paraId="3B538CA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$5.50 </w:t>
            </w:r>
          </w:p>
        </w:tc>
        <w:tc>
          <w:tcPr>
            <w:tcW w:w="1248" w:type="dxa"/>
            <w:tcBorders>
              <w:top w:val="nil"/>
              <w:left w:val="nil"/>
              <w:bottom w:val="single" w:sz="8" w:space="0" w:color="auto"/>
              <w:right w:val="nil"/>
            </w:tcBorders>
            <w:shd w:val="clear" w:color="000000" w:fill="FFFFFF"/>
            <w:noWrap/>
            <w:vAlign w:val="center"/>
            <w:hideMark/>
          </w:tcPr>
          <w:p w14:paraId="0F47C50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$7.15 </w:t>
            </w:r>
          </w:p>
        </w:tc>
      </w:tr>
      <w:tr w:rsidR="00762C7B" w:rsidRPr="00762C7B" w14:paraId="31C65723"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15ACB07C"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Exit amounts deducted</w:t>
            </w:r>
          </w:p>
        </w:tc>
        <w:tc>
          <w:tcPr>
            <w:tcW w:w="1247" w:type="dxa"/>
            <w:tcBorders>
              <w:top w:val="nil"/>
              <w:left w:val="nil"/>
              <w:bottom w:val="single" w:sz="8" w:space="0" w:color="auto"/>
              <w:right w:val="nil"/>
            </w:tcBorders>
            <w:shd w:val="clear" w:color="000000" w:fill="FFFFFF"/>
            <w:noWrap/>
            <w:vAlign w:val="center"/>
            <w:hideMark/>
          </w:tcPr>
          <w:p w14:paraId="1CFB314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c>
          <w:tcPr>
            <w:tcW w:w="1247" w:type="dxa"/>
            <w:tcBorders>
              <w:top w:val="nil"/>
              <w:left w:val="nil"/>
              <w:bottom w:val="single" w:sz="8" w:space="0" w:color="auto"/>
              <w:right w:val="nil"/>
            </w:tcBorders>
            <w:shd w:val="clear" w:color="000000" w:fill="FFFFFF"/>
            <w:noWrap/>
            <w:vAlign w:val="center"/>
            <w:hideMark/>
          </w:tcPr>
          <w:p w14:paraId="6B9D6AE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$0.00 </w:t>
            </w:r>
          </w:p>
        </w:tc>
        <w:tc>
          <w:tcPr>
            <w:tcW w:w="1248" w:type="dxa"/>
            <w:tcBorders>
              <w:top w:val="nil"/>
              <w:left w:val="nil"/>
              <w:bottom w:val="single" w:sz="8" w:space="0" w:color="auto"/>
              <w:right w:val="nil"/>
            </w:tcBorders>
            <w:shd w:val="clear" w:color="000000" w:fill="FFFFFF"/>
            <w:noWrap/>
            <w:vAlign w:val="center"/>
            <w:hideMark/>
          </w:tcPr>
          <w:p w14:paraId="111ABCB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$0.12 </w:t>
            </w:r>
          </w:p>
        </w:tc>
        <w:tc>
          <w:tcPr>
            <w:tcW w:w="1247" w:type="dxa"/>
            <w:tcBorders>
              <w:top w:val="nil"/>
              <w:left w:val="nil"/>
              <w:bottom w:val="single" w:sz="8" w:space="0" w:color="auto"/>
              <w:right w:val="nil"/>
            </w:tcBorders>
            <w:shd w:val="clear" w:color="000000" w:fill="FFFFFF"/>
            <w:noWrap/>
            <w:vAlign w:val="center"/>
            <w:hideMark/>
          </w:tcPr>
          <w:p w14:paraId="49C5A28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$0.01 </w:t>
            </w:r>
          </w:p>
        </w:tc>
        <w:tc>
          <w:tcPr>
            <w:tcW w:w="1248" w:type="dxa"/>
            <w:tcBorders>
              <w:top w:val="nil"/>
              <w:left w:val="nil"/>
              <w:bottom w:val="single" w:sz="8" w:space="0" w:color="auto"/>
              <w:right w:val="nil"/>
            </w:tcBorders>
            <w:shd w:val="clear" w:color="000000" w:fill="FFFFFF"/>
            <w:noWrap/>
            <w:vAlign w:val="center"/>
            <w:hideMark/>
          </w:tcPr>
          <w:p w14:paraId="3DF9C34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r>
      <w:tr w:rsidR="00762C7B" w:rsidRPr="00762C7B" w14:paraId="287E8567"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21099E5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COVID-19 funding</w:t>
            </w:r>
          </w:p>
        </w:tc>
        <w:tc>
          <w:tcPr>
            <w:tcW w:w="1247" w:type="dxa"/>
            <w:tcBorders>
              <w:top w:val="nil"/>
              <w:left w:val="nil"/>
              <w:bottom w:val="single" w:sz="8" w:space="0" w:color="auto"/>
              <w:right w:val="nil"/>
            </w:tcBorders>
            <w:shd w:val="clear" w:color="000000" w:fill="FFFFFF"/>
            <w:noWrap/>
            <w:vAlign w:val="center"/>
            <w:hideMark/>
          </w:tcPr>
          <w:p w14:paraId="090CA4D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$0.05 </w:t>
            </w:r>
          </w:p>
        </w:tc>
        <w:tc>
          <w:tcPr>
            <w:tcW w:w="1247" w:type="dxa"/>
            <w:tcBorders>
              <w:top w:val="nil"/>
              <w:left w:val="nil"/>
              <w:bottom w:val="single" w:sz="8" w:space="0" w:color="auto"/>
              <w:right w:val="nil"/>
            </w:tcBorders>
            <w:shd w:val="clear" w:color="000000" w:fill="FFFFFF"/>
            <w:noWrap/>
            <w:vAlign w:val="center"/>
            <w:hideMark/>
          </w:tcPr>
          <w:p w14:paraId="451D4E4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c>
          <w:tcPr>
            <w:tcW w:w="1248" w:type="dxa"/>
            <w:tcBorders>
              <w:top w:val="nil"/>
              <w:left w:val="nil"/>
              <w:bottom w:val="single" w:sz="8" w:space="0" w:color="auto"/>
              <w:right w:val="nil"/>
            </w:tcBorders>
            <w:shd w:val="clear" w:color="000000" w:fill="FFFFFF"/>
            <w:noWrap/>
            <w:vAlign w:val="center"/>
            <w:hideMark/>
          </w:tcPr>
          <w:p w14:paraId="105203F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c>
          <w:tcPr>
            <w:tcW w:w="1247" w:type="dxa"/>
            <w:tcBorders>
              <w:top w:val="nil"/>
              <w:left w:val="nil"/>
              <w:bottom w:val="single" w:sz="8" w:space="0" w:color="auto"/>
              <w:right w:val="nil"/>
            </w:tcBorders>
            <w:shd w:val="clear" w:color="000000" w:fill="FFFFFF"/>
            <w:noWrap/>
            <w:vAlign w:val="center"/>
            <w:hideMark/>
          </w:tcPr>
          <w:p w14:paraId="356FF234"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$0.09 </w:t>
            </w:r>
          </w:p>
        </w:tc>
        <w:tc>
          <w:tcPr>
            <w:tcW w:w="1248" w:type="dxa"/>
            <w:tcBorders>
              <w:top w:val="nil"/>
              <w:left w:val="nil"/>
              <w:bottom w:val="single" w:sz="8" w:space="0" w:color="auto"/>
              <w:right w:val="nil"/>
            </w:tcBorders>
            <w:shd w:val="clear" w:color="000000" w:fill="FFFFFF"/>
            <w:noWrap/>
            <w:vAlign w:val="center"/>
            <w:hideMark/>
          </w:tcPr>
          <w:p w14:paraId="22AB80F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r>
      <w:tr w:rsidR="00762C7B" w:rsidRPr="00762C7B" w14:paraId="1A27F903"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18D090D2"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Other income</w:t>
            </w:r>
          </w:p>
        </w:tc>
        <w:tc>
          <w:tcPr>
            <w:tcW w:w="1247" w:type="dxa"/>
            <w:tcBorders>
              <w:top w:val="nil"/>
              <w:left w:val="nil"/>
              <w:bottom w:val="single" w:sz="8" w:space="0" w:color="auto"/>
              <w:right w:val="nil"/>
            </w:tcBorders>
            <w:shd w:val="clear" w:color="000000" w:fill="FFFFFF"/>
            <w:noWrap/>
            <w:vAlign w:val="center"/>
            <w:hideMark/>
          </w:tcPr>
          <w:p w14:paraId="145077F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$2.82 </w:t>
            </w:r>
          </w:p>
        </w:tc>
        <w:tc>
          <w:tcPr>
            <w:tcW w:w="1247" w:type="dxa"/>
            <w:tcBorders>
              <w:top w:val="nil"/>
              <w:left w:val="nil"/>
              <w:bottom w:val="single" w:sz="8" w:space="0" w:color="auto"/>
              <w:right w:val="nil"/>
            </w:tcBorders>
            <w:shd w:val="clear" w:color="000000" w:fill="FFFFFF"/>
            <w:noWrap/>
            <w:vAlign w:val="center"/>
            <w:hideMark/>
          </w:tcPr>
          <w:p w14:paraId="6E164678"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$13.43 </w:t>
            </w:r>
          </w:p>
        </w:tc>
        <w:tc>
          <w:tcPr>
            <w:tcW w:w="1248" w:type="dxa"/>
            <w:tcBorders>
              <w:top w:val="nil"/>
              <w:left w:val="nil"/>
              <w:bottom w:val="single" w:sz="8" w:space="0" w:color="auto"/>
              <w:right w:val="nil"/>
            </w:tcBorders>
            <w:shd w:val="clear" w:color="000000" w:fill="FFFFFF"/>
            <w:noWrap/>
            <w:vAlign w:val="center"/>
            <w:hideMark/>
          </w:tcPr>
          <w:p w14:paraId="679A555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$2.26 </w:t>
            </w:r>
          </w:p>
        </w:tc>
        <w:tc>
          <w:tcPr>
            <w:tcW w:w="1247" w:type="dxa"/>
            <w:tcBorders>
              <w:top w:val="nil"/>
              <w:left w:val="nil"/>
              <w:bottom w:val="single" w:sz="8" w:space="0" w:color="auto"/>
              <w:right w:val="nil"/>
            </w:tcBorders>
            <w:shd w:val="clear" w:color="000000" w:fill="FFFFFF"/>
            <w:noWrap/>
            <w:vAlign w:val="center"/>
            <w:hideMark/>
          </w:tcPr>
          <w:p w14:paraId="26C8CC3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$1.50 </w:t>
            </w:r>
          </w:p>
        </w:tc>
        <w:tc>
          <w:tcPr>
            <w:tcW w:w="1248" w:type="dxa"/>
            <w:tcBorders>
              <w:top w:val="nil"/>
              <w:left w:val="nil"/>
              <w:bottom w:val="single" w:sz="8" w:space="0" w:color="auto"/>
              <w:right w:val="nil"/>
            </w:tcBorders>
            <w:shd w:val="clear" w:color="000000" w:fill="FFFFFF"/>
            <w:noWrap/>
            <w:vAlign w:val="center"/>
            <w:hideMark/>
          </w:tcPr>
          <w:p w14:paraId="00500DA4"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$7.84 </w:t>
            </w:r>
          </w:p>
        </w:tc>
      </w:tr>
      <w:tr w:rsidR="00762C7B" w:rsidRPr="00762C7B" w14:paraId="27E6B325"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0A88B6EB"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Total expenses</w:t>
            </w:r>
          </w:p>
        </w:tc>
        <w:tc>
          <w:tcPr>
            <w:tcW w:w="1247" w:type="dxa"/>
            <w:tcBorders>
              <w:top w:val="nil"/>
              <w:left w:val="nil"/>
              <w:bottom w:val="single" w:sz="8" w:space="0" w:color="auto"/>
              <w:right w:val="nil"/>
            </w:tcBorders>
            <w:shd w:val="clear" w:color="000000" w:fill="FFFFFF"/>
            <w:noWrap/>
            <w:vAlign w:val="center"/>
            <w:hideMark/>
          </w:tcPr>
          <w:p w14:paraId="39DE1A8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$71.10 </w:t>
            </w:r>
          </w:p>
        </w:tc>
        <w:tc>
          <w:tcPr>
            <w:tcW w:w="1247" w:type="dxa"/>
            <w:tcBorders>
              <w:top w:val="nil"/>
              <w:left w:val="nil"/>
              <w:bottom w:val="single" w:sz="8" w:space="0" w:color="auto"/>
              <w:right w:val="nil"/>
            </w:tcBorders>
            <w:shd w:val="clear" w:color="000000" w:fill="FFFFFF"/>
            <w:noWrap/>
            <w:vAlign w:val="center"/>
            <w:hideMark/>
          </w:tcPr>
          <w:p w14:paraId="18ABE80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$57.16 </w:t>
            </w:r>
          </w:p>
        </w:tc>
        <w:tc>
          <w:tcPr>
            <w:tcW w:w="1248" w:type="dxa"/>
            <w:tcBorders>
              <w:top w:val="nil"/>
              <w:left w:val="nil"/>
              <w:bottom w:val="single" w:sz="8" w:space="0" w:color="auto"/>
              <w:right w:val="nil"/>
            </w:tcBorders>
            <w:shd w:val="clear" w:color="000000" w:fill="FFFFFF"/>
            <w:noWrap/>
            <w:vAlign w:val="center"/>
            <w:hideMark/>
          </w:tcPr>
          <w:p w14:paraId="15F0B800"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$67.32 </w:t>
            </w:r>
          </w:p>
        </w:tc>
        <w:tc>
          <w:tcPr>
            <w:tcW w:w="1247" w:type="dxa"/>
            <w:tcBorders>
              <w:top w:val="nil"/>
              <w:left w:val="nil"/>
              <w:bottom w:val="single" w:sz="8" w:space="0" w:color="auto"/>
              <w:right w:val="nil"/>
            </w:tcBorders>
            <w:shd w:val="clear" w:color="000000" w:fill="FFFFFF"/>
            <w:noWrap/>
            <w:vAlign w:val="center"/>
            <w:hideMark/>
          </w:tcPr>
          <w:p w14:paraId="4ECF839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$75.26 </w:t>
            </w:r>
          </w:p>
        </w:tc>
        <w:tc>
          <w:tcPr>
            <w:tcW w:w="1248" w:type="dxa"/>
            <w:tcBorders>
              <w:top w:val="nil"/>
              <w:left w:val="nil"/>
              <w:bottom w:val="single" w:sz="8" w:space="0" w:color="auto"/>
              <w:right w:val="nil"/>
            </w:tcBorders>
            <w:shd w:val="clear" w:color="000000" w:fill="FFFFFF"/>
            <w:noWrap/>
            <w:vAlign w:val="center"/>
            <w:hideMark/>
          </w:tcPr>
          <w:p w14:paraId="09F8C69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$64.05 </w:t>
            </w:r>
          </w:p>
        </w:tc>
      </w:tr>
      <w:tr w:rsidR="00762C7B" w:rsidRPr="00762C7B" w14:paraId="72DD0153"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58735FB1"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Net profit before tax</w:t>
            </w:r>
          </w:p>
        </w:tc>
        <w:tc>
          <w:tcPr>
            <w:tcW w:w="1247" w:type="dxa"/>
            <w:tcBorders>
              <w:top w:val="nil"/>
              <w:left w:val="nil"/>
              <w:bottom w:val="single" w:sz="8" w:space="0" w:color="auto"/>
              <w:right w:val="nil"/>
            </w:tcBorders>
            <w:shd w:val="clear" w:color="000000" w:fill="D8DADA"/>
            <w:noWrap/>
            <w:vAlign w:val="center"/>
            <w:hideMark/>
          </w:tcPr>
          <w:p w14:paraId="5D2AED8E"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$15.94 </w:t>
            </w:r>
          </w:p>
        </w:tc>
        <w:tc>
          <w:tcPr>
            <w:tcW w:w="1247" w:type="dxa"/>
            <w:tcBorders>
              <w:top w:val="nil"/>
              <w:left w:val="nil"/>
              <w:bottom w:val="single" w:sz="8" w:space="0" w:color="auto"/>
              <w:right w:val="nil"/>
            </w:tcBorders>
            <w:shd w:val="clear" w:color="000000" w:fill="D8DADA"/>
            <w:noWrap/>
            <w:vAlign w:val="center"/>
            <w:hideMark/>
          </w:tcPr>
          <w:p w14:paraId="52E83BC6"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$3.79 </w:t>
            </w:r>
          </w:p>
        </w:tc>
        <w:tc>
          <w:tcPr>
            <w:tcW w:w="1248" w:type="dxa"/>
            <w:tcBorders>
              <w:top w:val="nil"/>
              <w:left w:val="nil"/>
              <w:bottom w:val="single" w:sz="8" w:space="0" w:color="auto"/>
              <w:right w:val="nil"/>
            </w:tcBorders>
            <w:shd w:val="clear" w:color="000000" w:fill="D8DADA"/>
            <w:noWrap/>
            <w:vAlign w:val="center"/>
            <w:hideMark/>
          </w:tcPr>
          <w:p w14:paraId="3249F6F1"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$0.94 </w:t>
            </w:r>
          </w:p>
        </w:tc>
        <w:tc>
          <w:tcPr>
            <w:tcW w:w="1247" w:type="dxa"/>
            <w:tcBorders>
              <w:top w:val="nil"/>
              <w:left w:val="nil"/>
              <w:bottom w:val="single" w:sz="8" w:space="0" w:color="auto"/>
              <w:right w:val="nil"/>
            </w:tcBorders>
            <w:shd w:val="clear" w:color="000000" w:fill="D8DADA"/>
            <w:noWrap/>
            <w:vAlign w:val="center"/>
            <w:hideMark/>
          </w:tcPr>
          <w:p w14:paraId="5A93577D"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($15.10)</w:t>
            </w:r>
          </w:p>
        </w:tc>
        <w:tc>
          <w:tcPr>
            <w:tcW w:w="1248" w:type="dxa"/>
            <w:tcBorders>
              <w:top w:val="nil"/>
              <w:left w:val="nil"/>
              <w:bottom w:val="single" w:sz="8" w:space="0" w:color="auto"/>
              <w:right w:val="nil"/>
            </w:tcBorders>
            <w:shd w:val="clear" w:color="000000" w:fill="D8DADA"/>
            <w:noWrap/>
            <w:vAlign w:val="center"/>
            <w:hideMark/>
          </w:tcPr>
          <w:p w14:paraId="61902B61"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$2.75 </w:t>
            </w:r>
          </w:p>
        </w:tc>
      </w:tr>
      <w:tr w:rsidR="00762C7B" w:rsidRPr="00762C7B" w14:paraId="4918C3D1"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2388CC3C"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Not-for-profit</w:t>
            </w:r>
          </w:p>
        </w:tc>
        <w:tc>
          <w:tcPr>
            <w:tcW w:w="1247" w:type="dxa"/>
            <w:tcBorders>
              <w:top w:val="nil"/>
              <w:left w:val="nil"/>
              <w:bottom w:val="single" w:sz="8" w:space="0" w:color="auto"/>
              <w:right w:val="nil"/>
            </w:tcBorders>
            <w:shd w:val="clear" w:color="000000" w:fill="D8DADA"/>
            <w:noWrap/>
            <w:vAlign w:val="center"/>
            <w:hideMark/>
          </w:tcPr>
          <w:p w14:paraId="520FCFAB"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439EC3F7"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3CD0A356"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2B16F475"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2AACFAA8"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r>
      <w:tr w:rsidR="00762C7B" w:rsidRPr="00762C7B" w14:paraId="4634D92D"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561CF906"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Number of providers</w:t>
            </w:r>
          </w:p>
        </w:tc>
        <w:tc>
          <w:tcPr>
            <w:tcW w:w="1247" w:type="dxa"/>
            <w:tcBorders>
              <w:top w:val="nil"/>
              <w:left w:val="nil"/>
              <w:bottom w:val="single" w:sz="8" w:space="0" w:color="auto"/>
              <w:right w:val="nil"/>
            </w:tcBorders>
            <w:shd w:val="clear" w:color="000000" w:fill="FFFFFF"/>
            <w:noWrap/>
            <w:vAlign w:val="center"/>
            <w:hideMark/>
          </w:tcPr>
          <w:p w14:paraId="308A3BB0"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87</w:t>
            </w:r>
          </w:p>
        </w:tc>
        <w:tc>
          <w:tcPr>
            <w:tcW w:w="1247" w:type="dxa"/>
            <w:tcBorders>
              <w:top w:val="nil"/>
              <w:left w:val="nil"/>
              <w:bottom w:val="single" w:sz="8" w:space="0" w:color="auto"/>
              <w:right w:val="nil"/>
            </w:tcBorders>
            <w:shd w:val="clear" w:color="000000" w:fill="FFFFFF"/>
            <w:noWrap/>
            <w:vAlign w:val="center"/>
            <w:hideMark/>
          </w:tcPr>
          <w:p w14:paraId="4220A6F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117</w:t>
            </w:r>
          </w:p>
        </w:tc>
        <w:tc>
          <w:tcPr>
            <w:tcW w:w="1248" w:type="dxa"/>
            <w:tcBorders>
              <w:top w:val="nil"/>
              <w:left w:val="nil"/>
              <w:bottom w:val="single" w:sz="8" w:space="0" w:color="auto"/>
              <w:right w:val="nil"/>
            </w:tcBorders>
            <w:shd w:val="clear" w:color="000000" w:fill="FFFFFF"/>
            <w:noWrap/>
            <w:vAlign w:val="center"/>
            <w:hideMark/>
          </w:tcPr>
          <w:p w14:paraId="79B2AF1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118</w:t>
            </w:r>
          </w:p>
        </w:tc>
        <w:tc>
          <w:tcPr>
            <w:tcW w:w="1247" w:type="dxa"/>
            <w:tcBorders>
              <w:top w:val="nil"/>
              <w:left w:val="nil"/>
              <w:bottom w:val="single" w:sz="8" w:space="0" w:color="auto"/>
              <w:right w:val="nil"/>
            </w:tcBorders>
            <w:shd w:val="clear" w:color="000000" w:fill="FFFFFF"/>
            <w:noWrap/>
            <w:vAlign w:val="center"/>
            <w:hideMark/>
          </w:tcPr>
          <w:p w14:paraId="56F30EB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114</w:t>
            </w:r>
          </w:p>
        </w:tc>
        <w:tc>
          <w:tcPr>
            <w:tcW w:w="1248" w:type="dxa"/>
            <w:tcBorders>
              <w:top w:val="nil"/>
              <w:left w:val="nil"/>
              <w:bottom w:val="single" w:sz="8" w:space="0" w:color="auto"/>
              <w:right w:val="nil"/>
            </w:tcBorders>
            <w:shd w:val="clear" w:color="000000" w:fill="FFFFFF"/>
            <w:noWrap/>
            <w:vAlign w:val="center"/>
            <w:hideMark/>
          </w:tcPr>
          <w:p w14:paraId="45897AB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436</w:t>
            </w:r>
          </w:p>
        </w:tc>
      </w:tr>
      <w:tr w:rsidR="00762C7B" w:rsidRPr="00762C7B" w14:paraId="0564820A"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47C7D5E"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direct care services</w:t>
            </w:r>
          </w:p>
        </w:tc>
        <w:tc>
          <w:tcPr>
            <w:tcW w:w="1247" w:type="dxa"/>
            <w:tcBorders>
              <w:top w:val="nil"/>
              <w:left w:val="nil"/>
              <w:bottom w:val="single" w:sz="8" w:space="0" w:color="auto"/>
              <w:right w:val="nil"/>
            </w:tcBorders>
            <w:shd w:val="clear" w:color="000000" w:fill="FFFFFF"/>
            <w:noWrap/>
            <w:vAlign w:val="center"/>
            <w:hideMark/>
          </w:tcPr>
          <w:p w14:paraId="66E2802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$30.65 </w:t>
            </w:r>
          </w:p>
        </w:tc>
        <w:tc>
          <w:tcPr>
            <w:tcW w:w="1247" w:type="dxa"/>
            <w:tcBorders>
              <w:top w:val="nil"/>
              <w:left w:val="nil"/>
              <w:bottom w:val="single" w:sz="8" w:space="0" w:color="auto"/>
              <w:right w:val="nil"/>
            </w:tcBorders>
            <w:shd w:val="clear" w:color="000000" w:fill="FFFFFF"/>
            <w:noWrap/>
            <w:vAlign w:val="center"/>
            <w:hideMark/>
          </w:tcPr>
          <w:p w14:paraId="1A5C101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$34.19 </w:t>
            </w:r>
          </w:p>
        </w:tc>
        <w:tc>
          <w:tcPr>
            <w:tcW w:w="1248" w:type="dxa"/>
            <w:tcBorders>
              <w:top w:val="nil"/>
              <w:left w:val="nil"/>
              <w:bottom w:val="single" w:sz="8" w:space="0" w:color="auto"/>
              <w:right w:val="nil"/>
            </w:tcBorders>
            <w:shd w:val="clear" w:color="000000" w:fill="FFFFFF"/>
            <w:noWrap/>
            <w:vAlign w:val="center"/>
            <w:hideMark/>
          </w:tcPr>
          <w:p w14:paraId="58E2491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$24.90 </w:t>
            </w:r>
          </w:p>
        </w:tc>
        <w:tc>
          <w:tcPr>
            <w:tcW w:w="1247" w:type="dxa"/>
            <w:tcBorders>
              <w:top w:val="nil"/>
              <w:left w:val="nil"/>
              <w:bottom w:val="single" w:sz="8" w:space="0" w:color="auto"/>
              <w:right w:val="nil"/>
            </w:tcBorders>
            <w:shd w:val="clear" w:color="000000" w:fill="FFFFFF"/>
            <w:noWrap/>
            <w:vAlign w:val="center"/>
            <w:hideMark/>
          </w:tcPr>
          <w:p w14:paraId="7C1A4E5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$34.15 </w:t>
            </w:r>
          </w:p>
        </w:tc>
        <w:tc>
          <w:tcPr>
            <w:tcW w:w="1248" w:type="dxa"/>
            <w:tcBorders>
              <w:top w:val="nil"/>
              <w:left w:val="nil"/>
              <w:bottom w:val="single" w:sz="8" w:space="0" w:color="auto"/>
              <w:right w:val="nil"/>
            </w:tcBorders>
            <w:shd w:val="clear" w:color="000000" w:fill="FFFFFF"/>
            <w:noWrap/>
            <w:vAlign w:val="center"/>
            <w:hideMark/>
          </w:tcPr>
          <w:p w14:paraId="183D5EA4"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$31.20 </w:t>
            </w:r>
          </w:p>
        </w:tc>
      </w:tr>
      <w:tr w:rsidR="00762C7B" w:rsidRPr="00762C7B" w14:paraId="30E6BB99"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BDD5F8B"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sub-contracted services</w:t>
            </w:r>
          </w:p>
        </w:tc>
        <w:tc>
          <w:tcPr>
            <w:tcW w:w="1247" w:type="dxa"/>
            <w:tcBorders>
              <w:top w:val="nil"/>
              <w:left w:val="nil"/>
              <w:bottom w:val="single" w:sz="8" w:space="0" w:color="auto"/>
              <w:right w:val="nil"/>
            </w:tcBorders>
            <w:shd w:val="clear" w:color="000000" w:fill="FFFFFF"/>
            <w:noWrap/>
            <w:vAlign w:val="center"/>
            <w:hideMark/>
          </w:tcPr>
          <w:p w14:paraId="76A75440"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$16.21 </w:t>
            </w:r>
          </w:p>
        </w:tc>
        <w:tc>
          <w:tcPr>
            <w:tcW w:w="1247" w:type="dxa"/>
            <w:tcBorders>
              <w:top w:val="nil"/>
              <w:left w:val="nil"/>
              <w:bottom w:val="single" w:sz="8" w:space="0" w:color="auto"/>
              <w:right w:val="nil"/>
            </w:tcBorders>
            <w:shd w:val="clear" w:color="000000" w:fill="FFFFFF"/>
            <w:noWrap/>
            <w:vAlign w:val="center"/>
            <w:hideMark/>
          </w:tcPr>
          <w:p w14:paraId="0C5805B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$13.12 </w:t>
            </w:r>
          </w:p>
        </w:tc>
        <w:tc>
          <w:tcPr>
            <w:tcW w:w="1248" w:type="dxa"/>
            <w:tcBorders>
              <w:top w:val="nil"/>
              <w:left w:val="nil"/>
              <w:bottom w:val="single" w:sz="8" w:space="0" w:color="auto"/>
              <w:right w:val="nil"/>
            </w:tcBorders>
            <w:shd w:val="clear" w:color="000000" w:fill="FFFFFF"/>
            <w:noWrap/>
            <w:vAlign w:val="center"/>
            <w:hideMark/>
          </w:tcPr>
          <w:p w14:paraId="27E0686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$18.55 </w:t>
            </w:r>
          </w:p>
        </w:tc>
        <w:tc>
          <w:tcPr>
            <w:tcW w:w="1247" w:type="dxa"/>
            <w:tcBorders>
              <w:top w:val="nil"/>
              <w:left w:val="nil"/>
              <w:bottom w:val="single" w:sz="8" w:space="0" w:color="auto"/>
              <w:right w:val="nil"/>
            </w:tcBorders>
            <w:shd w:val="clear" w:color="000000" w:fill="FFFFFF"/>
            <w:noWrap/>
            <w:vAlign w:val="center"/>
            <w:hideMark/>
          </w:tcPr>
          <w:p w14:paraId="6711AA8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$12.99 </w:t>
            </w:r>
          </w:p>
        </w:tc>
        <w:tc>
          <w:tcPr>
            <w:tcW w:w="1248" w:type="dxa"/>
            <w:tcBorders>
              <w:top w:val="nil"/>
              <w:left w:val="nil"/>
              <w:bottom w:val="single" w:sz="8" w:space="0" w:color="auto"/>
              <w:right w:val="nil"/>
            </w:tcBorders>
            <w:shd w:val="clear" w:color="000000" w:fill="FFFFFF"/>
            <w:noWrap/>
            <w:vAlign w:val="center"/>
            <w:hideMark/>
          </w:tcPr>
          <w:p w14:paraId="2BC7F3F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$14.94 </w:t>
            </w:r>
          </w:p>
        </w:tc>
      </w:tr>
      <w:tr w:rsidR="00762C7B" w:rsidRPr="00762C7B" w14:paraId="1365E21E"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1EB79BE6"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Client/case management fees charged</w:t>
            </w:r>
          </w:p>
        </w:tc>
        <w:tc>
          <w:tcPr>
            <w:tcW w:w="1247" w:type="dxa"/>
            <w:tcBorders>
              <w:top w:val="nil"/>
              <w:left w:val="nil"/>
              <w:bottom w:val="single" w:sz="8" w:space="0" w:color="auto"/>
              <w:right w:val="nil"/>
            </w:tcBorders>
            <w:shd w:val="clear" w:color="000000" w:fill="FFFFFF"/>
            <w:noWrap/>
            <w:vAlign w:val="center"/>
            <w:hideMark/>
          </w:tcPr>
          <w:p w14:paraId="04E48CB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$13.45 </w:t>
            </w:r>
          </w:p>
        </w:tc>
        <w:tc>
          <w:tcPr>
            <w:tcW w:w="1247" w:type="dxa"/>
            <w:tcBorders>
              <w:top w:val="nil"/>
              <w:left w:val="nil"/>
              <w:bottom w:val="single" w:sz="8" w:space="0" w:color="auto"/>
              <w:right w:val="nil"/>
            </w:tcBorders>
            <w:shd w:val="clear" w:color="000000" w:fill="FFFFFF"/>
            <w:noWrap/>
            <w:vAlign w:val="center"/>
            <w:hideMark/>
          </w:tcPr>
          <w:p w14:paraId="4EF61660"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$12.21 </w:t>
            </w:r>
          </w:p>
        </w:tc>
        <w:tc>
          <w:tcPr>
            <w:tcW w:w="1248" w:type="dxa"/>
            <w:tcBorders>
              <w:top w:val="nil"/>
              <w:left w:val="nil"/>
              <w:bottom w:val="single" w:sz="8" w:space="0" w:color="auto"/>
              <w:right w:val="nil"/>
            </w:tcBorders>
            <w:shd w:val="clear" w:color="000000" w:fill="FFFFFF"/>
            <w:noWrap/>
            <w:vAlign w:val="center"/>
            <w:hideMark/>
          </w:tcPr>
          <w:p w14:paraId="51C543E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$12.16 </w:t>
            </w:r>
          </w:p>
        </w:tc>
        <w:tc>
          <w:tcPr>
            <w:tcW w:w="1247" w:type="dxa"/>
            <w:tcBorders>
              <w:top w:val="nil"/>
              <w:left w:val="nil"/>
              <w:bottom w:val="single" w:sz="8" w:space="0" w:color="auto"/>
              <w:right w:val="nil"/>
            </w:tcBorders>
            <w:shd w:val="clear" w:color="000000" w:fill="FFFFFF"/>
            <w:noWrap/>
            <w:vAlign w:val="center"/>
            <w:hideMark/>
          </w:tcPr>
          <w:p w14:paraId="17CBE03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$13.10 </w:t>
            </w:r>
          </w:p>
        </w:tc>
        <w:tc>
          <w:tcPr>
            <w:tcW w:w="1248" w:type="dxa"/>
            <w:tcBorders>
              <w:top w:val="nil"/>
              <w:left w:val="nil"/>
              <w:bottom w:val="single" w:sz="8" w:space="0" w:color="auto"/>
              <w:right w:val="nil"/>
            </w:tcBorders>
            <w:shd w:val="clear" w:color="000000" w:fill="FFFFFF"/>
            <w:noWrap/>
            <w:vAlign w:val="center"/>
            <w:hideMark/>
          </w:tcPr>
          <w:p w14:paraId="0366A21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$12.55 </w:t>
            </w:r>
          </w:p>
        </w:tc>
      </w:tr>
      <w:tr w:rsidR="00762C7B" w:rsidRPr="00762C7B" w14:paraId="2097D8A7"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6A0597D"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Admin and management of packages</w:t>
            </w:r>
          </w:p>
        </w:tc>
        <w:tc>
          <w:tcPr>
            <w:tcW w:w="1247" w:type="dxa"/>
            <w:tcBorders>
              <w:top w:val="nil"/>
              <w:left w:val="nil"/>
              <w:bottom w:val="single" w:sz="8" w:space="0" w:color="auto"/>
              <w:right w:val="nil"/>
            </w:tcBorders>
            <w:shd w:val="clear" w:color="000000" w:fill="FFFFFF"/>
            <w:noWrap/>
            <w:vAlign w:val="center"/>
            <w:hideMark/>
          </w:tcPr>
          <w:p w14:paraId="1095D9E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$8.91 </w:t>
            </w:r>
          </w:p>
        </w:tc>
        <w:tc>
          <w:tcPr>
            <w:tcW w:w="1247" w:type="dxa"/>
            <w:tcBorders>
              <w:top w:val="nil"/>
              <w:left w:val="nil"/>
              <w:bottom w:val="single" w:sz="8" w:space="0" w:color="auto"/>
              <w:right w:val="nil"/>
            </w:tcBorders>
            <w:shd w:val="clear" w:color="000000" w:fill="FFFFFF"/>
            <w:noWrap/>
            <w:vAlign w:val="center"/>
            <w:hideMark/>
          </w:tcPr>
          <w:p w14:paraId="5FD5C71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$8.11 </w:t>
            </w:r>
          </w:p>
        </w:tc>
        <w:tc>
          <w:tcPr>
            <w:tcW w:w="1248" w:type="dxa"/>
            <w:tcBorders>
              <w:top w:val="nil"/>
              <w:left w:val="nil"/>
              <w:bottom w:val="single" w:sz="8" w:space="0" w:color="auto"/>
              <w:right w:val="nil"/>
            </w:tcBorders>
            <w:shd w:val="clear" w:color="000000" w:fill="FFFFFF"/>
            <w:noWrap/>
            <w:vAlign w:val="center"/>
            <w:hideMark/>
          </w:tcPr>
          <w:p w14:paraId="27448CF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$8.56 </w:t>
            </w:r>
          </w:p>
        </w:tc>
        <w:tc>
          <w:tcPr>
            <w:tcW w:w="1247" w:type="dxa"/>
            <w:tcBorders>
              <w:top w:val="nil"/>
              <w:left w:val="nil"/>
              <w:bottom w:val="single" w:sz="8" w:space="0" w:color="auto"/>
              <w:right w:val="nil"/>
            </w:tcBorders>
            <w:shd w:val="clear" w:color="000000" w:fill="FFFFFF"/>
            <w:noWrap/>
            <w:vAlign w:val="center"/>
            <w:hideMark/>
          </w:tcPr>
          <w:p w14:paraId="0BE082A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$7.18 </w:t>
            </w:r>
          </w:p>
        </w:tc>
        <w:tc>
          <w:tcPr>
            <w:tcW w:w="1248" w:type="dxa"/>
            <w:tcBorders>
              <w:top w:val="nil"/>
              <w:left w:val="nil"/>
              <w:bottom w:val="single" w:sz="8" w:space="0" w:color="auto"/>
              <w:right w:val="nil"/>
            </w:tcBorders>
            <w:shd w:val="clear" w:color="000000" w:fill="FFFFFF"/>
            <w:noWrap/>
            <w:vAlign w:val="center"/>
            <w:hideMark/>
          </w:tcPr>
          <w:p w14:paraId="3F00E68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$8.09 </w:t>
            </w:r>
          </w:p>
        </w:tc>
      </w:tr>
      <w:tr w:rsidR="00762C7B" w:rsidRPr="00762C7B" w14:paraId="7603276D"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C5F46D2"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Exit amounts deducted</w:t>
            </w:r>
          </w:p>
        </w:tc>
        <w:tc>
          <w:tcPr>
            <w:tcW w:w="1247" w:type="dxa"/>
            <w:tcBorders>
              <w:top w:val="nil"/>
              <w:left w:val="nil"/>
              <w:bottom w:val="single" w:sz="8" w:space="0" w:color="auto"/>
              <w:right w:val="nil"/>
            </w:tcBorders>
            <w:shd w:val="clear" w:color="000000" w:fill="FFFFFF"/>
            <w:noWrap/>
            <w:vAlign w:val="center"/>
            <w:hideMark/>
          </w:tcPr>
          <w:p w14:paraId="6E2CE36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7" w:type="dxa"/>
            <w:tcBorders>
              <w:top w:val="nil"/>
              <w:left w:val="nil"/>
              <w:bottom w:val="single" w:sz="8" w:space="0" w:color="auto"/>
              <w:right w:val="nil"/>
            </w:tcBorders>
            <w:shd w:val="clear" w:color="000000" w:fill="FFFFFF"/>
            <w:noWrap/>
            <w:vAlign w:val="center"/>
            <w:hideMark/>
          </w:tcPr>
          <w:p w14:paraId="4B1D66E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$0.02 </w:t>
            </w:r>
          </w:p>
        </w:tc>
        <w:tc>
          <w:tcPr>
            <w:tcW w:w="1248" w:type="dxa"/>
            <w:tcBorders>
              <w:top w:val="nil"/>
              <w:left w:val="nil"/>
              <w:bottom w:val="single" w:sz="8" w:space="0" w:color="auto"/>
              <w:right w:val="nil"/>
            </w:tcBorders>
            <w:shd w:val="clear" w:color="000000" w:fill="FFFFFF"/>
            <w:noWrap/>
            <w:vAlign w:val="center"/>
            <w:hideMark/>
          </w:tcPr>
          <w:p w14:paraId="4201561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7" w:type="dxa"/>
            <w:tcBorders>
              <w:top w:val="nil"/>
              <w:left w:val="nil"/>
              <w:bottom w:val="single" w:sz="8" w:space="0" w:color="auto"/>
              <w:right w:val="nil"/>
            </w:tcBorders>
            <w:shd w:val="clear" w:color="000000" w:fill="FFFFFF"/>
            <w:noWrap/>
            <w:vAlign w:val="center"/>
            <w:hideMark/>
          </w:tcPr>
          <w:p w14:paraId="4851076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$0.00 </w:t>
            </w:r>
          </w:p>
        </w:tc>
        <w:tc>
          <w:tcPr>
            <w:tcW w:w="1248" w:type="dxa"/>
            <w:tcBorders>
              <w:top w:val="nil"/>
              <w:left w:val="nil"/>
              <w:bottom w:val="single" w:sz="8" w:space="0" w:color="auto"/>
              <w:right w:val="nil"/>
            </w:tcBorders>
            <w:shd w:val="clear" w:color="000000" w:fill="FFFFFF"/>
            <w:noWrap/>
            <w:vAlign w:val="center"/>
            <w:hideMark/>
          </w:tcPr>
          <w:p w14:paraId="6795B9B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$0.02 </w:t>
            </w:r>
          </w:p>
        </w:tc>
      </w:tr>
      <w:tr w:rsidR="00762C7B" w:rsidRPr="00762C7B" w14:paraId="65E047C6"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20C8166"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COVID-19 funding</w:t>
            </w:r>
          </w:p>
        </w:tc>
        <w:tc>
          <w:tcPr>
            <w:tcW w:w="1247" w:type="dxa"/>
            <w:tcBorders>
              <w:top w:val="nil"/>
              <w:left w:val="nil"/>
              <w:bottom w:val="single" w:sz="8" w:space="0" w:color="auto"/>
              <w:right w:val="nil"/>
            </w:tcBorders>
            <w:shd w:val="clear" w:color="000000" w:fill="FFFFFF"/>
            <w:noWrap/>
            <w:vAlign w:val="center"/>
            <w:hideMark/>
          </w:tcPr>
          <w:p w14:paraId="64CD092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7" w:type="dxa"/>
            <w:tcBorders>
              <w:top w:val="nil"/>
              <w:left w:val="nil"/>
              <w:bottom w:val="single" w:sz="8" w:space="0" w:color="auto"/>
              <w:right w:val="nil"/>
            </w:tcBorders>
            <w:shd w:val="clear" w:color="000000" w:fill="FFFFFF"/>
            <w:noWrap/>
            <w:vAlign w:val="center"/>
            <w:hideMark/>
          </w:tcPr>
          <w:p w14:paraId="28E635E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8" w:type="dxa"/>
            <w:tcBorders>
              <w:top w:val="nil"/>
              <w:left w:val="nil"/>
              <w:bottom w:val="single" w:sz="8" w:space="0" w:color="auto"/>
              <w:right w:val="nil"/>
            </w:tcBorders>
            <w:shd w:val="clear" w:color="000000" w:fill="FFFFFF"/>
            <w:noWrap/>
            <w:vAlign w:val="center"/>
            <w:hideMark/>
          </w:tcPr>
          <w:p w14:paraId="22AEB2F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7" w:type="dxa"/>
            <w:tcBorders>
              <w:top w:val="nil"/>
              <w:left w:val="nil"/>
              <w:bottom w:val="single" w:sz="8" w:space="0" w:color="auto"/>
              <w:right w:val="nil"/>
            </w:tcBorders>
            <w:shd w:val="clear" w:color="000000" w:fill="FFFFFF"/>
            <w:noWrap/>
            <w:vAlign w:val="center"/>
            <w:hideMark/>
          </w:tcPr>
          <w:p w14:paraId="2315661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$0.02 </w:t>
            </w:r>
          </w:p>
        </w:tc>
        <w:tc>
          <w:tcPr>
            <w:tcW w:w="1248" w:type="dxa"/>
            <w:tcBorders>
              <w:top w:val="nil"/>
              <w:left w:val="nil"/>
              <w:bottom w:val="single" w:sz="8" w:space="0" w:color="auto"/>
              <w:right w:val="nil"/>
            </w:tcBorders>
            <w:shd w:val="clear" w:color="000000" w:fill="FFFFFF"/>
            <w:noWrap/>
            <w:vAlign w:val="center"/>
            <w:hideMark/>
          </w:tcPr>
          <w:p w14:paraId="06FAFD9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r>
      <w:tr w:rsidR="00762C7B" w:rsidRPr="00762C7B" w14:paraId="067132AE"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682E6BA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Other income</w:t>
            </w:r>
          </w:p>
        </w:tc>
        <w:tc>
          <w:tcPr>
            <w:tcW w:w="1247" w:type="dxa"/>
            <w:tcBorders>
              <w:top w:val="nil"/>
              <w:left w:val="nil"/>
              <w:bottom w:val="single" w:sz="8" w:space="0" w:color="auto"/>
              <w:right w:val="nil"/>
            </w:tcBorders>
            <w:shd w:val="clear" w:color="000000" w:fill="FFFFFF"/>
            <w:noWrap/>
            <w:vAlign w:val="center"/>
            <w:hideMark/>
          </w:tcPr>
          <w:p w14:paraId="57E558C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$3.18 </w:t>
            </w:r>
          </w:p>
        </w:tc>
        <w:tc>
          <w:tcPr>
            <w:tcW w:w="1247" w:type="dxa"/>
            <w:tcBorders>
              <w:top w:val="nil"/>
              <w:left w:val="nil"/>
              <w:bottom w:val="single" w:sz="8" w:space="0" w:color="auto"/>
              <w:right w:val="nil"/>
            </w:tcBorders>
            <w:shd w:val="clear" w:color="000000" w:fill="FFFFFF"/>
            <w:noWrap/>
            <w:vAlign w:val="center"/>
            <w:hideMark/>
          </w:tcPr>
          <w:p w14:paraId="148CE74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$1.43 </w:t>
            </w:r>
          </w:p>
        </w:tc>
        <w:tc>
          <w:tcPr>
            <w:tcW w:w="1248" w:type="dxa"/>
            <w:tcBorders>
              <w:top w:val="nil"/>
              <w:left w:val="nil"/>
              <w:bottom w:val="single" w:sz="8" w:space="0" w:color="auto"/>
              <w:right w:val="nil"/>
            </w:tcBorders>
            <w:shd w:val="clear" w:color="000000" w:fill="FFFFFF"/>
            <w:noWrap/>
            <w:vAlign w:val="center"/>
            <w:hideMark/>
          </w:tcPr>
          <w:p w14:paraId="7C92303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$1.55 </w:t>
            </w:r>
          </w:p>
        </w:tc>
        <w:tc>
          <w:tcPr>
            <w:tcW w:w="1247" w:type="dxa"/>
            <w:tcBorders>
              <w:top w:val="nil"/>
              <w:left w:val="nil"/>
              <w:bottom w:val="single" w:sz="8" w:space="0" w:color="auto"/>
              <w:right w:val="nil"/>
            </w:tcBorders>
            <w:shd w:val="clear" w:color="000000" w:fill="FFFFFF"/>
            <w:noWrap/>
            <w:vAlign w:val="center"/>
            <w:hideMark/>
          </w:tcPr>
          <w:p w14:paraId="0F51880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$1.09 </w:t>
            </w:r>
          </w:p>
        </w:tc>
        <w:tc>
          <w:tcPr>
            <w:tcW w:w="1248" w:type="dxa"/>
            <w:tcBorders>
              <w:top w:val="nil"/>
              <w:left w:val="nil"/>
              <w:bottom w:val="single" w:sz="8" w:space="0" w:color="auto"/>
              <w:right w:val="nil"/>
            </w:tcBorders>
            <w:shd w:val="clear" w:color="000000" w:fill="FFFFFF"/>
            <w:noWrap/>
            <w:vAlign w:val="center"/>
            <w:hideMark/>
          </w:tcPr>
          <w:p w14:paraId="45DB3AF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$1.57 </w:t>
            </w:r>
          </w:p>
        </w:tc>
      </w:tr>
      <w:tr w:rsidR="00762C7B" w:rsidRPr="00762C7B" w14:paraId="07D8FF3E"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3FB1EBBE"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Total expenses</w:t>
            </w:r>
          </w:p>
        </w:tc>
        <w:tc>
          <w:tcPr>
            <w:tcW w:w="1247" w:type="dxa"/>
            <w:tcBorders>
              <w:top w:val="nil"/>
              <w:left w:val="nil"/>
              <w:bottom w:val="single" w:sz="8" w:space="0" w:color="auto"/>
              <w:right w:val="nil"/>
            </w:tcBorders>
            <w:shd w:val="clear" w:color="000000" w:fill="FFFFFF"/>
            <w:noWrap/>
            <w:vAlign w:val="center"/>
            <w:hideMark/>
          </w:tcPr>
          <w:p w14:paraId="27ADAA2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$58.75 </w:t>
            </w:r>
          </w:p>
        </w:tc>
        <w:tc>
          <w:tcPr>
            <w:tcW w:w="1247" w:type="dxa"/>
            <w:tcBorders>
              <w:top w:val="nil"/>
              <w:left w:val="nil"/>
              <w:bottom w:val="single" w:sz="8" w:space="0" w:color="auto"/>
              <w:right w:val="nil"/>
            </w:tcBorders>
            <w:shd w:val="clear" w:color="000000" w:fill="FFFFFF"/>
            <w:noWrap/>
            <w:vAlign w:val="center"/>
            <w:hideMark/>
          </w:tcPr>
          <w:p w14:paraId="4C652A4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$63.39 </w:t>
            </w:r>
          </w:p>
        </w:tc>
        <w:tc>
          <w:tcPr>
            <w:tcW w:w="1248" w:type="dxa"/>
            <w:tcBorders>
              <w:top w:val="nil"/>
              <w:left w:val="nil"/>
              <w:bottom w:val="single" w:sz="8" w:space="0" w:color="auto"/>
              <w:right w:val="nil"/>
            </w:tcBorders>
            <w:shd w:val="clear" w:color="000000" w:fill="FFFFFF"/>
            <w:noWrap/>
            <w:vAlign w:val="center"/>
            <w:hideMark/>
          </w:tcPr>
          <w:p w14:paraId="6013C1A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$64.89 </w:t>
            </w:r>
          </w:p>
        </w:tc>
        <w:tc>
          <w:tcPr>
            <w:tcW w:w="1247" w:type="dxa"/>
            <w:tcBorders>
              <w:top w:val="nil"/>
              <w:left w:val="nil"/>
              <w:bottom w:val="single" w:sz="8" w:space="0" w:color="auto"/>
              <w:right w:val="nil"/>
            </w:tcBorders>
            <w:shd w:val="clear" w:color="000000" w:fill="FFFFFF"/>
            <w:noWrap/>
            <w:vAlign w:val="center"/>
            <w:hideMark/>
          </w:tcPr>
          <w:p w14:paraId="70F91807"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$76.13 </w:t>
            </w:r>
          </w:p>
        </w:tc>
        <w:tc>
          <w:tcPr>
            <w:tcW w:w="1248" w:type="dxa"/>
            <w:tcBorders>
              <w:top w:val="nil"/>
              <w:left w:val="nil"/>
              <w:bottom w:val="single" w:sz="8" w:space="0" w:color="auto"/>
              <w:right w:val="nil"/>
            </w:tcBorders>
            <w:shd w:val="clear" w:color="000000" w:fill="FFFFFF"/>
            <w:noWrap/>
            <w:vAlign w:val="center"/>
            <w:hideMark/>
          </w:tcPr>
          <w:p w14:paraId="1F1BC81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$66.48 </w:t>
            </w:r>
          </w:p>
        </w:tc>
      </w:tr>
      <w:tr w:rsidR="00762C7B" w:rsidRPr="00762C7B" w14:paraId="3C3E18EA"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2AC4A6EC"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Net profit before tax</w:t>
            </w:r>
          </w:p>
        </w:tc>
        <w:tc>
          <w:tcPr>
            <w:tcW w:w="1247" w:type="dxa"/>
            <w:tcBorders>
              <w:top w:val="nil"/>
              <w:left w:val="nil"/>
              <w:bottom w:val="single" w:sz="8" w:space="0" w:color="auto"/>
              <w:right w:val="nil"/>
            </w:tcBorders>
            <w:shd w:val="clear" w:color="000000" w:fill="D8DADA"/>
            <w:noWrap/>
            <w:vAlign w:val="center"/>
            <w:hideMark/>
          </w:tcPr>
          <w:p w14:paraId="55446474"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$13.72 </w:t>
            </w:r>
          </w:p>
        </w:tc>
        <w:tc>
          <w:tcPr>
            <w:tcW w:w="1247" w:type="dxa"/>
            <w:tcBorders>
              <w:top w:val="nil"/>
              <w:left w:val="nil"/>
              <w:bottom w:val="single" w:sz="8" w:space="0" w:color="auto"/>
              <w:right w:val="nil"/>
            </w:tcBorders>
            <w:shd w:val="clear" w:color="000000" w:fill="D8DADA"/>
            <w:noWrap/>
            <w:vAlign w:val="center"/>
            <w:hideMark/>
          </w:tcPr>
          <w:p w14:paraId="3BCEA33D"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$5.73 </w:t>
            </w:r>
          </w:p>
        </w:tc>
        <w:tc>
          <w:tcPr>
            <w:tcW w:w="1248" w:type="dxa"/>
            <w:tcBorders>
              <w:top w:val="nil"/>
              <w:left w:val="nil"/>
              <w:bottom w:val="single" w:sz="8" w:space="0" w:color="auto"/>
              <w:right w:val="nil"/>
            </w:tcBorders>
            <w:shd w:val="clear" w:color="000000" w:fill="D8DADA"/>
            <w:noWrap/>
            <w:vAlign w:val="center"/>
            <w:hideMark/>
          </w:tcPr>
          <w:p w14:paraId="0159209F"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$0.91 </w:t>
            </w:r>
          </w:p>
        </w:tc>
        <w:tc>
          <w:tcPr>
            <w:tcW w:w="1247" w:type="dxa"/>
            <w:tcBorders>
              <w:top w:val="nil"/>
              <w:left w:val="nil"/>
              <w:bottom w:val="single" w:sz="8" w:space="0" w:color="auto"/>
              <w:right w:val="nil"/>
            </w:tcBorders>
            <w:shd w:val="clear" w:color="000000" w:fill="D8DADA"/>
            <w:noWrap/>
            <w:vAlign w:val="center"/>
            <w:hideMark/>
          </w:tcPr>
          <w:p w14:paraId="534535D9"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($7.59)</w:t>
            </w:r>
          </w:p>
        </w:tc>
        <w:tc>
          <w:tcPr>
            <w:tcW w:w="1248" w:type="dxa"/>
            <w:tcBorders>
              <w:top w:val="nil"/>
              <w:left w:val="nil"/>
              <w:bottom w:val="single" w:sz="8" w:space="0" w:color="auto"/>
              <w:right w:val="nil"/>
            </w:tcBorders>
            <w:shd w:val="clear" w:color="000000" w:fill="D8DADA"/>
            <w:noWrap/>
            <w:vAlign w:val="center"/>
            <w:hideMark/>
          </w:tcPr>
          <w:p w14:paraId="212FA79E"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$1.94 </w:t>
            </w:r>
          </w:p>
        </w:tc>
      </w:tr>
      <w:tr w:rsidR="00762C7B" w:rsidRPr="00762C7B" w14:paraId="4558CF67"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354E8B8C"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Local state or territory government</w:t>
            </w:r>
          </w:p>
        </w:tc>
        <w:tc>
          <w:tcPr>
            <w:tcW w:w="1247" w:type="dxa"/>
            <w:tcBorders>
              <w:top w:val="nil"/>
              <w:left w:val="nil"/>
              <w:bottom w:val="single" w:sz="8" w:space="0" w:color="auto"/>
              <w:right w:val="nil"/>
            </w:tcBorders>
            <w:shd w:val="clear" w:color="000000" w:fill="D8DADA"/>
            <w:noWrap/>
            <w:vAlign w:val="center"/>
            <w:hideMark/>
          </w:tcPr>
          <w:p w14:paraId="214C38BA"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0428FA43"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331582C7"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5B46ED19"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4B02CBFF"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 </w:t>
            </w:r>
          </w:p>
        </w:tc>
      </w:tr>
      <w:tr w:rsidR="00762C7B" w:rsidRPr="00762C7B" w14:paraId="6E302B7D"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B196D1E"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Number of providers</w:t>
            </w:r>
          </w:p>
        </w:tc>
        <w:tc>
          <w:tcPr>
            <w:tcW w:w="1247" w:type="dxa"/>
            <w:tcBorders>
              <w:top w:val="nil"/>
              <w:left w:val="nil"/>
              <w:bottom w:val="single" w:sz="8" w:space="0" w:color="auto"/>
              <w:right w:val="nil"/>
            </w:tcBorders>
            <w:shd w:val="clear" w:color="000000" w:fill="FFFFFF"/>
            <w:noWrap/>
            <w:vAlign w:val="center"/>
            <w:hideMark/>
          </w:tcPr>
          <w:p w14:paraId="197C1BC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18</w:t>
            </w:r>
          </w:p>
        </w:tc>
        <w:tc>
          <w:tcPr>
            <w:tcW w:w="1247" w:type="dxa"/>
            <w:tcBorders>
              <w:top w:val="nil"/>
              <w:left w:val="nil"/>
              <w:bottom w:val="single" w:sz="8" w:space="0" w:color="auto"/>
              <w:right w:val="nil"/>
            </w:tcBorders>
            <w:shd w:val="clear" w:color="000000" w:fill="FFFFFF"/>
            <w:noWrap/>
            <w:vAlign w:val="center"/>
            <w:hideMark/>
          </w:tcPr>
          <w:p w14:paraId="494248C8"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15</w:t>
            </w:r>
          </w:p>
        </w:tc>
        <w:tc>
          <w:tcPr>
            <w:tcW w:w="1248" w:type="dxa"/>
            <w:tcBorders>
              <w:top w:val="nil"/>
              <w:left w:val="nil"/>
              <w:bottom w:val="single" w:sz="8" w:space="0" w:color="auto"/>
              <w:right w:val="nil"/>
            </w:tcBorders>
            <w:shd w:val="clear" w:color="000000" w:fill="FFFFFF"/>
            <w:noWrap/>
            <w:vAlign w:val="center"/>
            <w:hideMark/>
          </w:tcPr>
          <w:p w14:paraId="0EEEEFE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37</w:t>
            </w:r>
          </w:p>
        </w:tc>
        <w:tc>
          <w:tcPr>
            <w:tcW w:w="1247" w:type="dxa"/>
            <w:tcBorders>
              <w:top w:val="nil"/>
              <w:left w:val="nil"/>
              <w:bottom w:val="single" w:sz="8" w:space="0" w:color="auto"/>
              <w:right w:val="nil"/>
            </w:tcBorders>
            <w:shd w:val="clear" w:color="000000" w:fill="FFFFFF"/>
            <w:noWrap/>
            <w:vAlign w:val="center"/>
            <w:hideMark/>
          </w:tcPr>
          <w:p w14:paraId="7F775E0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26</w:t>
            </w:r>
          </w:p>
        </w:tc>
        <w:tc>
          <w:tcPr>
            <w:tcW w:w="1248" w:type="dxa"/>
            <w:tcBorders>
              <w:top w:val="nil"/>
              <w:left w:val="nil"/>
              <w:bottom w:val="single" w:sz="8" w:space="0" w:color="auto"/>
              <w:right w:val="nil"/>
            </w:tcBorders>
            <w:shd w:val="clear" w:color="000000" w:fill="FFFFFF"/>
            <w:noWrap/>
            <w:vAlign w:val="center"/>
            <w:hideMark/>
          </w:tcPr>
          <w:p w14:paraId="215FAB0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96</w:t>
            </w:r>
          </w:p>
        </w:tc>
      </w:tr>
      <w:tr w:rsidR="00762C7B" w:rsidRPr="00762C7B" w14:paraId="525B15DF"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9014A5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direct care services</w:t>
            </w:r>
          </w:p>
        </w:tc>
        <w:tc>
          <w:tcPr>
            <w:tcW w:w="1247" w:type="dxa"/>
            <w:tcBorders>
              <w:top w:val="nil"/>
              <w:left w:val="nil"/>
              <w:bottom w:val="single" w:sz="8" w:space="0" w:color="auto"/>
              <w:right w:val="nil"/>
            </w:tcBorders>
            <w:shd w:val="clear" w:color="000000" w:fill="FFFFFF"/>
            <w:noWrap/>
            <w:vAlign w:val="center"/>
            <w:hideMark/>
          </w:tcPr>
          <w:p w14:paraId="518E46E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$27.91 </w:t>
            </w:r>
          </w:p>
        </w:tc>
        <w:tc>
          <w:tcPr>
            <w:tcW w:w="1247" w:type="dxa"/>
            <w:tcBorders>
              <w:top w:val="nil"/>
              <w:left w:val="nil"/>
              <w:bottom w:val="single" w:sz="8" w:space="0" w:color="auto"/>
              <w:right w:val="nil"/>
            </w:tcBorders>
            <w:shd w:val="clear" w:color="000000" w:fill="FFFFFF"/>
            <w:noWrap/>
            <w:vAlign w:val="center"/>
            <w:hideMark/>
          </w:tcPr>
          <w:p w14:paraId="5A43989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$20.60 </w:t>
            </w:r>
          </w:p>
        </w:tc>
        <w:tc>
          <w:tcPr>
            <w:tcW w:w="1248" w:type="dxa"/>
            <w:tcBorders>
              <w:top w:val="nil"/>
              <w:left w:val="nil"/>
              <w:bottom w:val="single" w:sz="8" w:space="0" w:color="auto"/>
              <w:right w:val="nil"/>
            </w:tcBorders>
            <w:shd w:val="clear" w:color="000000" w:fill="FFFFFF"/>
            <w:noWrap/>
            <w:vAlign w:val="center"/>
            <w:hideMark/>
          </w:tcPr>
          <w:p w14:paraId="6E42807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$12.42 </w:t>
            </w:r>
          </w:p>
        </w:tc>
        <w:tc>
          <w:tcPr>
            <w:tcW w:w="1247" w:type="dxa"/>
            <w:tcBorders>
              <w:top w:val="nil"/>
              <w:left w:val="nil"/>
              <w:bottom w:val="single" w:sz="8" w:space="0" w:color="auto"/>
              <w:right w:val="nil"/>
            </w:tcBorders>
            <w:shd w:val="clear" w:color="000000" w:fill="FFFFFF"/>
            <w:noWrap/>
            <w:vAlign w:val="center"/>
            <w:hideMark/>
          </w:tcPr>
          <w:p w14:paraId="0846853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$9.95 </w:t>
            </w:r>
          </w:p>
        </w:tc>
        <w:tc>
          <w:tcPr>
            <w:tcW w:w="1248" w:type="dxa"/>
            <w:tcBorders>
              <w:top w:val="nil"/>
              <w:left w:val="nil"/>
              <w:bottom w:val="single" w:sz="8" w:space="0" w:color="auto"/>
              <w:right w:val="nil"/>
            </w:tcBorders>
            <w:shd w:val="clear" w:color="000000" w:fill="FFFFFF"/>
            <w:noWrap/>
            <w:vAlign w:val="center"/>
            <w:hideMark/>
          </w:tcPr>
          <w:p w14:paraId="14711C6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$15.76 </w:t>
            </w:r>
          </w:p>
        </w:tc>
      </w:tr>
      <w:tr w:rsidR="00762C7B" w:rsidRPr="00762C7B" w14:paraId="49F996E9"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0B62FB49"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Provision of care / sub-contracted services</w:t>
            </w:r>
          </w:p>
        </w:tc>
        <w:tc>
          <w:tcPr>
            <w:tcW w:w="1247" w:type="dxa"/>
            <w:tcBorders>
              <w:top w:val="nil"/>
              <w:left w:val="nil"/>
              <w:bottom w:val="single" w:sz="8" w:space="0" w:color="auto"/>
              <w:right w:val="nil"/>
            </w:tcBorders>
            <w:shd w:val="clear" w:color="000000" w:fill="FFFFFF"/>
            <w:noWrap/>
            <w:vAlign w:val="center"/>
            <w:hideMark/>
          </w:tcPr>
          <w:p w14:paraId="6F4EC8E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$11.61 </w:t>
            </w:r>
          </w:p>
        </w:tc>
        <w:tc>
          <w:tcPr>
            <w:tcW w:w="1247" w:type="dxa"/>
            <w:tcBorders>
              <w:top w:val="nil"/>
              <w:left w:val="nil"/>
              <w:bottom w:val="single" w:sz="8" w:space="0" w:color="auto"/>
              <w:right w:val="nil"/>
            </w:tcBorders>
            <w:shd w:val="clear" w:color="000000" w:fill="FFFFFF"/>
            <w:noWrap/>
            <w:vAlign w:val="center"/>
            <w:hideMark/>
          </w:tcPr>
          <w:p w14:paraId="3C7D43C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$25.23 </w:t>
            </w:r>
          </w:p>
        </w:tc>
        <w:tc>
          <w:tcPr>
            <w:tcW w:w="1248" w:type="dxa"/>
            <w:tcBorders>
              <w:top w:val="nil"/>
              <w:left w:val="nil"/>
              <w:bottom w:val="single" w:sz="8" w:space="0" w:color="auto"/>
              <w:right w:val="nil"/>
            </w:tcBorders>
            <w:shd w:val="clear" w:color="000000" w:fill="FFFFFF"/>
            <w:noWrap/>
            <w:vAlign w:val="center"/>
            <w:hideMark/>
          </w:tcPr>
          <w:p w14:paraId="2C9DA2ED"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$29.87 </w:t>
            </w:r>
          </w:p>
        </w:tc>
        <w:tc>
          <w:tcPr>
            <w:tcW w:w="1247" w:type="dxa"/>
            <w:tcBorders>
              <w:top w:val="nil"/>
              <w:left w:val="nil"/>
              <w:bottom w:val="single" w:sz="8" w:space="0" w:color="auto"/>
              <w:right w:val="nil"/>
            </w:tcBorders>
            <w:shd w:val="clear" w:color="000000" w:fill="FFFFFF"/>
            <w:noWrap/>
            <w:vAlign w:val="center"/>
            <w:hideMark/>
          </w:tcPr>
          <w:p w14:paraId="36802714"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$26.58 </w:t>
            </w:r>
          </w:p>
        </w:tc>
        <w:tc>
          <w:tcPr>
            <w:tcW w:w="1248" w:type="dxa"/>
            <w:tcBorders>
              <w:top w:val="nil"/>
              <w:left w:val="nil"/>
              <w:bottom w:val="single" w:sz="8" w:space="0" w:color="auto"/>
              <w:right w:val="nil"/>
            </w:tcBorders>
            <w:shd w:val="clear" w:color="000000" w:fill="FFFFFF"/>
            <w:noWrap/>
            <w:vAlign w:val="center"/>
            <w:hideMark/>
          </w:tcPr>
          <w:p w14:paraId="6D6800F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$25.33 </w:t>
            </w:r>
          </w:p>
        </w:tc>
      </w:tr>
      <w:tr w:rsidR="00762C7B" w:rsidRPr="00762C7B" w14:paraId="33116DE6"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071F55AB"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Client/case management fees charged</w:t>
            </w:r>
          </w:p>
        </w:tc>
        <w:tc>
          <w:tcPr>
            <w:tcW w:w="1247" w:type="dxa"/>
            <w:tcBorders>
              <w:top w:val="nil"/>
              <w:left w:val="nil"/>
              <w:bottom w:val="single" w:sz="8" w:space="0" w:color="auto"/>
              <w:right w:val="nil"/>
            </w:tcBorders>
            <w:shd w:val="clear" w:color="000000" w:fill="FFFFFF"/>
            <w:noWrap/>
            <w:vAlign w:val="center"/>
            <w:hideMark/>
          </w:tcPr>
          <w:p w14:paraId="58263F9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$12.98 </w:t>
            </w:r>
          </w:p>
        </w:tc>
        <w:tc>
          <w:tcPr>
            <w:tcW w:w="1247" w:type="dxa"/>
            <w:tcBorders>
              <w:top w:val="nil"/>
              <w:left w:val="nil"/>
              <w:bottom w:val="single" w:sz="8" w:space="0" w:color="auto"/>
              <w:right w:val="nil"/>
            </w:tcBorders>
            <w:shd w:val="clear" w:color="000000" w:fill="FFFFFF"/>
            <w:noWrap/>
            <w:vAlign w:val="center"/>
            <w:hideMark/>
          </w:tcPr>
          <w:p w14:paraId="4E63303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$13.62 </w:t>
            </w:r>
          </w:p>
        </w:tc>
        <w:tc>
          <w:tcPr>
            <w:tcW w:w="1248" w:type="dxa"/>
            <w:tcBorders>
              <w:top w:val="nil"/>
              <w:left w:val="nil"/>
              <w:bottom w:val="single" w:sz="8" w:space="0" w:color="auto"/>
              <w:right w:val="nil"/>
            </w:tcBorders>
            <w:shd w:val="clear" w:color="000000" w:fill="FFFFFF"/>
            <w:noWrap/>
            <w:vAlign w:val="center"/>
            <w:hideMark/>
          </w:tcPr>
          <w:p w14:paraId="4E3E9BEE"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$14.86 </w:t>
            </w:r>
          </w:p>
        </w:tc>
        <w:tc>
          <w:tcPr>
            <w:tcW w:w="1247" w:type="dxa"/>
            <w:tcBorders>
              <w:top w:val="nil"/>
              <w:left w:val="nil"/>
              <w:bottom w:val="single" w:sz="8" w:space="0" w:color="auto"/>
              <w:right w:val="nil"/>
            </w:tcBorders>
            <w:shd w:val="clear" w:color="000000" w:fill="FFFFFF"/>
            <w:noWrap/>
            <w:vAlign w:val="center"/>
            <w:hideMark/>
          </w:tcPr>
          <w:p w14:paraId="52F0D86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$7.77 </w:t>
            </w:r>
          </w:p>
        </w:tc>
        <w:tc>
          <w:tcPr>
            <w:tcW w:w="1248" w:type="dxa"/>
            <w:tcBorders>
              <w:top w:val="nil"/>
              <w:left w:val="nil"/>
              <w:bottom w:val="single" w:sz="8" w:space="0" w:color="auto"/>
              <w:right w:val="nil"/>
            </w:tcBorders>
            <w:shd w:val="clear" w:color="000000" w:fill="FFFFFF"/>
            <w:noWrap/>
            <w:vAlign w:val="center"/>
            <w:hideMark/>
          </w:tcPr>
          <w:p w14:paraId="7CAA79D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$12.15 </w:t>
            </w:r>
          </w:p>
        </w:tc>
      </w:tr>
      <w:tr w:rsidR="00762C7B" w:rsidRPr="00762C7B" w14:paraId="5FB149C1"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3EB1D1F8"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Admin and management of packages</w:t>
            </w:r>
          </w:p>
        </w:tc>
        <w:tc>
          <w:tcPr>
            <w:tcW w:w="1247" w:type="dxa"/>
            <w:tcBorders>
              <w:top w:val="nil"/>
              <w:left w:val="nil"/>
              <w:bottom w:val="single" w:sz="8" w:space="0" w:color="auto"/>
              <w:right w:val="nil"/>
            </w:tcBorders>
            <w:shd w:val="clear" w:color="000000" w:fill="FFFFFF"/>
            <w:noWrap/>
            <w:vAlign w:val="center"/>
            <w:hideMark/>
          </w:tcPr>
          <w:p w14:paraId="46D0E08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$9.19 </w:t>
            </w:r>
          </w:p>
        </w:tc>
        <w:tc>
          <w:tcPr>
            <w:tcW w:w="1247" w:type="dxa"/>
            <w:tcBorders>
              <w:top w:val="nil"/>
              <w:left w:val="nil"/>
              <w:bottom w:val="single" w:sz="8" w:space="0" w:color="auto"/>
              <w:right w:val="nil"/>
            </w:tcBorders>
            <w:shd w:val="clear" w:color="000000" w:fill="FFFFFF"/>
            <w:noWrap/>
            <w:vAlign w:val="center"/>
            <w:hideMark/>
          </w:tcPr>
          <w:p w14:paraId="56424ED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$9.08 </w:t>
            </w:r>
          </w:p>
        </w:tc>
        <w:tc>
          <w:tcPr>
            <w:tcW w:w="1248" w:type="dxa"/>
            <w:tcBorders>
              <w:top w:val="nil"/>
              <w:left w:val="nil"/>
              <w:bottom w:val="single" w:sz="8" w:space="0" w:color="auto"/>
              <w:right w:val="nil"/>
            </w:tcBorders>
            <w:shd w:val="clear" w:color="000000" w:fill="FFFFFF"/>
            <w:noWrap/>
            <w:vAlign w:val="center"/>
            <w:hideMark/>
          </w:tcPr>
          <w:p w14:paraId="48D6957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$9.38 </w:t>
            </w:r>
          </w:p>
        </w:tc>
        <w:tc>
          <w:tcPr>
            <w:tcW w:w="1247" w:type="dxa"/>
            <w:tcBorders>
              <w:top w:val="nil"/>
              <w:left w:val="nil"/>
              <w:bottom w:val="single" w:sz="8" w:space="0" w:color="auto"/>
              <w:right w:val="nil"/>
            </w:tcBorders>
            <w:shd w:val="clear" w:color="000000" w:fill="FFFFFF"/>
            <w:noWrap/>
            <w:vAlign w:val="center"/>
            <w:hideMark/>
          </w:tcPr>
          <w:p w14:paraId="6B310BD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$11.97 </w:t>
            </w:r>
          </w:p>
        </w:tc>
        <w:tc>
          <w:tcPr>
            <w:tcW w:w="1248" w:type="dxa"/>
            <w:tcBorders>
              <w:top w:val="nil"/>
              <w:left w:val="nil"/>
              <w:bottom w:val="single" w:sz="8" w:space="0" w:color="auto"/>
              <w:right w:val="nil"/>
            </w:tcBorders>
            <w:shd w:val="clear" w:color="000000" w:fill="FFFFFF"/>
            <w:noWrap/>
            <w:vAlign w:val="center"/>
            <w:hideMark/>
          </w:tcPr>
          <w:p w14:paraId="53A0ED0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$10.07 </w:t>
            </w:r>
          </w:p>
        </w:tc>
      </w:tr>
      <w:tr w:rsidR="00762C7B" w:rsidRPr="00762C7B" w14:paraId="47EC00D8"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2F675DC3"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Exit amounts deducted</w:t>
            </w:r>
          </w:p>
        </w:tc>
        <w:tc>
          <w:tcPr>
            <w:tcW w:w="1247" w:type="dxa"/>
            <w:tcBorders>
              <w:top w:val="nil"/>
              <w:left w:val="nil"/>
              <w:bottom w:val="single" w:sz="8" w:space="0" w:color="auto"/>
              <w:right w:val="nil"/>
            </w:tcBorders>
            <w:shd w:val="clear" w:color="000000" w:fill="FFFFFF"/>
            <w:noWrap/>
            <w:vAlign w:val="center"/>
            <w:hideMark/>
          </w:tcPr>
          <w:p w14:paraId="2B84C3DA"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$0.05 </w:t>
            </w:r>
          </w:p>
        </w:tc>
        <w:tc>
          <w:tcPr>
            <w:tcW w:w="1247" w:type="dxa"/>
            <w:tcBorders>
              <w:top w:val="nil"/>
              <w:left w:val="nil"/>
              <w:bottom w:val="single" w:sz="8" w:space="0" w:color="auto"/>
              <w:right w:val="nil"/>
            </w:tcBorders>
            <w:shd w:val="clear" w:color="000000" w:fill="FFFFFF"/>
            <w:noWrap/>
            <w:vAlign w:val="center"/>
            <w:hideMark/>
          </w:tcPr>
          <w:p w14:paraId="1F5A5D0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$0.02 </w:t>
            </w:r>
          </w:p>
        </w:tc>
        <w:tc>
          <w:tcPr>
            <w:tcW w:w="1248" w:type="dxa"/>
            <w:tcBorders>
              <w:top w:val="nil"/>
              <w:left w:val="nil"/>
              <w:bottom w:val="single" w:sz="8" w:space="0" w:color="auto"/>
              <w:right w:val="nil"/>
            </w:tcBorders>
            <w:shd w:val="clear" w:color="000000" w:fill="FFFFFF"/>
            <w:noWrap/>
            <w:vAlign w:val="center"/>
            <w:hideMark/>
          </w:tcPr>
          <w:p w14:paraId="68AEF542"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c>
          <w:tcPr>
            <w:tcW w:w="1247" w:type="dxa"/>
            <w:tcBorders>
              <w:top w:val="nil"/>
              <w:left w:val="nil"/>
              <w:bottom w:val="single" w:sz="8" w:space="0" w:color="auto"/>
              <w:right w:val="nil"/>
            </w:tcBorders>
            <w:shd w:val="clear" w:color="000000" w:fill="FFFFFF"/>
            <w:noWrap/>
            <w:vAlign w:val="center"/>
            <w:hideMark/>
          </w:tcPr>
          <w:p w14:paraId="1B03D58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c>
          <w:tcPr>
            <w:tcW w:w="1248" w:type="dxa"/>
            <w:tcBorders>
              <w:top w:val="nil"/>
              <w:left w:val="nil"/>
              <w:bottom w:val="single" w:sz="8" w:space="0" w:color="auto"/>
              <w:right w:val="nil"/>
            </w:tcBorders>
            <w:shd w:val="clear" w:color="000000" w:fill="FFFFFF"/>
            <w:noWrap/>
            <w:vAlign w:val="center"/>
            <w:hideMark/>
          </w:tcPr>
          <w:p w14:paraId="7D23226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$0.03 </w:t>
            </w:r>
          </w:p>
        </w:tc>
      </w:tr>
      <w:tr w:rsidR="00762C7B" w:rsidRPr="00762C7B" w14:paraId="62209CED"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3E92B1F"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COVID-19 funding</w:t>
            </w:r>
          </w:p>
        </w:tc>
        <w:tc>
          <w:tcPr>
            <w:tcW w:w="1247" w:type="dxa"/>
            <w:tcBorders>
              <w:top w:val="nil"/>
              <w:left w:val="nil"/>
              <w:bottom w:val="single" w:sz="8" w:space="0" w:color="auto"/>
              <w:right w:val="nil"/>
            </w:tcBorders>
            <w:shd w:val="clear" w:color="000000" w:fill="FFFFFF"/>
            <w:noWrap/>
            <w:vAlign w:val="center"/>
            <w:hideMark/>
          </w:tcPr>
          <w:p w14:paraId="6328172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$0.21 </w:t>
            </w:r>
          </w:p>
        </w:tc>
        <w:tc>
          <w:tcPr>
            <w:tcW w:w="1247" w:type="dxa"/>
            <w:tcBorders>
              <w:top w:val="nil"/>
              <w:left w:val="nil"/>
              <w:bottom w:val="single" w:sz="8" w:space="0" w:color="auto"/>
              <w:right w:val="nil"/>
            </w:tcBorders>
            <w:shd w:val="clear" w:color="000000" w:fill="FFFFFF"/>
            <w:noWrap/>
            <w:vAlign w:val="center"/>
            <w:hideMark/>
          </w:tcPr>
          <w:p w14:paraId="140C492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$0.06 </w:t>
            </w:r>
          </w:p>
        </w:tc>
        <w:tc>
          <w:tcPr>
            <w:tcW w:w="1248" w:type="dxa"/>
            <w:tcBorders>
              <w:top w:val="nil"/>
              <w:left w:val="nil"/>
              <w:bottom w:val="single" w:sz="8" w:space="0" w:color="auto"/>
              <w:right w:val="nil"/>
            </w:tcBorders>
            <w:shd w:val="clear" w:color="000000" w:fill="FFFFFF"/>
            <w:noWrap/>
            <w:vAlign w:val="center"/>
            <w:hideMark/>
          </w:tcPr>
          <w:p w14:paraId="365EE975"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$0.11 </w:t>
            </w:r>
          </w:p>
        </w:tc>
        <w:tc>
          <w:tcPr>
            <w:tcW w:w="1247" w:type="dxa"/>
            <w:tcBorders>
              <w:top w:val="nil"/>
              <w:left w:val="nil"/>
              <w:bottom w:val="single" w:sz="8" w:space="0" w:color="auto"/>
              <w:right w:val="nil"/>
            </w:tcBorders>
            <w:shd w:val="clear" w:color="000000" w:fill="FFFFFF"/>
            <w:noWrap/>
            <w:vAlign w:val="center"/>
            <w:hideMark/>
          </w:tcPr>
          <w:p w14:paraId="722EFF3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$0.04 </w:t>
            </w:r>
          </w:p>
        </w:tc>
        <w:tc>
          <w:tcPr>
            <w:tcW w:w="1248" w:type="dxa"/>
            <w:tcBorders>
              <w:top w:val="nil"/>
              <w:left w:val="nil"/>
              <w:bottom w:val="single" w:sz="8" w:space="0" w:color="auto"/>
              <w:right w:val="nil"/>
            </w:tcBorders>
            <w:shd w:val="clear" w:color="000000" w:fill="FFFFFF"/>
            <w:noWrap/>
            <w:vAlign w:val="center"/>
            <w:hideMark/>
          </w:tcPr>
          <w:p w14:paraId="10031A9C"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$0.09 </w:t>
            </w:r>
          </w:p>
        </w:tc>
      </w:tr>
      <w:tr w:rsidR="00762C7B" w:rsidRPr="00762C7B" w14:paraId="29E4AB0A"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18310A2A"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Other income</w:t>
            </w:r>
          </w:p>
        </w:tc>
        <w:tc>
          <w:tcPr>
            <w:tcW w:w="1247" w:type="dxa"/>
            <w:tcBorders>
              <w:top w:val="nil"/>
              <w:left w:val="nil"/>
              <w:bottom w:val="single" w:sz="8" w:space="0" w:color="auto"/>
              <w:right w:val="nil"/>
            </w:tcBorders>
            <w:shd w:val="clear" w:color="000000" w:fill="FFFFFF"/>
            <w:noWrap/>
            <w:vAlign w:val="center"/>
            <w:hideMark/>
          </w:tcPr>
          <w:p w14:paraId="2C5FAD7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$0.86 </w:t>
            </w:r>
          </w:p>
        </w:tc>
        <w:tc>
          <w:tcPr>
            <w:tcW w:w="1247" w:type="dxa"/>
            <w:tcBorders>
              <w:top w:val="nil"/>
              <w:left w:val="nil"/>
              <w:bottom w:val="single" w:sz="8" w:space="0" w:color="auto"/>
              <w:right w:val="nil"/>
            </w:tcBorders>
            <w:shd w:val="clear" w:color="000000" w:fill="FFFFFF"/>
            <w:noWrap/>
            <w:vAlign w:val="center"/>
            <w:hideMark/>
          </w:tcPr>
          <w:p w14:paraId="6D8EC7FB"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$2.13 </w:t>
            </w:r>
          </w:p>
        </w:tc>
        <w:tc>
          <w:tcPr>
            <w:tcW w:w="1248" w:type="dxa"/>
            <w:tcBorders>
              <w:top w:val="nil"/>
              <w:left w:val="nil"/>
              <w:bottom w:val="single" w:sz="8" w:space="0" w:color="auto"/>
              <w:right w:val="nil"/>
            </w:tcBorders>
            <w:shd w:val="clear" w:color="000000" w:fill="FFFFFF"/>
            <w:noWrap/>
            <w:vAlign w:val="center"/>
            <w:hideMark/>
          </w:tcPr>
          <w:p w14:paraId="199ADDE6"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$0.45 </w:t>
            </w:r>
          </w:p>
        </w:tc>
        <w:tc>
          <w:tcPr>
            <w:tcW w:w="1247" w:type="dxa"/>
            <w:tcBorders>
              <w:top w:val="nil"/>
              <w:left w:val="nil"/>
              <w:bottom w:val="single" w:sz="8" w:space="0" w:color="auto"/>
              <w:right w:val="nil"/>
            </w:tcBorders>
            <w:shd w:val="clear" w:color="000000" w:fill="FFFFFF"/>
            <w:noWrap/>
            <w:vAlign w:val="center"/>
            <w:hideMark/>
          </w:tcPr>
          <w:p w14:paraId="653F81D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$0.38 </w:t>
            </w:r>
          </w:p>
        </w:tc>
        <w:tc>
          <w:tcPr>
            <w:tcW w:w="1248" w:type="dxa"/>
            <w:tcBorders>
              <w:top w:val="nil"/>
              <w:left w:val="nil"/>
              <w:bottom w:val="single" w:sz="8" w:space="0" w:color="auto"/>
              <w:right w:val="nil"/>
            </w:tcBorders>
            <w:shd w:val="clear" w:color="000000" w:fill="FFFFFF"/>
            <w:noWrap/>
            <w:vAlign w:val="center"/>
            <w:hideMark/>
          </w:tcPr>
          <w:p w14:paraId="506410C8"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$0.91 </w:t>
            </w:r>
          </w:p>
        </w:tc>
      </w:tr>
      <w:tr w:rsidR="00762C7B" w:rsidRPr="00762C7B" w14:paraId="5B51B422"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4826511" w14:textId="77777777" w:rsidR="00762C7B" w:rsidRPr="00762C7B" w:rsidRDefault="00762C7B" w:rsidP="00762C7B">
            <w:pPr>
              <w:spacing w:before="0" w:after="0" w:line="240" w:lineRule="auto"/>
              <w:rPr>
                <w:rFonts w:cs="Arial"/>
                <w:bCs w:val="0"/>
                <w:color w:val="1E1545"/>
                <w:sz w:val="21"/>
                <w:szCs w:val="21"/>
                <w:lang w:eastAsia="en-AU"/>
              </w:rPr>
            </w:pPr>
            <w:r w:rsidRPr="00762C7B">
              <w:rPr>
                <w:rFonts w:cs="Arial"/>
                <w:bCs w:val="0"/>
                <w:color w:val="1E1545"/>
                <w:sz w:val="21"/>
                <w:szCs w:val="21"/>
                <w:lang w:eastAsia="en-AU"/>
              </w:rPr>
              <w:t>Total expenses</w:t>
            </w:r>
          </w:p>
        </w:tc>
        <w:tc>
          <w:tcPr>
            <w:tcW w:w="1247" w:type="dxa"/>
            <w:tcBorders>
              <w:top w:val="nil"/>
              <w:left w:val="nil"/>
              <w:bottom w:val="single" w:sz="8" w:space="0" w:color="auto"/>
              <w:right w:val="nil"/>
            </w:tcBorders>
            <w:shd w:val="clear" w:color="000000" w:fill="FFFFFF"/>
            <w:noWrap/>
            <w:vAlign w:val="center"/>
            <w:hideMark/>
          </w:tcPr>
          <w:p w14:paraId="596C0D1F"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$50.21 </w:t>
            </w:r>
          </w:p>
        </w:tc>
        <w:tc>
          <w:tcPr>
            <w:tcW w:w="1247" w:type="dxa"/>
            <w:tcBorders>
              <w:top w:val="nil"/>
              <w:left w:val="nil"/>
              <w:bottom w:val="single" w:sz="8" w:space="0" w:color="auto"/>
              <w:right w:val="nil"/>
            </w:tcBorders>
            <w:shd w:val="clear" w:color="000000" w:fill="FFFFFF"/>
            <w:noWrap/>
            <w:vAlign w:val="center"/>
            <w:hideMark/>
          </w:tcPr>
          <w:p w14:paraId="2140573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$65.42 </w:t>
            </w:r>
          </w:p>
        </w:tc>
        <w:tc>
          <w:tcPr>
            <w:tcW w:w="1248" w:type="dxa"/>
            <w:tcBorders>
              <w:top w:val="nil"/>
              <w:left w:val="nil"/>
              <w:bottom w:val="single" w:sz="8" w:space="0" w:color="auto"/>
              <w:right w:val="nil"/>
            </w:tcBorders>
            <w:shd w:val="clear" w:color="000000" w:fill="FFFFFF"/>
            <w:noWrap/>
            <w:vAlign w:val="center"/>
            <w:hideMark/>
          </w:tcPr>
          <w:p w14:paraId="3C5DF973"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$66.66 </w:t>
            </w:r>
          </w:p>
        </w:tc>
        <w:tc>
          <w:tcPr>
            <w:tcW w:w="1247" w:type="dxa"/>
            <w:tcBorders>
              <w:top w:val="nil"/>
              <w:left w:val="nil"/>
              <w:bottom w:val="single" w:sz="8" w:space="0" w:color="auto"/>
              <w:right w:val="nil"/>
            </w:tcBorders>
            <w:shd w:val="clear" w:color="000000" w:fill="FFFFFF"/>
            <w:noWrap/>
            <w:vAlign w:val="center"/>
            <w:hideMark/>
          </w:tcPr>
          <w:p w14:paraId="7C3773E9"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$63.91 </w:t>
            </w:r>
          </w:p>
        </w:tc>
        <w:tc>
          <w:tcPr>
            <w:tcW w:w="1248" w:type="dxa"/>
            <w:tcBorders>
              <w:top w:val="nil"/>
              <w:left w:val="nil"/>
              <w:bottom w:val="single" w:sz="8" w:space="0" w:color="auto"/>
              <w:right w:val="nil"/>
            </w:tcBorders>
            <w:shd w:val="clear" w:color="000000" w:fill="FFFFFF"/>
            <w:noWrap/>
            <w:vAlign w:val="center"/>
            <w:hideMark/>
          </w:tcPr>
          <w:p w14:paraId="7666A841" w14:textId="77777777" w:rsidR="00762C7B" w:rsidRPr="00762C7B" w:rsidRDefault="00762C7B" w:rsidP="00762C7B">
            <w:pPr>
              <w:spacing w:before="0" w:after="0" w:line="240" w:lineRule="auto"/>
              <w:jc w:val="right"/>
              <w:rPr>
                <w:rFonts w:cs="Arial"/>
                <w:bCs w:val="0"/>
                <w:color w:val="1E1545"/>
                <w:sz w:val="21"/>
                <w:szCs w:val="21"/>
                <w:lang w:eastAsia="en-AU"/>
              </w:rPr>
            </w:pPr>
            <w:r w:rsidRPr="00762C7B">
              <w:rPr>
                <w:rFonts w:cs="Arial"/>
                <w:bCs w:val="0"/>
                <w:color w:val="1E1545"/>
                <w:sz w:val="21"/>
                <w:szCs w:val="21"/>
                <w:lang w:eastAsia="en-AU"/>
              </w:rPr>
              <w:t xml:space="preserve">$63.38 </w:t>
            </w:r>
          </w:p>
        </w:tc>
      </w:tr>
      <w:tr w:rsidR="00762C7B" w:rsidRPr="00762C7B" w14:paraId="411E8D0E"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68785331" w14:textId="77777777" w:rsidR="00762C7B" w:rsidRPr="00762C7B" w:rsidRDefault="00762C7B" w:rsidP="00762C7B">
            <w:pPr>
              <w:spacing w:before="0" w:after="0" w:line="240" w:lineRule="auto"/>
              <w:rPr>
                <w:rFonts w:cs="Arial"/>
                <w:b/>
                <w:color w:val="1E1545"/>
                <w:sz w:val="21"/>
                <w:szCs w:val="21"/>
                <w:lang w:eastAsia="en-AU"/>
              </w:rPr>
            </w:pPr>
            <w:r w:rsidRPr="00762C7B">
              <w:rPr>
                <w:rFonts w:cs="Arial"/>
                <w:b/>
                <w:color w:val="1E1545"/>
                <w:sz w:val="21"/>
                <w:szCs w:val="21"/>
                <w:lang w:eastAsia="en-AU"/>
              </w:rPr>
              <w:t>Net profit before tax</w:t>
            </w:r>
          </w:p>
        </w:tc>
        <w:tc>
          <w:tcPr>
            <w:tcW w:w="1247" w:type="dxa"/>
            <w:tcBorders>
              <w:top w:val="nil"/>
              <w:left w:val="nil"/>
              <w:bottom w:val="single" w:sz="8" w:space="0" w:color="auto"/>
              <w:right w:val="nil"/>
            </w:tcBorders>
            <w:shd w:val="clear" w:color="000000" w:fill="D8DADA"/>
            <w:noWrap/>
            <w:vAlign w:val="center"/>
            <w:hideMark/>
          </w:tcPr>
          <w:p w14:paraId="6B1C6CA5"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$12.59 </w:t>
            </w:r>
          </w:p>
        </w:tc>
        <w:tc>
          <w:tcPr>
            <w:tcW w:w="1247" w:type="dxa"/>
            <w:tcBorders>
              <w:top w:val="nil"/>
              <w:left w:val="nil"/>
              <w:bottom w:val="single" w:sz="8" w:space="0" w:color="auto"/>
              <w:right w:val="nil"/>
            </w:tcBorders>
            <w:shd w:val="clear" w:color="000000" w:fill="D8DADA"/>
            <w:noWrap/>
            <w:vAlign w:val="center"/>
            <w:hideMark/>
          </w:tcPr>
          <w:p w14:paraId="3C80DAB8"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$5.31 </w:t>
            </w:r>
          </w:p>
        </w:tc>
        <w:tc>
          <w:tcPr>
            <w:tcW w:w="1248" w:type="dxa"/>
            <w:tcBorders>
              <w:top w:val="nil"/>
              <w:left w:val="nil"/>
              <w:bottom w:val="single" w:sz="8" w:space="0" w:color="auto"/>
              <w:right w:val="nil"/>
            </w:tcBorders>
            <w:shd w:val="clear" w:color="000000" w:fill="D8DADA"/>
            <w:noWrap/>
            <w:vAlign w:val="center"/>
            <w:hideMark/>
          </w:tcPr>
          <w:p w14:paraId="3653AA86"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$0.47 </w:t>
            </w:r>
          </w:p>
        </w:tc>
        <w:tc>
          <w:tcPr>
            <w:tcW w:w="1247" w:type="dxa"/>
            <w:tcBorders>
              <w:top w:val="nil"/>
              <w:left w:val="nil"/>
              <w:bottom w:val="single" w:sz="8" w:space="0" w:color="auto"/>
              <w:right w:val="nil"/>
            </w:tcBorders>
            <w:shd w:val="clear" w:color="000000" w:fill="D8DADA"/>
            <w:noWrap/>
            <w:vAlign w:val="center"/>
            <w:hideMark/>
          </w:tcPr>
          <w:p w14:paraId="42C19CD0"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($7.19)</w:t>
            </w:r>
          </w:p>
        </w:tc>
        <w:tc>
          <w:tcPr>
            <w:tcW w:w="1248" w:type="dxa"/>
            <w:tcBorders>
              <w:top w:val="nil"/>
              <w:left w:val="nil"/>
              <w:bottom w:val="single" w:sz="8" w:space="0" w:color="auto"/>
              <w:right w:val="nil"/>
            </w:tcBorders>
            <w:shd w:val="clear" w:color="000000" w:fill="D8DADA"/>
            <w:noWrap/>
            <w:vAlign w:val="center"/>
            <w:hideMark/>
          </w:tcPr>
          <w:p w14:paraId="18A9B201" w14:textId="77777777" w:rsidR="00762C7B" w:rsidRPr="00762C7B" w:rsidRDefault="00762C7B" w:rsidP="00762C7B">
            <w:pPr>
              <w:spacing w:before="0" w:after="0" w:line="240" w:lineRule="auto"/>
              <w:jc w:val="right"/>
              <w:rPr>
                <w:rFonts w:cs="Arial"/>
                <w:b/>
                <w:color w:val="1E1545"/>
                <w:sz w:val="21"/>
                <w:szCs w:val="21"/>
                <w:lang w:eastAsia="en-AU"/>
              </w:rPr>
            </w:pPr>
            <w:r w:rsidRPr="00762C7B">
              <w:rPr>
                <w:rFonts w:cs="Arial"/>
                <w:b/>
                <w:color w:val="1E1545"/>
                <w:sz w:val="21"/>
                <w:szCs w:val="21"/>
                <w:lang w:eastAsia="en-AU"/>
              </w:rPr>
              <w:t xml:space="preserve">$0.94 </w:t>
            </w:r>
          </w:p>
        </w:tc>
      </w:tr>
      <w:tr w:rsidR="00206307" w:rsidRPr="00206307" w14:paraId="7858B83C"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62F3DB23"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All providers</w:t>
            </w:r>
          </w:p>
        </w:tc>
        <w:tc>
          <w:tcPr>
            <w:tcW w:w="1247" w:type="dxa"/>
            <w:tcBorders>
              <w:top w:val="nil"/>
              <w:left w:val="nil"/>
              <w:bottom w:val="single" w:sz="8" w:space="0" w:color="auto"/>
              <w:right w:val="nil"/>
            </w:tcBorders>
            <w:shd w:val="clear" w:color="000000" w:fill="D8DADA"/>
            <w:noWrap/>
            <w:vAlign w:val="center"/>
            <w:hideMark/>
          </w:tcPr>
          <w:p w14:paraId="402AB08C"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40C3B4BD"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2EF9943F"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 </w:t>
            </w:r>
          </w:p>
        </w:tc>
        <w:tc>
          <w:tcPr>
            <w:tcW w:w="1247" w:type="dxa"/>
            <w:tcBorders>
              <w:top w:val="nil"/>
              <w:left w:val="nil"/>
              <w:bottom w:val="single" w:sz="8" w:space="0" w:color="auto"/>
              <w:right w:val="nil"/>
            </w:tcBorders>
            <w:shd w:val="clear" w:color="000000" w:fill="D8DADA"/>
            <w:noWrap/>
            <w:vAlign w:val="center"/>
            <w:hideMark/>
          </w:tcPr>
          <w:p w14:paraId="37B909B5"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 </w:t>
            </w:r>
          </w:p>
        </w:tc>
        <w:tc>
          <w:tcPr>
            <w:tcW w:w="1248" w:type="dxa"/>
            <w:tcBorders>
              <w:top w:val="nil"/>
              <w:left w:val="nil"/>
              <w:bottom w:val="single" w:sz="8" w:space="0" w:color="auto"/>
              <w:right w:val="nil"/>
            </w:tcBorders>
            <w:shd w:val="clear" w:color="000000" w:fill="D8DADA"/>
            <w:noWrap/>
            <w:vAlign w:val="center"/>
            <w:hideMark/>
          </w:tcPr>
          <w:p w14:paraId="50B62FE8"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 </w:t>
            </w:r>
          </w:p>
        </w:tc>
      </w:tr>
      <w:tr w:rsidR="00206307" w:rsidRPr="00206307" w14:paraId="4B83DC32"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7EA0D7A5"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Number of providers</w:t>
            </w:r>
          </w:p>
        </w:tc>
        <w:tc>
          <w:tcPr>
            <w:tcW w:w="1247" w:type="dxa"/>
            <w:tcBorders>
              <w:top w:val="nil"/>
              <w:left w:val="nil"/>
              <w:bottom w:val="single" w:sz="8" w:space="0" w:color="auto"/>
              <w:right w:val="nil"/>
            </w:tcBorders>
            <w:shd w:val="clear" w:color="000000" w:fill="FFFFFF"/>
            <w:noWrap/>
            <w:vAlign w:val="center"/>
            <w:hideMark/>
          </w:tcPr>
          <w:p w14:paraId="7B7DCCE6"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212</w:t>
            </w:r>
          </w:p>
        </w:tc>
        <w:tc>
          <w:tcPr>
            <w:tcW w:w="1247" w:type="dxa"/>
            <w:tcBorders>
              <w:top w:val="nil"/>
              <w:left w:val="nil"/>
              <w:bottom w:val="single" w:sz="8" w:space="0" w:color="auto"/>
              <w:right w:val="nil"/>
            </w:tcBorders>
            <w:shd w:val="clear" w:color="000000" w:fill="FFFFFF"/>
            <w:noWrap/>
            <w:vAlign w:val="center"/>
            <w:hideMark/>
          </w:tcPr>
          <w:p w14:paraId="242A8C6B"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211</w:t>
            </w:r>
          </w:p>
        </w:tc>
        <w:tc>
          <w:tcPr>
            <w:tcW w:w="1248" w:type="dxa"/>
            <w:tcBorders>
              <w:top w:val="nil"/>
              <w:left w:val="nil"/>
              <w:bottom w:val="single" w:sz="8" w:space="0" w:color="auto"/>
              <w:right w:val="nil"/>
            </w:tcBorders>
            <w:shd w:val="clear" w:color="000000" w:fill="FFFFFF"/>
            <w:noWrap/>
            <w:vAlign w:val="center"/>
            <w:hideMark/>
          </w:tcPr>
          <w:p w14:paraId="0F5997E7"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211</w:t>
            </w:r>
          </w:p>
        </w:tc>
        <w:tc>
          <w:tcPr>
            <w:tcW w:w="1247" w:type="dxa"/>
            <w:tcBorders>
              <w:top w:val="nil"/>
              <w:left w:val="nil"/>
              <w:bottom w:val="single" w:sz="8" w:space="0" w:color="auto"/>
              <w:right w:val="nil"/>
            </w:tcBorders>
            <w:shd w:val="clear" w:color="000000" w:fill="FFFFFF"/>
            <w:noWrap/>
            <w:vAlign w:val="center"/>
            <w:hideMark/>
          </w:tcPr>
          <w:p w14:paraId="7B2520C7"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212</w:t>
            </w:r>
          </w:p>
        </w:tc>
        <w:tc>
          <w:tcPr>
            <w:tcW w:w="1248" w:type="dxa"/>
            <w:tcBorders>
              <w:top w:val="nil"/>
              <w:left w:val="nil"/>
              <w:bottom w:val="single" w:sz="8" w:space="0" w:color="auto"/>
              <w:right w:val="nil"/>
            </w:tcBorders>
            <w:shd w:val="clear" w:color="000000" w:fill="FFFFFF"/>
            <w:noWrap/>
            <w:vAlign w:val="center"/>
            <w:hideMark/>
          </w:tcPr>
          <w:p w14:paraId="5A676468"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846</w:t>
            </w:r>
          </w:p>
        </w:tc>
      </w:tr>
      <w:tr w:rsidR="00206307" w:rsidRPr="00206307" w14:paraId="27B898F8"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1CA35204"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Provision of care / direct care services</w:t>
            </w:r>
          </w:p>
        </w:tc>
        <w:tc>
          <w:tcPr>
            <w:tcW w:w="1247" w:type="dxa"/>
            <w:tcBorders>
              <w:top w:val="nil"/>
              <w:left w:val="nil"/>
              <w:bottom w:val="single" w:sz="8" w:space="0" w:color="auto"/>
              <w:right w:val="nil"/>
            </w:tcBorders>
            <w:shd w:val="clear" w:color="000000" w:fill="FFFFFF"/>
            <w:noWrap/>
            <w:vAlign w:val="center"/>
            <w:hideMark/>
          </w:tcPr>
          <w:p w14:paraId="408E33DA"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$40.42 </w:t>
            </w:r>
          </w:p>
        </w:tc>
        <w:tc>
          <w:tcPr>
            <w:tcW w:w="1247" w:type="dxa"/>
            <w:tcBorders>
              <w:top w:val="nil"/>
              <w:left w:val="nil"/>
              <w:bottom w:val="single" w:sz="8" w:space="0" w:color="auto"/>
              <w:right w:val="nil"/>
            </w:tcBorders>
            <w:shd w:val="clear" w:color="000000" w:fill="FFFFFF"/>
            <w:noWrap/>
            <w:vAlign w:val="center"/>
            <w:hideMark/>
          </w:tcPr>
          <w:p w14:paraId="2A680837"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$27.51 </w:t>
            </w:r>
          </w:p>
        </w:tc>
        <w:tc>
          <w:tcPr>
            <w:tcW w:w="1248" w:type="dxa"/>
            <w:tcBorders>
              <w:top w:val="nil"/>
              <w:left w:val="nil"/>
              <w:bottom w:val="single" w:sz="8" w:space="0" w:color="auto"/>
              <w:right w:val="nil"/>
            </w:tcBorders>
            <w:shd w:val="clear" w:color="000000" w:fill="FFFFFF"/>
            <w:noWrap/>
            <w:vAlign w:val="center"/>
            <w:hideMark/>
          </w:tcPr>
          <w:p w14:paraId="740FED89"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$23.41 </w:t>
            </w:r>
          </w:p>
        </w:tc>
        <w:tc>
          <w:tcPr>
            <w:tcW w:w="1247" w:type="dxa"/>
            <w:tcBorders>
              <w:top w:val="nil"/>
              <w:left w:val="nil"/>
              <w:bottom w:val="single" w:sz="8" w:space="0" w:color="auto"/>
              <w:right w:val="nil"/>
            </w:tcBorders>
            <w:shd w:val="clear" w:color="000000" w:fill="FFFFFF"/>
            <w:noWrap/>
            <w:vAlign w:val="center"/>
            <w:hideMark/>
          </w:tcPr>
          <w:p w14:paraId="22188C85"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$29.67 </w:t>
            </w:r>
          </w:p>
        </w:tc>
        <w:tc>
          <w:tcPr>
            <w:tcW w:w="1248" w:type="dxa"/>
            <w:tcBorders>
              <w:top w:val="nil"/>
              <w:left w:val="nil"/>
              <w:bottom w:val="single" w:sz="8" w:space="0" w:color="auto"/>
              <w:right w:val="nil"/>
            </w:tcBorders>
            <w:shd w:val="clear" w:color="000000" w:fill="FFFFFF"/>
            <w:noWrap/>
            <w:vAlign w:val="center"/>
            <w:hideMark/>
          </w:tcPr>
          <w:p w14:paraId="22D38596"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$28.72 </w:t>
            </w:r>
          </w:p>
        </w:tc>
      </w:tr>
      <w:tr w:rsidR="00206307" w:rsidRPr="00206307" w14:paraId="5A0D57D9"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6FD134E3"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Provision of care / sub-contracted services</w:t>
            </w:r>
          </w:p>
        </w:tc>
        <w:tc>
          <w:tcPr>
            <w:tcW w:w="1247" w:type="dxa"/>
            <w:tcBorders>
              <w:top w:val="nil"/>
              <w:left w:val="nil"/>
              <w:bottom w:val="single" w:sz="8" w:space="0" w:color="auto"/>
              <w:right w:val="nil"/>
            </w:tcBorders>
            <w:shd w:val="clear" w:color="000000" w:fill="FFFFFF"/>
            <w:noWrap/>
            <w:vAlign w:val="center"/>
            <w:hideMark/>
          </w:tcPr>
          <w:p w14:paraId="47E6DDA7"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$14.94 </w:t>
            </w:r>
          </w:p>
        </w:tc>
        <w:tc>
          <w:tcPr>
            <w:tcW w:w="1247" w:type="dxa"/>
            <w:tcBorders>
              <w:top w:val="nil"/>
              <w:left w:val="nil"/>
              <w:bottom w:val="single" w:sz="8" w:space="0" w:color="auto"/>
              <w:right w:val="nil"/>
            </w:tcBorders>
            <w:shd w:val="clear" w:color="000000" w:fill="FFFFFF"/>
            <w:noWrap/>
            <w:vAlign w:val="center"/>
            <w:hideMark/>
          </w:tcPr>
          <w:p w14:paraId="7ED22CCD"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$12.83 </w:t>
            </w:r>
          </w:p>
        </w:tc>
        <w:tc>
          <w:tcPr>
            <w:tcW w:w="1248" w:type="dxa"/>
            <w:tcBorders>
              <w:top w:val="nil"/>
              <w:left w:val="nil"/>
              <w:bottom w:val="single" w:sz="8" w:space="0" w:color="auto"/>
              <w:right w:val="nil"/>
            </w:tcBorders>
            <w:shd w:val="clear" w:color="000000" w:fill="FFFFFF"/>
            <w:noWrap/>
            <w:vAlign w:val="center"/>
            <w:hideMark/>
          </w:tcPr>
          <w:p w14:paraId="600DAC35"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$21.48 </w:t>
            </w:r>
          </w:p>
        </w:tc>
        <w:tc>
          <w:tcPr>
            <w:tcW w:w="1247" w:type="dxa"/>
            <w:tcBorders>
              <w:top w:val="nil"/>
              <w:left w:val="nil"/>
              <w:bottom w:val="single" w:sz="8" w:space="0" w:color="auto"/>
              <w:right w:val="nil"/>
            </w:tcBorders>
            <w:shd w:val="clear" w:color="000000" w:fill="FFFFFF"/>
            <w:noWrap/>
            <w:vAlign w:val="center"/>
            <w:hideMark/>
          </w:tcPr>
          <w:p w14:paraId="07945149"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$15.80 </w:t>
            </w:r>
          </w:p>
        </w:tc>
        <w:tc>
          <w:tcPr>
            <w:tcW w:w="1248" w:type="dxa"/>
            <w:tcBorders>
              <w:top w:val="nil"/>
              <w:left w:val="nil"/>
              <w:bottom w:val="single" w:sz="8" w:space="0" w:color="auto"/>
              <w:right w:val="nil"/>
            </w:tcBorders>
            <w:shd w:val="clear" w:color="000000" w:fill="FFFFFF"/>
            <w:noWrap/>
            <w:vAlign w:val="center"/>
            <w:hideMark/>
          </w:tcPr>
          <w:p w14:paraId="5FFF23CD"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$15.88 </w:t>
            </w:r>
          </w:p>
        </w:tc>
      </w:tr>
      <w:tr w:rsidR="00206307" w:rsidRPr="00206307" w14:paraId="3087EC20"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4CEFFAA5"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Client/case management fees charged</w:t>
            </w:r>
          </w:p>
        </w:tc>
        <w:tc>
          <w:tcPr>
            <w:tcW w:w="1247" w:type="dxa"/>
            <w:tcBorders>
              <w:top w:val="nil"/>
              <w:left w:val="nil"/>
              <w:bottom w:val="single" w:sz="8" w:space="0" w:color="auto"/>
              <w:right w:val="nil"/>
            </w:tcBorders>
            <w:shd w:val="clear" w:color="000000" w:fill="FFFFFF"/>
            <w:noWrap/>
            <w:vAlign w:val="center"/>
            <w:hideMark/>
          </w:tcPr>
          <w:p w14:paraId="2D6F6B7A"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$11.98 </w:t>
            </w:r>
          </w:p>
        </w:tc>
        <w:tc>
          <w:tcPr>
            <w:tcW w:w="1247" w:type="dxa"/>
            <w:tcBorders>
              <w:top w:val="nil"/>
              <w:left w:val="nil"/>
              <w:bottom w:val="single" w:sz="8" w:space="0" w:color="auto"/>
              <w:right w:val="nil"/>
            </w:tcBorders>
            <w:shd w:val="clear" w:color="000000" w:fill="FFFFFF"/>
            <w:noWrap/>
            <w:vAlign w:val="center"/>
            <w:hideMark/>
          </w:tcPr>
          <w:p w14:paraId="267AF180"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$10.70 </w:t>
            </w:r>
          </w:p>
        </w:tc>
        <w:tc>
          <w:tcPr>
            <w:tcW w:w="1248" w:type="dxa"/>
            <w:tcBorders>
              <w:top w:val="nil"/>
              <w:left w:val="nil"/>
              <w:bottom w:val="single" w:sz="8" w:space="0" w:color="auto"/>
              <w:right w:val="nil"/>
            </w:tcBorders>
            <w:shd w:val="clear" w:color="000000" w:fill="FFFFFF"/>
            <w:noWrap/>
            <w:vAlign w:val="center"/>
            <w:hideMark/>
          </w:tcPr>
          <w:p w14:paraId="558F8E98"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$11.70 </w:t>
            </w:r>
          </w:p>
        </w:tc>
        <w:tc>
          <w:tcPr>
            <w:tcW w:w="1247" w:type="dxa"/>
            <w:tcBorders>
              <w:top w:val="nil"/>
              <w:left w:val="nil"/>
              <w:bottom w:val="single" w:sz="8" w:space="0" w:color="auto"/>
              <w:right w:val="nil"/>
            </w:tcBorders>
            <w:shd w:val="clear" w:color="000000" w:fill="FFFFFF"/>
            <w:noWrap/>
            <w:vAlign w:val="center"/>
            <w:hideMark/>
          </w:tcPr>
          <w:p w14:paraId="7F5E47EA"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$11.94 </w:t>
            </w:r>
          </w:p>
        </w:tc>
        <w:tc>
          <w:tcPr>
            <w:tcW w:w="1248" w:type="dxa"/>
            <w:tcBorders>
              <w:top w:val="nil"/>
              <w:left w:val="nil"/>
              <w:bottom w:val="single" w:sz="8" w:space="0" w:color="auto"/>
              <w:right w:val="nil"/>
            </w:tcBorders>
            <w:shd w:val="clear" w:color="000000" w:fill="FFFFFF"/>
            <w:noWrap/>
            <w:vAlign w:val="center"/>
            <w:hideMark/>
          </w:tcPr>
          <w:p w14:paraId="5EF9CF05"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$11.38 </w:t>
            </w:r>
          </w:p>
        </w:tc>
      </w:tr>
      <w:tr w:rsidR="00206307" w:rsidRPr="00206307" w14:paraId="1EF942A2"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697A6462"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Admin and management of packages</w:t>
            </w:r>
          </w:p>
        </w:tc>
        <w:tc>
          <w:tcPr>
            <w:tcW w:w="1247" w:type="dxa"/>
            <w:tcBorders>
              <w:top w:val="nil"/>
              <w:left w:val="nil"/>
              <w:bottom w:val="single" w:sz="8" w:space="0" w:color="auto"/>
              <w:right w:val="nil"/>
            </w:tcBorders>
            <w:shd w:val="clear" w:color="000000" w:fill="FFFFFF"/>
            <w:noWrap/>
            <w:vAlign w:val="center"/>
            <w:hideMark/>
          </w:tcPr>
          <w:p w14:paraId="1769FEDD"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$8.40 </w:t>
            </w:r>
          </w:p>
        </w:tc>
        <w:tc>
          <w:tcPr>
            <w:tcW w:w="1247" w:type="dxa"/>
            <w:tcBorders>
              <w:top w:val="nil"/>
              <w:left w:val="nil"/>
              <w:bottom w:val="single" w:sz="8" w:space="0" w:color="auto"/>
              <w:right w:val="nil"/>
            </w:tcBorders>
            <w:shd w:val="clear" w:color="000000" w:fill="FFFFFF"/>
            <w:noWrap/>
            <w:vAlign w:val="center"/>
            <w:hideMark/>
          </w:tcPr>
          <w:p w14:paraId="5863100B"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$7.90 </w:t>
            </w:r>
          </w:p>
        </w:tc>
        <w:tc>
          <w:tcPr>
            <w:tcW w:w="1248" w:type="dxa"/>
            <w:tcBorders>
              <w:top w:val="nil"/>
              <w:left w:val="nil"/>
              <w:bottom w:val="single" w:sz="8" w:space="0" w:color="auto"/>
              <w:right w:val="nil"/>
            </w:tcBorders>
            <w:shd w:val="clear" w:color="000000" w:fill="FFFFFF"/>
            <w:noWrap/>
            <w:vAlign w:val="center"/>
            <w:hideMark/>
          </w:tcPr>
          <w:p w14:paraId="6B6B52D4"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$8.16 </w:t>
            </w:r>
          </w:p>
        </w:tc>
        <w:tc>
          <w:tcPr>
            <w:tcW w:w="1247" w:type="dxa"/>
            <w:tcBorders>
              <w:top w:val="nil"/>
              <w:left w:val="nil"/>
              <w:bottom w:val="single" w:sz="8" w:space="0" w:color="auto"/>
              <w:right w:val="nil"/>
            </w:tcBorders>
            <w:shd w:val="clear" w:color="000000" w:fill="FFFFFF"/>
            <w:noWrap/>
            <w:vAlign w:val="center"/>
            <w:hideMark/>
          </w:tcPr>
          <w:p w14:paraId="0F55913F"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$7.14 </w:t>
            </w:r>
          </w:p>
        </w:tc>
        <w:tc>
          <w:tcPr>
            <w:tcW w:w="1248" w:type="dxa"/>
            <w:tcBorders>
              <w:top w:val="nil"/>
              <w:left w:val="nil"/>
              <w:bottom w:val="single" w:sz="8" w:space="0" w:color="auto"/>
              <w:right w:val="nil"/>
            </w:tcBorders>
            <w:shd w:val="clear" w:color="000000" w:fill="FFFFFF"/>
            <w:noWrap/>
            <w:vAlign w:val="center"/>
            <w:hideMark/>
          </w:tcPr>
          <w:p w14:paraId="60B1C5AC"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$7.87 </w:t>
            </w:r>
          </w:p>
        </w:tc>
      </w:tr>
      <w:tr w:rsidR="00206307" w:rsidRPr="00206307" w14:paraId="7A3EDF73"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5B7E10F3"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Exit amounts deducted</w:t>
            </w:r>
          </w:p>
        </w:tc>
        <w:tc>
          <w:tcPr>
            <w:tcW w:w="1247" w:type="dxa"/>
            <w:tcBorders>
              <w:top w:val="nil"/>
              <w:left w:val="nil"/>
              <w:bottom w:val="single" w:sz="8" w:space="0" w:color="auto"/>
              <w:right w:val="nil"/>
            </w:tcBorders>
            <w:shd w:val="clear" w:color="000000" w:fill="FFFFFF"/>
            <w:noWrap/>
            <w:vAlign w:val="center"/>
            <w:hideMark/>
          </w:tcPr>
          <w:p w14:paraId="0E5D1ACA"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$0.03 </w:t>
            </w:r>
          </w:p>
        </w:tc>
        <w:tc>
          <w:tcPr>
            <w:tcW w:w="1247" w:type="dxa"/>
            <w:tcBorders>
              <w:top w:val="nil"/>
              <w:left w:val="nil"/>
              <w:bottom w:val="single" w:sz="8" w:space="0" w:color="auto"/>
              <w:right w:val="nil"/>
            </w:tcBorders>
            <w:shd w:val="clear" w:color="000000" w:fill="FFFFFF"/>
            <w:noWrap/>
            <w:vAlign w:val="center"/>
            <w:hideMark/>
          </w:tcPr>
          <w:p w14:paraId="24D96910"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$0.01 </w:t>
            </w:r>
          </w:p>
        </w:tc>
        <w:tc>
          <w:tcPr>
            <w:tcW w:w="1248" w:type="dxa"/>
            <w:tcBorders>
              <w:top w:val="nil"/>
              <w:left w:val="nil"/>
              <w:bottom w:val="single" w:sz="8" w:space="0" w:color="auto"/>
              <w:right w:val="nil"/>
            </w:tcBorders>
            <w:shd w:val="clear" w:color="000000" w:fill="FFFFFF"/>
            <w:noWrap/>
            <w:vAlign w:val="center"/>
            <w:hideMark/>
          </w:tcPr>
          <w:p w14:paraId="43A04EB3"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$0.06 </w:t>
            </w:r>
          </w:p>
        </w:tc>
        <w:tc>
          <w:tcPr>
            <w:tcW w:w="1247" w:type="dxa"/>
            <w:tcBorders>
              <w:top w:val="nil"/>
              <w:left w:val="nil"/>
              <w:bottom w:val="single" w:sz="8" w:space="0" w:color="auto"/>
              <w:right w:val="nil"/>
            </w:tcBorders>
            <w:shd w:val="clear" w:color="000000" w:fill="FFFFFF"/>
            <w:noWrap/>
            <w:vAlign w:val="center"/>
            <w:hideMark/>
          </w:tcPr>
          <w:p w14:paraId="77F7F23B"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$0.01 </w:t>
            </w:r>
          </w:p>
        </w:tc>
        <w:tc>
          <w:tcPr>
            <w:tcW w:w="1248" w:type="dxa"/>
            <w:tcBorders>
              <w:top w:val="nil"/>
              <w:left w:val="nil"/>
              <w:bottom w:val="single" w:sz="8" w:space="0" w:color="auto"/>
              <w:right w:val="nil"/>
            </w:tcBorders>
            <w:shd w:val="clear" w:color="000000" w:fill="FFFFFF"/>
            <w:noWrap/>
            <w:vAlign w:val="center"/>
            <w:hideMark/>
          </w:tcPr>
          <w:p w14:paraId="7E14AD07"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$0.03 </w:t>
            </w:r>
          </w:p>
        </w:tc>
      </w:tr>
      <w:tr w:rsidR="00206307" w:rsidRPr="00206307" w14:paraId="62D54AFA"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590F2CFF"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COVID-19 funding</w:t>
            </w:r>
          </w:p>
        </w:tc>
        <w:tc>
          <w:tcPr>
            <w:tcW w:w="1247" w:type="dxa"/>
            <w:tcBorders>
              <w:top w:val="nil"/>
              <w:left w:val="nil"/>
              <w:bottom w:val="single" w:sz="8" w:space="0" w:color="auto"/>
              <w:right w:val="nil"/>
            </w:tcBorders>
            <w:shd w:val="clear" w:color="000000" w:fill="FFFFFF"/>
            <w:noWrap/>
            <w:vAlign w:val="center"/>
            <w:hideMark/>
          </w:tcPr>
          <w:p w14:paraId="363E13F8"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$0.05 </w:t>
            </w:r>
          </w:p>
        </w:tc>
        <w:tc>
          <w:tcPr>
            <w:tcW w:w="1247" w:type="dxa"/>
            <w:tcBorders>
              <w:top w:val="nil"/>
              <w:left w:val="nil"/>
              <w:bottom w:val="single" w:sz="8" w:space="0" w:color="auto"/>
              <w:right w:val="nil"/>
            </w:tcBorders>
            <w:shd w:val="clear" w:color="000000" w:fill="FFFFFF"/>
            <w:noWrap/>
            <w:vAlign w:val="center"/>
            <w:hideMark/>
          </w:tcPr>
          <w:p w14:paraId="0690E910"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$0.04 </w:t>
            </w:r>
          </w:p>
        </w:tc>
        <w:tc>
          <w:tcPr>
            <w:tcW w:w="1248" w:type="dxa"/>
            <w:tcBorders>
              <w:top w:val="nil"/>
              <w:left w:val="nil"/>
              <w:bottom w:val="single" w:sz="8" w:space="0" w:color="auto"/>
              <w:right w:val="nil"/>
            </w:tcBorders>
            <w:shd w:val="clear" w:color="000000" w:fill="FFFFFF"/>
            <w:noWrap/>
            <w:vAlign w:val="center"/>
            <w:hideMark/>
          </w:tcPr>
          <w:p w14:paraId="0049C7BC"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$0.04 </w:t>
            </w:r>
          </w:p>
        </w:tc>
        <w:tc>
          <w:tcPr>
            <w:tcW w:w="1247" w:type="dxa"/>
            <w:tcBorders>
              <w:top w:val="nil"/>
              <w:left w:val="nil"/>
              <w:bottom w:val="single" w:sz="8" w:space="0" w:color="auto"/>
              <w:right w:val="nil"/>
            </w:tcBorders>
            <w:shd w:val="clear" w:color="000000" w:fill="FFFFFF"/>
            <w:noWrap/>
            <w:vAlign w:val="center"/>
            <w:hideMark/>
          </w:tcPr>
          <w:p w14:paraId="29801E43"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$0.04 </w:t>
            </w:r>
          </w:p>
        </w:tc>
        <w:tc>
          <w:tcPr>
            <w:tcW w:w="1248" w:type="dxa"/>
            <w:tcBorders>
              <w:top w:val="nil"/>
              <w:left w:val="nil"/>
              <w:bottom w:val="single" w:sz="8" w:space="0" w:color="auto"/>
              <w:right w:val="nil"/>
            </w:tcBorders>
            <w:shd w:val="clear" w:color="000000" w:fill="FFFFFF"/>
            <w:noWrap/>
            <w:vAlign w:val="center"/>
            <w:hideMark/>
          </w:tcPr>
          <w:p w14:paraId="3315B534"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$0.04 </w:t>
            </w:r>
          </w:p>
        </w:tc>
      </w:tr>
      <w:tr w:rsidR="00206307" w:rsidRPr="00206307" w14:paraId="5006E8FA" w14:textId="77777777" w:rsidTr="008D2B97">
        <w:trPr>
          <w:trHeight w:val="315"/>
        </w:trPr>
        <w:tc>
          <w:tcPr>
            <w:tcW w:w="2977" w:type="dxa"/>
            <w:tcBorders>
              <w:top w:val="nil"/>
              <w:left w:val="nil"/>
              <w:bottom w:val="single" w:sz="8" w:space="0" w:color="auto"/>
              <w:right w:val="nil"/>
            </w:tcBorders>
            <w:shd w:val="clear" w:color="auto" w:fill="auto"/>
            <w:vAlign w:val="center"/>
            <w:hideMark/>
          </w:tcPr>
          <w:p w14:paraId="2BAA56C7" w14:textId="77777777" w:rsidR="00206307" w:rsidRPr="00206307" w:rsidRDefault="00206307" w:rsidP="00206307">
            <w:pPr>
              <w:spacing w:before="0" w:after="0" w:line="240" w:lineRule="auto"/>
              <w:rPr>
                <w:rFonts w:cs="Arial"/>
                <w:bCs w:val="0"/>
                <w:color w:val="1E1545"/>
                <w:sz w:val="21"/>
                <w:szCs w:val="21"/>
                <w:lang w:eastAsia="en-AU"/>
              </w:rPr>
            </w:pPr>
            <w:r w:rsidRPr="00206307">
              <w:rPr>
                <w:rFonts w:cs="Arial"/>
                <w:bCs w:val="0"/>
                <w:color w:val="1E1545"/>
                <w:sz w:val="21"/>
                <w:szCs w:val="21"/>
                <w:lang w:eastAsia="en-AU"/>
              </w:rPr>
              <w:t>Other income</w:t>
            </w:r>
          </w:p>
        </w:tc>
        <w:tc>
          <w:tcPr>
            <w:tcW w:w="1247" w:type="dxa"/>
            <w:tcBorders>
              <w:top w:val="nil"/>
              <w:left w:val="nil"/>
              <w:bottom w:val="single" w:sz="8" w:space="0" w:color="auto"/>
              <w:right w:val="nil"/>
            </w:tcBorders>
            <w:shd w:val="clear" w:color="000000" w:fill="FFFFFF"/>
            <w:noWrap/>
            <w:vAlign w:val="center"/>
            <w:hideMark/>
          </w:tcPr>
          <w:p w14:paraId="40CFD0BB"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$2.90 </w:t>
            </w:r>
          </w:p>
        </w:tc>
        <w:tc>
          <w:tcPr>
            <w:tcW w:w="1247" w:type="dxa"/>
            <w:tcBorders>
              <w:top w:val="nil"/>
              <w:left w:val="nil"/>
              <w:bottom w:val="single" w:sz="8" w:space="0" w:color="auto"/>
              <w:right w:val="nil"/>
            </w:tcBorders>
            <w:shd w:val="clear" w:color="000000" w:fill="FFFFFF"/>
            <w:noWrap/>
            <w:vAlign w:val="center"/>
            <w:hideMark/>
          </w:tcPr>
          <w:p w14:paraId="7F8777DC"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$6.65 </w:t>
            </w:r>
          </w:p>
        </w:tc>
        <w:tc>
          <w:tcPr>
            <w:tcW w:w="1248" w:type="dxa"/>
            <w:tcBorders>
              <w:top w:val="nil"/>
              <w:left w:val="nil"/>
              <w:bottom w:val="single" w:sz="8" w:space="0" w:color="auto"/>
              <w:right w:val="nil"/>
            </w:tcBorders>
            <w:shd w:val="clear" w:color="000000" w:fill="FFFFFF"/>
            <w:noWrap/>
            <w:vAlign w:val="center"/>
            <w:hideMark/>
          </w:tcPr>
          <w:p w14:paraId="0B0E42A3"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$1.66 </w:t>
            </w:r>
          </w:p>
        </w:tc>
        <w:tc>
          <w:tcPr>
            <w:tcW w:w="1247" w:type="dxa"/>
            <w:tcBorders>
              <w:top w:val="nil"/>
              <w:left w:val="nil"/>
              <w:bottom w:val="single" w:sz="8" w:space="0" w:color="auto"/>
              <w:right w:val="nil"/>
            </w:tcBorders>
            <w:shd w:val="clear" w:color="000000" w:fill="FFFFFF"/>
            <w:noWrap/>
            <w:vAlign w:val="center"/>
            <w:hideMark/>
          </w:tcPr>
          <w:p w14:paraId="3D1F29AD"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$1.14 </w:t>
            </w:r>
          </w:p>
        </w:tc>
        <w:tc>
          <w:tcPr>
            <w:tcW w:w="1248" w:type="dxa"/>
            <w:tcBorders>
              <w:top w:val="nil"/>
              <w:left w:val="nil"/>
              <w:bottom w:val="single" w:sz="8" w:space="0" w:color="auto"/>
              <w:right w:val="nil"/>
            </w:tcBorders>
            <w:shd w:val="clear" w:color="000000" w:fill="FFFFFF"/>
            <w:noWrap/>
            <w:vAlign w:val="center"/>
            <w:hideMark/>
          </w:tcPr>
          <w:p w14:paraId="6F8EB01B" w14:textId="77777777" w:rsidR="00206307" w:rsidRPr="00206307" w:rsidRDefault="00206307" w:rsidP="00206307">
            <w:pPr>
              <w:spacing w:before="0" w:after="0" w:line="240" w:lineRule="auto"/>
              <w:jc w:val="right"/>
              <w:rPr>
                <w:rFonts w:cs="Arial"/>
                <w:bCs w:val="0"/>
                <w:color w:val="1E1545"/>
                <w:sz w:val="21"/>
                <w:szCs w:val="21"/>
                <w:lang w:eastAsia="en-AU"/>
              </w:rPr>
            </w:pPr>
            <w:r w:rsidRPr="00206307">
              <w:rPr>
                <w:rFonts w:cs="Arial"/>
                <w:bCs w:val="0"/>
                <w:color w:val="1E1545"/>
                <w:sz w:val="21"/>
                <w:szCs w:val="21"/>
                <w:lang w:eastAsia="en-AU"/>
              </w:rPr>
              <w:t xml:space="preserve">$3.73 </w:t>
            </w:r>
          </w:p>
        </w:tc>
      </w:tr>
      <w:tr w:rsidR="00206307" w:rsidRPr="00206307" w14:paraId="13A10449" w14:textId="77777777" w:rsidTr="008D2B97">
        <w:trPr>
          <w:trHeight w:val="315"/>
        </w:trPr>
        <w:tc>
          <w:tcPr>
            <w:tcW w:w="2977" w:type="dxa"/>
            <w:tcBorders>
              <w:top w:val="nil"/>
              <w:left w:val="nil"/>
              <w:bottom w:val="single" w:sz="8" w:space="0" w:color="auto"/>
              <w:right w:val="nil"/>
            </w:tcBorders>
            <w:shd w:val="clear" w:color="000000" w:fill="D8DADA"/>
            <w:vAlign w:val="center"/>
            <w:hideMark/>
          </w:tcPr>
          <w:p w14:paraId="3424B1B0"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Total expenses</w:t>
            </w:r>
          </w:p>
        </w:tc>
        <w:tc>
          <w:tcPr>
            <w:tcW w:w="1247" w:type="dxa"/>
            <w:tcBorders>
              <w:top w:val="nil"/>
              <w:left w:val="nil"/>
              <w:bottom w:val="single" w:sz="8" w:space="0" w:color="auto"/>
              <w:right w:val="nil"/>
            </w:tcBorders>
            <w:shd w:val="clear" w:color="000000" w:fill="D8DADA"/>
            <w:noWrap/>
            <w:vAlign w:val="center"/>
            <w:hideMark/>
          </w:tcPr>
          <w:p w14:paraId="7EC171DE"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$64.03 </w:t>
            </w:r>
          </w:p>
        </w:tc>
        <w:tc>
          <w:tcPr>
            <w:tcW w:w="1247" w:type="dxa"/>
            <w:tcBorders>
              <w:top w:val="nil"/>
              <w:left w:val="nil"/>
              <w:bottom w:val="single" w:sz="8" w:space="0" w:color="auto"/>
              <w:right w:val="nil"/>
            </w:tcBorders>
            <w:shd w:val="clear" w:color="000000" w:fill="D8DADA"/>
            <w:noWrap/>
            <w:vAlign w:val="center"/>
            <w:hideMark/>
          </w:tcPr>
          <w:p w14:paraId="5E3A560C"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$60.76 </w:t>
            </w:r>
          </w:p>
        </w:tc>
        <w:tc>
          <w:tcPr>
            <w:tcW w:w="1248" w:type="dxa"/>
            <w:tcBorders>
              <w:top w:val="nil"/>
              <w:left w:val="nil"/>
              <w:bottom w:val="single" w:sz="8" w:space="0" w:color="auto"/>
              <w:right w:val="nil"/>
            </w:tcBorders>
            <w:shd w:val="clear" w:color="000000" w:fill="D8DADA"/>
            <w:noWrap/>
            <w:vAlign w:val="center"/>
            <w:hideMark/>
          </w:tcPr>
          <w:p w14:paraId="7F03E2B2"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$65.62 </w:t>
            </w:r>
          </w:p>
        </w:tc>
        <w:tc>
          <w:tcPr>
            <w:tcW w:w="1247" w:type="dxa"/>
            <w:tcBorders>
              <w:top w:val="nil"/>
              <w:left w:val="nil"/>
              <w:bottom w:val="single" w:sz="8" w:space="0" w:color="auto"/>
              <w:right w:val="nil"/>
            </w:tcBorders>
            <w:shd w:val="clear" w:color="000000" w:fill="D8DADA"/>
            <w:noWrap/>
            <w:vAlign w:val="center"/>
            <w:hideMark/>
          </w:tcPr>
          <w:p w14:paraId="531CCCC9"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$75.04 </w:t>
            </w:r>
          </w:p>
        </w:tc>
        <w:tc>
          <w:tcPr>
            <w:tcW w:w="1248" w:type="dxa"/>
            <w:tcBorders>
              <w:top w:val="nil"/>
              <w:left w:val="nil"/>
              <w:bottom w:val="single" w:sz="8" w:space="0" w:color="auto"/>
              <w:right w:val="nil"/>
            </w:tcBorders>
            <w:shd w:val="clear" w:color="000000" w:fill="D8DADA"/>
            <w:noWrap/>
            <w:vAlign w:val="center"/>
            <w:hideMark/>
          </w:tcPr>
          <w:p w14:paraId="12E91A42"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$65.47 </w:t>
            </w:r>
          </w:p>
        </w:tc>
      </w:tr>
      <w:tr w:rsidR="00206307" w:rsidRPr="00206307" w14:paraId="3ADA0419" w14:textId="77777777" w:rsidTr="008D2B97">
        <w:trPr>
          <w:trHeight w:val="315"/>
        </w:trPr>
        <w:tc>
          <w:tcPr>
            <w:tcW w:w="2977" w:type="dxa"/>
            <w:tcBorders>
              <w:top w:val="nil"/>
              <w:left w:val="nil"/>
              <w:bottom w:val="single" w:sz="8" w:space="0" w:color="auto"/>
              <w:right w:val="nil"/>
            </w:tcBorders>
            <w:shd w:val="clear" w:color="000000" w:fill="D8DADA"/>
            <w:noWrap/>
            <w:vAlign w:val="center"/>
            <w:hideMark/>
          </w:tcPr>
          <w:p w14:paraId="232E21BD" w14:textId="77777777" w:rsidR="00206307" w:rsidRPr="00206307" w:rsidRDefault="00206307" w:rsidP="00206307">
            <w:pPr>
              <w:spacing w:before="0" w:after="0" w:line="240" w:lineRule="auto"/>
              <w:rPr>
                <w:rFonts w:cs="Arial"/>
                <w:b/>
                <w:color w:val="1E1545"/>
                <w:sz w:val="21"/>
                <w:szCs w:val="21"/>
                <w:lang w:eastAsia="en-AU"/>
              </w:rPr>
            </w:pPr>
            <w:r w:rsidRPr="00206307">
              <w:rPr>
                <w:rFonts w:cs="Arial"/>
                <w:b/>
                <w:color w:val="1E1545"/>
                <w:sz w:val="21"/>
                <w:szCs w:val="21"/>
                <w:lang w:eastAsia="en-AU"/>
              </w:rPr>
              <w:t>Net profit before tax</w:t>
            </w:r>
          </w:p>
        </w:tc>
        <w:tc>
          <w:tcPr>
            <w:tcW w:w="1247" w:type="dxa"/>
            <w:tcBorders>
              <w:top w:val="nil"/>
              <w:left w:val="nil"/>
              <w:bottom w:val="single" w:sz="8" w:space="0" w:color="auto"/>
              <w:right w:val="nil"/>
            </w:tcBorders>
            <w:shd w:val="clear" w:color="000000" w:fill="D8DADA"/>
            <w:noWrap/>
            <w:vAlign w:val="center"/>
            <w:hideMark/>
          </w:tcPr>
          <w:p w14:paraId="3BD1127F"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$14.69 </w:t>
            </w:r>
          </w:p>
        </w:tc>
        <w:tc>
          <w:tcPr>
            <w:tcW w:w="1247" w:type="dxa"/>
            <w:tcBorders>
              <w:top w:val="nil"/>
              <w:left w:val="nil"/>
              <w:bottom w:val="single" w:sz="8" w:space="0" w:color="auto"/>
              <w:right w:val="nil"/>
            </w:tcBorders>
            <w:shd w:val="clear" w:color="000000" w:fill="D8DADA"/>
            <w:noWrap/>
            <w:vAlign w:val="center"/>
            <w:hideMark/>
          </w:tcPr>
          <w:p w14:paraId="5EBF6CE0"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$4.88 </w:t>
            </w:r>
          </w:p>
        </w:tc>
        <w:tc>
          <w:tcPr>
            <w:tcW w:w="1248" w:type="dxa"/>
            <w:tcBorders>
              <w:top w:val="nil"/>
              <w:left w:val="nil"/>
              <w:bottom w:val="single" w:sz="8" w:space="0" w:color="auto"/>
              <w:right w:val="nil"/>
            </w:tcBorders>
            <w:shd w:val="clear" w:color="000000" w:fill="D8DADA"/>
            <w:noWrap/>
            <w:vAlign w:val="center"/>
            <w:hideMark/>
          </w:tcPr>
          <w:p w14:paraId="70C0A5F0"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$0.89 </w:t>
            </w:r>
          </w:p>
        </w:tc>
        <w:tc>
          <w:tcPr>
            <w:tcW w:w="1247" w:type="dxa"/>
            <w:tcBorders>
              <w:top w:val="nil"/>
              <w:left w:val="nil"/>
              <w:bottom w:val="single" w:sz="8" w:space="0" w:color="auto"/>
              <w:right w:val="nil"/>
            </w:tcBorders>
            <w:shd w:val="clear" w:color="000000" w:fill="D8DADA"/>
            <w:noWrap/>
            <w:vAlign w:val="center"/>
            <w:hideMark/>
          </w:tcPr>
          <w:p w14:paraId="29AADCDA"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($9.31)</w:t>
            </w:r>
          </w:p>
        </w:tc>
        <w:tc>
          <w:tcPr>
            <w:tcW w:w="1248" w:type="dxa"/>
            <w:tcBorders>
              <w:top w:val="nil"/>
              <w:left w:val="nil"/>
              <w:bottom w:val="single" w:sz="8" w:space="0" w:color="auto"/>
              <w:right w:val="nil"/>
            </w:tcBorders>
            <w:shd w:val="clear" w:color="000000" w:fill="D8DADA"/>
            <w:noWrap/>
            <w:vAlign w:val="center"/>
            <w:hideMark/>
          </w:tcPr>
          <w:p w14:paraId="1AE769FE" w14:textId="77777777" w:rsidR="00206307" w:rsidRPr="00206307" w:rsidRDefault="00206307" w:rsidP="00206307">
            <w:pPr>
              <w:spacing w:before="0" w:after="0" w:line="240" w:lineRule="auto"/>
              <w:jc w:val="right"/>
              <w:rPr>
                <w:rFonts w:cs="Arial"/>
                <w:b/>
                <w:color w:val="1E1545"/>
                <w:sz w:val="21"/>
                <w:szCs w:val="21"/>
                <w:lang w:eastAsia="en-AU"/>
              </w:rPr>
            </w:pPr>
            <w:r w:rsidRPr="00206307">
              <w:rPr>
                <w:rFonts w:cs="Arial"/>
                <w:b/>
                <w:color w:val="1E1545"/>
                <w:sz w:val="21"/>
                <w:szCs w:val="21"/>
                <w:lang w:eastAsia="en-AU"/>
              </w:rPr>
              <w:t xml:space="preserve">$2.17 </w:t>
            </w:r>
          </w:p>
        </w:tc>
      </w:tr>
    </w:tbl>
    <w:p w14:paraId="5BDC914C" w14:textId="77777777" w:rsidR="004938C0" w:rsidRDefault="004938C0">
      <w:pPr>
        <w:spacing w:before="0" w:after="0" w:line="240" w:lineRule="auto"/>
      </w:pPr>
      <w:r>
        <w:br w:type="page"/>
      </w:r>
    </w:p>
    <w:p w14:paraId="7FB96A9B" w14:textId="6F693804" w:rsidR="005001F7" w:rsidRPr="00525FE2" w:rsidRDefault="005001F7" w:rsidP="00525FE2">
      <w:pPr>
        <w:rPr>
          <w:bCs w:val="0"/>
          <w:sz w:val="28"/>
        </w:rPr>
      </w:pPr>
      <w:r w:rsidRPr="00525FE2">
        <w:rPr>
          <w:b/>
          <w:bCs w:val="0"/>
          <w:sz w:val="28"/>
          <w:szCs w:val="28"/>
        </w:rPr>
        <w:t xml:space="preserve">Appendix </w:t>
      </w:r>
      <w:r w:rsidR="0046425D" w:rsidRPr="00525FE2">
        <w:rPr>
          <w:b/>
          <w:bCs w:val="0"/>
          <w:sz w:val="28"/>
          <w:szCs w:val="28"/>
        </w:rPr>
        <w:t>E</w:t>
      </w:r>
    </w:p>
    <w:p w14:paraId="661E2C1A" w14:textId="02E4EA0C" w:rsidR="005001F7" w:rsidRDefault="005001F7" w:rsidP="00706D0A">
      <w:r w:rsidRPr="00454290">
        <w:t xml:space="preserve">Financial package results for home care providers per care recipient per </w:t>
      </w:r>
      <w:r>
        <w:t>year</w:t>
      </w:r>
      <w:r w:rsidRPr="00454290">
        <w:t>, by ownership type, by quartile, 202</w:t>
      </w:r>
      <w:r>
        <w:t>2-23</w:t>
      </w:r>
    </w:p>
    <w:tbl>
      <w:tblPr>
        <w:tblW w:w="9480" w:type="dxa"/>
        <w:tblLook w:val="04A0" w:firstRow="1" w:lastRow="0" w:firstColumn="1" w:lastColumn="0" w:noHBand="0" w:noVBand="1"/>
      </w:tblPr>
      <w:tblGrid>
        <w:gridCol w:w="2780"/>
        <w:gridCol w:w="1460"/>
        <w:gridCol w:w="1340"/>
        <w:gridCol w:w="1440"/>
        <w:gridCol w:w="1280"/>
        <w:gridCol w:w="1180"/>
      </w:tblGrid>
      <w:tr w:rsidR="00331235" w:rsidRPr="00331235" w14:paraId="3FF71E79" w14:textId="77777777" w:rsidTr="00331235">
        <w:trPr>
          <w:trHeight w:val="623"/>
        </w:trPr>
        <w:tc>
          <w:tcPr>
            <w:tcW w:w="2780" w:type="dxa"/>
            <w:tcBorders>
              <w:top w:val="single" w:sz="12" w:space="0" w:color="1E1545"/>
              <w:left w:val="nil"/>
              <w:bottom w:val="single" w:sz="12" w:space="0" w:color="1E1545"/>
              <w:right w:val="nil"/>
            </w:tcBorders>
            <w:shd w:val="clear" w:color="000000" w:fill="1E1545"/>
            <w:vAlign w:val="center"/>
            <w:hideMark/>
          </w:tcPr>
          <w:p w14:paraId="0D297A53" w14:textId="77777777" w:rsidR="00331235" w:rsidRPr="00331235" w:rsidRDefault="00331235" w:rsidP="00331235">
            <w:pPr>
              <w:spacing w:before="0" w:after="0" w:line="240" w:lineRule="auto"/>
              <w:rPr>
                <w:rFonts w:cs="Arial"/>
                <w:b/>
                <w:color w:val="F1F2F2"/>
                <w:sz w:val="21"/>
                <w:szCs w:val="21"/>
                <w:lang w:eastAsia="en-AU"/>
              </w:rPr>
            </w:pPr>
            <w:r w:rsidRPr="00331235">
              <w:rPr>
                <w:rFonts w:cs="Arial"/>
                <w:b/>
                <w:color w:val="F1F2F2"/>
                <w:sz w:val="21"/>
                <w:szCs w:val="21"/>
                <w:lang w:eastAsia="en-AU"/>
              </w:rPr>
              <w:t> </w:t>
            </w:r>
          </w:p>
        </w:tc>
        <w:tc>
          <w:tcPr>
            <w:tcW w:w="1460" w:type="dxa"/>
            <w:tcBorders>
              <w:top w:val="single" w:sz="12" w:space="0" w:color="1E1545"/>
              <w:left w:val="nil"/>
              <w:bottom w:val="single" w:sz="12" w:space="0" w:color="1E1545"/>
              <w:right w:val="nil"/>
            </w:tcBorders>
            <w:shd w:val="clear" w:color="000000" w:fill="1E1545"/>
            <w:vAlign w:val="center"/>
            <w:hideMark/>
          </w:tcPr>
          <w:p w14:paraId="0B467901" w14:textId="77777777" w:rsidR="00331235" w:rsidRPr="00331235" w:rsidRDefault="00331235" w:rsidP="00331235">
            <w:pPr>
              <w:spacing w:before="0" w:after="0" w:line="240" w:lineRule="auto"/>
              <w:jc w:val="center"/>
              <w:rPr>
                <w:rFonts w:cs="Arial"/>
                <w:b/>
                <w:color w:val="F1F2F2"/>
                <w:sz w:val="21"/>
                <w:szCs w:val="21"/>
                <w:lang w:eastAsia="en-AU"/>
              </w:rPr>
            </w:pPr>
            <w:r w:rsidRPr="00331235">
              <w:rPr>
                <w:rFonts w:cs="Arial"/>
                <w:b/>
                <w:color w:val="F1F2F2"/>
                <w:sz w:val="21"/>
                <w:szCs w:val="21"/>
                <w:lang w:eastAsia="en-AU"/>
              </w:rPr>
              <w:t>Top quartile</w:t>
            </w:r>
          </w:p>
        </w:tc>
        <w:tc>
          <w:tcPr>
            <w:tcW w:w="1340" w:type="dxa"/>
            <w:tcBorders>
              <w:top w:val="single" w:sz="12" w:space="0" w:color="1E1545"/>
              <w:left w:val="nil"/>
              <w:bottom w:val="single" w:sz="12" w:space="0" w:color="1E1545"/>
              <w:right w:val="nil"/>
            </w:tcBorders>
            <w:shd w:val="clear" w:color="000000" w:fill="1E1545"/>
            <w:vAlign w:val="center"/>
            <w:hideMark/>
          </w:tcPr>
          <w:p w14:paraId="299CDBB8" w14:textId="77777777" w:rsidR="00331235" w:rsidRPr="00331235" w:rsidRDefault="00331235" w:rsidP="00331235">
            <w:pPr>
              <w:spacing w:before="0" w:after="0" w:line="240" w:lineRule="auto"/>
              <w:jc w:val="center"/>
              <w:rPr>
                <w:rFonts w:cs="Arial"/>
                <w:b/>
                <w:color w:val="F1F2F2"/>
                <w:sz w:val="21"/>
                <w:szCs w:val="21"/>
                <w:lang w:eastAsia="en-AU"/>
              </w:rPr>
            </w:pPr>
            <w:r w:rsidRPr="00331235">
              <w:rPr>
                <w:rFonts w:cs="Arial"/>
                <w:b/>
                <w:color w:val="F1F2F2"/>
                <w:sz w:val="21"/>
                <w:szCs w:val="21"/>
                <w:lang w:eastAsia="en-AU"/>
              </w:rPr>
              <w:t>Next top</w:t>
            </w:r>
          </w:p>
        </w:tc>
        <w:tc>
          <w:tcPr>
            <w:tcW w:w="1440" w:type="dxa"/>
            <w:tcBorders>
              <w:top w:val="single" w:sz="12" w:space="0" w:color="1E1545"/>
              <w:left w:val="nil"/>
              <w:bottom w:val="single" w:sz="12" w:space="0" w:color="1E1545"/>
              <w:right w:val="nil"/>
            </w:tcBorders>
            <w:shd w:val="clear" w:color="000000" w:fill="1E1545"/>
            <w:vAlign w:val="center"/>
            <w:hideMark/>
          </w:tcPr>
          <w:p w14:paraId="01A5ED8E" w14:textId="77777777" w:rsidR="00331235" w:rsidRPr="00331235" w:rsidRDefault="00331235" w:rsidP="00331235">
            <w:pPr>
              <w:spacing w:before="0" w:after="0" w:line="240" w:lineRule="auto"/>
              <w:jc w:val="center"/>
              <w:rPr>
                <w:rFonts w:cs="Arial"/>
                <w:b/>
                <w:color w:val="F1F2F2"/>
                <w:sz w:val="21"/>
                <w:szCs w:val="21"/>
                <w:lang w:eastAsia="en-AU"/>
              </w:rPr>
            </w:pPr>
            <w:r w:rsidRPr="00331235">
              <w:rPr>
                <w:rFonts w:cs="Arial"/>
                <w:b/>
                <w:color w:val="F1F2F2"/>
                <w:sz w:val="21"/>
                <w:szCs w:val="21"/>
                <w:lang w:eastAsia="en-AU"/>
              </w:rPr>
              <w:t>Next bottom</w:t>
            </w:r>
          </w:p>
        </w:tc>
        <w:tc>
          <w:tcPr>
            <w:tcW w:w="1280" w:type="dxa"/>
            <w:tcBorders>
              <w:top w:val="single" w:sz="12" w:space="0" w:color="1E1545"/>
              <w:left w:val="nil"/>
              <w:bottom w:val="single" w:sz="12" w:space="0" w:color="1E1545"/>
              <w:right w:val="nil"/>
            </w:tcBorders>
            <w:shd w:val="clear" w:color="000000" w:fill="1E1545"/>
            <w:vAlign w:val="center"/>
            <w:hideMark/>
          </w:tcPr>
          <w:p w14:paraId="559706A6" w14:textId="77777777" w:rsidR="00331235" w:rsidRPr="00331235" w:rsidRDefault="00331235" w:rsidP="00331235">
            <w:pPr>
              <w:spacing w:before="0" w:after="0" w:line="240" w:lineRule="auto"/>
              <w:jc w:val="center"/>
              <w:rPr>
                <w:rFonts w:cs="Arial"/>
                <w:b/>
                <w:color w:val="F1F2F2"/>
                <w:sz w:val="21"/>
                <w:szCs w:val="21"/>
                <w:lang w:eastAsia="en-AU"/>
              </w:rPr>
            </w:pPr>
            <w:r w:rsidRPr="00331235">
              <w:rPr>
                <w:rFonts w:cs="Arial"/>
                <w:b/>
                <w:color w:val="F1F2F2"/>
                <w:sz w:val="21"/>
                <w:szCs w:val="21"/>
                <w:lang w:eastAsia="en-AU"/>
              </w:rPr>
              <w:t>Bottom</w:t>
            </w:r>
          </w:p>
        </w:tc>
        <w:tc>
          <w:tcPr>
            <w:tcW w:w="1180" w:type="dxa"/>
            <w:tcBorders>
              <w:top w:val="single" w:sz="12" w:space="0" w:color="1E1545"/>
              <w:left w:val="nil"/>
              <w:bottom w:val="single" w:sz="12" w:space="0" w:color="1E1545"/>
              <w:right w:val="nil"/>
            </w:tcBorders>
            <w:shd w:val="clear" w:color="000000" w:fill="1E1545"/>
            <w:vAlign w:val="center"/>
            <w:hideMark/>
          </w:tcPr>
          <w:p w14:paraId="1DE6F2A3" w14:textId="77777777" w:rsidR="00331235" w:rsidRPr="00331235" w:rsidRDefault="00331235" w:rsidP="00331235">
            <w:pPr>
              <w:spacing w:before="0" w:after="0" w:line="240" w:lineRule="auto"/>
              <w:jc w:val="center"/>
              <w:rPr>
                <w:rFonts w:cs="Arial"/>
                <w:b/>
                <w:color w:val="F1F2F2"/>
                <w:sz w:val="21"/>
                <w:szCs w:val="21"/>
                <w:lang w:eastAsia="en-AU"/>
              </w:rPr>
            </w:pPr>
            <w:r w:rsidRPr="00331235">
              <w:rPr>
                <w:rFonts w:cs="Arial"/>
                <w:b/>
                <w:color w:val="F1F2F2"/>
                <w:sz w:val="21"/>
                <w:szCs w:val="21"/>
                <w:lang w:eastAsia="en-AU"/>
              </w:rPr>
              <w:t>Total</w:t>
            </w:r>
          </w:p>
        </w:tc>
      </w:tr>
      <w:tr w:rsidR="00331235" w:rsidRPr="00331235" w14:paraId="6F2B009F" w14:textId="77777777" w:rsidTr="00331235">
        <w:trPr>
          <w:trHeight w:val="290"/>
        </w:trPr>
        <w:tc>
          <w:tcPr>
            <w:tcW w:w="2780" w:type="dxa"/>
            <w:tcBorders>
              <w:top w:val="nil"/>
              <w:left w:val="nil"/>
              <w:bottom w:val="single" w:sz="8" w:space="0" w:color="auto"/>
              <w:right w:val="nil"/>
            </w:tcBorders>
            <w:shd w:val="clear" w:color="000000" w:fill="D8DADA"/>
            <w:vAlign w:val="center"/>
            <w:hideMark/>
          </w:tcPr>
          <w:p w14:paraId="0658D7D6"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For-profit</w:t>
            </w:r>
          </w:p>
        </w:tc>
        <w:tc>
          <w:tcPr>
            <w:tcW w:w="1460" w:type="dxa"/>
            <w:tcBorders>
              <w:top w:val="nil"/>
              <w:left w:val="nil"/>
              <w:bottom w:val="single" w:sz="8" w:space="0" w:color="auto"/>
              <w:right w:val="nil"/>
            </w:tcBorders>
            <w:shd w:val="clear" w:color="000000" w:fill="D8DADA"/>
            <w:noWrap/>
            <w:vAlign w:val="center"/>
            <w:hideMark/>
          </w:tcPr>
          <w:p w14:paraId="195CD1F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8F06E97"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440" w:type="dxa"/>
            <w:tcBorders>
              <w:top w:val="nil"/>
              <w:left w:val="nil"/>
              <w:bottom w:val="single" w:sz="8" w:space="0" w:color="auto"/>
              <w:right w:val="nil"/>
            </w:tcBorders>
            <w:shd w:val="clear" w:color="000000" w:fill="D8DADA"/>
            <w:noWrap/>
            <w:vAlign w:val="center"/>
            <w:hideMark/>
          </w:tcPr>
          <w:p w14:paraId="5ACF599E"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280" w:type="dxa"/>
            <w:tcBorders>
              <w:top w:val="nil"/>
              <w:left w:val="nil"/>
              <w:bottom w:val="single" w:sz="8" w:space="0" w:color="auto"/>
              <w:right w:val="nil"/>
            </w:tcBorders>
            <w:shd w:val="clear" w:color="000000" w:fill="D8DADA"/>
            <w:noWrap/>
            <w:vAlign w:val="center"/>
            <w:hideMark/>
          </w:tcPr>
          <w:p w14:paraId="5FADD62B"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180" w:type="dxa"/>
            <w:tcBorders>
              <w:top w:val="nil"/>
              <w:left w:val="nil"/>
              <w:bottom w:val="single" w:sz="8" w:space="0" w:color="auto"/>
              <w:right w:val="nil"/>
            </w:tcBorders>
            <w:shd w:val="clear" w:color="000000" w:fill="D8DADA"/>
            <w:noWrap/>
            <w:vAlign w:val="center"/>
            <w:hideMark/>
          </w:tcPr>
          <w:p w14:paraId="2AFE0C4F"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r>
      <w:tr w:rsidR="00331235" w:rsidRPr="00331235" w14:paraId="50994744" w14:textId="77777777" w:rsidTr="00331235">
        <w:trPr>
          <w:trHeight w:val="280"/>
        </w:trPr>
        <w:tc>
          <w:tcPr>
            <w:tcW w:w="2780" w:type="dxa"/>
            <w:tcBorders>
              <w:top w:val="nil"/>
              <w:left w:val="nil"/>
              <w:bottom w:val="single" w:sz="12" w:space="0" w:color="1E1545"/>
              <w:right w:val="nil"/>
            </w:tcBorders>
            <w:shd w:val="clear" w:color="000000" w:fill="FFFFFF"/>
            <w:vAlign w:val="center"/>
            <w:hideMark/>
          </w:tcPr>
          <w:p w14:paraId="5FC3D05E"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Number of providers</w:t>
            </w:r>
          </w:p>
        </w:tc>
        <w:tc>
          <w:tcPr>
            <w:tcW w:w="1460" w:type="dxa"/>
            <w:tcBorders>
              <w:top w:val="nil"/>
              <w:left w:val="nil"/>
              <w:bottom w:val="single" w:sz="12" w:space="0" w:color="1E1545"/>
              <w:right w:val="nil"/>
            </w:tcBorders>
            <w:shd w:val="clear" w:color="000000" w:fill="FFFFFF"/>
            <w:vAlign w:val="center"/>
            <w:hideMark/>
          </w:tcPr>
          <w:p w14:paraId="761D82A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107</w:t>
            </w:r>
          </w:p>
        </w:tc>
        <w:tc>
          <w:tcPr>
            <w:tcW w:w="1340" w:type="dxa"/>
            <w:tcBorders>
              <w:top w:val="nil"/>
              <w:left w:val="nil"/>
              <w:bottom w:val="single" w:sz="12" w:space="0" w:color="1E1545"/>
              <w:right w:val="nil"/>
            </w:tcBorders>
            <w:shd w:val="clear" w:color="000000" w:fill="FFFFFF"/>
            <w:vAlign w:val="center"/>
            <w:hideMark/>
          </w:tcPr>
          <w:p w14:paraId="652B59ED"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79</w:t>
            </w:r>
          </w:p>
        </w:tc>
        <w:tc>
          <w:tcPr>
            <w:tcW w:w="1440" w:type="dxa"/>
            <w:tcBorders>
              <w:top w:val="nil"/>
              <w:left w:val="nil"/>
              <w:bottom w:val="single" w:sz="12" w:space="0" w:color="1E1545"/>
              <w:right w:val="nil"/>
            </w:tcBorders>
            <w:shd w:val="clear" w:color="000000" w:fill="FFFFFF"/>
            <w:vAlign w:val="center"/>
            <w:hideMark/>
          </w:tcPr>
          <w:p w14:paraId="4B25B7B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56</w:t>
            </w:r>
          </w:p>
        </w:tc>
        <w:tc>
          <w:tcPr>
            <w:tcW w:w="1280" w:type="dxa"/>
            <w:tcBorders>
              <w:top w:val="nil"/>
              <w:left w:val="nil"/>
              <w:bottom w:val="single" w:sz="12" w:space="0" w:color="1E1545"/>
              <w:right w:val="nil"/>
            </w:tcBorders>
            <w:shd w:val="clear" w:color="000000" w:fill="FFFFFF"/>
            <w:vAlign w:val="center"/>
            <w:hideMark/>
          </w:tcPr>
          <w:p w14:paraId="01066A9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72</w:t>
            </w:r>
          </w:p>
        </w:tc>
        <w:tc>
          <w:tcPr>
            <w:tcW w:w="1180" w:type="dxa"/>
            <w:tcBorders>
              <w:top w:val="nil"/>
              <w:left w:val="nil"/>
              <w:bottom w:val="single" w:sz="12" w:space="0" w:color="1E1545"/>
              <w:right w:val="nil"/>
            </w:tcBorders>
            <w:shd w:val="clear" w:color="000000" w:fill="FFFFFF"/>
            <w:vAlign w:val="center"/>
            <w:hideMark/>
          </w:tcPr>
          <w:p w14:paraId="6E33B45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314</w:t>
            </w:r>
          </w:p>
        </w:tc>
      </w:tr>
      <w:tr w:rsidR="00331235" w:rsidRPr="00331235" w14:paraId="7A522B3B"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234FD7CB"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revenue per recipient</w:t>
            </w:r>
          </w:p>
        </w:tc>
        <w:tc>
          <w:tcPr>
            <w:tcW w:w="1460" w:type="dxa"/>
            <w:tcBorders>
              <w:top w:val="nil"/>
              <w:left w:val="nil"/>
              <w:bottom w:val="single" w:sz="12" w:space="0" w:color="1E1545"/>
              <w:right w:val="nil"/>
            </w:tcBorders>
            <w:shd w:val="clear" w:color="000000" w:fill="FFFFFF"/>
            <w:noWrap/>
            <w:vAlign w:val="center"/>
            <w:hideMark/>
          </w:tcPr>
          <w:p w14:paraId="4916434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$31,769 </w:t>
            </w:r>
          </w:p>
        </w:tc>
        <w:tc>
          <w:tcPr>
            <w:tcW w:w="1340" w:type="dxa"/>
            <w:tcBorders>
              <w:top w:val="nil"/>
              <w:left w:val="nil"/>
              <w:bottom w:val="single" w:sz="12" w:space="0" w:color="1E1545"/>
              <w:right w:val="nil"/>
            </w:tcBorders>
            <w:shd w:val="clear" w:color="000000" w:fill="FFFFFF"/>
            <w:noWrap/>
            <w:vAlign w:val="center"/>
            <w:hideMark/>
          </w:tcPr>
          <w:p w14:paraId="76203EB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$22,247 </w:t>
            </w:r>
          </w:p>
        </w:tc>
        <w:tc>
          <w:tcPr>
            <w:tcW w:w="1440" w:type="dxa"/>
            <w:tcBorders>
              <w:top w:val="nil"/>
              <w:left w:val="nil"/>
              <w:bottom w:val="single" w:sz="12" w:space="0" w:color="1E1545"/>
              <w:right w:val="nil"/>
            </w:tcBorders>
            <w:shd w:val="clear" w:color="000000" w:fill="FFFFFF"/>
            <w:noWrap/>
            <w:vAlign w:val="center"/>
            <w:hideMark/>
          </w:tcPr>
          <w:p w14:paraId="4E13656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$24,915 </w:t>
            </w:r>
          </w:p>
        </w:tc>
        <w:tc>
          <w:tcPr>
            <w:tcW w:w="1280" w:type="dxa"/>
            <w:tcBorders>
              <w:top w:val="nil"/>
              <w:left w:val="nil"/>
              <w:bottom w:val="single" w:sz="12" w:space="0" w:color="1E1545"/>
              <w:right w:val="nil"/>
            </w:tcBorders>
            <w:shd w:val="clear" w:color="000000" w:fill="FFFFFF"/>
            <w:noWrap/>
            <w:vAlign w:val="center"/>
            <w:hideMark/>
          </w:tcPr>
          <w:p w14:paraId="5925CF6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$21,957 </w:t>
            </w:r>
          </w:p>
        </w:tc>
        <w:tc>
          <w:tcPr>
            <w:tcW w:w="1180" w:type="dxa"/>
            <w:tcBorders>
              <w:top w:val="nil"/>
              <w:left w:val="nil"/>
              <w:bottom w:val="single" w:sz="12" w:space="0" w:color="1E1545"/>
              <w:right w:val="nil"/>
            </w:tcBorders>
            <w:shd w:val="clear" w:color="000000" w:fill="FFFFFF"/>
            <w:noWrap/>
            <w:vAlign w:val="center"/>
            <w:hideMark/>
          </w:tcPr>
          <w:p w14:paraId="1A9251A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$24,382 </w:t>
            </w:r>
          </w:p>
        </w:tc>
      </w:tr>
      <w:tr w:rsidR="00331235" w:rsidRPr="00331235" w14:paraId="4E12775F"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3D517AE8"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expenses per recipient</w:t>
            </w:r>
          </w:p>
        </w:tc>
        <w:tc>
          <w:tcPr>
            <w:tcW w:w="1460" w:type="dxa"/>
            <w:tcBorders>
              <w:top w:val="nil"/>
              <w:left w:val="nil"/>
              <w:bottom w:val="single" w:sz="12" w:space="0" w:color="1E1545"/>
              <w:right w:val="nil"/>
            </w:tcBorders>
            <w:shd w:val="clear" w:color="000000" w:fill="FFFFFF"/>
            <w:noWrap/>
            <w:vAlign w:val="center"/>
            <w:hideMark/>
          </w:tcPr>
          <w:p w14:paraId="79E4F583"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$25,950 </w:t>
            </w:r>
          </w:p>
        </w:tc>
        <w:tc>
          <w:tcPr>
            <w:tcW w:w="1340" w:type="dxa"/>
            <w:tcBorders>
              <w:top w:val="nil"/>
              <w:left w:val="nil"/>
              <w:bottom w:val="single" w:sz="12" w:space="0" w:color="1E1545"/>
              <w:right w:val="nil"/>
            </w:tcBorders>
            <w:shd w:val="clear" w:color="000000" w:fill="FFFFFF"/>
            <w:noWrap/>
            <w:vAlign w:val="center"/>
            <w:hideMark/>
          </w:tcPr>
          <w:p w14:paraId="5FAB9D9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$20,865 </w:t>
            </w:r>
          </w:p>
        </w:tc>
        <w:tc>
          <w:tcPr>
            <w:tcW w:w="1440" w:type="dxa"/>
            <w:tcBorders>
              <w:top w:val="nil"/>
              <w:left w:val="nil"/>
              <w:bottom w:val="single" w:sz="12" w:space="0" w:color="1E1545"/>
              <w:right w:val="nil"/>
            </w:tcBorders>
            <w:shd w:val="clear" w:color="000000" w:fill="FFFFFF"/>
            <w:noWrap/>
            <w:vAlign w:val="center"/>
            <w:hideMark/>
          </w:tcPr>
          <w:p w14:paraId="55CAC07E"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$24,570 </w:t>
            </w:r>
          </w:p>
        </w:tc>
        <w:tc>
          <w:tcPr>
            <w:tcW w:w="1280" w:type="dxa"/>
            <w:tcBorders>
              <w:top w:val="nil"/>
              <w:left w:val="nil"/>
              <w:bottom w:val="single" w:sz="12" w:space="0" w:color="1E1545"/>
              <w:right w:val="nil"/>
            </w:tcBorders>
            <w:shd w:val="clear" w:color="000000" w:fill="FFFFFF"/>
            <w:noWrap/>
            <w:vAlign w:val="center"/>
            <w:hideMark/>
          </w:tcPr>
          <w:p w14:paraId="5E47728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$27,469 </w:t>
            </w:r>
          </w:p>
        </w:tc>
        <w:tc>
          <w:tcPr>
            <w:tcW w:w="1180" w:type="dxa"/>
            <w:tcBorders>
              <w:top w:val="nil"/>
              <w:left w:val="nil"/>
              <w:bottom w:val="single" w:sz="12" w:space="0" w:color="1E1545"/>
              <w:right w:val="nil"/>
            </w:tcBorders>
            <w:shd w:val="clear" w:color="000000" w:fill="FFFFFF"/>
            <w:noWrap/>
            <w:vAlign w:val="center"/>
            <w:hideMark/>
          </w:tcPr>
          <w:p w14:paraId="7602375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$23,379 </w:t>
            </w:r>
          </w:p>
        </w:tc>
      </w:tr>
      <w:tr w:rsidR="00331235" w:rsidRPr="00331235" w14:paraId="300642D0" w14:textId="77777777" w:rsidTr="00331235">
        <w:trPr>
          <w:trHeight w:val="290"/>
        </w:trPr>
        <w:tc>
          <w:tcPr>
            <w:tcW w:w="2780" w:type="dxa"/>
            <w:tcBorders>
              <w:top w:val="nil"/>
              <w:left w:val="nil"/>
              <w:bottom w:val="single" w:sz="8" w:space="0" w:color="auto"/>
              <w:right w:val="nil"/>
            </w:tcBorders>
            <w:shd w:val="clear" w:color="000000" w:fill="D8DADA"/>
            <w:vAlign w:val="center"/>
            <w:hideMark/>
          </w:tcPr>
          <w:p w14:paraId="357A6522"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NBPT per recipient</w:t>
            </w:r>
          </w:p>
        </w:tc>
        <w:tc>
          <w:tcPr>
            <w:tcW w:w="1460" w:type="dxa"/>
            <w:tcBorders>
              <w:top w:val="nil"/>
              <w:left w:val="nil"/>
              <w:bottom w:val="single" w:sz="8" w:space="0" w:color="auto"/>
              <w:right w:val="nil"/>
            </w:tcBorders>
            <w:shd w:val="clear" w:color="000000" w:fill="D8DADA"/>
            <w:noWrap/>
            <w:vAlign w:val="center"/>
            <w:hideMark/>
          </w:tcPr>
          <w:p w14:paraId="3386993A"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$5,819 </w:t>
            </w:r>
          </w:p>
        </w:tc>
        <w:tc>
          <w:tcPr>
            <w:tcW w:w="1340" w:type="dxa"/>
            <w:tcBorders>
              <w:top w:val="nil"/>
              <w:left w:val="nil"/>
              <w:bottom w:val="single" w:sz="8" w:space="0" w:color="auto"/>
              <w:right w:val="nil"/>
            </w:tcBorders>
            <w:shd w:val="clear" w:color="000000" w:fill="D8DADA"/>
            <w:noWrap/>
            <w:vAlign w:val="center"/>
            <w:hideMark/>
          </w:tcPr>
          <w:p w14:paraId="4DB111A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$1,383 </w:t>
            </w:r>
          </w:p>
        </w:tc>
        <w:tc>
          <w:tcPr>
            <w:tcW w:w="1440" w:type="dxa"/>
            <w:tcBorders>
              <w:top w:val="nil"/>
              <w:left w:val="nil"/>
              <w:bottom w:val="single" w:sz="8" w:space="0" w:color="auto"/>
              <w:right w:val="nil"/>
            </w:tcBorders>
            <w:shd w:val="clear" w:color="000000" w:fill="D8DADA"/>
            <w:noWrap/>
            <w:vAlign w:val="center"/>
            <w:hideMark/>
          </w:tcPr>
          <w:p w14:paraId="1CFFD7E4"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$344 </w:t>
            </w:r>
          </w:p>
        </w:tc>
        <w:tc>
          <w:tcPr>
            <w:tcW w:w="1280" w:type="dxa"/>
            <w:tcBorders>
              <w:top w:val="nil"/>
              <w:left w:val="nil"/>
              <w:bottom w:val="single" w:sz="8" w:space="0" w:color="auto"/>
              <w:right w:val="nil"/>
            </w:tcBorders>
            <w:shd w:val="clear" w:color="000000" w:fill="D8DADA"/>
            <w:noWrap/>
            <w:vAlign w:val="center"/>
            <w:hideMark/>
          </w:tcPr>
          <w:p w14:paraId="1E0A0897"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($5,512)</w:t>
            </w:r>
          </w:p>
        </w:tc>
        <w:tc>
          <w:tcPr>
            <w:tcW w:w="1180" w:type="dxa"/>
            <w:tcBorders>
              <w:top w:val="nil"/>
              <w:left w:val="nil"/>
              <w:bottom w:val="single" w:sz="8" w:space="0" w:color="auto"/>
              <w:right w:val="nil"/>
            </w:tcBorders>
            <w:shd w:val="clear" w:color="000000" w:fill="D8DADA"/>
            <w:noWrap/>
            <w:vAlign w:val="center"/>
            <w:hideMark/>
          </w:tcPr>
          <w:p w14:paraId="01F85CA1"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$1,003 </w:t>
            </w:r>
          </w:p>
        </w:tc>
      </w:tr>
      <w:tr w:rsidR="00331235" w:rsidRPr="00331235" w14:paraId="23750F8B" w14:textId="77777777" w:rsidTr="00331235">
        <w:trPr>
          <w:trHeight w:val="280"/>
        </w:trPr>
        <w:tc>
          <w:tcPr>
            <w:tcW w:w="2780" w:type="dxa"/>
            <w:tcBorders>
              <w:top w:val="nil"/>
              <w:left w:val="nil"/>
              <w:bottom w:val="single" w:sz="8" w:space="0" w:color="auto"/>
              <w:right w:val="nil"/>
            </w:tcBorders>
            <w:shd w:val="clear" w:color="000000" w:fill="D8DADA"/>
            <w:vAlign w:val="center"/>
            <w:hideMark/>
          </w:tcPr>
          <w:p w14:paraId="7B3DF37D"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Not-for-profit</w:t>
            </w:r>
          </w:p>
        </w:tc>
        <w:tc>
          <w:tcPr>
            <w:tcW w:w="1460" w:type="dxa"/>
            <w:tcBorders>
              <w:top w:val="nil"/>
              <w:left w:val="nil"/>
              <w:bottom w:val="single" w:sz="8" w:space="0" w:color="auto"/>
              <w:right w:val="nil"/>
            </w:tcBorders>
            <w:shd w:val="clear" w:color="000000" w:fill="D8DADA"/>
            <w:noWrap/>
            <w:vAlign w:val="center"/>
            <w:hideMark/>
          </w:tcPr>
          <w:p w14:paraId="12B2EFA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w:t>
            </w:r>
          </w:p>
        </w:tc>
        <w:tc>
          <w:tcPr>
            <w:tcW w:w="1340" w:type="dxa"/>
            <w:tcBorders>
              <w:top w:val="nil"/>
              <w:left w:val="nil"/>
              <w:bottom w:val="single" w:sz="8" w:space="0" w:color="auto"/>
              <w:right w:val="nil"/>
            </w:tcBorders>
            <w:shd w:val="clear" w:color="000000" w:fill="D8DADA"/>
            <w:noWrap/>
            <w:vAlign w:val="center"/>
            <w:hideMark/>
          </w:tcPr>
          <w:p w14:paraId="75A0D393"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w:t>
            </w:r>
          </w:p>
        </w:tc>
        <w:tc>
          <w:tcPr>
            <w:tcW w:w="1440" w:type="dxa"/>
            <w:tcBorders>
              <w:top w:val="nil"/>
              <w:left w:val="nil"/>
              <w:bottom w:val="single" w:sz="8" w:space="0" w:color="auto"/>
              <w:right w:val="nil"/>
            </w:tcBorders>
            <w:shd w:val="clear" w:color="000000" w:fill="D8DADA"/>
            <w:noWrap/>
            <w:vAlign w:val="center"/>
            <w:hideMark/>
          </w:tcPr>
          <w:p w14:paraId="35E19C8C"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w:t>
            </w:r>
          </w:p>
        </w:tc>
        <w:tc>
          <w:tcPr>
            <w:tcW w:w="1280" w:type="dxa"/>
            <w:tcBorders>
              <w:top w:val="nil"/>
              <w:left w:val="nil"/>
              <w:bottom w:val="single" w:sz="8" w:space="0" w:color="auto"/>
              <w:right w:val="nil"/>
            </w:tcBorders>
            <w:shd w:val="clear" w:color="000000" w:fill="D8DADA"/>
            <w:noWrap/>
            <w:vAlign w:val="center"/>
            <w:hideMark/>
          </w:tcPr>
          <w:p w14:paraId="2B3F814D"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w:t>
            </w:r>
          </w:p>
        </w:tc>
        <w:tc>
          <w:tcPr>
            <w:tcW w:w="1180" w:type="dxa"/>
            <w:tcBorders>
              <w:top w:val="nil"/>
              <w:left w:val="nil"/>
              <w:bottom w:val="single" w:sz="8" w:space="0" w:color="auto"/>
              <w:right w:val="nil"/>
            </w:tcBorders>
            <w:shd w:val="clear" w:color="000000" w:fill="D8DADA"/>
            <w:noWrap/>
            <w:vAlign w:val="center"/>
            <w:hideMark/>
          </w:tcPr>
          <w:p w14:paraId="3E5023A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w:t>
            </w:r>
          </w:p>
        </w:tc>
      </w:tr>
      <w:tr w:rsidR="00331235" w:rsidRPr="00331235" w14:paraId="0859D7E3" w14:textId="77777777" w:rsidTr="00331235">
        <w:trPr>
          <w:trHeight w:val="280"/>
        </w:trPr>
        <w:tc>
          <w:tcPr>
            <w:tcW w:w="2780" w:type="dxa"/>
            <w:tcBorders>
              <w:top w:val="nil"/>
              <w:left w:val="nil"/>
              <w:bottom w:val="single" w:sz="12" w:space="0" w:color="1E1545"/>
              <w:right w:val="nil"/>
            </w:tcBorders>
            <w:shd w:val="clear" w:color="auto" w:fill="auto"/>
            <w:vAlign w:val="center"/>
            <w:hideMark/>
          </w:tcPr>
          <w:p w14:paraId="5CE218B8"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Number of providers</w:t>
            </w:r>
          </w:p>
        </w:tc>
        <w:tc>
          <w:tcPr>
            <w:tcW w:w="1460" w:type="dxa"/>
            <w:tcBorders>
              <w:top w:val="nil"/>
              <w:left w:val="nil"/>
              <w:bottom w:val="single" w:sz="12" w:space="0" w:color="1E1545"/>
              <w:right w:val="nil"/>
            </w:tcBorders>
            <w:shd w:val="clear" w:color="000000" w:fill="FFFFFF"/>
            <w:vAlign w:val="center"/>
            <w:hideMark/>
          </w:tcPr>
          <w:p w14:paraId="68DB20C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87</w:t>
            </w:r>
          </w:p>
        </w:tc>
        <w:tc>
          <w:tcPr>
            <w:tcW w:w="1340" w:type="dxa"/>
            <w:tcBorders>
              <w:top w:val="nil"/>
              <w:left w:val="nil"/>
              <w:bottom w:val="single" w:sz="12" w:space="0" w:color="1E1545"/>
              <w:right w:val="nil"/>
            </w:tcBorders>
            <w:shd w:val="clear" w:color="000000" w:fill="FFFFFF"/>
            <w:vAlign w:val="center"/>
            <w:hideMark/>
          </w:tcPr>
          <w:p w14:paraId="3985A5F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117</w:t>
            </w:r>
          </w:p>
        </w:tc>
        <w:tc>
          <w:tcPr>
            <w:tcW w:w="1440" w:type="dxa"/>
            <w:tcBorders>
              <w:top w:val="nil"/>
              <w:left w:val="nil"/>
              <w:bottom w:val="single" w:sz="12" w:space="0" w:color="1E1545"/>
              <w:right w:val="nil"/>
            </w:tcBorders>
            <w:shd w:val="clear" w:color="000000" w:fill="FFFFFF"/>
            <w:vAlign w:val="center"/>
            <w:hideMark/>
          </w:tcPr>
          <w:p w14:paraId="573D0AF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118</w:t>
            </w:r>
          </w:p>
        </w:tc>
        <w:tc>
          <w:tcPr>
            <w:tcW w:w="1280" w:type="dxa"/>
            <w:tcBorders>
              <w:top w:val="nil"/>
              <w:left w:val="nil"/>
              <w:bottom w:val="single" w:sz="12" w:space="0" w:color="1E1545"/>
              <w:right w:val="nil"/>
            </w:tcBorders>
            <w:shd w:val="clear" w:color="000000" w:fill="FFFFFF"/>
            <w:vAlign w:val="center"/>
            <w:hideMark/>
          </w:tcPr>
          <w:p w14:paraId="5BDA607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114</w:t>
            </w:r>
          </w:p>
        </w:tc>
        <w:tc>
          <w:tcPr>
            <w:tcW w:w="1180" w:type="dxa"/>
            <w:tcBorders>
              <w:top w:val="nil"/>
              <w:left w:val="nil"/>
              <w:bottom w:val="single" w:sz="12" w:space="0" w:color="1E1545"/>
              <w:right w:val="nil"/>
            </w:tcBorders>
            <w:shd w:val="clear" w:color="000000" w:fill="FFFFFF"/>
            <w:vAlign w:val="center"/>
            <w:hideMark/>
          </w:tcPr>
          <w:p w14:paraId="63B3EB61"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436</w:t>
            </w:r>
          </w:p>
        </w:tc>
      </w:tr>
      <w:tr w:rsidR="00331235" w:rsidRPr="00331235" w14:paraId="4D02D5AB"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79BBC54D"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revenue per recipient</w:t>
            </w:r>
          </w:p>
        </w:tc>
        <w:tc>
          <w:tcPr>
            <w:tcW w:w="1460" w:type="dxa"/>
            <w:tcBorders>
              <w:top w:val="nil"/>
              <w:left w:val="nil"/>
              <w:bottom w:val="single" w:sz="12" w:space="0" w:color="1E1545"/>
              <w:right w:val="nil"/>
            </w:tcBorders>
            <w:shd w:val="clear" w:color="000000" w:fill="FFFFFF"/>
            <w:noWrap/>
            <w:vAlign w:val="center"/>
            <w:hideMark/>
          </w:tcPr>
          <w:p w14:paraId="338D10C3"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$26,449 </w:t>
            </w:r>
          </w:p>
        </w:tc>
        <w:tc>
          <w:tcPr>
            <w:tcW w:w="1340" w:type="dxa"/>
            <w:tcBorders>
              <w:top w:val="nil"/>
              <w:left w:val="nil"/>
              <w:bottom w:val="single" w:sz="12" w:space="0" w:color="1E1545"/>
              <w:right w:val="nil"/>
            </w:tcBorders>
            <w:shd w:val="clear" w:color="000000" w:fill="FFFFFF"/>
            <w:noWrap/>
            <w:vAlign w:val="center"/>
            <w:hideMark/>
          </w:tcPr>
          <w:p w14:paraId="45C8D0F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$25,229 </w:t>
            </w:r>
          </w:p>
        </w:tc>
        <w:tc>
          <w:tcPr>
            <w:tcW w:w="1440" w:type="dxa"/>
            <w:tcBorders>
              <w:top w:val="nil"/>
              <w:left w:val="nil"/>
              <w:bottom w:val="single" w:sz="12" w:space="0" w:color="1E1545"/>
              <w:right w:val="nil"/>
            </w:tcBorders>
            <w:shd w:val="clear" w:color="000000" w:fill="FFFFFF"/>
            <w:noWrap/>
            <w:vAlign w:val="center"/>
            <w:hideMark/>
          </w:tcPr>
          <w:p w14:paraId="44069D67"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$24,018 </w:t>
            </w:r>
          </w:p>
        </w:tc>
        <w:tc>
          <w:tcPr>
            <w:tcW w:w="1280" w:type="dxa"/>
            <w:tcBorders>
              <w:top w:val="nil"/>
              <w:left w:val="nil"/>
              <w:bottom w:val="single" w:sz="12" w:space="0" w:color="1E1545"/>
              <w:right w:val="nil"/>
            </w:tcBorders>
            <w:shd w:val="clear" w:color="000000" w:fill="FFFFFF"/>
            <w:noWrap/>
            <w:vAlign w:val="center"/>
            <w:hideMark/>
          </w:tcPr>
          <w:p w14:paraId="4CD15F4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$25,016 </w:t>
            </w:r>
          </w:p>
        </w:tc>
        <w:tc>
          <w:tcPr>
            <w:tcW w:w="1180" w:type="dxa"/>
            <w:tcBorders>
              <w:top w:val="nil"/>
              <w:left w:val="nil"/>
              <w:bottom w:val="single" w:sz="12" w:space="0" w:color="1E1545"/>
              <w:right w:val="nil"/>
            </w:tcBorders>
            <w:shd w:val="clear" w:color="000000" w:fill="FFFFFF"/>
            <w:noWrap/>
            <w:vAlign w:val="center"/>
            <w:hideMark/>
          </w:tcPr>
          <w:p w14:paraId="1741A92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$24,973 </w:t>
            </w:r>
          </w:p>
        </w:tc>
      </w:tr>
      <w:tr w:rsidR="00331235" w:rsidRPr="00331235" w14:paraId="7F2650F6"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00CBEA2D"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expenses per recipient</w:t>
            </w:r>
          </w:p>
        </w:tc>
        <w:tc>
          <w:tcPr>
            <w:tcW w:w="1460" w:type="dxa"/>
            <w:tcBorders>
              <w:top w:val="nil"/>
              <w:left w:val="nil"/>
              <w:bottom w:val="single" w:sz="12" w:space="0" w:color="1E1545"/>
              <w:right w:val="nil"/>
            </w:tcBorders>
            <w:shd w:val="clear" w:color="000000" w:fill="FFFFFF"/>
            <w:noWrap/>
            <w:vAlign w:val="center"/>
            <w:hideMark/>
          </w:tcPr>
          <w:p w14:paraId="29E366C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$21,442 </w:t>
            </w:r>
          </w:p>
        </w:tc>
        <w:tc>
          <w:tcPr>
            <w:tcW w:w="1340" w:type="dxa"/>
            <w:tcBorders>
              <w:top w:val="nil"/>
              <w:left w:val="nil"/>
              <w:bottom w:val="single" w:sz="12" w:space="0" w:color="1E1545"/>
              <w:right w:val="nil"/>
            </w:tcBorders>
            <w:shd w:val="clear" w:color="000000" w:fill="FFFFFF"/>
            <w:noWrap/>
            <w:vAlign w:val="center"/>
            <w:hideMark/>
          </w:tcPr>
          <w:p w14:paraId="13EB0DD5"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$23,136 </w:t>
            </w:r>
          </w:p>
        </w:tc>
        <w:tc>
          <w:tcPr>
            <w:tcW w:w="1440" w:type="dxa"/>
            <w:tcBorders>
              <w:top w:val="nil"/>
              <w:left w:val="nil"/>
              <w:bottom w:val="single" w:sz="12" w:space="0" w:color="1E1545"/>
              <w:right w:val="nil"/>
            </w:tcBorders>
            <w:shd w:val="clear" w:color="000000" w:fill="FFFFFF"/>
            <w:noWrap/>
            <w:vAlign w:val="center"/>
            <w:hideMark/>
          </w:tcPr>
          <w:p w14:paraId="3B7E5712"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$23,685 </w:t>
            </w:r>
          </w:p>
        </w:tc>
        <w:tc>
          <w:tcPr>
            <w:tcW w:w="1280" w:type="dxa"/>
            <w:tcBorders>
              <w:top w:val="nil"/>
              <w:left w:val="nil"/>
              <w:bottom w:val="single" w:sz="12" w:space="0" w:color="1E1545"/>
              <w:right w:val="nil"/>
            </w:tcBorders>
            <w:shd w:val="clear" w:color="000000" w:fill="FFFFFF"/>
            <w:noWrap/>
            <w:vAlign w:val="center"/>
            <w:hideMark/>
          </w:tcPr>
          <w:p w14:paraId="78DF0F96"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$27,786 </w:t>
            </w:r>
          </w:p>
        </w:tc>
        <w:tc>
          <w:tcPr>
            <w:tcW w:w="1180" w:type="dxa"/>
            <w:tcBorders>
              <w:top w:val="nil"/>
              <w:left w:val="nil"/>
              <w:bottom w:val="single" w:sz="12" w:space="0" w:color="1E1545"/>
              <w:right w:val="nil"/>
            </w:tcBorders>
            <w:shd w:val="clear" w:color="000000" w:fill="FFFFFF"/>
            <w:noWrap/>
            <w:vAlign w:val="center"/>
            <w:hideMark/>
          </w:tcPr>
          <w:p w14:paraId="2065DEF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$24,266 </w:t>
            </w:r>
          </w:p>
        </w:tc>
      </w:tr>
      <w:tr w:rsidR="00331235" w:rsidRPr="00331235" w14:paraId="6DA55239" w14:textId="77777777" w:rsidTr="00331235">
        <w:trPr>
          <w:trHeight w:val="290"/>
        </w:trPr>
        <w:tc>
          <w:tcPr>
            <w:tcW w:w="2780" w:type="dxa"/>
            <w:tcBorders>
              <w:top w:val="nil"/>
              <w:left w:val="nil"/>
              <w:bottom w:val="single" w:sz="8" w:space="0" w:color="auto"/>
              <w:right w:val="nil"/>
            </w:tcBorders>
            <w:shd w:val="clear" w:color="000000" w:fill="D8DADA"/>
            <w:noWrap/>
            <w:vAlign w:val="center"/>
            <w:hideMark/>
          </w:tcPr>
          <w:p w14:paraId="7BFCDAE9"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 xml:space="preserve">NBPT per recipient </w:t>
            </w:r>
          </w:p>
        </w:tc>
        <w:tc>
          <w:tcPr>
            <w:tcW w:w="1460" w:type="dxa"/>
            <w:tcBorders>
              <w:top w:val="nil"/>
              <w:left w:val="nil"/>
              <w:bottom w:val="single" w:sz="8" w:space="0" w:color="auto"/>
              <w:right w:val="nil"/>
            </w:tcBorders>
            <w:shd w:val="clear" w:color="000000" w:fill="D8DADA"/>
            <w:noWrap/>
            <w:vAlign w:val="center"/>
            <w:hideMark/>
          </w:tcPr>
          <w:p w14:paraId="2E670C10"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$5,007 </w:t>
            </w:r>
          </w:p>
        </w:tc>
        <w:tc>
          <w:tcPr>
            <w:tcW w:w="1340" w:type="dxa"/>
            <w:tcBorders>
              <w:top w:val="nil"/>
              <w:left w:val="nil"/>
              <w:bottom w:val="single" w:sz="8" w:space="0" w:color="auto"/>
              <w:right w:val="nil"/>
            </w:tcBorders>
            <w:shd w:val="clear" w:color="000000" w:fill="D8DADA"/>
            <w:noWrap/>
            <w:vAlign w:val="center"/>
            <w:hideMark/>
          </w:tcPr>
          <w:p w14:paraId="42469F8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$2,093 </w:t>
            </w:r>
          </w:p>
        </w:tc>
        <w:tc>
          <w:tcPr>
            <w:tcW w:w="1440" w:type="dxa"/>
            <w:tcBorders>
              <w:top w:val="nil"/>
              <w:left w:val="nil"/>
              <w:bottom w:val="single" w:sz="8" w:space="0" w:color="auto"/>
              <w:right w:val="nil"/>
            </w:tcBorders>
            <w:shd w:val="clear" w:color="000000" w:fill="D8DADA"/>
            <w:noWrap/>
            <w:vAlign w:val="center"/>
            <w:hideMark/>
          </w:tcPr>
          <w:p w14:paraId="2A63A09E"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$333 </w:t>
            </w:r>
          </w:p>
        </w:tc>
        <w:tc>
          <w:tcPr>
            <w:tcW w:w="1280" w:type="dxa"/>
            <w:tcBorders>
              <w:top w:val="nil"/>
              <w:left w:val="nil"/>
              <w:bottom w:val="single" w:sz="8" w:space="0" w:color="auto"/>
              <w:right w:val="nil"/>
            </w:tcBorders>
            <w:shd w:val="clear" w:color="000000" w:fill="D8DADA"/>
            <w:noWrap/>
            <w:vAlign w:val="center"/>
            <w:hideMark/>
          </w:tcPr>
          <w:p w14:paraId="4B15904F"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($2,770)</w:t>
            </w:r>
          </w:p>
        </w:tc>
        <w:tc>
          <w:tcPr>
            <w:tcW w:w="1180" w:type="dxa"/>
            <w:tcBorders>
              <w:top w:val="nil"/>
              <w:left w:val="nil"/>
              <w:bottom w:val="single" w:sz="8" w:space="0" w:color="auto"/>
              <w:right w:val="nil"/>
            </w:tcBorders>
            <w:shd w:val="clear" w:color="000000" w:fill="D8DADA"/>
            <w:noWrap/>
            <w:vAlign w:val="center"/>
            <w:hideMark/>
          </w:tcPr>
          <w:p w14:paraId="154E0869"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$708 </w:t>
            </w:r>
          </w:p>
        </w:tc>
      </w:tr>
      <w:tr w:rsidR="00331235" w:rsidRPr="00331235" w14:paraId="52C3247C" w14:textId="77777777" w:rsidTr="00331235">
        <w:trPr>
          <w:trHeight w:val="550"/>
        </w:trPr>
        <w:tc>
          <w:tcPr>
            <w:tcW w:w="4240" w:type="dxa"/>
            <w:gridSpan w:val="2"/>
            <w:tcBorders>
              <w:top w:val="single" w:sz="8" w:space="0" w:color="auto"/>
              <w:left w:val="nil"/>
              <w:bottom w:val="single" w:sz="8" w:space="0" w:color="auto"/>
              <w:right w:val="nil"/>
            </w:tcBorders>
            <w:shd w:val="clear" w:color="000000" w:fill="D8DADA"/>
            <w:vAlign w:val="center"/>
            <w:hideMark/>
          </w:tcPr>
          <w:p w14:paraId="7A5049BE"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Local state or territory government</w:t>
            </w:r>
          </w:p>
        </w:tc>
        <w:tc>
          <w:tcPr>
            <w:tcW w:w="1340" w:type="dxa"/>
            <w:tcBorders>
              <w:top w:val="nil"/>
              <w:left w:val="nil"/>
              <w:bottom w:val="single" w:sz="8" w:space="0" w:color="auto"/>
              <w:right w:val="nil"/>
            </w:tcBorders>
            <w:shd w:val="clear" w:color="000000" w:fill="D8DADA"/>
            <w:noWrap/>
            <w:vAlign w:val="center"/>
            <w:hideMark/>
          </w:tcPr>
          <w:p w14:paraId="7529F3BC"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 </w:t>
            </w:r>
          </w:p>
        </w:tc>
        <w:tc>
          <w:tcPr>
            <w:tcW w:w="1440" w:type="dxa"/>
            <w:tcBorders>
              <w:top w:val="nil"/>
              <w:left w:val="nil"/>
              <w:bottom w:val="single" w:sz="8" w:space="0" w:color="auto"/>
              <w:right w:val="nil"/>
            </w:tcBorders>
            <w:shd w:val="clear" w:color="000000" w:fill="D8DADA"/>
            <w:noWrap/>
            <w:vAlign w:val="center"/>
            <w:hideMark/>
          </w:tcPr>
          <w:p w14:paraId="65785AE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280" w:type="dxa"/>
            <w:tcBorders>
              <w:top w:val="nil"/>
              <w:left w:val="nil"/>
              <w:bottom w:val="single" w:sz="8" w:space="0" w:color="auto"/>
              <w:right w:val="nil"/>
            </w:tcBorders>
            <w:shd w:val="clear" w:color="000000" w:fill="D8DADA"/>
            <w:noWrap/>
            <w:vAlign w:val="center"/>
            <w:hideMark/>
          </w:tcPr>
          <w:p w14:paraId="5544F1AA"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180" w:type="dxa"/>
            <w:tcBorders>
              <w:top w:val="nil"/>
              <w:left w:val="nil"/>
              <w:bottom w:val="single" w:sz="8" w:space="0" w:color="auto"/>
              <w:right w:val="nil"/>
            </w:tcBorders>
            <w:shd w:val="clear" w:color="000000" w:fill="D8DADA"/>
            <w:noWrap/>
            <w:vAlign w:val="center"/>
            <w:hideMark/>
          </w:tcPr>
          <w:p w14:paraId="50F7F01B"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r>
      <w:tr w:rsidR="00331235" w:rsidRPr="00331235" w14:paraId="4EBEECCC" w14:textId="77777777" w:rsidTr="00331235">
        <w:trPr>
          <w:trHeight w:val="280"/>
        </w:trPr>
        <w:tc>
          <w:tcPr>
            <w:tcW w:w="2780" w:type="dxa"/>
            <w:tcBorders>
              <w:top w:val="nil"/>
              <w:left w:val="nil"/>
              <w:bottom w:val="single" w:sz="12" w:space="0" w:color="1E1545"/>
              <w:right w:val="nil"/>
            </w:tcBorders>
            <w:shd w:val="clear" w:color="auto" w:fill="auto"/>
            <w:vAlign w:val="center"/>
            <w:hideMark/>
          </w:tcPr>
          <w:p w14:paraId="235B795F"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Number of providers</w:t>
            </w:r>
          </w:p>
        </w:tc>
        <w:tc>
          <w:tcPr>
            <w:tcW w:w="1460" w:type="dxa"/>
            <w:tcBorders>
              <w:top w:val="nil"/>
              <w:left w:val="nil"/>
              <w:bottom w:val="single" w:sz="12" w:space="0" w:color="1E1545"/>
              <w:right w:val="nil"/>
            </w:tcBorders>
            <w:shd w:val="clear" w:color="000000" w:fill="FFFFFF"/>
            <w:vAlign w:val="center"/>
            <w:hideMark/>
          </w:tcPr>
          <w:p w14:paraId="074C0091"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18</w:t>
            </w:r>
          </w:p>
        </w:tc>
        <w:tc>
          <w:tcPr>
            <w:tcW w:w="1340" w:type="dxa"/>
            <w:tcBorders>
              <w:top w:val="nil"/>
              <w:left w:val="nil"/>
              <w:bottom w:val="single" w:sz="12" w:space="0" w:color="1E1545"/>
              <w:right w:val="nil"/>
            </w:tcBorders>
            <w:shd w:val="clear" w:color="000000" w:fill="FFFFFF"/>
            <w:vAlign w:val="center"/>
            <w:hideMark/>
          </w:tcPr>
          <w:p w14:paraId="09BE5FFE"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15</w:t>
            </w:r>
          </w:p>
        </w:tc>
        <w:tc>
          <w:tcPr>
            <w:tcW w:w="1440" w:type="dxa"/>
            <w:tcBorders>
              <w:top w:val="nil"/>
              <w:left w:val="nil"/>
              <w:bottom w:val="single" w:sz="12" w:space="0" w:color="1E1545"/>
              <w:right w:val="nil"/>
            </w:tcBorders>
            <w:shd w:val="clear" w:color="000000" w:fill="FFFFFF"/>
            <w:vAlign w:val="center"/>
            <w:hideMark/>
          </w:tcPr>
          <w:p w14:paraId="67755848"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37</w:t>
            </w:r>
          </w:p>
        </w:tc>
        <w:tc>
          <w:tcPr>
            <w:tcW w:w="1280" w:type="dxa"/>
            <w:tcBorders>
              <w:top w:val="nil"/>
              <w:left w:val="nil"/>
              <w:bottom w:val="single" w:sz="12" w:space="0" w:color="1E1545"/>
              <w:right w:val="nil"/>
            </w:tcBorders>
            <w:shd w:val="clear" w:color="000000" w:fill="FFFFFF"/>
            <w:vAlign w:val="center"/>
            <w:hideMark/>
          </w:tcPr>
          <w:p w14:paraId="1BC8A72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26</w:t>
            </w:r>
          </w:p>
        </w:tc>
        <w:tc>
          <w:tcPr>
            <w:tcW w:w="1180" w:type="dxa"/>
            <w:tcBorders>
              <w:top w:val="nil"/>
              <w:left w:val="nil"/>
              <w:bottom w:val="single" w:sz="12" w:space="0" w:color="1E1545"/>
              <w:right w:val="nil"/>
            </w:tcBorders>
            <w:shd w:val="clear" w:color="000000" w:fill="FFFFFF"/>
            <w:vAlign w:val="center"/>
            <w:hideMark/>
          </w:tcPr>
          <w:p w14:paraId="7BC1A40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96</w:t>
            </w:r>
          </w:p>
        </w:tc>
      </w:tr>
      <w:tr w:rsidR="00331235" w:rsidRPr="00331235" w14:paraId="2AFE6B56"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0D8F2DF2"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revenue per recipient</w:t>
            </w:r>
          </w:p>
        </w:tc>
        <w:tc>
          <w:tcPr>
            <w:tcW w:w="1460" w:type="dxa"/>
            <w:tcBorders>
              <w:top w:val="nil"/>
              <w:left w:val="nil"/>
              <w:bottom w:val="single" w:sz="12" w:space="0" w:color="1E1545"/>
              <w:right w:val="nil"/>
            </w:tcBorders>
            <w:shd w:val="clear" w:color="000000" w:fill="FFFFFF"/>
            <w:noWrap/>
            <w:vAlign w:val="center"/>
            <w:hideMark/>
          </w:tcPr>
          <w:p w14:paraId="48E25C9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$22,926 </w:t>
            </w:r>
          </w:p>
        </w:tc>
        <w:tc>
          <w:tcPr>
            <w:tcW w:w="1340" w:type="dxa"/>
            <w:tcBorders>
              <w:top w:val="nil"/>
              <w:left w:val="nil"/>
              <w:bottom w:val="single" w:sz="12" w:space="0" w:color="1E1545"/>
              <w:right w:val="nil"/>
            </w:tcBorders>
            <w:shd w:val="clear" w:color="000000" w:fill="FFFFFF"/>
            <w:noWrap/>
            <w:vAlign w:val="center"/>
            <w:hideMark/>
          </w:tcPr>
          <w:p w14:paraId="2F0768EC"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$25,817 </w:t>
            </w:r>
          </w:p>
        </w:tc>
        <w:tc>
          <w:tcPr>
            <w:tcW w:w="1440" w:type="dxa"/>
            <w:tcBorders>
              <w:top w:val="nil"/>
              <w:left w:val="nil"/>
              <w:bottom w:val="single" w:sz="12" w:space="0" w:color="1E1545"/>
              <w:right w:val="nil"/>
            </w:tcBorders>
            <w:shd w:val="clear" w:color="000000" w:fill="FFFFFF"/>
            <w:noWrap/>
            <w:vAlign w:val="center"/>
            <w:hideMark/>
          </w:tcPr>
          <w:p w14:paraId="4A50EB91"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$24,500 </w:t>
            </w:r>
          </w:p>
        </w:tc>
        <w:tc>
          <w:tcPr>
            <w:tcW w:w="1280" w:type="dxa"/>
            <w:tcBorders>
              <w:top w:val="nil"/>
              <w:left w:val="nil"/>
              <w:bottom w:val="single" w:sz="12" w:space="0" w:color="1E1545"/>
              <w:right w:val="nil"/>
            </w:tcBorders>
            <w:shd w:val="clear" w:color="000000" w:fill="FFFFFF"/>
            <w:noWrap/>
            <w:vAlign w:val="center"/>
            <w:hideMark/>
          </w:tcPr>
          <w:p w14:paraId="1D69FE9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$20,701 </w:t>
            </w:r>
          </w:p>
        </w:tc>
        <w:tc>
          <w:tcPr>
            <w:tcW w:w="1180" w:type="dxa"/>
            <w:tcBorders>
              <w:top w:val="nil"/>
              <w:left w:val="nil"/>
              <w:bottom w:val="single" w:sz="12" w:space="0" w:color="1E1545"/>
              <w:right w:val="nil"/>
            </w:tcBorders>
            <w:shd w:val="clear" w:color="000000" w:fill="FFFFFF"/>
            <w:noWrap/>
            <w:vAlign w:val="center"/>
            <w:hideMark/>
          </w:tcPr>
          <w:p w14:paraId="06594D7D"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$23,479 </w:t>
            </w:r>
          </w:p>
        </w:tc>
      </w:tr>
      <w:tr w:rsidR="00331235" w:rsidRPr="00331235" w14:paraId="32D289BB"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7D687B2F"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expenses per recipient</w:t>
            </w:r>
          </w:p>
        </w:tc>
        <w:tc>
          <w:tcPr>
            <w:tcW w:w="1460" w:type="dxa"/>
            <w:tcBorders>
              <w:top w:val="nil"/>
              <w:left w:val="nil"/>
              <w:bottom w:val="single" w:sz="12" w:space="0" w:color="1E1545"/>
              <w:right w:val="nil"/>
            </w:tcBorders>
            <w:shd w:val="clear" w:color="000000" w:fill="FFFFFF"/>
            <w:noWrap/>
            <w:vAlign w:val="center"/>
            <w:hideMark/>
          </w:tcPr>
          <w:p w14:paraId="2C4ABC14"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$18,328 </w:t>
            </w:r>
          </w:p>
        </w:tc>
        <w:tc>
          <w:tcPr>
            <w:tcW w:w="1340" w:type="dxa"/>
            <w:tcBorders>
              <w:top w:val="nil"/>
              <w:left w:val="nil"/>
              <w:bottom w:val="single" w:sz="12" w:space="0" w:color="1E1545"/>
              <w:right w:val="nil"/>
            </w:tcBorders>
            <w:shd w:val="clear" w:color="000000" w:fill="FFFFFF"/>
            <w:noWrap/>
            <w:vAlign w:val="center"/>
            <w:hideMark/>
          </w:tcPr>
          <w:p w14:paraId="4A1E047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$23,878 </w:t>
            </w:r>
          </w:p>
        </w:tc>
        <w:tc>
          <w:tcPr>
            <w:tcW w:w="1440" w:type="dxa"/>
            <w:tcBorders>
              <w:top w:val="nil"/>
              <w:left w:val="nil"/>
              <w:bottom w:val="single" w:sz="12" w:space="0" w:color="1E1545"/>
              <w:right w:val="nil"/>
            </w:tcBorders>
            <w:shd w:val="clear" w:color="000000" w:fill="FFFFFF"/>
            <w:noWrap/>
            <w:vAlign w:val="center"/>
            <w:hideMark/>
          </w:tcPr>
          <w:p w14:paraId="7C9D06DD"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$24,330 </w:t>
            </w:r>
          </w:p>
        </w:tc>
        <w:tc>
          <w:tcPr>
            <w:tcW w:w="1280" w:type="dxa"/>
            <w:tcBorders>
              <w:top w:val="nil"/>
              <w:left w:val="nil"/>
              <w:bottom w:val="single" w:sz="12" w:space="0" w:color="1E1545"/>
              <w:right w:val="nil"/>
            </w:tcBorders>
            <w:shd w:val="clear" w:color="000000" w:fill="FFFFFF"/>
            <w:noWrap/>
            <w:vAlign w:val="center"/>
            <w:hideMark/>
          </w:tcPr>
          <w:p w14:paraId="2F1D45B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$23,327 </w:t>
            </w:r>
          </w:p>
        </w:tc>
        <w:tc>
          <w:tcPr>
            <w:tcW w:w="1180" w:type="dxa"/>
            <w:tcBorders>
              <w:top w:val="nil"/>
              <w:left w:val="nil"/>
              <w:bottom w:val="single" w:sz="12" w:space="0" w:color="1E1545"/>
              <w:right w:val="nil"/>
            </w:tcBorders>
            <w:shd w:val="clear" w:color="000000" w:fill="FFFFFF"/>
            <w:noWrap/>
            <w:vAlign w:val="center"/>
            <w:hideMark/>
          </w:tcPr>
          <w:p w14:paraId="110974CD"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$23,134 </w:t>
            </w:r>
          </w:p>
        </w:tc>
      </w:tr>
      <w:tr w:rsidR="00331235" w:rsidRPr="00331235" w14:paraId="0E0FC899" w14:textId="77777777" w:rsidTr="00331235">
        <w:trPr>
          <w:trHeight w:val="290"/>
        </w:trPr>
        <w:tc>
          <w:tcPr>
            <w:tcW w:w="2780" w:type="dxa"/>
            <w:tcBorders>
              <w:top w:val="nil"/>
              <w:left w:val="nil"/>
              <w:bottom w:val="single" w:sz="8" w:space="0" w:color="auto"/>
              <w:right w:val="nil"/>
            </w:tcBorders>
            <w:shd w:val="clear" w:color="000000" w:fill="D8DADA"/>
            <w:vAlign w:val="center"/>
            <w:hideMark/>
          </w:tcPr>
          <w:p w14:paraId="51FA99AF"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NPBT per recipient</w:t>
            </w:r>
          </w:p>
        </w:tc>
        <w:tc>
          <w:tcPr>
            <w:tcW w:w="1460" w:type="dxa"/>
            <w:tcBorders>
              <w:top w:val="nil"/>
              <w:left w:val="nil"/>
              <w:bottom w:val="single" w:sz="8" w:space="0" w:color="auto"/>
              <w:right w:val="nil"/>
            </w:tcBorders>
            <w:shd w:val="clear" w:color="000000" w:fill="D8DADA"/>
            <w:noWrap/>
            <w:vAlign w:val="center"/>
            <w:hideMark/>
          </w:tcPr>
          <w:p w14:paraId="15E6A4BF"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$4,597 </w:t>
            </w:r>
          </w:p>
        </w:tc>
        <w:tc>
          <w:tcPr>
            <w:tcW w:w="1340" w:type="dxa"/>
            <w:tcBorders>
              <w:top w:val="nil"/>
              <w:left w:val="nil"/>
              <w:bottom w:val="single" w:sz="8" w:space="0" w:color="auto"/>
              <w:right w:val="nil"/>
            </w:tcBorders>
            <w:shd w:val="clear" w:color="000000" w:fill="D8DADA"/>
            <w:noWrap/>
            <w:vAlign w:val="center"/>
            <w:hideMark/>
          </w:tcPr>
          <w:p w14:paraId="4C4AE284"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$1,940 </w:t>
            </w:r>
          </w:p>
        </w:tc>
        <w:tc>
          <w:tcPr>
            <w:tcW w:w="1440" w:type="dxa"/>
            <w:tcBorders>
              <w:top w:val="nil"/>
              <w:left w:val="nil"/>
              <w:bottom w:val="single" w:sz="8" w:space="0" w:color="auto"/>
              <w:right w:val="nil"/>
            </w:tcBorders>
            <w:shd w:val="clear" w:color="000000" w:fill="D8DADA"/>
            <w:noWrap/>
            <w:vAlign w:val="center"/>
            <w:hideMark/>
          </w:tcPr>
          <w:p w14:paraId="6FE0C575"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$170 </w:t>
            </w:r>
          </w:p>
        </w:tc>
        <w:tc>
          <w:tcPr>
            <w:tcW w:w="1280" w:type="dxa"/>
            <w:tcBorders>
              <w:top w:val="nil"/>
              <w:left w:val="nil"/>
              <w:bottom w:val="single" w:sz="8" w:space="0" w:color="auto"/>
              <w:right w:val="nil"/>
            </w:tcBorders>
            <w:shd w:val="clear" w:color="000000" w:fill="D8DADA"/>
            <w:noWrap/>
            <w:vAlign w:val="center"/>
            <w:hideMark/>
          </w:tcPr>
          <w:p w14:paraId="1D03FBBD"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($2,626)</w:t>
            </w:r>
          </w:p>
        </w:tc>
        <w:tc>
          <w:tcPr>
            <w:tcW w:w="1180" w:type="dxa"/>
            <w:tcBorders>
              <w:top w:val="nil"/>
              <w:left w:val="nil"/>
              <w:bottom w:val="single" w:sz="8" w:space="0" w:color="auto"/>
              <w:right w:val="nil"/>
            </w:tcBorders>
            <w:shd w:val="clear" w:color="000000" w:fill="D8DADA"/>
            <w:noWrap/>
            <w:vAlign w:val="center"/>
            <w:hideMark/>
          </w:tcPr>
          <w:p w14:paraId="3CDD3A3B"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$345 </w:t>
            </w:r>
          </w:p>
        </w:tc>
      </w:tr>
      <w:tr w:rsidR="00331235" w:rsidRPr="00331235" w14:paraId="08D6C1B1" w14:textId="77777777" w:rsidTr="00331235">
        <w:trPr>
          <w:trHeight w:val="280"/>
        </w:trPr>
        <w:tc>
          <w:tcPr>
            <w:tcW w:w="2780" w:type="dxa"/>
            <w:tcBorders>
              <w:top w:val="nil"/>
              <w:left w:val="nil"/>
              <w:bottom w:val="single" w:sz="8" w:space="0" w:color="auto"/>
              <w:right w:val="nil"/>
            </w:tcBorders>
            <w:shd w:val="clear" w:color="000000" w:fill="D8DADA"/>
            <w:vAlign w:val="center"/>
            <w:hideMark/>
          </w:tcPr>
          <w:p w14:paraId="0E8F3CEC"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Total</w:t>
            </w:r>
          </w:p>
        </w:tc>
        <w:tc>
          <w:tcPr>
            <w:tcW w:w="1460" w:type="dxa"/>
            <w:tcBorders>
              <w:top w:val="nil"/>
              <w:left w:val="nil"/>
              <w:bottom w:val="single" w:sz="8" w:space="0" w:color="auto"/>
              <w:right w:val="nil"/>
            </w:tcBorders>
            <w:shd w:val="clear" w:color="000000" w:fill="D8DADA"/>
            <w:noWrap/>
            <w:vAlign w:val="center"/>
            <w:hideMark/>
          </w:tcPr>
          <w:p w14:paraId="2820EB13"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340" w:type="dxa"/>
            <w:tcBorders>
              <w:top w:val="nil"/>
              <w:left w:val="nil"/>
              <w:bottom w:val="single" w:sz="8" w:space="0" w:color="auto"/>
              <w:right w:val="nil"/>
            </w:tcBorders>
            <w:shd w:val="clear" w:color="000000" w:fill="D8DADA"/>
            <w:noWrap/>
            <w:vAlign w:val="center"/>
            <w:hideMark/>
          </w:tcPr>
          <w:p w14:paraId="11E6FA5E"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440" w:type="dxa"/>
            <w:tcBorders>
              <w:top w:val="nil"/>
              <w:left w:val="nil"/>
              <w:bottom w:val="single" w:sz="8" w:space="0" w:color="auto"/>
              <w:right w:val="nil"/>
            </w:tcBorders>
            <w:shd w:val="clear" w:color="000000" w:fill="D8DADA"/>
            <w:noWrap/>
            <w:vAlign w:val="center"/>
            <w:hideMark/>
          </w:tcPr>
          <w:p w14:paraId="651FA00B"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280" w:type="dxa"/>
            <w:tcBorders>
              <w:top w:val="nil"/>
              <w:left w:val="nil"/>
              <w:bottom w:val="single" w:sz="8" w:space="0" w:color="auto"/>
              <w:right w:val="nil"/>
            </w:tcBorders>
            <w:shd w:val="clear" w:color="000000" w:fill="D8DADA"/>
            <w:noWrap/>
            <w:vAlign w:val="center"/>
            <w:hideMark/>
          </w:tcPr>
          <w:p w14:paraId="094BB32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c>
          <w:tcPr>
            <w:tcW w:w="1180" w:type="dxa"/>
            <w:tcBorders>
              <w:top w:val="nil"/>
              <w:left w:val="nil"/>
              <w:bottom w:val="single" w:sz="8" w:space="0" w:color="auto"/>
              <w:right w:val="nil"/>
            </w:tcBorders>
            <w:shd w:val="clear" w:color="000000" w:fill="D8DADA"/>
            <w:noWrap/>
            <w:vAlign w:val="center"/>
            <w:hideMark/>
          </w:tcPr>
          <w:p w14:paraId="3825450C"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w:t>
            </w:r>
          </w:p>
        </w:tc>
      </w:tr>
      <w:tr w:rsidR="00331235" w:rsidRPr="00331235" w14:paraId="156EECB8" w14:textId="77777777" w:rsidTr="00331235">
        <w:trPr>
          <w:trHeight w:val="280"/>
        </w:trPr>
        <w:tc>
          <w:tcPr>
            <w:tcW w:w="2780" w:type="dxa"/>
            <w:tcBorders>
              <w:top w:val="nil"/>
              <w:left w:val="nil"/>
              <w:bottom w:val="single" w:sz="12" w:space="0" w:color="1E1545"/>
              <w:right w:val="nil"/>
            </w:tcBorders>
            <w:shd w:val="clear" w:color="auto" w:fill="auto"/>
            <w:vAlign w:val="center"/>
            <w:hideMark/>
          </w:tcPr>
          <w:p w14:paraId="31D15F18"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Number of providers</w:t>
            </w:r>
          </w:p>
        </w:tc>
        <w:tc>
          <w:tcPr>
            <w:tcW w:w="1460" w:type="dxa"/>
            <w:tcBorders>
              <w:top w:val="nil"/>
              <w:left w:val="nil"/>
              <w:bottom w:val="single" w:sz="12" w:space="0" w:color="1E1545"/>
              <w:right w:val="nil"/>
            </w:tcBorders>
            <w:shd w:val="clear" w:color="000000" w:fill="FFFFFF"/>
            <w:vAlign w:val="center"/>
            <w:hideMark/>
          </w:tcPr>
          <w:p w14:paraId="4839F39C"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212</w:t>
            </w:r>
          </w:p>
        </w:tc>
        <w:tc>
          <w:tcPr>
            <w:tcW w:w="1340" w:type="dxa"/>
            <w:tcBorders>
              <w:top w:val="nil"/>
              <w:left w:val="nil"/>
              <w:bottom w:val="single" w:sz="12" w:space="0" w:color="1E1545"/>
              <w:right w:val="nil"/>
            </w:tcBorders>
            <w:shd w:val="clear" w:color="000000" w:fill="FFFFFF"/>
            <w:vAlign w:val="center"/>
            <w:hideMark/>
          </w:tcPr>
          <w:p w14:paraId="724383F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211</w:t>
            </w:r>
          </w:p>
        </w:tc>
        <w:tc>
          <w:tcPr>
            <w:tcW w:w="1440" w:type="dxa"/>
            <w:tcBorders>
              <w:top w:val="nil"/>
              <w:left w:val="nil"/>
              <w:bottom w:val="single" w:sz="12" w:space="0" w:color="1E1545"/>
              <w:right w:val="nil"/>
            </w:tcBorders>
            <w:shd w:val="clear" w:color="000000" w:fill="FFFFFF"/>
            <w:vAlign w:val="center"/>
            <w:hideMark/>
          </w:tcPr>
          <w:p w14:paraId="232B2BF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211</w:t>
            </w:r>
          </w:p>
        </w:tc>
        <w:tc>
          <w:tcPr>
            <w:tcW w:w="1280" w:type="dxa"/>
            <w:tcBorders>
              <w:top w:val="nil"/>
              <w:left w:val="nil"/>
              <w:bottom w:val="single" w:sz="12" w:space="0" w:color="1E1545"/>
              <w:right w:val="nil"/>
            </w:tcBorders>
            <w:shd w:val="clear" w:color="000000" w:fill="FFFFFF"/>
            <w:vAlign w:val="center"/>
            <w:hideMark/>
          </w:tcPr>
          <w:p w14:paraId="4A439A32"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212</w:t>
            </w:r>
          </w:p>
        </w:tc>
        <w:tc>
          <w:tcPr>
            <w:tcW w:w="1180" w:type="dxa"/>
            <w:tcBorders>
              <w:top w:val="nil"/>
              <w:left w:val="nil"/>
              <w:bottom w:val="single" w:sz="12" w:space="0" w:color="1E1545"/>
              <w:right w:val="nil"/>
            </w:tcBorders>
            <w:shd w:val="clear" w:color="000000" w:fill="FFFFFF"/>
            <w:vAlign w:val="center"/>
            <w:hideMark/>
          </w:tcPr>
          <w:p w14:paraId="1E7F51B9"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846</w:t>
            </w:r>
          </w:p>
        </w:tc>
      </w:tr>
      <w:tr w:rsidR="00331235" w:rsidRPr="00331235" w14:paraId="29429C3B"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5B7BFF65"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revenue per recipient</w:t>
            </w:r>
          </w:p>
        </w:tc>
        <w:tc>
          <w:tcPr>
            <w:tcW w:w="1460" w:type="dxa"/>
            <w:tcBorders>
              <w:top w:val="nil"/>
              <w:left w:val="nil"/>
              <w:bottom w:val="single" w:sz="12" w:space="0" w:color="1E1545"/>
              <w:right w:val="nil"/>
            </w:tcBorders>
            <w:shd w:val="clear" w:color="000000" w:fill="FFFFFF"/>
            <w:noWrap/>
            <w:vAlign w:val="center"/>
            <w:hideMark/>
          </w:tcPr>
          <w:p w14:paraId="3F01BA81"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$28,731 </w:t>
            </w:r>
          </w:p>
        </w:tc>
        <w:tc>
          <w:tcPr>
            <w:tcW w:w="1340" w:type="dxa"/>
            <w:tcBorders>
              <w:top w:val="nil"/>
              <w:left w:val="nil"/>
              <w:bottom w:val="single" w:sz="12" w:space="0" w:color="1E1545"/>
              <w:right w:val="nil"/>
            </w:tcBorders>
            <w:shd w:val="clear" w:color="000000" w:fill="FFFFFF"/>
            <w:noWrap/>
            <w:vAlign w:val="center"/>
            <w:hideMark/>
          </w:tcPr>
          <w:p w14:paraId="405CC785"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$23,957 </w:t>
            </w:r>
          </w:p>
        </w:tc>
        <w:tc>
          <w:tcPr>
            <w:tcW w:w="1440" w:type="dxa"/>
            <w:tcBorders>
              <w:top w:val="nil"/>
              <w:left w:val="nil"/>
              <w:bottom w:val="single" w:sz="12" w:space="0" w:color="1E1545"/>
              <w:right w:val="nil"/>
            </w:tcBorders>
            <w:shd w:val="clear" w:color="000000" w:fill="FFFFFF"/>
            <w:noWrap/>
            <w:vAlign w:val="center"/>
            <w:hideMark/>
          </w:tcPr>
          <w:p w14:paraId="425F1F4B"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$24,278 </w:t>
            </w:r>
          </w:p>
        </w:tc>
        <w:tc>
          <w:tcPr>
            <w:tcW w:w="1280" w:type="dxa"/>
            <w:tcBorders>
              <w:top w:val="nil"/>
              <w:left w:val="nil"/>
              <w:bottom w:val="single" w:sz="12" w:space="0" w:color="1E1545"/>
              <w:right w:val="nil"/>
            </w:tcBorders>
            <w:shd w:val="clear" w:color="000000" w:fill="FFFFFF"/>
            <w:noWrap/>
            <w:vAlign w:val="center"/>
            <w:hideMark/>
          </w:tcPr>
          <w:p w14:paraId="5640624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$23,991 </w:t>
            </w:r>
          </w:p>
        </w:tc>
        <w:tc>
          <w:tcPr>
            <w:tcW w:w="1180" w:type="dxa"/>
            <w:tcBorders>
              <w:top w:val="nil"/>
              <w:left w:val="nil"/>
              <w:bottom w:val="single" w:sz="12" w:space="0" w:color="1E1545"/>
              <w:right w:val="nil"/>
            </w:tcBorders>
            <w:shd w:val="clear" w:color="000000" w:fill="FFFFFF"/>
            <w:noWrap/>
            <w:vAlign w:val="center"/>
            <w:hideMark/>
          </w:tcPr>
          <w:p w14:paraId="7F06219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$24,689 </w:t>
            </w:r>
          </w:p>
        </w:tc>
      </w:tr>
      <w:tr w:rsidR="00331235" w:rsidRPr="00331235" w14:paraId="7B077410" w14:textId="77777777" w:rsidTr="00331235">
        <w:trPr>
          <w:trHeight w:val="290"/>
        </w:trPr>
        <w:tc>
          <w:tcPr>
            <w:tcW w:w="2780" w:type="dxa"/>
            <w:tcBorders>
              <w:top w:val="nil"/>
              <w:left w:val="nil"/>
              <w:bottom w:val="single" w:sz="12" w:space="0" w:color="1E1545"/>
              <w:right w:val="nil"/>
            </w:tcBorders>
            <w:shd w:val="clear" w:color="auto" w:fill="auto"/>
            <w:vAlign w:val="center"/>
            <w:hideMark/>
          </w:tcPr>
          <w:p w14:paraId="7B705447" w14:textId="77777777" w:rsidR="00331235" w:rsidRPr="00331235" w:rsidRDefault="00331235" w:rsidP="00331235">
            <w:pPr>
              <w:spacing w:before="0" w:after="0" w:line="240" w:lineRule="auto"/>
              <w:rPr>
                <w:rFonts w:cs="Arial"/>
                <w:bCs w:val="0"/>
                <w:color w:val="1E1545"/>
                <w:sz w:val="21"/>
                <w:szCs w:val="21"/>
                <w:lang w:eastAsia="en-AU"/>
              </w:rPr>
            </w:pPr>
            <w:r w:rsidRPr="00331235">
              <w:rPr>
                <w:rFonts w:cs="Arial"/>
                <w:bCs w:val="0"/>
                <w:color w:val="1E1545"/>
                <w:sz w:val="21"/>
                <w:szCs w:val="21"/>
                <w:lang w:eastAsia="en-AU"/>
              </w:rPr>
              <w:t>Total expenses per recipient</w:t>
            </w:r>
          </w:p>
        </w:tc>
        <w:tc>
          <w:tcPr>
            <w:tcW w:w="1460" w:type="dxa"/>
            <w:tcBorders>
              <w:top w:val="nil"/>
              <w:left w:val="nil"/>
              <w:bottom w:val="single" w:sz="12" w:space="0" w:color="1E1545"/>
              <w:right w:val="nil"/>
            </w:tcBorders>
            <w:shd w:val="clear" w:color="000000" w:fill="FFFFFF"/>
            <w:noWrap/>
            <w:vAlign w:val="center"/>
            <w:hideMark/>
          </w:tcPr>
          <w:p w14:paraId="1F5E279F"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$23,369 </w:t>
            </w:r>
          </w:p>
        </w:tc>
        <w:tc>
          <w:tcPr>
            <w:tcW w:w="1340" w:type="dxa"/>
            <w:tcBorders>
              <w:top w:val="nil"/>
              <w:left w:val="nil"/>
              <w:bottom w:val="single" w:sz="12" w:space="0" w:color="1E1545"/>
              <w:right w:val="nil"/>
            </w:tcBorders>
            <w:shd w:val="clear" w:color="000000" w:fill="FFFFFF"/>
            <w:noWrap/>
            <w:vAlign w:val="center"/>
            <w:hideMark/>
          </w:tcPr>
          <w:p w14:paraId="7A22D41A"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$22,177 </w:t>
            </w:r>
          </w:p>
        </w:tc>
        <w:tc>
          <w:tcPr>
            <w:tcW w:w="1440" w:type="dxa"/>
            <w:tcBorders>
              <w:top w:val="nil"/>
              <w:left w:val="nil"/>
              <w:bottom w:val="single" w:sz="12" w:space="0" w:color="1E1545"/>
              <w:right w:val="nil"/>
            </w:tcBorders>
            <w:shd w:val="clear" w:color="000000" w:fill="FFFFFF"/>
            <w:noWrap/>
            <w:vAlign w:val="center"/>
            <w:hideMark/>
          </w:tcPr>
          <w:p w14:paraId="252FE561"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$23,952 </w:t>
            </w:r>
          </w:p>
        </w:tc>
        <w:tc>
          <w:tcPr>
            <w:tcW w:w="1280" w:type="dxa"/>
            <w:tcBorders>
              <w:top w:val="nil"/>
              <w:left w:val="nil"/>
              <w:bottom w:val="single" w:sz="12" w:space="0" w:color="1E1545"/>
              <w:right w:val="nil"/>
            </w:tcBorders>
            <w:shd w:val="clear" w:color="000000" w:fill="FFFFFF"/>
            <w:noWrap/>
            <w:vAlign w:val="center"/>
            <w:hideMark/>
          </w:tcPr>
          <w:p w14:paraId="397F7E80"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$27,388 </w:t>
            </w:r>
          </w:p>
        </w:tc>
        <w:tc>
          <w:tcPr>
            <w:tcW w:w="1180" w:type="dxa"/>
            <w:tcBorders>
              <w:top w:val="nil"/>
              <w:left w:val="nil"/>
              <w:bottom w:val="single" w:sz="12" w:space="0" w:color="1E1545"/>
              <w:right w:val="nil"/>
            </w:tcBorders>
            <w:shd w:val="clear" w:color="000000" w:fill="FFFFFF"/>
            <w:noWrap/>
            <w:vAlign w:val="center"/>
            <w:hideMark/>
          </w:tcPr>
          <w:p w14:paraId="6B24BA2E" w14:textId="77777777" w:rsidR="00331235" w:rsidRPr="00331235" w:rsidRDefault="00331235" w:rsidP="00331235">
            <w:pPr>
              <w:spacing w:before="0" w:after="0" w:line="240" w:lineRule="auto"/>
              <w:jc w:val="right"/>
              <w:rPr>
                <w:rFonts w:cs="Arial"/>
                <w:bCs w:val="0"/>
                <w:color w:val="1E1545"/>
                <w:sz w:val="21"/>
                <w:szCs w:val="21"/>
                <w:lang w:eastAsia="en-AU"/>
              </w:rPr>
            </w:pPr>
            <w:r w:rsidRPr="00331235">
              <w:rPr>
                <w:rFonts w:cs="Arial"/>
                <w:bCs w:val="0"/>
                <w:color w:val="1E1545"/>
                <w:sz w:val="21"/>
                <w:szCs w:val="21"/>
                <w:lang w:eastAsia="en-AU"/>
              </w:rPr>
              <w:t xml:space="preserve"> $23,897 </w:t>
            </w:r>
          </w:p>
        </w:tc>
      </w:tr>
      <w:tr w:rsidR="00331235" w:rsidRPr="00331235" w14:paraId="3BACE67A" w14:textId="77777777" w:rsidTr="00331235">
        <w:trPr>
          <w:trHeight w:val="290"/>
        </w:trPr>
        <w:tc>
          <w:tcPr>
            <w:tcW w:w="2780" w:type="dxa"/>
            <w:tcBorders>
              <w:top w:val="nil"/>
              <w:left w:val="nil"/>
              <w:bottom w:val="single" w:sz="8" w:space="0" w:color="auto"/>
              <w:right w:val="nil"/>
            </w:tcBorders>
            <w:shd w:val="clear" w:color="000000" w:fill="D8DADA"/>
            <w:vAlign w:val="center"/>
            <w:hideMark/>
          </w:tcPr>
          <w:p w14:paraId="67FC85AB" w14:textId="77777777" w:rsidR="00331235" w:rsidRPr="00331235" w:rsidRDefault="00331235" w:rsidP="00331235">
            <w:pPr>
              <w:spacing w:before="0" w:after="0" w:line="240" w:lineRule="auto"/>
              <w:rPr>
                <w:rFonts w:cs="Arial"/>
                <w:b/>
                <w:color w:val="1E1545"/>
                <w:sz w:val="21"/>
                <w:szCs w:val="21"/>
                <w:lang w:eastAsia="en-AU"/>
              </w:rPr>
            </w:pPr>
            <w:r w:rsidRPr="00331235">
              <w:rPr>
                <w:rFonts w:cs="Arial"/>
                <w:b/>
                <w:color w:val="1E1545"/>
                <w:sz w:val="21"/>
                <w:szCs w:val="21"/>
                <w:lang w:eastAsia="en-AU"/>
              </w:rPr>
              <w:t>NPBT per recipient</w:t>
            </w:r>
          </w:p>
        </w:tc>
        <w:tc>
          <w:tcPr>
            <w:tcW w:w="1460" w:type="dxa"/>
            <w:tcBorders>
              <w:top w:val="nil"/>
              <w:left w:val="nil"/>
              <w:bottom w:val="single" w:sz="8" w:space="0" w:color="auto"/>
              <w:right w:val="nil"/>
            </w:tcBorders>
            <w:shd w:val="clear" w:color="000000" w:fill="D8DADA"/>
            <w:noWrap/>
            <w:vAlign w:val="center"/>
            <w:hideMark/>
          </w:tcPr>
          <w:p w14:paraId="5DA0D4B3"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$5,362 </w:t>
            </w:r>
          </w:p>
        </w:tc>
        <w:tc>
          <w:tcPr>
            <w:tcW w:w="1340" w:type="dxa"/>
            <w:tcBorders>
              <w:top w:val="nil"/>
              <w:left w:val="nil"/>
              <w:bottom w:val="single" w:sz="8" w:space="0" w:color="auto"/>
              <w:right w:val="nil"/>
            </w:tcBorders>
            <w:shd w:val="clear" w:color="000000" w:fill="D8DADA"/>
            <w:noWrap/>
            <w:vAlign w:val="center"/>
            <w:hideMark/>
          </w:tcPr>
          <w:p w14:paraId="7E0CC039"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$1,780 </w:t>
            </w:r>
          </w:p>
        </w:tc>
        <w:tc>
          <w:tcPr>
            <w:tcW w:w="1440" w:type="dxa"/>
            <w:tcBorders>
              <w:top w:val="nil"/>
              <w:left w:val="nil"/>
              <w:bottom w:val="single" w:sz="8" w:space="0" w:color="auto"/>
              <w:right w:val="nil"/>
            </w:tcBorders>
            <w:shd w:val="clear" w:color="000000" w:fill="D8DADA"/>
            <w:noWrap/>
            <w:vAlign w:val="center"/>
            <w:hideMark/>
          </w:tcPr>
          <w:p w14:paraId="4A374BCF"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$325 </w:t>
            </w:r>
          </w:p>
        </w:tc>
        <w:tc>
          <w:tcPr>
            <w:tcW w:w="1280" w:type="dxa"/>
            <w:tcBorders>
              <w:top w:val="nil"/>
              <w:left w:val="nil"/>
              <w:bottom w:val="single" w:sz="8" w:space="0" w:color="auto"/>
              <w:right w:val="nil"/>
            </w:tcBorders>
            <w:shd w:val="clear" w:color="000000" w:fill="D8DADA"/>
            <w:noWrap/>
            <w:vAlign w:val="center"/>
            <w:hideMark/>
          </w:tcPr>
          <w:p w14:paraId="46641CD7"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($3,397)</w:t>
            </w:r>
          </w:p>
        </w:tc>
        <w:tc>
          <w:tcPr>
            <w:tcW w:w="1180" w:type="dxa"/>
            <w:tcBorders>
              <w:top w:val="nil"/>
              <w:left w:val="nil"/>
              <w:bottom w:val="single" w:sz="8" w:space="0" w:color="auto"/>
              <w:right w:val="nil"/>
            </w:tcBorders>
            <w:shd w:val="clear" w:color="000000" w:fill="D8DADA"/>
            <w:noWrap/>
            <w:vAlign w:val="center"/>
            <w:hideMark/>
          </w:tcPr>
          <w:p w14:paraId="09B33961" w14:textId="77777777" w:rsidR="00331235" w:rsidRPr="00331235" w:rsidRDefault="00331235" w:rsidP="00331235">
            <w:pPr>
              <w:spacing w:before="0" w:after="0" w:line="240" w:lineRule="auto"/>
              <w:jc w:val="right"/>
              <w:rPr>
                <w:rFonts w:cs="Arial"/>
                <w:b/>
                <w:color w:val="1E1545"/>
                <w:sz w:val="21"/>
                <w:szCs w:val="21"/>
                <w:lang w:eastAsia="en-AU"/>
              </w:rPr>
            </w:pPr>
            <w:r w:rsidRPr="00331235">
              <w:rPr>
                <w:rFonts w:cs="Arial"/>
                <w:b/>
                <w:color w:val="1E1545"/>
                <w:sz w:val="21"/>
                <w:szCs w:val="21"/>
                <w:lang w:eastAsia="en-AU"/>
              </w:rPr>
              <w:t xml:space="preserve">$792 </w:t>
            </w:r>
          </w:p>
        </w:tc>
      </w:tr>
    </w:tbl>
    <w:p w14:paraId="358587C0" w14:textId="5EB5B035" w:rsidR="005001F7" w:rsidRDefault="005001F7" w:rsidP="00706D0A">
      <w:r>
        <w:br w:type="page"/>
      </w:r>
    </w:p>
    <w:p w14:paraId="23974F35" w14:textId="5EF902DF" w:rsidR="00192007" w:rsidRPr="00525FE2" w:rsidRDefault="00192007" w:rsidP="00525FE2">
      <w:pPr>
        <w:rPr>
          <w:bCs w:val="0"/>
          <w:sz w:val="28"/>
        </w:rPr>
      </w:pPr>
      <w:r w:rsidRPr="00525FE2">
        <w:rPr>
          <w:b/>
          <w:bCs w:val="0"/>
          <w:sz w:val="28"/>
          <w:szCs w:val="28"/>
        </w:rPr>
        <w:t xml:space="preserve">Appendix </w:t>
      </w:r>
      <w:r w:rsidR="0046425D" w:rsidRPr="00525FE2">
        <w:rPr>
          <w:b/>
          <w:bCs w:val="0"/>
          <w:sz w:val="28"/>
          <w:szCs w:val="28"/>
        </w:rPr>
        <w:t>F</w:t>
      </w:r>
    </w:p>
    <w:p w14:paraId="7EC65EC5" w14:textId="1CCE7B8E" w:rsidR="00192007" w:rsidRDefault="00192007" w:rsidP="00706D0A">
      <w:r w:rsidRPr="00F3796C">
        <w:t>Home Care segment income and expense statement, 2022</w:t>
      </w:r>
      <w:r>
        <w:t>-23</w:t>
      </w:r>
    </w:p>
    <w:tbl>
      <w:tblPr>
        <w:tblW w:w="9498" w:type="dxa"/>
        <w:tblLayout w:type="fixed"/>
        <w:tblLook w:val="04A0" w:firstRow="1" w:lastRow="0" w:firstColumn="1" w:lastColumn="0" w:noHBand="0" w:noVBand="1"/>
      </w:tblPr>
      <w:tblGrid>
        <w:gridCol w:w="4395"/>
        <w:gridCol w:w="1275"/>
        <w:gridCol w:w="1276"/>
        <w:gridCol w:w="1276"/>
        <w:gridCol w:w="1276"/>
      </w:tblGrid>
      <w:tr w:rsidR="00DB02AE" w:rsidRPr="00DB02AE" w14:paraId="5DEBD07C" w14:textId="77777777" w:rsidTr="009A592B">
        <w:trPr>
          <w:trHeight w:val="825"/>
        </w:trPr>
        <w:tc>
          <w:tcPr>
            <w:tcW w:w="4395" w:type="dxa"/>
            <w:tcBorders>
              <w:top w:val="single" w:sz="12" w:space="0" w:color="1E1545"/>
              <w:left w:val="nil"/>
              <w:bottom w:val="nil"/>
              <w:right w:val="nil"/>
            </w:tcBorders>
            <w:shd w:val="clear" w:color="000000" w:fill="1E1545"/>
            <w:vAlign w:val="center"/>
            <w:hideMark/>
          </w:tcPr>
          <w:p w14:paraId="27899255" w14:textId="77777777" w:rsidR="00DB02AE" w:rsidRPr="00DB02AE" w:rsidRDefault="00DB02AE" w:rsidP="00DB02AE">
            <w:pPr>
              <w:spacing w:before="0" w:after="0" w:line="240" w:lineRule="auto"/>
              <w:rPr>
                <w:rFonts w:cs="Arial"/>
                <w:b/>
                <w:color w:val="F1F2F2"/>
                <w:sz w:val="21"/>
                <w:szCs w:val="21"/>
                <w:lang w:eastAsia="en-AU"/>
              </w:rPr>
            </w:pPr>
            <w:r w:rsidRPr="00DB02AE">
              <w:rPr>
                <w:rFonts w:cs="Arial"/>
                <w:b/>
                <w:color w:val="F1F2F2"/>
                <w:sz w:val="21"/>
                <w:szCs w:val="21"/>
                <w:lang w:eastAsia="en-AU"/>
              </w:rPr>
              <w:t> </w:t>
            </w:r>
          </w:p>
        </w:tc>
        <w:tc>
          <w:tcPr>
            <w:tcW w:w="1275" w:type="dxa"/>
            <w:tcBorders>
              <w:top w:val="single" w:sz="12" w:space="0" w:color="1E1545"/>
              <w:left w:val="nil"/>
              <w:bottom w:val="nil"/>
              <w:right w:val="nil"/>
            </w:tcBorders>
            <w:shd w:val="clear" w:color="000000" w:fill="1E1545"/>
            <w:vAlign w:val="center"/>
            <w:hideMark/>
          </w:tcPr>
          <w:p w14:paraId="63BF83CB" w14:textId="77777777" w:rsidR="00DB02AE" w:rsidRPr="00DB02AE" w:rsidRDefault="00DB02AE" w:rsidP="00DB02AE">
            <w:pPr>
              <w:spacing w:before="0" w:after="0" w:line="240" w:lineRule="auto"/>
              <w:jc w:val="right"/>
              <w:rPr>
                <w:rFonts w:cs="Arial"/>
                <w:b/>
                <w:color w:val="F1F2F2"/>
                <w:sz w:val="21"/>
                <w:szCs w:val="21"/>
                <w:lang w:eastAsia="en-AU"/>
              </w:rPr>
            </w:pPr>
            <w:r w:rsidRPr="00DB02AE">
              <w:rPr>
                <w:rFonts w:cs="Arial"/>
                <w:b/>
                <w:color w:val="F1F2F2"/>
                <w:sz w:val="21"/>
                <w:szCs w:val="21"/>
                <w:lang w:eastAsia="en-AU"/>
              </w:rPr>
              <w:t>For-profit</w:t>
            </w:r>
            <w:r w:rsidRPr="00DB02AE">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452FF66F" w14:textId="77777777" w:rsidR="00DB02AE" w:rsidRPr="00DB02AE" w:rsidRDefault="00DB02AE" w:rsidP="00DB02AE">
            <w:pPr>
              <w:spacing w:before="0" w:after="0" w:line="240" w:lineRule="auto"/>
              <w:jc w:val="right"/>
              <w:rPr>
                <w:rFonts w:cs="Arial"/>
                <w:b/>
                <w:color w:val="F1F2F2"/>
                <w:sz w:val="21"/>
                <w:szCs w:val="21"/>
                <w:lang w:eastAsia="en-AU"/>
              </w:rPr>
            </w:pPr>
            <w:r w:rsidRPr="00DB02AE">
              <w:rPr>
                <w:rFonts w:cs="Arial"/>
                <w:b/>
                <w:color w:val="F1F2F2"/>
                <w:sz w:val="21"/>
                <w:szCs w:val="21"/>
                <w:lang w:eastAsia="en-AU"/>
              </w:rPr>
              <w:t>Not-for-profit</w:t>
            </w:r>
            <w:r w:rsidRPr="00DB02AE">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5C0DEB8C" w14:textId="77777777" w:rsidR="00DB02AE" w:rsidRPr="00DB02AE" w:rsidRDefault="00DB02AE" w:rsidP="00DB02AE">
            <w:pPr>
              <w:spacing w:before="0" w:after="0" w:line="240" w:lineRule="auto"/>
              <w:jc w:val="right"/>
              <w:rPr>
                <w:rFonts w:cs="Arial"/>
                <w:b/>
                <w:color w:val="F1F2F2"/>
                <w:sz w:val="21"/>
                <w:szCs w:val="21"/>
                <w:lang w:eastAsia="en-AU"/>
              </w:rPr>
            </w:pPr>
            <w:r w:rsidRPr="00DB02AE">
              <w:rPr>
                <w:rFonts w:cs="Arial"/>
                <w:b/>
                <w:color w:val="F1F2F2"/>
                <w:sz w:val="21"/>
                <w:szCs w:val="21"/>
                <w:lang w:eastAsia="en-AU"/>
              </w:rPr>
              <w:t>LST providers</w:t>
            </w:r>
            <w:r w:rsidRPr="00DB02AE">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1D1230EE" w14:textId="77777777" w:rsidR="00DB02AE" w:rsidRPr="00DB02AE" w:rsidRDefault="00DB02AE" w:rsidP="00DB02AE">
            <w:pPr>
              <w:spacing w:before="0" w:after="0" w:line="240" w:lineRule="auto"/>
              <w:jc w:val="right"/>
              <w:rPr>
                <w:rFonts w:cs="Arial"/>
                <w:b/>
                <w:color w:val="F1F2F2"/>
                <w:sz w:val="21"/>
                <w:szCs w:val="21"/>
                <w:lang w:eastAsia="en-AU"/>
              </w:rPr>
            </w:pPr>
            <w:r w:rsidRPr="00DB02AE">
              <w:rPr>
                <w:rFonts w:cs="Arial"/>
                <w:b/>
                <w:color w:val="F1F2F2"/>
                <w:sz w:val="21"/>
                <w:szCs w:val="21"/>
                <w:lang w:eastAsia="en-AU"/>
              </w:rPr>
              <w:t>All providers</w:t>
            </w:r>
            <w:r w:rsidRPr="00DB02AE">
              <w:rPr>
                <w:rFonts w:cs="Arial"/>
                <w:b/>
                <w:color w:val="F1F2F2"/>
                <w:sz w:val="21"/>
                <w:szCs w:val="21"/>
                <w:lang w:eastAsia="en-AU"/>
              </w:rPr>
              <w:br/>
              <w:t>($m)</w:t>
            </w:r>
          </w:p>
        </w:tc>
      </w:tr>
      <w:tr w:rsidR="00DB02AE" w:rsidRPr="00DB02AE" w14:paraId="059EA9F0" w14:textId="77777777" w:rsidTr="009A592B">
        <w:trPr>
          <w:trHeight w:val="285"/>
        </w:trPr>
        <w:tc>
          <w:tcPr>
            <w:tcW w:w="4395" w:type="dxa"/>
            <w:tcBorders>
              <w:top w:val="single" w:sz="4" w:space="0" w:color="auto"/>
              <w:left w:val="nil"/>
              <w:bottom w:val="single" w:sz="8" w:space="0" w:color="auto"/>
              <w:right w:val="nil"/>
            </w:tcBorders>
            <w:shd w:val="clear" w:color="000000" w:fill="D8DADA"/>
            <w:vAlign w:val="center"/>
            <w:hideMark/>
          </w:tcPr>
          <w:p w14:paraId="3AA9FD77"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Income</w:t>
            </w:r>
          </w:p>
        </w:tc>
        <w:tc>
          <w:tcPr>
            <w:tcW w:w="1275" w:type="dxa"/>
            <w:tcBorders>
              <w:top w:val="single" w:sz="4" w:space="0" w:color="auto"/>
              <w:left w:val="nil"/>
              <w:bottom w:val="single" w:sz="8" w:space="0" w:color="auto"/>
              <w:right w:val="nil"/>
            </w:tcBorders>
            <w:shd w:val="clear" w:color="000000" w:fill="D8DADA"/>
            <w:noWrap/>
            <w:vAlign w:val="center"/>
            <w:hideMark/>
          </w:tcPr>
          <w:p w14:paraId="266D7E99"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4" w:space="0" w:color="auto"/>
              <w:left w:val="nil"/>
              <w:bottom w:val="single" w:sz="8" w:space="0" w:color="auto"/>
              <w:right w:val="nil"/>
            </w:tcBorders>
            <w:shd w:val="clear" w:color="000000" w:fill="D8DADA"/>
            <w:noWrap/>
            <w:vAlign w:val="center"/>
            <w:hideMark/>
          </w:tcPr>
          <w:p w14:paraId="519E682E"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4" w:space="0" w:color="auto"/>
              <w:left w:val="nil"/>
              <w:bottom w:val="single" w:sz="8" w:space="0" w:color="auto"/>
              <w:right w:val="nil"/>
            </w:tcBorders>
            <w:shd w:val="clear" w:color="000000" w:fill="D8DADA"/>
            <w:noWrap/>
            <w:vAlign w:val="center"/>
            <w:hideMark/>
          </w:tcPr>
          <w:p w14:paraId="450F9A2E"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4" w:space="0" w:color="auto"/>
              <w:left w:val="nil"/>
              <w:bottom w:val="single" w:sz="8" w:space="0" w:color="auto"/>
              <w:right w:val="nil"/>
            </w:tcBorders>
            <w:shd w:val="clear" w:color="000000" w:fill="D8DADA"/>
            <w:noWrap/>
            <w:vAlign w:val="center"/>
            <w:hideMark/>
          </w:tcPr>
          <w:p w14:paraId="029ABF04"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 </w:t>
            </w:r>
          </w:p>
        </w:tc>
      </w:tr>
      <w:tr w:rsidR="00DB02AE" w:rsidRPr="00DB02AE" w14:paraId="6AC20AA5" w14:textId="77777777" w:rsidTr="009A592B">
        <w:trPr>
          <w:trHeight w:val="285"/>
        </w:trPr>
        <w:tc>
          <w:tcPr>
            <w:tcW w:w="4395" w:type="dxa"/>
            <w:tcBorders>
              <w:top w:val="nil"/>
              <w:left w:val="nil"/>
              <w:bottom w:val="single" w:sz="12" w:space="0" w:color="1E1545"/>
              <w:right w:val="nil"/>
            </w:tcBorders>
            <w:shd w:val="clear" w:color="000000" w:fill="D8DADA"/>
            <w:vAlign w:val="center"/>
            <w:hideMark/>
          </w:tcPr>
          <w:p w14:paraId="32EA197B"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Direct care services</w:t>
            </w:r>
          </w:p>
        </w:tc>
        <w:tc>
          <w:tcPr>
            <w:tcW w:w="1275" w:type="dxa"/>
            <w:tcBorders>
              <w:top w:val="nil"/>
              <w:left w:val="nil"/>
              <w:bottom w:val="single" w:sz="12" w:space="0" w:color="1E1545"/>
              <w:right w:val="nil"/>
            </w:tcBorders>
            <w:shd w:val="clear" w:color="000000" w:fill="D8DADA"/>
            <w:noWrap/>
            <w:vAlign w:val="center"/>
            <w:hideMark/>
          </w:tcPr>
          <w:p w14:paraId="59E0647B"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$790 </w:t>
            </w:r>
          </w:p>
        </w:tc>
        <w:tc>
          <w:tcPr>
            <w:tcW w:w="1276" w:type="dxa"/>
            <w:tcBorders>
              <w:top w:val="nil"/>
              <w:left w:val="nil"/>
              <w:bottom w:val="single" w:sz="12" w:space="0" w:color="1E1545"/>
              <w:right w:val="nil"/>
            </w:tcBorders>
            <w:shd w:val="clear" w:color="000000" w:fill="D8DADA"/>
            <w:noWrap/>
            <w:vAlign w:val="center"/>
            <w:hideMark/>
          </w:tcPr>
          <w:p w14:paraId="107BA75A"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$1,598 </w:t>
            </w:r>
          </w:p>
        </w:tc>
        <w:tc>
          <w:tcPr>
            <w:tcW w:w="1276" w:type="dxa"/>
            <w:tcBorders>
              <w:top w:val="nil"/>
              <w:left w:val="nil"/>
              <w:bottom w:val="single" w:sz="12" w:space="0" w:color="1E1545"/>
              <w:right w:val="nil"/>
            </w:tcBorders>
            <w:shd w:val="clear" w:color="000000" w:fill="D8DADA"/>
            <w:noWrap/>
            <w:vAlign w:val="center"/>
            <w:hideMark/>
          </w:tcPr>
          <w:p w14:paraId="72CFEFA0"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$70 </w:t>
            </w:r>
          </w:p>
        </w:tc>
        <w:tc>
          <w:tcPr>
            <w:tcW w:w="1276" w:type="dxa"/>
            <w:tcBorders>
              <w:top w:val="nil"/>
              <w:left w:val="nil"/>
              <w:bottom w:val="single" w:sz="12" w:space="0" w:color="1E1545"/>
              <w:right w:val="nil"/>
            </w:tcBorders>
            <w:shd w:val="clear" w:color="000000" w:fill="D8DADA"/>
            <w:noWrap/>
            <w:vAlign w:val="center"/>
            <w:hideMark/>
          </w:tcPr>
          <w:p w14:paraId="2E28B55A"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$2,457 </w:t>
            </w:r>
          </w:p>
        </w:tc>
      </w:tr>
      <w:tr w:rsidR="00DB02AE" w:rsidRPr="00DB02AE" w14:paraId="00228A3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11F4AB0"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Domestic</w:t>
            </w:r>
          </w:p>
        </w:tc>
        <w:tc>
          <w:tcPr>
            <w:tcW w:w="1275" w:type="dxa"/>
            <w:tcBorders>
              <w:top w:val="nil"/>
              <w:left w:val="nil"/>
              <w:bottom w:val="single" w:sz="12" w:space="0" w:color="1E1545"/>
              <w:right w:val="nil"/>
            </w:tcBorders>
            <w:shd w:val="clear" w:color="000000" w:fill="FFFFFF"/>
            <w:noWrap/>
            <w:vAlign w:val="center"/>
            <w:hideMark/>
          </w:tcPr>
          <w:p w14:paraId="1881074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$490 </w:t>
            </w:r>
          </w:p>
        </w:tc>
        <w:tc>
          <w:tcPr>
            <w:tcW w:w="1276" w:type="dxa"/>
            <w:tcBorders>
              <w:top w:val="nil"/>
              <w:left w:val="nil"/>
              <w:bottom w:val="single" w:sz="12" w:space="0" w:color="1E1545"/>
              <w:right w:val="nil"/>
            </w:tcBorders>
            <w:shd w:val="clear" w:color="000000" w:fill="FFFFFF"/>
            <w:noWrap/>
            <w:vAlign w:val="center"/>
            <w:hideMark/>
          </w:tcPr>
          <w:p w14:paraId="28FFD66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$1,060 </w:t>
            </w:r>
          </w:p>
        </w:tc>
        <w:tc>
          <w:tcPr>
            <w:tcW w:w="1276" w:type="dxa"/>
            <w:tcBorders>
              <w:top w:val="nil"/>
              <w:left w:val="nil"/>
              <w:bottom w:val="single" w:sz="12" w:space="0" w:color="1E1545"/>
              <w:right w:val="nil"/>
            </w:tcBorders>
            <w:shd w:val="clear" w:color="000000" w:fill="FFFFFF"/>
            <w:noWrap/>
            <w:vAlign w:val="center"/>
            <w:hideMark/>
          </w:tcPr>
          <w:p w14:paraId="79D0F11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$47 </w:t>
            </w:r>
          </w:p>
        </w:tc>
        <w:tc>
          <w:tcPr>
            <w:tcW w:w="1276" w:type="dxa"/>
            <w:tcBorders>
              <w:top w:val="nil"/>
              <w:left w:val="nil"/>
              <w:bottom w:val="single" w:sz="12" w:space="0" w:color="1E1545"/>
              <w:right w:val="nil"/>
            </w:tcBorders>
            <w:shd w:val="clear" w:color="000000" w:fill="FFFFFF"/>
            <w:noWrap/>
            <w:vAlign w:val="center"/>
            <w:hideMark/>
          </w:tcPr>
          <w:p w14:paraId="5FBD66E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$1,597 </w:t>
            </w:r>
          </w:p>
        </w:tc>
      </w:tr>
      <w:tr w:rsidR="00DB02AE" w:rsidRPr="00DB02AE" w14:paraId="308DF804"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481CF39D"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Nursing</w:t>
            </w:r>
          </w:p>
        </w:tc>
        <w:tc>
          <w:tcPr>
            <w:tcW w:w="1275" w:type="dxa"/>
            <w:tcBorders>
              <w:top w:val="nil"/>
              <w:left w:val="nil"/>
              <w:bottom w:val="single" w:sz="12" w:space="0" w:color="1E1545"/>
              <w:right w:val="nil"/>
            </w:tcBorders>
            <w:shd w:val="clear" w:color="000000" w:fill="FFFFFF"/>
            <w:noWrap/>
            <w:vAlign w:val="center"/>
            <w:hideMark/>
          </w:tcPr>
          <w:p w14:paraId="19BA982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$74 </w:t>
            </w:r>
          </w:p>
        </w:tc>
        <w:tc>
          <w:tcPr>
            <w:tcW w:w="1276" w:type="dxa"/>
            <w:tcBorders>
              <w:top w:val="nil"/>
              <w:left w:val="nil"/>
              <w:bottom w:val="single" w:sz="12" w:space="0" w:color="1E1545"/>
              <w:right w:val="nil"/>
            </w:tcBorders>
            <w:shd w:val="clear" w:color="000000" w:fill="FFFFFF"/>
            <w:noWrap/>
            <w:vAlign w:val="center"/>
            <w:hideMark/>
          </w:tcPr>
          <w:p w14:paraId="266B779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$72 </w:t>
            </w:r>
          </w:p>
        </w:tc>
        <w:tc>
          <w:tcPr>
            <w:tcW w:w="1276" w:type="dxa"/>
            <w:tcBorders>
              <w:top w:val="nil"/>
              <w:left w:val="nil"/>
              <w:bottom w:val="single" w:sz="12" w:space="0" w:color="1E1545"/>
              <w:right w:val="nil"/>
            </w:tcBorders>
            <w:shd w:val="clear" w:color="000000" w:fill="FFFFFF"/>
            <w:noWrap/>
            <w:vAlign w:val="center"/>
            <w:hideMark/>
          </w:tcPr>
          <w:p w14:paraId="03D7C5E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07CF236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$149 </w:t>
            </w:r>
          </w:p>
        </w:tc>
      </w:tr>
      <w:tr w:rsidR="00DB02AE" w:rsidRPr="00DB02AE" w14:paraId="21461DB4"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17083E0"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Allied health</w:t>
            </w:r>
          </w:p>
        </w:tc>
        <w:tc>
          <w:tcPr>
            <w:tcW w:w="1275" w:type="dxa"/>
            <w:tcBorders>
              <w:top w:val="nil"/>
              <w:left w:val="nil"/>
              <w:bottom w:val="single" w:sz="12" w:space="0" w:color="1E1545"/>
              <w:right w:val="nil"/>
            </w:tcBorders>
            <w:shd w:val="clear" w:color="000000" w:fill="FFFFFF"/>
            <w:noWrap/>
            <w:vAlign w:val="center"/>
            <w:hideMark/>
          </w:tcPr>
          <w:p w14:paraId="647FFAB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$20 </w:t>
            </w:r>
          </w:p>
        </w:tc>
        <w:tc>
          <w:tcPr>
            <w:tcW w:w="1276" w:type="dxa"/>
            <w:tcBorders>
              <w:top w:val="nil"/>
              <w:left w:val="nil"/>
              <w:bottom w:val="single" w:sz="12" w:space="0" w:color="1E1545"/>
              <w:right w:val="nil"/>
            </w:tcBorders>
            <w:shd w:val="clear" w:color="000000" w:fill="FFFFFF"/>
            <w:noWrap/>
            <w:vAlign w:val="center"/>
            <w:hideMark/>
          </w:tcPr>
          <w:p w14:paraId="1CC25696"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$56 </w:t>
            </w:r>
          </w:p>
        </w:tc>
        <w:tc>
          <w:tcPr>
            <w:tcW w:w="1276" w:type="dxa"/>
            <w:tcBorders>
              <w:top w:val="nil"/>
              <w:left w:val="nil"/>
              <w:bottom w:val="single" w:sz="12" w:space="0" w:color="1E1545"/>
              <w:right w:val="nil"/>
            </w:tcBorders>
            <w:shd w:val="clear" w:color="000000" w:fill="FFFFFF"/>
            <w:noWrap/>
            <w:vAlign w:val="center"/>
            <w:hideMark/>
          </w:tcPr>
          <w:p w14:paraId="668087F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6BEDEA6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$79 </w:t>
            </w:r>
          </w:p>
        </w:tc>
      </w:tr>
      <w:tr w:rsidR="00DB02AE" w:rsidRPr="00DB02AE" w14:paraId="313DE6B0"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9EE435B"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Other</w:t>
            </w:r>
          </w:p>
        </w:tc>
        <w:tc>
          <w:tcPr>
            <w:tcW w:w="1275" w:type="dxa"/>
            <w:tcBorders>
              <w:top w:val="nil"/>
              <w:left w:val="nil"/>
              <w:bottom w:val="single" w:sz="12" w:space="0" w:color="1E1545"/>
              <w:right w:val="nil"/>
            </w:tcBorders>
            <w:shd w:val="clear" w:color="000000" w:fill="FFFFFF"/>
            <w:noWrap/>
            <w:vAlign w:val="center"/>
            <w:hideMark/>
          </w:tcPr>
          <w:p w14:paraId="649AC00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$205 </w:t>
            </w:r>
          </w:p>
        </w:tc>
        <w:tc>
          <w:tcPr>
            <w:tcW w:w="1276" w:type="dxa"/>
            <w:tcBorders>
              <w:top w:val="nil"/>
              <w:left w:val="nil"/>
              <w:bottom w:val="single" w:sz="12" w:space="0" w:color="1E1545"/>
              <w:right w:val="nil"/>
            </w:tcBorders>
            <w:shd w:val="clear" w:color="000000" w:fill="FFFFFF"/>
            <w:noWrap/>
            <w:vAlign w:val="center"/>
            <w:hideMark/>
          </w:tcPr>
          <w:p w14:paraId="1FC6328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$410 </w:t>
            </w:r>
          </w:p>
        </w:tc>
        <w:tc>
          <w:tcPr>
            <w:tcW w:w="1276" w:type="dxa"/>
            <w:tcBorders>
              <w:top w:val="nil"/>
              <w:left w:val="nil"/>
              <w:bottom w:val="single" w:sz="12" w:space="0" w:color="1E1545"/>
              <w:right w:val="nil"/>
            </w:tcBorders>
            <w:shd w:val="clear" w:color="000000" w:fill="FFFFFF"/>
            <w:noWrap/>
            <w:vAlign w:val="center"/>
            <w:hideMark/>
          </w:tcPr>
          <w:p w14:paraId="118C1D7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$17 </w:t>
            </w:r>
          </w:p>
        </w:tc>
        <w:tc>
          <w:tcPr>
            <w:tcW w:w="1276" w:type="dxa"/>
            <w:tcBorders>
              <w:top w:val="nil"/>
              <w:left w:val="nil"/>
              <w:bottom w:val="single" w:sz="12" w:space="0" w:color="1E1545"/>
              <w:right w:val="nil"/>
            </w:tcBorders>
            <w:shd w:val="clear" w:color="000000" w:fill="FFFFFF"/>
            <w:noWrap/>
            <w:vAlign w:val="center"/>
            <w:hideMark/>
          </w:tcPr>
          <w:p w14:paraId="4752095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$632 </w:t>
            </w:r>
          </w:p>
        </w:tc>
      </w:tr>
      <w:tr w:rsidR="00DB02AE" w:rsidRPr="00DB02AE" w14:paraId="3DB62349" w14:textId="77777777" w:rsidTr="009A592B">
        <w:trPr>
          <w:trHeight w:val="300"/>
        </w:trPr>
        <w:tc>
          <w:tcPr>
            <w:tcW w:w="4395" w:type="dxa"/>
            <w:tcBorders>
              <w:top w:val="nil"/>
              <w:left w:val="nil"/>
              <w:bottom w:val="single" w:sz="12" w:space="0" w:color="1E1545"/>
              <w:right w:val="nil"/>
            </w:tcBorders>
            <w:shd w:val="clear" w:color="000000" w:fill="D8DADA"/>
            <w:vAlign w:val="center"/>
            <w:hideMark/>
          </w:tcPr>
          <w:p w14:paraId="2EC7C6BB"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Sub-contracted services</w:t>
            </w:r>
          </w:p>
        </w:tc>
        <w:tc>
          <w:tcPr>
            <w:tcW w:w="1275" w:type="dxa"/>
            <w:tcBorders>
              <w:top w:val="nil"/>
              <w:left w:val="nil"/>
              <w:bottom w:val="single" w:sz="12" w:space="0" w:color="1E1545"/>
              <w:right w:val="nil"/>
            </w:tcBorders>
            <w:shd w:val="clear" w:color="000000" w:fill="D8DADA"/>
            <w:noWrap/>
            <w:vAlign w:val="center"/>
            <w:hideMark/>
          </w:tcPr>
          <w:p w14:paraId="411FB0C7"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$481 </w:t>
            </w:r>
          </w:p>
        </w:tc>
        <w:tc>
          <w:tcPr>
            <w:tcW w:w="1276" w:type="dxa"/>
            <w:tcBorders>
              <w:top w:val="nil"/>
              <w:left w:val="nil"/>
              <w:bottom w:val="single" w:sz="12" w:space="0" w:color="1E1545"/>
              <w:right w:val="nil"/>
            </w:tcBorders>
            <w:shd w:val="clear" w:color="000000" w:fill="D8DADA"/>
            <w:noWrap/>
            <w:vAlign w:val="center"/>
            <w:hideMark/>
          </w:tcPr>
          <w:p w14:paraId="77CD88A6"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$765 </w:t>
            </w:r>
          </w:p>
        </w:tc>
        <w:tc>
          <w:tcPr>
            <w:tcW w:w="1276" w:type="dxa"/>
            <w:tcBorders>
              <w:top w:val="nil"/>
              <w:left w:val="nil"/>
              <w:bottom w:val="single" w:sz="12" w:space="0" w:color="1E1545"/>
              <w:right w:val="nil"/>
            </w:tcBorders>
            <w:shd w:val="clear" w:color="000000" w:fill="D8DADA"/>
            <w:noWrap/>
            <w:vAlign w:val="center"/>
            <w:hideMark/>
          </w:tcPr>
          <w:p w14:paraId="230037A6"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$112 </w:t>
            </w:r>
          </w:p>
        </w:tc>
        <w:tc>
          <w:tcPr>
            <w:tcW w:w="1276" w:type="dxa"/>
            <w:tcBorders>
              <w:top w:val="nil"/>
              <w:left w:val="nil"/>
              <w:bottom w:val="single" w:sz="12" w:space="0" w:color="1E1545"/>
              <w:right w:val="nil"/>
            </w:tcBorders>
            <w:shd w:val="clear" w:color="000000" w:fill="D8DADA"/>
            <w:noWrap/>
            <w:vAlign w:val="center"/>
            <w:hideMark/>
          </w:tcPr>
          <w:p w14:paraId="5A63B225"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$1,358 </w:t>
            </w:r>
          </w:p>
        </w:tc>
      </w:tr>
      <w:tr w:rsidR="00DB02AE" w:rsidRPr="00DB02AE" w14:paraId="4E116F97"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F748C4D"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Domestic</w:t>
            </w:r>
          </w:p>
        </w:tc>
        <w:tc>
          <w:tcPr>
            <w:tcW w:w="1275" w:type="dxa"/>
            <w:tcBorders>
              <w:top w:val="nil"/>
              <w:left w:val="nil"/>
              <w:bottom w:val="single" w:sz="12" w:space="0" w:color="1E1545"/>
              <w:right w:val="nil"/>
            </w:tcBorders>
            <w:shd w:val="clear" w:color="000000" w:fill="FFFFFF"/>
            <w:noWrap/>
            <w:vAlign w:val="center"/>
            <w:hideMark/>
          </w:tcPr>
          <w:p w14:paraId="0537253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$148 </w:t>
            </w:r>
          </w:p>
        </w:tc>
        <w:tc>
          <w:tcPr>
            <w:tcW w:w="1276" w:type="dxa"/>
            <w:tcBorders>
              <w:top w:val="nil"/>
              <w:left w:val="nil"/>
              <w:bottom w:val="single" w:sz="12" w:space="0" w:color="1E1545"/>
              <w:right w:val="nil"/>
            </w:tcBorders>
            <w:shd w:val="clear" w:color="000000" w:fill="FFFFFF"/>
            <w:noWrap/>
            <w:vAlign w:val="center"/>
            <w:hideMark/>
          </w:tcPr>
          <w:p w14:paraId="2F9B6E2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$213 </w:t>
            </w:r>
          </w:p>
        </w:tc>
        <w:tc>
          <w:tcPr>
            <w:tcW w:w="1276" w:type="dxa"/>
            <w:tcBorders>
              <w:top w:val="nil"/>
              <w:left w:val="nil"/>
              <w:bottom w:val="single" w:sz="12" w:space="0" w:color="1E1545"/>
              <w:right w:val="nil"/>
            </w:tcBorders>
            <w:shd w:val="clear" w:color="000000" w:fill="FFFFFF"/>
            <w:noWrap/>
            <w:vAlign w:val="center"/>
            <w:hideMark/>
          </w:tcPr>
          <w:p w14:paraId="78DD5FFF"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$37 </w:t>
            </w:r>
          </w:p>
        </w:tc>
        <w:tc>
          <w:tcPr>
            <w:tcW w:w="1276" w:type="dxa"/>
            <w:tcBorders>
              <w:top w:val="nil"/>
              <w:left w:val="nil"/>
              <w:bottom w:val="single" w:sz="12" w:space="0" w:color="1E1545"/>
              <w:right w:val="nil"/>
            </w:tcBorders>
            <w:shd w:val="clear" w:color="000000" w:fill="FFFFFF"/>
            <w:noWrap/>
            <w:vAlign w:val="center"/>
            <w:hideMark/>
          </w:tcPr>
          <w:p w14:paraId="5FB8C2AE"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$398 </w:t>
            </w:r>
          </w:p>
        </w:tc>
      </w:tr>
      <w:tr w:rsidR="00DB02AE" w:rsidRPr="00DB02AE" w14:paraId="24421A12"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DF2E0A8"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Nursing</w:t>
            </w:r>
          </w:p>
        </w:tc>
        <w:tc>
          <w:tcPr>
            <w:tcW w:w="1275" w:type="dxa"/>
            <w:tcBorders>
              <w:top w:val="nil"/>
              <w:left w:val="nil"/>
              <w:bottom w:val="single" w:sz="12" w:space="0" w:color="1E1545"/>
              <w:right w:val="nil"/>
            </w:tcBorders>
            <w:shd w:val="clear" w:color="000000" w:fill="FFFFFF"/>
            <w:noWrap/>
            <w:vAlign w:val="center"/>
            <w:hideMark/>
          </w:tcPr>
          <w:p w14:paraId="39A1369E"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$14 </w:t>
            </w:r>
          </w:p>
        </w:tc>
        <w:tc>
          <w:tcPr>
            <w:tcW w:w="1276" w:type="dxa"/>
            <w:tcBorders>
              <w:top w:val="nil"/>
              <w:left w:val="nil"/>
              <w:bottom w:val="single" w:sz="12" w:space="0" w:color="1E1545"/>
              <w:right w:val="nil"/>
            </w:tcBorders>
            <w:shd w:val="clear" w:color="000000" w:fill="FFFFFF"/>
            <w:noWrap/>
            <w:vAlign w:val="center"/>
            <w:hideMark/>
          </w:tcPr>
          <w:p w14:paraId="78B91DF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$30 </w:t>
            </w:r>
          </w:p>
        </w:tc>
        <w:tc>
          <w:tcPr>
            <w:tcW w:w="1276" w:type="dxa"/>
            <w:tcBorders>
              <w:top w:val="nil"/>
              <w:left w:val="nil"/>
              <w:bottom w:val="single" w:sz="12" w:space="0" w:color="1E1545"/>
              <w:right w:val="nil"/>
            </w:tcBorders>
            <w:shd w:val="clear" w:color="000000" w:fill="FFFFFF"/>
            <w:noWrap/>
            <w:vAlign w:val="center"/>
            <w:hideMark/>
          </w:tcPr>
          <w:p w14:paraId="70BF936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0085B37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$47 </w:t>
            </w:r>
          </w:p>
        </w:tc>
      </w:tr>
      <w:tr w:rsidR="00DB02AE" w:rsidRPr="00DB02AE" w14:paraId="1D2A9C9F"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6EEEF79"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Allied health</w:t>
            </w:r>
          </w:p>
        </w:tc>
        <w:tc>
          <w:tcPr>
            <w:tcW w:w="1275" w:type="dxa"/>
            <w:tcBorders>
              <w:top w:val="nil"/>
              <w:left w:val="nil"/>
              <w:bottom w:val="single" w:sz="12" w:space="0" w:color="1E1545"/>
              <w:right w:val="nil"/>
            </w:tcBorders>
            <w:shd w:val="clear" w:color="000000" w:fill="FFFFFF"/>
            <w:noWrap/>
            <w:vAlign w:val="center"/>
            <w:hideMark/>
          </w:tcPr>
          <w:p w14:paraId="6765A62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$79 </w:t>
            </w:r>
          </w:p>
        </w:tc>
        <w:tc>
          <w:tcPr>
            <w:tcW w:w="1276" w:type="dxa"/>
            <w:tcBorders>
              <w:top w:val="nil"/>
              <w:left w:val="nil"/>
              <w:bottom w:val="single" w:sz="12" w:space="0" w:color="1E1545"/>
              <w:right w:val="nil"/>
            </w:tcBorders>
            <w:shd w:val="clear" w:color="000000" w:fill="FFFFFF"/>
            <w:noWrap/>
            <w:vAlign w:val="center"/>
            <w:hideMark/>
          </w:tcPr>
          <w:p w14:paraId="41A3CFF1"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$111 </w:t>
            </w:r>
          </w:p>
        </w:tc>
        <w:tc>
          <w:tcPr>
            <w:tcW w:w="1276" w:type="dxa"/>
            <w:tcBorders>
              <w:top w:val="nil"/>
              <w:left w:val="nil"/>
              <w:bottom w:val="single" w:sz="12" w:space="0" w:color="1E1545"/>
              <w:right w:val="nil"/>
            </w:tcBorders>
            <w:shd w:val="clear" w:color="000000" w:fill="FFFFFF"/>
            <w:noWrap/>
            <w:vAlign w:val="center"/>
            <w:hideMark/>
          </w:tcPr>
          <w:p w14:paraId="446D215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$11 </w:t>
            </w:r>
          </w:p>
        </w:tc>
        <w:tc>
          <w:tcPr>
            <w:tcW w:w="1276" w:type="dxa"/>
            <w:tcBorders>
              <w:top w:val="nil"/>
              <w:left w:val="nil"/>
              <w:bottom w:val="single" w:sz="12" w:space="0" w:color="1E1545"/>
              <w:right w:val="nil"/>
            </w:tcBorders>
            <w:shd w:val="clear" w:color="000000" w:fill="FFFFFF"/>
            <w:noWrap/>
            <w:vAlign w:val="center"/>
            <w:hideMark/>
          </w:tcPr>
          <w:p w14:paraId="29A43FA6"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$201 </w:t>
            </w:r>
          </w:p>
        </w:tc>
      </w:tr>
      <w:tr w:rsidR="00DB02AE" w:rsidRPr="00DB02AE" w14:paraId="67522FC7"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6C74706"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Other</w:t>
            </w:r>
          </w:p>
        </w:tc>
        <w:tc>
          <w:tcPr>
            <w:tcW w:w="1275" w:type="dxa"/>
            <w:tcBorders>
              <w:top w:val="nil"/>
              <w:left w:val="nil"/>
              <w:bottom w:val="single" w:sz="12" w:space="0" w:color="1E1545"/>
              <w:right w:val="nil"/>
            </w:tcBorders>
            <w:shd w:val="clear" w:color="000000" w:fill="FFFFFF"/>
            <w:noWrap/>
            <w:vAlign w:val="center"/>
            <w:hideMark/>
          </w:tcPr>
          <w:p w14:paraId="25FC5AB1"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$240 </w:t>
            </w:r>
          </w:p>
        </w:tc>
        <w:tc>
          <w:tcPr>
            <w:tcW w:w="1276" w:type="dxa"/>
            <w:tcBorders>
              <w:top w:val="nil"/>
              <w:left w:val="nil"/>
              <w:bottom w:val="single" w:sz="12" w:space="0" w:color="1E1545"/>
              <w:right w:val="nil"/>
            </w:tcBorders>
            <w:shd w:val="clear" w:color="000000" w:fill="FFFFFF"/>
            <w:noWrap/>
            <w:vAlign w:val="center"/>
            <w:hideMark/>
          </w:tcPr>
          <w:p w14:paraId="5D3003E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$412 </w:t>
            </w:r>
          </w:p>
        </w:tc>
        <w:tc>
          <w:tcPr>
            <w:tcW w:w="1276" w:type="dxa"/>
            <w:tcBorders>
              <w:top w:val="nil"/>
              <w:left w:val="nil"/>
              <w:bottom w:val="single" w:sz="12" w:space="0" w:color="1E1545"/>
              <w:right w:val="nil"/>
            </w:tcBorders>
            <w:shd w:val="clear" w:color="000000" w:fill="FFFFFF"/>
            <w:noWrap/>
            <w:vAlign w:val="center"/>
            <w:hideMark/>
          </w:tcPr>
          <w:p w14:paraId="1612995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$60 </w:t>
            </w:r>
          </w:p>
        </w:tc>
        <w:tc>
          <w:tcPr>
            <w:tcW w:w="1276" w:type="dxa"/>
            <w:tcBorders>
              <w:top w:val="nil"/>
              <w:left w:val="nil"/>
              <w:bottom w:val="single" w:sz="12" w:space="0" w:color="1E1545"/>
              <w:right w:val="nil"/>
            </w:tcBorders>
            <w:shd w:val="clear" w:color="000000" w:fill="FFFFFF"/>
            <w:noWrap/>
            <w:vAlign w:val="center"/>
            <w:hideMark/>
          </w:tcPr>
          <w:p w14:paraId="6290C7E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$712 </w:t>
            </w:r>
          </w:p>
        </w:tc>
      </w:tr>
      <w:tr w:rsidR="00DB02AE" w:rsidRPr="00DB02AE" w14:paraId="02C6CE01"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6FFC1FA"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Care management service fees</w:t>
            </w:r>
          </w:p>
        </w:tc>
        <w:tc>
          <w:tcPr>
            <w:tcW w:w="1275" w:type="dxa"/>
            <w:tcBorders>
              <w:top w:val="nil"/>
              <w:left w:val="nil"/>
              <w:bottom w:val="single" w:sz="12" w:space="0" w:color="1E1545"/>
              <w:right w:val="nil"/>
            </w:tcBorders>
            <w:shd w:val="clear" w:color="000000" w:fill="FFFFFF"/>
            <w:noWrap/>
            <w:vAlign w:val="center"/>
            <w:hideMark/>
          </w:tcPr>
          <w:p w14:paraId="2CC1881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$277 </w:t>
            </w:r>
          </w:p>
        </w:tc>
        <w:tc>
          <w:tcPr>
            <w:tcW w:w="1276" w:type="dxa"/>
            <w:tcBorders>
              <w:top w:val="nil"/>
              <w:left w:val="nil"/>
              <w:bottom w:val="single" w:sz="12" w:space="0" w:color="1E1545"/>
              <w:right w:val="nil"/>
            </w:tcBorders>
            <w:shd w:val="clear" w:color="000000" w:fill="FFFFFF"/>
            <w:noWrap/>
            <w:vAlign w:val="center"/>
            <w:hideMark/>
          </w:tcPr>
          <w:p w14:paraId="178F706B"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$643 </w:t>
            </w:r>
          </w:p>
        </w:tc>
        <w:tc>
          <w:tcPr>
            <w:tcW w:w="1276" w:type="dxa"/>
            <w:tcBorders>
              <w:top w:val="nil"/>
              <w:left w:val="nil"/>
              <w:bottom w:val="single" w:sz="12" w:space="0" w:color="1E1545"/>
              <w:right w:val="nil"/>
            </w:tcBorders>
            <w:shd w:val="clear" w:color="000000" w:fill="FFFFFF"/>
            <w:noWrap/>
            <w:vAlign w:val="center"/>
            <w:hideMark/>
          </w:tcPr>
          <w:p w14:paraId="74D86EF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$54 </w:t>
            </w:r>
          </w:p>
        </w:tc>
        <w:tc>
          <w:tcPr>
            <w:tcW w:w="1276" w:type="dxa"/>
            <w:tcBorders>
              <w:top w:val="nil"/>
              <w:left w:val="nil"/>
              <w:bottom w:val="single" w:sz="12" w:space="0" w:color="1E1545"/>
              <w:right w:val="nil"/>
            </w:tcBorders>
            <w:shd w:val="clear" w:color="000000" w:fill="FFFFFF"/>
            <w:noWrap/>
            <w:vAlign w:val="center"/>
            <w:hideMark/>
          </w:tcPr>
          <w:p w14:paraId="2E25FF7B"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$974 </w:t>
            </w:r>
          </w:p>
        </w:tc>
      </w:tr>
      <w:tr w:rsidR="00DB02AE" w:rsidRPr="00DB02AE" w14:paraId="2A15C39E"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FD9B84F"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Package management service fees</w:t>
            </w:r>
          </w:p>
        </w:tc>
        <w:tc>
          <w:tcPr>
            <w:tcW w:w="1275" w:type="dxa"/>
            <w:tcBorders>
              <w:top w:val="nil"/>
              <w:left w:val="nil"/>
              <w:bottom w:val="single" w:sz="12" w:space="0" w:color="1E1545"/>
              <w:right w:val="nil"/>
            </w:tcBorders>
            <w:shd w:val="clear" w:color="000000" w:fill="FFFFFF"/>
            <w:noWrap/>
            <w:vAlign w:val="center"/>
            <w:hideMark/>
          </w:tcPr>
          <w:p w14:paraId="7E806E2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$214 </w:t>
            </w:r>
          </w:p>
        </w:tc>
        <w:tc>
          <w:tcPr>
            <w:tcW w:w="1276" w:type="dxa"/>
            <w:tcBorders>
              <w:top w:val="nil"/>
              <w:left w:val="nil"/>
              <w:bottom w:val="single" w:sz="12" w:space="0" w:color="1E1545"/>
              <w:right w:val="nil"/>
            </w:tcBorders>
            <w:shd w:val="clear" w:color="000000" w:fill="FFFFFF"/>
            <w:noWrap/>
            <w:vAlign w:val="center"/>
            <w:hideMark/>
          </w:tcPr>
          <w:p w14:paraId="200F2C5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$414 </w:t>
            </w:r>
          </w:p>
        </w:tc>
        <w:tc>
          <w:tcPr>
            <w:tcW w:w="1276" w:type="dxa"/>
            <w:tcBorders>
              <w:top w:val="nil"/>
              <w:left w:val="nil"/>
              <w:bottom w:val="single" w:sz="12" w:space="0" w:color="1E1545"/>
              <w:right w:val="nil"/>
            </w:tcBorders>
            <w:shd w:val="clear" w:color="000000" w:fill="FFFFFF"/>
            <w:noWrap/>
            <w:vAlign w:val="center"/>
            <w:hideMark/>
          </w:tcPr>
          <w:p w14:paraId="0124821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$44 </w:t>
            </w:r>
          </w:p>
        </w:tc>
        <w:tc>
          <w:tcPr>
            <w:tcW w:w="1276" w:type="dxa"/>
            <w:tcBorders>
              <w:top w:val="nil"/>
              <w:left w:val="nil"/>
              <w:bottom w:val="single" w:sz="12" w:space="0" w:color="1E1545"/>
              <w:right w:val="nil"/>
            </w:tcBorders>
            <w:shd w:val="clear" w:color="000000" w:fill="FFFFFF"/>
            <w:noWrap/>
            <w:vAlign w:val="center"/>
            <w:hideMark/>
          </w:tcPr>
          <w:p w14:paraId="709F4B3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$673 </w:t>
            </w:r>
          </w:p>
        </w:tc>
      </w:tr>
      <w:tr w:rsidR="00DB02AE" w:rsidRPr="00DB02AE" w14:paraId="6F6FEF69"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FFE57CC"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Exit amounts deducted</w:t>
            </w:r>
          </w:p>
        </w:tc>
        <w:tc>
          <w:tcPr>
            <w:tcW w:w="1275" w:type="dxa"/>
            <w:tcBorders>
              <w:top w:val="nil"/>
              <w:left w:val="nil"/>
              <w:bottom w:val="single" w:sz="12" w:space="0" w:color="1E1545"/>
              <w:right w:val="nil"/>
            </w:tcBorders>
            <w:shd w:val="clear" w:color="000000" w:fill="FFFFFF"/>
            <w:noWrap/>
            <w:vAlign w:val="center"/>
            <w:hideMark/>
          </w:tcPr>
          <w:p w14:paraId="7B7AE6F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34FB012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1C68C96E"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7B044FA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r>
      <w:tr w:rsidR="00DB02AE" w:rsidRPr="00DB02AE" w14:paraId="23B857F5"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4408F33"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Handling fee</w:t>
            </w:r>
          </w:p>
        </w:tc>
        <w:tc>
          <w:tcPr>
            <w:tcW w:w="1275" w:type="dxa"/>
            <w:tcBorders>
              <w:top w:val="nil"/>
              <w:left w:val="nil"/>
              <w:bottom w:val="single" w:sz="12" w:space="0" w:color="1E1545"/>
              <w:right w:val="nil"/>
            </w:tcBorders>
            <w:shd w:val="clear" w:color="000000" w:fill="FFFFFF"/>
            <w:noWrap/>
            <w:vAlign w:val="center"/>
            <w:hideMark/>
          </w:tcPr>
          <w:p w14:paraId="2BC25B5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5A36DAD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$9 </w:t>
            </w:r>
          </w:p>
        </w:tc>
        <w:tc>
          <w:tcPr>
            <w:tcW w:w="1276" w:type="dxa"/>
            <w:tcBorders>
              <w:top w:val="nil"/>
              <w:left w:val="nil"/>
              <w:bottom w:val="single" w:sz="12" w:space="0" w:color="1E1545"/>
              <w:right w:val="nil"/>
            </w:tcBorders>
            <w:shd w:val="clear" w:color="000000" w:fill="FFFFFF"/>
            <w:noWrap/>
            <w:vAlign w:val="center"/>
            <w:hideMark/>
          </w:tcPr>
          <w:p w14:paraId="057659D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2860C6D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$15 </w:t>
            </w:r>
          </w:p>
        </w:tc>
      </w:tr>
      <w:tr w:rsidR="00DB02AE" w:rsidRPr="00DB02AE" w14:paraId="6129DC87"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2131A88"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COVID-19 funding</w:t>
            </w:r>
          </w:p>
        </w:tc>
        <w:tc>
          <w:tcPr>
            <w:tcW w:w="1275" w:type="dxa"/>
            <w:tcBorders>
              <w:top w:val="nil"/>
              <w:left w:val="nil"/>
              <w:bottom w:val="single" w:sz="12" w:space="0" w:color="1E1545"/>
              <w:right w:val="nil"/>
            </w:tcBorders>
            <w:shd w:val="clear" w:color="000000" w:fill="FFFFFF"/>
            <w:noWrap/>
            <w:vAlign w:val="center"/>
            <w:hideMark/>
          </w:tcPr>
          <w:p w14:paraId="61EDCD0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7ADEE4C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53FC57D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12C315D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 </w:t>
            </w:r>
          </w:p>
        </w:tc>
      </w:tr>
      <w:tr w:rsidR="00DB02AE" w:rsidRPr="00DB02AE" w14:paraId="3000B79A"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DFE17D0"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Other income</w:t>
            </w:r>
          </w:p>
        </w:tc>
        <w:tc>
          <w:tcPr>
            <w:tcW w:w="1275" w:type="dxa"/>
            <w:tcBorders>
              <w:top w:val="nil"/>
              <w:left w:val="nil"/>
              <w:bottom w:val="single" w:sz="12" w:space="0" w:color="1E1545"/>
              <w:right w:val="nil"/>
            </w:tcBorders>
            <w:shd w:val="clear" w:color="000000" w:fill="FFFFFF"/>
            <w:noWrap/>
            <w:vAlign w:val="center"/>
            <w:hideMark/>
          </w:tcPr>
          <w:p w14:paraId="37E4483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$230 </w:t>
            </w:r>
          </w:p>
        </w:tc>
        <w:tc>
          <w:tcPr>
            <w:tcW w:w="1276" w:type="dxa"/>
            <w:tcBorders>
              <w:top w:val="nil"/>
              <w:left w:val="nil"/>
              <w:bottom w:val="single" w:sz="12" w:space="0" w:color="1E1545"/>
              <w:right w:val="nil"/>
            </w:tcBorders>
            <w:shd w:val="clear" w:color="000000" w:fill="FFFFFF"/>
            <w:noWrap/>
            <w:vAlign w:val="center"/>
            <w:hideMark/>
          </w:tcPr>
          <w:p w14:paraId="4BB2AAD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$71 </w:t>
            </w:r>
          </w:p>
        </w:tc>
        <w:tc>
          <w:tcPr>
            <w:tcW w:w="1276" w:type="dxa"/>
            <w:tcBorders>
              <w:top w:val="nil"/>
              <w:left w:val="nil"/>
              <w:bottom w:val="single" w:sz="12" w:space="0" w:color="1E1545"/>
              <w:right w:val="nil"/>
            </w:tcBorders>
            <w:shd w:val="clear" w:color="000000" w:fill="FFFFFF"/>
            <w:noWrap/>
            <w:vAlign w:val="center"/>
            <w:hideMark/>
          </w:tcPr>
          <w:p w14:paraId="2051AE1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788F641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$304 </w:t>
            </w:r>
          </w:p>
        </w:tc>
      </w:tr>
      <w:tr w:rsidR="00DB02AE" w:rsidRPr="00DB02AE" w14:paraId="792F4D19" w14:textId="77777777" w:rsidTr="009A592B">
        <w:trPr>
          <w:trHeight w:val="300"/>
        </w:trPr>
        <w:tc>
          <w:tcPr>
            <w:tcW w:w="4395" w:type="dxa"/>
            <w:tcBorders>
              <w:top w:val="nil"/>
              <w:left w:val="nil"/>
              <w:bottom w:val="single" w:sz="12" w:space="0" w:color="1E1545"/>
              <w:right w:val="nil"/>
            </w:tcBorders>
            <w:shd w:val="clear" w:color="000000" w:fill="D8DADA"/>
            <w:vAlign w:val="center"/>
            <w:hideMark/>
          </w:tcPr>
          <w:p w14:paraId="26906D95"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Total income</w:t>
            </w:r>
          </w:p>
        </w:tc>
        <w:tc>
          <w:tcPr>
            <w:tcW w:w="1275" w:type="dxa"/>
            <w:tcBorders>
              <w:top w:val="nil"/>
              <w:left w:val="nil"/>
              <w:bottom w:val="single" w:sz="12" w:space="0" w:color="1E1545"/>
              <w:right w:val="nil"/>
            </w:tcBorders>
            <w:shd w:val="clear" w:color="000000" w:fill="D8DADA"/>
            <w:noWrap/>
            <w:vAlign w:val="center"/>
            <w:hideMark/>
          </w:tcPr>
          <w:p w14:paraId="0DC8B06B"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$1,999 </w:t>
            </w:r>
          </w:p>
        </w:tc>
        <w:tc>
          <w:tcPr>
            <w:tcW w:w="1276" w:type="dxa"/>
            <w:tcBorders>
              <w:top w:val="nil"/>
              <w:left w:val="nil"/>
              <w:bottom w:val="single" w:sz="12" w:space="0" w:color="1E1545"/>
              <w:right w:val="nil"/>
            </w:tcBorders>
            <w:shd w:val="clear" w:color="000000" w:fill="D8DADA"/>
            <w:noWrap/>
            <w:vAlign w:val="center"/>
            <w:hideMark/>
          </w:tcPr>
          <w:p w14:paraId="6724B0B1"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$3,504 </w:t>
            </w:r>
          </w:p>
        </w:tc>
        <w:tc>
          <w:tcPr>
            <w:tcW w:w="1276" w:type="dxa"/>
            <w:tcBorders>
              <w:top w:val="nil"/>
              <w:left w:val="nil"/>
              <w:bottom w:val="single" w:sz="12" w:space="0" w:color="1E1545"/>
              <w:right w:val="nil"/>
            </w:tcBorders>
            <w:shd w:val="clear" w:color="000000" w:fill="D8DADA"/>
            <w:noWrap/>
            <w:vAlign w:val="center"/>
            <w:hideMark/>
          </w:tcPr>
          <w:p w14:paraId="059B5C82"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$284 </w:t>
            </w:r>
          </w:p>
        </w:tc>
        <w:tc>
          <w:tcPr>
            <w:tcW w:w="1276" w:type="dxa"/>
            <w:tcBorders>
              <w:top w:val="nil"/>
              <w:left w:val="nil"/>
              <w:bottom w:val="single" w:sz="12" w:space="0" w:color="1E1545"/>
              <w:right w:val="nil"/>
            </w:tcBorders>
            <w:shd w:val="clear" w:color="000000" w:fill="D8DADA"/>
            <w:noWrap/>
            <w:vAlign w:val="center"/>
            <w:hideMark/>
          </w:tcPr>
          <w:p w14:paraId="3438916A"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$5,787 </w:t>
            </w:r>
          </w:p>
        </w:tc>
      </w:tr>
      <w:tr w:rsidR="00DB02AE" w:rsidRPr="00DB02AE" w14:paraId="735B7F39" w14:textId="77777777" w:rsidTr="009A592B">
        <w:trPr>
          <w:trHeight w:val="300"/>
        </w:trPr>
        <w:tc>
          <w:tcPr>
            <w:tcW w:w="4395" w:type="dxa"/>
            <w:tcBorders>
              <w:top w:val="single" w:sz="8" w:space="0" w:color="auto"/>
              <w:left w:val="nil"/>
              <w:bottom w:val="single" w:sz="8" w:space="0" w:color="auto"/>
              <w:right w:val="nil"/>
            </w:tcBorders>
            <w:shd w:val="clear" w:color="000000" w:fill="D8DADA"/>
            <w:vAlign w:val="center"/>
            <w:hideMark/>
          </w:tcPr>
          <w:p w14:paraId="26AD9DC3"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Expenses</w:t>
            </w:r>
          </w:p>
        </w:tc>
        <w:tc>
          <w:tcPr>
            <w:tcW w:w="1275" w:type="dxa"/>
            <w:tcBorders>
              <w:top w:val="single" w:sz="8" w:space="0" w:color="auto"/>
              <w:left w:val="nil"/>
              <w:bottom w:val="single" w:sz="8" w:space="0" w:color="auto"/>
              <w:right w:val="nil"/>
            </w:tcBorders>
            <w:shd w:val="clear" w:color="000000" w:fill="D8DADA"/>
            <w:noWrap/>
            <w:vAlign w:val="center"/>
            <w:hideMark/>
          </w:tcPr>
          <w:p w14:paraId="6D8A080C"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8" w:space="0" w:color="auto"/>
              <w:left w:val="nil"/>
              <w:bottom w:val="single" w:sz="8" w:space="0" w:color="auto"/>
              <w:right w:val="nil"/>
            </w:tcBorders>
            <w:shd w:val="clear" w:color="000000" w:fill="D8DADA"/>
            <w:noWrap/>
            <w:vAlign w:val="center"/>
            <w:hideMark/>
          </w:tcPr>
          <w:p w14:paraId="636395C4"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8" w:space="0" w:color="auto"/>
              <w:left w:val="nil"/>
              <w:bottom w:val="single" w:sz="8" w:space="0" w:color="auto"/>
              <w:right w:val="nil"/>
            </w:tcBorders>
            <w:shd w:val="clear" w:color="000000" w:fill="D8DADA"/>
            <w:noWrap/>
            <w:vAlign w:val="center"/>
            <w:hideMark/>
          </w:tcPr>
          <w:p w14:paraId="7E755F22"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single" w:sz="8" w:space="0" w:color="auto"/>
              <w:left w:val="nil"/>
              <w:bottom w:val="single" w:sz="8" w:space="0" w:color="auto"/>
              <w:right w:val="nil"/>
            </w:tcBorders>
            <w:shd w:val="clear" w:color="000000" w:fill="D8DADA"/>
            <w:noWrap/>
            <w:vAlign w:val="center"/>
            <w:hideMark/>
          </w:tcPr>
          <w:p w14:paraId="77CFA0DF"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r>
      <w:tr w:rsidR="00DB02AE" w:rsidRPr="00DB02AE" w14:paraId="5A82522D" w14:textId="77777777" w:rsidTr="009A592B">
        <w:trPr>
          <w:trHeight w:val="285"/>
        </w:trPr>
        <w:tc>
          <w:tcPr>
            <w:tcW w:w="4395" w:type="dxa"/>
            <w:tcBorders>
              <w:top w:val="nil"/>
              <w:left w:val="nil"/>
              <w:bottom w:val="single" w:sz="8" w:space="0" w:color="auto"/>
              <w:right w:val="nil"/>
            </w:tcBorders>
            <w:shd w:val="clear" w:color="000000" w:fill="D8DADA"/>
            <w:vAlign w:val="center"/>
            <w:hideMark/>
          </w:tcPr>
          <w:p w14:paraId="182CA36C"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Internal direct service costs</w:t>
            </w:r>
          </w:p>
        </w:tc>
        <w:tc>
          <w:tcPr>
            <w:tcW w:w="1275" w:type="dxa"/>
            <w:tcBorders>
              <w:top w:val="nil"/>
              <w:left w:val="nil"/>
              <w:bottom w:val="single" w:sz="8" w:space="0" w:color="auto"/>
              <w:right w:val="nil"/>
            </w:tcBorders>
            <w:shd w:val="clear" w:color="000000" w:fill="D8DADA"/>
            <w:noWrap/>
            <w:vAlign w:val="center"/>
            <w:hideMark/>
          </w:tcPr>
          <w:p w14:paraId="03862780"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noWrap/>
            <w:vAlign w:val="center"/>
            <w:hideMark/>
          </w:tcPr>
          <w:p w14:paraId="4CA614FE"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noWrap/>
            <w:vAlign w:val="center"/>
            <w:hideMark/>
          </w:tcPr>
          <w:p w14:paraId="1A8036A8"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noWrap/>
            <w:vAlign w:val="center"/>
            <w:hideMark/>
          </w:tcPr>
          <w:p w14:paraId="43BD9177"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w:t>
            </w:r>
          </w:p>
        </w:tc>
      </w:tr>
      <w:tr w:rsidR="00DB02AE" w:rsidRPr="00DB02AE" w14:paraId="2406717D" w14:textId="77777777" w:rsidTr="009A592B">
        <w:trPr>
          <w:trHeight w:val="285"/>
        </w:trPr>
        <w:tc>
          <w:tcPr>
            <w:tcW w:w="4395" w:type="dxa"/>
            <w:tcBorders>
              <w:top w:val="nil"/>
              <w:left w:val="nil"/>
              <w:bottom w:val="single" w:sz="8" w:space="0" w:color="auto"/>
              <w:right w:val="nil"/>
            </w:tcBorders>
            <w:shd w:val="clear" w:color="000000" w:fill="D8DADA"/>
            <w:vAlign w:val="center"/>
            <w:hideMark/>
          </w:tcPr>
          <w:p w14:paraId="54978148"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Labour cost - internal direct Care - employee</w:t>
            </w:r>
          </w:p>
        </w:tc>
        <w:tc>
          <w:tcPr>
            <w:tcW w:w="1275" w:type="dxa"/>
            <w:tcBorders>
              <w:top w:val="nil"/>
              <w:left w:val="nil"/>
              <w:bottom w:val="single" w:sz="12" w:space="0" w:color="1E1545"/>
              <w:right w:val="nil"/>
            </w:tcBorders>
            <w:shd w:val="clear" w:color="000000" w:fill="D8DADA"/>
            <w:noWrap/>
            <w:vAlign w:val="center"/>
            <w:hideMark/>
          </w:tcPr>
          <w:p w14:paraId="53478770"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$475 </w:t>
            </w:r>
          </w:p>
        </w:tc>
        <w:tc>
          <w:tcPr>
            <w:tcW w:w="1276" w:type="dxa"/>
            <w:tcBorders>
              <w:top w:val="nil"/>
              <w:left w:val="nil"/>
              <w:bottom w:val="single" w:sz="12" w:space="0" w:color="1E1545"/>
              <w:right w:val="nil"/>
            </w:tcBorders>
            <w:shd w:val="clear" w:color="000000" w:fill="D8DADA"/>
            <w:noWrap/>
            <w:vAlign w:val="center"/>
            <w:hideMark/>
          </w:tcPr>
          <w:p w14:paraId="7A23BD2F"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$944 </w:t>
            </w:r>
          </w:p>
        </w:tc>
        <w:tc>
          <w:tcPr>
            <w:tcW w:w="1276" w:type="dxa"/>
            <w:tcBorders>
              <w:top w:val="nil"/>
              <w:left w:val="nil"/>
              <w:bottom w:val="single" w:sz="12" w:space="0" w:color="1E1545"/>
              <w:right w:val="nil"/>
            </w:tcBorders>
            <w:shd w:val="clear" w:color="000000" w:fill="D8DADA"/>
            <w:noWrap/>
            <w:vAlign w:val="center"/>
            <w:hideMark/>
          </w:tcPr>
          <w:p w14:paraId="481DAAAF"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$52 </w:t>
            </w:r>
          </w:p>
        </w:tc>
        <w:tc>
          <w:tcPr>
            <w:tcW w:w="1276" w:type="dxa"/>
            <w:tcBorders>
              <w:top w:val="nil"/>
              <w:left w:val="nil"/>
              <w:bottom w:val="single" w:sz="12" w:space="0" w:color="1E1545"/>
              <w:right w:val="nil"/>
            </w:tcBorders>
            <w:shd w:val="clear" w:color="000000" w:fill="D8DADA"/>
            <w:noWrap/>
            <w:vAlign w:val="center"/>
            <w:hideMark/>
          </w:tcPr>
          <w:p w14:paraId="3529EA18"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$1,471 </w:t>
            </w:r>
          </w:p>
        </w:tc>
      </w:tr>
      <w:tr w:rsidR="00DB02AE" w:rsidRPr="00DB02AE" w14:paraId="29673DC5" w14:textId="77777777" w:rsidTr="009A592B">
        <w:trPr>
          <w:trHeight w:val="285"/>
        </w:trPr>
        <w:tc>
          <w:tcPr>
            <w:tcW w:w="4395" w:type="dxa"/>
            <w:tcBorders>
              <w:top w:val="nil"/>
              <w:left w:val="nil"/>
              <w:bottom w:val="single" w:sz="12" w:space="0" w:color="1E1545"/>
              <w:right w:val="nil"/>
            </w:tcBorders>
            <w:shd w:val="clear" w:color="auto" w:fill="auto"/>
            <w:vAlign w:val="center"/>
            <w:hideMark/>
          </w:tcPr>
          <w:p w14:paraId="263C88ED"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Registered nurses</w:t>
            </w:r>
          </w:p>
        </w:tc>
        <w:tc>
          <w:tcPr>
            <w:tcW w:w="1275" w:type="dxa"/>
            <w:tcBorders>
              <w:top w:val="nil"/>
              <w:left w:val="nil"/>
              <w:bottom w:val="single" w:sz="12" w:space="0" w:color="1E1545"/>
              <w:right w:val="nil"/>
            </w:tcBorders>
            <w:shd w:val="clear" w:color="000000" w:fill="FFFFFF"/>
            <w:noWrap/>
            <w:vAlign w:val="center"/>
            <w:hideMark/>
          </w:tcPr>
          <w:p w14:paraId="7B5DAEA1"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$21 </w:t>
            </w:r>
          </w:p>
        </w:tc>
        <w:tc>
          <w:tcPr>
            <w:tcW w:w="1276" w:type="dxa"/>
            <w:tcBorders>
              <w:top w:val="nil"/>
              <w:left w:val="nil"/>
              <w:bottom w:val="single" w:sz="12" w:space="0" w:color="1E1545"/>
              <w:right w:val="nil"/>
            </w:tcBorders>
            <w:shd w:val="clear" w:color="000000" w:fill="FFFFFF"/>
            <w:noWrap/>
            <w:vAlign w:val="center"/>
            <w:hideMark/>
          </w:tcPr>
          <w:p w14:paraId="5401621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$61 </w:t>
            </w:r>
          </w:p>
        </w:tc>
        <w:tc>
          <w:tcPr>
            <w:tcW w:w="1276" w:type="dxa"/>
            <w:tcBorders>
              <w:top w:val="nil"/>
              <w:left w:val="nil"/>
              <w:bottom w:val="single" w:sz="12" w:space="0" w:color="1E1545"/>
              <w:right w:val="nil"/>
            </w:tcBorders>
            <w:shd w:val="clear" w:color="000000" w:fill="FFFFFF"/>
            <w:noWrap/>
            <w:vAlign w:val="center"/>
            <w:hideMark/>
          </w:tcPr>
          <w:p w14:paraId="541C826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64C30A1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$85 </w:t>
            </w:r>
          </w:p>
        </w:tc>
      </w:tr>
      <w:tr w:rsidR="00DB02AE" w:rsidRPr="00DB02AE" w14:paraId="7A0AC941"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8B97C7D"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 xml:space="preserve">Enrolled and licensed nurses (registered with the NMBA) </w:t>
            </w:r>
          </w:p>
        </w:tc>
        <w:tc>
          <w:tcPr>
            <w:tcW w:w="1275" w:type="dxa"/>
            <w:tcBorders>
              <w:top w:val="nil"/>
              <w:left w:val="nil"/>
              <w:bottom w:val="single" w:sz="12" w:space="0" w:color="1E1545"/>
              <w:right w:val="nil"/>
            </w:tcBorders>
            <w:shd w:val="clear" w:color="000000" w:fill="FFFFFF"/>
            <w:noWrap/>
            <w:vAlign w:val="center"/>
            <w:hideMark/>
          </w:tcPr>
          <w:p w14:paraId="7EE9C40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 </w:t>
            </w:r>
          </w:p>
        </w:tc>
        <w:tc>
          <w:tcPr>
            <w:tcW w:w="1276" w:type="dxa"/>
            <w:tcBorders>
              <w:top w:val="nil"/>
              <w:left w:val="nil"/>
              <w:bottom w:val="single" w:sz="12" w:space="0" w:color="1E1545"/>
              <w:right w:val="nil"/>
            </w:tcBorders>
            <w:shd w:val="clear" w:color="000000" w:fill="FFFFFF"/>
            <w:noWrap/>
            <w:vAlign w:val="center"/>
            <w:hideMark/>
          </w:tcPr>
          <w:p w14:paraId="6911A9F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$12 </w:t>
            </w:r>
          </w:p>
        </w:tc>
        <w:tc>
          <w:tcPr>
            <w:tcW w:w="1276" w:type="dxa"/>
            <w:tcBorders>
              <w:top w:val="nil"/>
              <w:left w:val="nil"/>
              <w:bottom w:val="single" w:sz="12" w:space="0" w:color="1E1545"/>
              <w:right w:val="nil"/>
            </w:tcBorders>
            <w:shd w:val="clear" w:color="000000" w:fill="FFFFFF"/>
            <w:noWrap/>
            <w:vAlign w:val="center"/>
            <w:hideMark/>
          </w:tcPr>
          <w:p w14:paraId="65B33556"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271209B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$20 </w:t>
            </w:r>
          </w:p>
        </w:tc>
      </w:tr>
      <w:tr w:rsidR="00DB02AE" w:rsidRPr="00DB02AE" w14:paraId="75D03335"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AD7A96B"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Personal care staff / other unlicensed nurses</w:t>
            </w:r>
          </w:p>
        </w:tc>
        <w:tc>
          <w:tcPr>
            <w:tcW w:w="1275" w:type="dxa"/>
            <w:tcBorders>
              <w:top w:val="nil"/>
              <w:left w:val="nil"/>
              <w:bottom w:val="single" w:sz="12" w:space="0" w:color="1E1545"/>
              <w:right w:val="nil"/>
            </w:tcBorders>
            <w:shd w:val="clear" w:color="000000" w:fill="FFFFFF"/>
            <w:noWrap/>
            <w:vAlign w:val="center"/>
            <w:hideMark/>
          </w:tcPr>
          <w:p w14:paraId="0E8B2971"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$431 </w:t>
            </w:r>
          </w:p>
        </w:tc>
        <w:tc>
          <w:tcPr>
            <w:tcW w:w="1276" w:type="dxa"/>
            <w:tcBorders>
              <w:top w:val="nil"/>
              <w:left w:val="nil"/>
              <w:bottom w:val="single" w:sz="12" w:space="0" w:color="1E1545"/>
              <w:right w:val="nil"/>
            </w:tcBorders>
            <w:shd w:val="clear" w:color="000000" w:fill="FFFFFF"/>
            <w:noWrap/>
            <w:vAlign w:val="center"/>
            <w:hideMark/>
          </w:tcPr>
          <w:p w14:paraId="0BC1970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$767 </w:t>
            </w:r>
          </w:p>
        </w:tc>
        <w:tc>
          <w:tcPr>
            <w:tcW w:w="1276" w:type="dxa"/>
            <w:tcBorders>
              <w:top w:val="nil"/>
              <w:left w:val="nil"/>
              <w:bottom w:val="single" w:sz="12" w:space="0" w:color="1E1545"/>
              <w:right w:val="nil"/>
            </w:tcBorders>
            <w:shd w:val="clear" w:color="000000" w:fill="FFFFFF"/>
            <w:noWrap/>
            <w:vAlign w:val="center"/>
            <w:hideMark/>
          </w:tcPr>
          <w:p w14:paraId="1CCC1CF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$42 </w:t>
            </w:r>
          </w:p>
        </w:tc>
        <w:tc>
          <w:tcPr>
            <w:tcW w:w="1276" w:type="dxa"/>
            <w:tcBorders>
              <w:top w:val="nil"/>
              <w:left w:val="nil"/>
              <w:bottom w:val="single" w:sz="12" w:space="0" w:color="1E1545"/>
              <w:right w:val="nil"/>
            </w:tcBorders>
            <w:shd w:val="clear" w:color="000000" w:fill="FFFFFF"/>
            <w:noWrap/>
            <w:vAlign w:val="center"/>
            <w:hideMark/>
          </w:tcPr>
          <w:p w14:paraId="5D7F403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$1,240 </w:t>
            </w:r>
          </w:p>
        </w:tc>
      </w:tr>
      <w:tr w:rsidR="00DB02AE" w:rsidRPr="00DB02AE" w14:paraId="671EAEBD"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4F496A4B"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 xml:space="preserve">Allied health </w:t>
            </w:r>
          </w:p>
        </w:tc>
        <w:tc>
          <w:tcPr>
            <w:tcW w:w="1275" w:type="dxa"/>
            <w:tcBorders>
              <w:top w:val="nil"/>
              <w:left w:val="nil"/>
              <w:bottom w:val="single" w:sz="12" w:space="0" w:color="1E1545"/>
              <w:right w:val="nil"/>
            </w:tcBorders>
            <w:shd w:val="clear" w:color="000000" w:fill="FFFFFF"/>
            <w:noWrap/>
            <w:vAlign w:val="center"/>
            <w:hideMark/>
          </w:tcPr>
          <w:p w14:paraId="4E7FAAC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12C7142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$34 </w:t>
            </w:r>
          </w:p>
        </w:tc>
        <w:tc>
          <w:tcPr>
            <w:tcW w:w="1276" w:type="dxa"/>
            <w:tcBorders>
              <w:top w:val="nil"/>
              <w:left w:val="nil"/>
              <w:bottom w:val="single" w:sz="12" w:space="0" w:color="1E1545"/>
              <w:right w:val="nil"/>
            </w:tcBorders>
            <w:shd w:val="clear" w:color="000000" w:fill="FFFFFF"/>
            <w:noWrap/>
            <w:vAlign w:val="center"/>
            <w:hideMark/>
          </w:tcPr>
          <w:p w14:paraId="7A5C9B5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4DC058E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$40 </w:t>
            </w:r>
          </w:p>
        </w:tc>
      </w:tr>
      <w:tr w:rsidR="00DB02AE" w:rsidRPr="00DB02AE" w14:paraId="6FB1E42D"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F22844B"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Other employee staff</w:t>
            </w:r>
          </w:p>
        </w:tc>
        <w:tc>
          <w:tcPr>
            <w:tcW w:w="1275" w:type="dxa"/>
            <w:tcBorders>
              <w:top w:val="nil"/>
              <w:left w:val="nil"/>
              <w:bottom w:val="single" w:sz="12" w:space="0" w:color="1E1545"/>
              <w:right w:val="nil"/>
            </w:tcBorders>
            <w:shd w:val="clear" w:color="000000" w:fill="FFFFFF"/>
            <w:noWrap/>
            <w:vAlign w:val="center"/>
            <w:hideMark/>
          </w:tcPr>
          <w:p w14:paraId="0A39FFD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$12 </w:t>
            </w:r>
          </w:p>
        </w:tc>
        <w:tc>
          <w:tcPr>
            <w:tcW w:w="1276" w:type="dxa"/>
            <w:tcBorders>
              <w:top w:val="nil"/>
              <w:left w:val="nil"/>
              <w:bottom w:val="single" w:sz="12" w:space="0" w:color="1E1545"/>
              <w:right w:val="nil"/>
            </w:tcBorders>
            <w:shd w:val="clear" w:color="000000" w:fill="FFFFFF"/>
            <w:noWrap/>
            <w:vAlign w:val="center"/>
            <w:hideMark/>
          </w:tcPr>
          <w:p w14:paraId="6E18F00F"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$70 </w:t>
            </w:r>
          </w:p>
        </w:tc>
        <w:tc>
          <w:tcPr>
            <w:tcW w:w="1276" w:type="dxa"/>
            <w:tcBorders>
              <w:top w:val="nil"/>
              <w:left w:val="nil"/>
              <w:bottom w:val="single" w:sz="12" w:space="0" w:color="1E1545"/>
              <w:right w:val="nil"/>
            </w:tcBorders>
            <w:shd w:val="clear" w:color="000000" w:fill="FFFFFF"/>
            <w:noWrap/>
            <w:vAlign w:val="center"/>
            <w:hideMark/>
          </w:tcPr>
          <w:p w14:paraId="4DBE738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1E63A4B1"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$86 </w:t>
            </w:r>
          </w:p>
        </w:tc>
      </w:tr>
      <w:tr w:rsidR="00DB02AE" w:rsidRPr="00DB02AE" w14:paraId="4FA2163B" w14:textId="77777777" w:rsidTr="009A592B">
        <w:trPr>
          <w:trHeight w:val="300"/>
        </w:trPr>
        <w:tc>
          <w:tcPr>
            <w:tcW w:w="4395" w:type="dxa"/>
            <w:tcBorders>
              <w:top w:val="nil"/>
              <w:left w:val="nil"/>
              <w:bottom w:val="single" w:sz="12" w:space="0" w:color="1E1545"/>
              <w:right w:val="nil"/>
            </w:tcBorders>
            <w:shd w:val="clear" w:color="000000" w:fill="D8DADA"/>
            <w:vAlign w:val="center"/>
            <w:hideMark/>
          </w:tcPr>
          <w:p w14:paraId="168B964D" w14:textId="77777777" w:rsidR="00DB02AE" w:rsidRPr="00DB02AE" w:rsidRDefault="00DB02AE" w:rsidP="00DB02AE">
            <w:pPr>
              <w:spacing w:before="0" w:after="0" w:line="240" w:lineRule="auto"/>
              <w:rPr>
                <w:rFonts w:cs="Arial"/>
                <w:b/>
                <w:color w:val="1E1545"/>
                <w:sz w:val="21"/>
                <w:szCs w:val="21"/>
                <w:lang w:eastAsia="en-AU"/>
              </w:rPr>
            </w:pPr>
            <w:r w:rsidRPr="00DB02AE">
              <w:rPr>
                <w:rFonts w:cs="Arial"/>
                <w:b/>
                <w:color w:val="1E1545"/>
                <w:sz w:val="21"/>
                <w:szCs w:val="21"/>
                <w:lang w:eastAsia="en-AU"/>
              </w:rPr>
              <w:t>Labour cost - internal direct care - agency care staff</w:t>
            </w:r>
          </w:p>
        </w:tc>
        <w:tc>
          <w:tcPr>
            <w:tcW w:w="1275" w:type="dxa"/>
            <w:tcBorders>
              <w:top w:val="nil"/>
              <w:left w:val="nil"/>
              <w:bottom w:val="single" w:sz="8" w:space="0" w:color="auto"/>
              <w:right w:val="nil"/>
            </w:tcBorders>
            <w:shd w:val="clear" w:color="000000" w:fill="D8DADA"/>
            <w:vAlign w:val="center"/>
            <w:hideMark/>
          </w:tcPr>
          <w:p w14:paraId="0411B682"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$23 </w:t>
            </w:r>
          </w:p>
        </w:tc>
        <w:tc>
          <w:tcPr>
            <w:tcW w:w="1276" w:type="dxa"/>
            <w:tcBorders>
              <w:top w:val="nil"/>
              <w:left w:val="nil"/>
              <w:bottom w:val="single" w:sz="8" w:space="0" w:color="auto"/>
              <w:right w:val="nil"/>
            </w:tcBorders>
            <w:shd w:val="clear" w:color="000000" w:fill="D8DADA"/>
            <w:vAlign w:val="center"/>
            <w:hideMark/>
          </w:tcPr>
          <w:p w14:paraId="369344FC"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$40 </w:t>
            </w:r>
          </w:p>
        </w:tc>
        <w:tc>
          <w:tcPr>
            <w:tcW w:w="1276" w:type="dxa"/>
            <w:tcBorders>
              <w:top w:val="nil"/>
              <w:left w:val="nil"/>
              <w:bottom w:val="single" w:sz="8" w:space="0" w:color="auto"/>
              <w:right w:val="nil"/>
            </w:tcBorders>
            <w:shd w:val="clear" w:color="000000" w:fill="D8DADA"/>
            <w:vAlign w:val="center"/>
            <w:hideMark/>
          </w:tcPr>
          <w:p w14:paraId="4ACA5462"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$0 </w:t>
            </w:r>
          </w:p>
        </w:tc>
        <w:tc>
          <w:tcPr>
            <w:tcW w:w="1276" w:type="dxa"/>
            <w:tcBorders>
              <w:top w:val="nil"/>
              <w:left w:val="nil"/>
              <w:bottom w:val="single" w:sz="8" w:space="0" w:color="auto"/>
              <w:right w:val="nil"/>
            </w:tcBorders>
            <w:shd w:val="clear" w:color="000000" w:fill="D8DADA"/>
            <w:vAlign w:val="center"/>
            <w:hideMark/>
          </w:tcPr>
          <w:p w14:paraId="4F140F77" w14:textId="77777777" w:rsidR="00DB02AE" w:rsidRPr="00DB02AE" w:rsidRDefault="00DB02AE" w:rsidP="00DB02AE">
            <w:pPr>
              <w:spacing w:before="0" w:after="0" w:line="240" w:lineRule="auto"/>
              <w:jc w:val="right"/>
              <w:rPr>
                <w:rFonts w:cs="Arial"/>
                <w:b/>
                <w:color w:val="1E1545"/>
                <w:sz w:val="21"/>
                <w:szCs w:val="21"/>
                <w:lang w:eastAsia="en-AU"/>
              </w:rPr>
            </w:pPr>
            <w:r w:rsidRPr="00DB02AE">
              <w:rPr>
                <w:rFonts w:cs="Arial"/>
                <w:b/>
                <w:color w:val="1E1545"/>
                <w:sz w:val="21"/>
                <w:szCs w:val="21"/>
                <w:lang w:eastAsia="en-AU"/>
              </w:rPr>
              <w:t xml:space="preserve"> $63 </w:t>
            </w:r>
          </w:p>
        </w:tc>
      </w:tr>
      <w:tr w:rsidR="00DB02AE" w:rsidRPr="00DB02AE" w14:paraId="42E54378"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83BB2A6"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Registered nurses</w:t>
            </w:r>
          </w:p>
        </w:tc>
        <w:tc>
          <w:tcPr>
            <w:tcW w:w="1275" w:type="dxa"/>
            <w:tcBorders>
              <w:top w:val="nil"/>
              <w:left w:val="nil"/>
              <w:bottom w:val="single" w:sz="12" w:space="0" w:color="1E1545"/>
              <w:right w:val="nil"/>
            </w:tcBorders>
            <w:shd w:val="clear" w:color="000000" w:fill="FFFFFF"/>
            <w:noWrap/>
            <w:vAlign w:val="center"/>
            <w:hideMark/>
          </w:tcPr>
          <w:p w14:paraId="45413C4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72B275E9"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4362711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32996C8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 </w:t>
            </w:r>
          </w:p>
        </w:tc>
      </w:tr>
      <w:tr w:rsidR="00DB02AE" w:rsidRPr="00DB02AE" w14:paraId="1A6FD314"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05A36EC"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 xml:space="preserve">Enrolled and licensed nurses (registered with the NMBA) </w:t>
            </w:r>
          </w:p>
        </w:tc>
        <w:tc>
          <w:tcPr>
            <w:tcW w:w="1275" w:type="dxa"/>
            <w:tcBorders>
              <w:top w:val="nil"/>
              <w:left w:val="nil"/>
              <w:bottom w:val="single" w:sz="12" w:space="0" w:color="1E1545"/>
              <w:right w:val="nil"/>
            </w:tcBorders>
            <w:shd w:val="clear" w:color="000000" w:fill="FFFFFF"/>
            <w:noWrap/>
            <w:vAlign w:val="center"/>
            <w:hideMark/>
          </w:tcPr>
          <w:p w14:paraId="4FF9DDE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3FC24BDF"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1BE56DE6"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 </w:t>
            </w:r>
          </w:p>
        </w:tc>
        <w:tc>
          <w:tcPr>
            <w:tcW w:w="1276" w:type="dxa"/>
            <w:tcBorders>
              <w:top w:val="nil"/>
              <w:left w:val="nil"/>
              <w:bottom w:val="single" w:sz="12" w:space="0" w:color="1E1545"/>
              <w:right w:val="nil"/>
            </w:tcBorders>
            <w:shd w:val="clear" w:color="000000" w:fill="FFFFFF"/>
            <w:noWrap/>
            <w:vAlign w:val="center"/>
            <w:hideMark/>
          </w:tcPr>
          <w:p w14:paraId="4BB5D9C2"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r>
      <w:tr w:rsidR="00DB02AE" w:rsidRPr="00DB02AE" w14:paraId="7CD169F9"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4F015372"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Personal care staff / other unlicensed nurses</w:t>
            </w:r>
          </w:p>
        </w:tc>
        <w:tc>
          <w:tcPr>
            <w:tcW w:w="1275" w:type="dxa"/>
            <w:tcBorders>
              <w:top w:val="nil"/>
              <w:left w:val="nil"/>
              <w:bottom w:val="single" w:sz="12" w:space="0" w:color="1E1545"/>
              <w:right w:val="nil"/>
            </w:tcBorders>
            <w:shd w:val="clear" w:color="000000" w:fill="FFFFFF"/>
            <w:noWrap/>
            <w:vAlign w:val="center"/>
            <w:hideMark/>
          </w:tcPr>
          <w:p w14:paraId="00EB2A90"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$16 </w:t>
            </w:r>
          </w:p>
        </w:tc>
        <w:tc>
          <w:tcPr>
            <w:tcW w:w="1276" w:type="dxa"/>
            <w:tcBorders>
              <w:top w:val="nil"/>
              <w:left w:val="nil"/>
              <w:bottom w:val="single" w:sz="12" w:space="0" w:color="1E1545"/>
              <w:right w:val="nil"/>
            </w:tcBorders>
            <w:shd w:val="clear" w:color="000000" w:fill="FFFFFF"/>
            <w:noWrap/>
            <w:vAlign w:val="center"/>
            <w:hideMark/>
          </w:tcPr>
          <w:p w14:paraId="58CC8A3D"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$25 </w:t>
            </w:r>
          </w:p>
        </w:tc>
        <w:tc>
          <w:tcPr>
            <w:tcW w:w="1276" w:type="dxa"/>
            <w:tcBorders>
              <w:top w:val="nil"/>
              <w:left w:val="nil"/>
              <w:bottom w:val="single" w:sz="12" w:space="0" w:color="1E1545"/>
              <w:right w:val="nil"/>
            </w:tcBorders>
            <w:shd w:val="clear" w:color="000000" w:fill="FFFFFF"/>
            <w:noWrap/>
            <w:vAlign w:val="center"/>
            <w:hideMark/>
          </w:tcPr>
          <w:p w14:paraId="39E01B4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6583654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$40 </w:t>
            </w:r>
          </w:p>
        </w:tc>
      </w:tr>
      <w:tr w:rsidR="00DB02AE" w:rsidRPr="00DB02AE" w14:paraId="79C53F00"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8DB681A"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 xml:space="preserve">Allied health </w:t>
            </w:r>
          </w:p>
        </w:tc>
        <w:tc>
          <w:tcPr>
            <w:tcW w:w="1275" w:type="dxa"/>
            <w:tcBorders>
              <w:top w:val="nil"/>
              <w:left w:val="nil"/>
              <w:bottom w:val="single" w:sz="12" w:space="0" w:color="1E1545"/>
              <w:right w:val="nil"/>
            </w:tcBorders>
            <w:shd w:val="clear" w:color="000000" w:fill="FFFFFF"/>
            <w:noWrap/>
            <w:vAlign w:val="center"/>
            <w:hideMark/>
          </w:tcPr>
          <w:p w14:paraId="64355D9F"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6E559518"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6445AEFB"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 </w:t>
            </w:r>
          </w:p>
        </w:tc>
        <w:tc>
          <w:tcPr>
            <w:tcW w:w="1276" w:type="dxa"/>
            <w:tcBorders>
              <w:top w:val="nil"/>
              <w:left w:val="nil"/>
              <w:bottom w:val="single" w:sz="12" w:space="0" w:color="1E1545"/>
              <w:right w:val="nil"/>
            </w:tcBorders>
            <w:shd w:val="clear" w:color="000000" w:fill="FFFFFF"/>
            <w:noWrap/>
            <w:vAlign w:val="center"/>
            <w:hideMark/>
          </w:tcPr>
          <w:p w14:paraId="6056B75C"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$6 </w:t>
            </w:r>
          </w:p>
        </w:tc>
      </w:tr>
      <w:tr w:rsidR="00DB02AE" w:rsidRPr="00DB02AE" w14:paraId="7688278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F0EE980" w14:textId="77777777" w:rsidR="00DB02AE" w:rsidRPr="00DB02AE" w:rsidRDefault="00DB02AE" w:rsidP="00DB02AE">
            <w:pPr>
              <w:spacing w:before="0" w:after="0" w:line="240" w:lineRule="auto"/>
              <w:ind w:firstLineChars="100" w:firstLine="210"/>
              <w:rPr>
                <w:rFonts w:cs="Arial"/>
                <w:bCs w:val="0"/>
                <w:color w:val="1E1545"/>
                <w:sz w:val="21"/>
                <w:szCs w:val="21"/>
                <w:lang w:eastAsia="en-AU"/>
              </w:rPr>
            </w:pPr>
            <w:r w:rsidRPr="00DB02AE">
              <w:rPr>
                <w:rFonts w:cs="Arial"/>
                <w:bCs w:val="0"/>
                <w:color w:val="1E1545"/>
                <w:sz w:val="21"/>
                <w:szCs w:val="21"/>
                <w:lang w:eastAsia="en-AU"/>
              </w:rPr>
              <w:t>Other employee staff</w:t>
            </w:r>
          </w:p>
        </w:tc>
        <w:tc>
          <w:tcPr>
            <w:tcW w:w="1275" w:type="dxa"/>
            <w:tcBorders>
              <w:top w:val="nil"/>
              <w:left w:val="nil"/>
              <w:bottom w:val="single" w:sz="12" w:space="0" w:color="1E1545"/>
              <w:right w:val="nil"/>
            </w:tcBorders>
            <w:shd w:val="clear" w:color="000000" w:fill="FFFFFF"/>
            <w:noWrap/>
            <w:vAlign w:val="center"/>
            <w:hideMark/>
          </w:tcPr>
          <w:p w14:paraId="1A2088C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6D2BF36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$9 </w:t>
            </w:r>
          </w:p>
        </w:tc>
        <w:tc>
          <w:tcPr>
            <w:tcW w:w="1276" w:type="dxa"/>
            <w:tcBorders>
              <w:top w:val="nil"/>
              <w:left w:val="nil"/>
              <w:bottom w:val="single" w:sz="12" w:space="0" w:color="1E1545"/>
              <w:right w:val="nil"/>
            </w:tcBorders>
            <w:shd w:val="clear" w:color="000000" w:fill="FFFFFF"/>
            <w:noWrap/>
            <w:vAlign w:val="center"/>
            <w:hideMark/>
          </w:tcPr>
          <w:p w14:paraId="4A25068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0978B36E"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$12 </w:t>
            </w:r>
          </w:p>
        </w:tc>
      </w:tr>
      <w:tr w:rsidR="00DB02AE" w:rsidRPr="00DB02AE" w14:paraId="4D0AD1D1"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60613218"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Payroll tax - care staff</w:t>
            </w:r>
          </w:p>
        </w:tc>
        <w:tc>
          <w:tcPr>
            <w:tcW w:w="1275" w:type="dxa"/>
            <w:tcBorders>
              <w:top w:val="nil"/>
              <w:left w:val="nil"/>
              <w:bottom w:val="single" w:sz="12" w:space="0" w:color="1E1545"/>
              <w:right w:val="nil"/>
            </w:tcBorders>
            <w:shd w:val="clear" w:color="000000" w:fill="FFFFFF"/>
            <w:noWrap/>
            <w:vAlign w:val="center"/>
            <w:hideMark/>
          </w:tcPr>
          <w:p w14:paraId="0BCBAAA6"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$23 </w:t>
            </w:r>
          </w:p>
        </w:tc>
        <w:tc>
          <w:tcPr>
            <w:tcW w:w="1276" w:type="dxa"/>
            <w:tcBorders>
              <w:top w:val="nil"/>
              <w:left w:val="nil"/>
              <w:bottom w:val="single" w:sz="12" w:space="0" w:color="1E1545"/>
              <w:right w:val="nil"/>
            </w:tcBorders>
            <w:shd w:val="clear" w:color="000000" w:fill="FFFFFF"/>
            <w:noWrap/>
            <w:vAlign w:val="center"/>
            <w:hideMark/>
          </w:tcPr>
          <w:p w14:paraId="1F5E534F"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00AECF9A"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4D5EE88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$25 </w:t>
            </w:r>
          </w:p>
        </w:tc>
      </w:tr>
      <w:tr w:rsidR="00DB02AE" w:rsidRPr="00DB02AE" w14:paraId="23C40239"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3201744"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Care related expenses</w:t>
            </w:r>
          </w:p>
        </w:tc>
        <w:tc>
          <w:tcPr>
            <w:tcW w:w="1275" w:type="dxa"/>
            <w:tcBorders>
              <w:top w:val="nil"/>
              <w:left w:val="nil"/>
              <w:bottom w:val="single" w:sz="12" w:space="0" w:color="1E1545"/>
              <w:right w:val="nil"/>
            </w:tcBorders>
            <w:shd w:val="clear" w:color="000000" w:fill="FFFFFF"/>
            <w:noWrap/>
            <w:vAlign w:val="center"/>
            <w:hideMark/>
          </w:tcPr>
          <w:p w14:paraId="71296B7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$35 </w:t>
            </w:r>
          </w:p>
        </w:tc>
        <w:tc>
          <w:tcPr>
            <w:tcW w:w="1276" w:type="dxa"/>
            <w:tcBorders>
              <w:top w:val="nil"/>
              <w:left w:val="nil"/>
              <w:bottom w:val="single" w:sz="12" w:space="0" w:color="1E1545"/>
              <w:right w:val="nil"/>
            </w:tcBorders>
            <w:shd w:val="clear" w:color="000000" w:fill="FFFFFF"/>
            <w:noWrap/>
            <w:vAlign w:val="center"/>
            <w:hideMark/>
          </w:tcPr>
          <w:p w14:paraId="5D0C6CF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$46 </w:t>
            </w:r>
          </w:p>
        </w:tc>
        <w:tc>
          <w:tcPr>
            <w:tcW w:w="1276" w:type="dxa"/>
            <w:tcBorders>
              <w:top w:val="nil"/>
              <w:left w:val="nil"/>
              <w:bottom w:val="single" w:sz="12" w:space="0" w:color="1E1545"/>
              <w:right w:val="nil"/>
            </w:tcBorders>
            <w:shd w:val="clear" w:color="000000" w:fill="FFFFFF"/>
            <w:noWrap/>
            <w:vAlign w:val="center"/>
            <w:hideMark/>
          </w:tcPr>
          <w:p w14:paraId="40BC937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$8 </w:t>
            </w:r>
          </w:p>
        </w:tc>
        <w:tc>
          <w:tcPr>
            <w:tcW w:w="1276" w:type="dxa"/>
            <w:tcBorders>
              <w:top w:val="nil"/>
              <w:left w:val="nil"/>
              <w:bottom w:val="single" w:sz="12" w:space="0" w:color="1E1545"/>
              <w:right w:val="nil"/>
            </w:tcBorders>
            <w:shd w:val="clear" w:color="000000" w:fill="FFFFFF"/>
            <w:noWrap/>
            <w:vAlign w:val="center"/>
            <w:hideMark/>
          </w:tcPr>
          <w:p w14:paraId="1D716F35"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$89 </w:t>
            </w:r>
          </w:p>
        </w:tc>
      </w:tr>
      <w:tr w:rsidR="00DB02AE" w:rsidRPr="00DB02AE" w14:paraId="6ABE3F21"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1960080" w14:textId="77777777" w:rsidR="00DB02AE" w:rsidRPr="00DB02AE" w:rsidRDefault="00DB02AE" w:rsidP="00DB02AE">
            <w:pPr>
              <w:spacing w:before="0" w:after="0" w:line="240" w:lineRule="auto"/>
              <w:rPr>
                <w:rFonts w:cs="Arial"/>
                <w:bCs w:val="0"/>
                <w:color w:val="1E1545"/>
                <w:sz w:val="21"/>
                <w:szCs w:val="21"/>
                <w:lang w:eastAsia="en-AU"/>
              </w:rPr>
            </w:pPr>
            <w:r w:rsidRPr="00DB02AE">
              <w:rPr>
                <w:rFonts w:cs="Arial"/>
                <w:bCs w:val="0"/>
                <w:color w:val="1E1545"/>
                <w:sz w:val="21"/>
                <w:szCs w:val="21"/>
                <w:lang w:eastAsia="en-AU"/>
              </w:rPr>
              <w:t>Motor vehicle expenses</w:t>
            </w:r>
          </w:p>
        </w:tc>
        <w:tc>
          <w:tcPr>
            <w:tcW w:w="1275" w:type="dxa"/>
            <w:tcBorders>
              <w:top w:val="nil"/>
              <w:left w:val="nil"/>
              <w:bottom w:val="single" w:sz="12" w:space="0" w:color="1E1545"/>
              <w:right w:val="nil"/>
            </w:tcBorders>
            <w:shd w:val="clear" w:color="000000" w:fill="FFFFFF"/>
            <w:noWrap/>
            <w:vAlign w:val="center"/>
            <w:hideMark/>
          </w:tcPr>
          <w:p w14:paraId="629E0664"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$10 </w:t>
            </w:r>
          </w:p>
        </w:tc>
        <w:tc>
          <w:tcPr>
            <w:tcW w:w="1276" w:type="dxa"/>
            <w:tcBorders>
              <w:top w:val="nil"/>
              <w:left w:val="nil"/>
              <w:bottom w:val="single" w:sz="12" w:space="0" w:color="1E1545"/>
              <w:right w:val="nil"/>
            </w:tcBorders>
            <w:shd w:val="clear" w:color="000000" w:fill="FFFFFF"/>
            <w:noWrap/>
            <w:vAlign w:val="center"/>
            <w:hideMark/>
          </w:tcPr>
          <w:p w14:paraId="636806A3"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$46 </w:t>
            </w:r>
          </w:p>
        </w:tc>
        <w:tc>
          <w:tcPr>
            <w:tcW w:w="1276" w:type="dxa"/>
            <w:tcBorders>
              <w:top w:val="nil"/>
              <w:left w:val="nil"/>
              <w:bottom w:val="single" w:sz="12" w:space="0" w:color="1E1545"/>
              <w:right w:val="nil"/>
            </w:tcBorders>
            <w:shd w:val="clear" w:color="000000" w:fill="FFFFFF"/>
            <w:noWrap/>
            <w:vAlign w:val="center"/>
            <w:hideMark/>
          </w:tcPr>
          <w:p w14:paraId="28D3930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57BC3807" w14:textId="77777777" w:rsidR="00DB02AE" w:rsidRPr="00DB02AE" w:rsidRDefault="00DB02AE" w:rsidP="00DB02AE">
            <w:pPr>
              <w:spacing w:before="0" w:after="0" w:line="240" w:lineRule="auto"/>
              <w:jc w:val="right"/>
              <w:rPr>
                <w:rFonts w:cs="Arial"/>
                <w:bCs w:val="0"/>
                <w:color w:val="1E1545"/>
                <w:sz w:val="21"/>
                <w:szCs w:val="21"/>
                <w:lang w:eastAsia="en-AU"/>
              </w:rPr>
            </w:pPr>
            <w:r w:rsidRPr="00DB02AE">
              <w:rPr>
                <w:rFonts w:cs="Arial"/>
                <w:bCs w:val="0"/>
                <w:color w:val="1E1545"/>
                <w:sz w:val="21"/>
                <w:szCs w:val="21"/>
                <w:lang w:eastAsia="en-AU"/>
              </w:rPr>
              <w:t xml:space="preserve"> $57 </w:t>
            </w:r>
          </w:p>
        </w:tc>
      </w:tr>
      <w:tr w:rsidR="004609EC" w:rsidRPr="004609EC" w14:paraId="6233BB36" w14:textId="77777777" w:rsidTr="009A592B">
        <w:trPr>
          <w:trHeight w:val="825"/>
        </w:trPr>
        <w:tc>
          <w:tcPr>
            <w:tcW w:w="4395" w:type="dxa"/>
            <w:tcBorders>
              <w:top w:val="single" w:sz="12" w:space="0" w:color="1E1545"/>
              <w:left w:val="nil"/>
              <w:bottom w:val="nil"/>
              <w:right w:val="nil"/>
            </w:tcBorders>
            <w:shd w:val="clear" w:color="000000" w:fill="1E1545"/>
            <w:vAlign w:val="center"/>
            <w:hideMark/>
          </w:tcPr>
          <w:p w14:paraId="60B0C5C8" w14:textId="77777777" w:rsidR="004609EC" w:rsidRPr="004609EC" w:rsidRDefault="004609EC" w:rsidP="004609EC">
            <w:pPr>
              <w:spacing w:before="0" w:after="0" w:line="240" w:lineRule="auto"/>
              <w:rPr>
                <w:rFonts w:cs="Arial"/>
                <w:b/>
                <w:color w:val="F1F2F2"/>
                <w:sz w:val="21"/>
                <w:szCs w:val="21"/>
                <w:lang w:eastAsia="en-AU"/>
              </w:rPr>
            </w:pPr>
            <w:r w:rsidRPr="004609EC">
              <w:rPr>
                <w:rFonts w:cs="Arial"/>
                <w:b/>
                <w:color w:val="F1F2F2"/>
                <w:sz w:val="21"/>
                <w:szCs w:val="21"/>
                <w:lang w:eastAsia="en-AU"/>
              </w:rPr>
              <w:t> </w:t>
            </w:r>
          </w:p>
        </w:tc>
        <w:tc>
          <w:tcPr>
            <w:tcW w:w="1275" w:type="dxa"/>
            <w:tcBorders>
              <w:top w:val="single" w:sz="12" w:space="0" w:color="1E1545"/>
              <w:left w:val="nil"/>
              <w:bottom w:val="nil"/>
              <w:right w:val="nil"/>
            </w:tcBorders>
            <w:shd w:val="clear" w:color="000000" w:fill="1E1545"/>
            <w:vAlign w:val="center"/>
            <w:hideMark/>
          </w:tcPr>
          <w:p w14:paraId="78A062E5" w14:textId="77777777" w:rsidR="004609EC" w:rsidRPr="004609EC" w:rsidRDefault="004609EC" w:rsidP="004609EC">
            <w:pPr>
              <w:spacing w:before="0" w:after="0" w:line="240" w:lineRule="auto"/>
              <w:jc w:val="right"/>
              <w:rPr>
                <w:rFonts w:cs="Arial"/>
                <w:b/>
                <w:color w:val="F1F2F2"/>
                <w:sz w:val="21"/>
                <w:szCs w:val="21"/>
                <w:lang w:eastAsia="en-AU"/>
              </w:rPr>
            </w:pPr>
            <w:r w:rsidRPr="004609EC">
              <w:rPr>
                <w:rFonts w:cs="Arial"/>
                <w:b/>
                <w:color w:val="F1F2F2"/>
                <w:sz w:val="21"/>
                <w:szCs w:val="21"/>
                <w:lang w:eastAsia="en-AU"/>
              </w:rPr>
              <w:t>For-profit</w:t>
            </w:r>
            <w:r w:rsidRPr="004609EC">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3BFED1D8" w14:textId="77777777" w:rsidR="004609EC" w:rsidRPr="004609EC" w:rsidRDefault="004609EC" w:rsidP="004609EC">
            <w:pPr>
              <w:spacing w:before="0" w:after="0" w:line="240" w:lineRule="auto"/>
              <w:jc w:val="right"/>
              <w:rPr>
                <w:rFonts w:cs="Arial"/>
                <w:b/>
                <w:color w:val="F1F2F2"/>
                <w:sz w:val="21"/>
                <w:szCs w:val="21"/>
                <w:lang w:eastAsia="en-AU"/>
              </w:rPr>
            </w:pPr>
            <w:r w:rsidRPr="004609EC">
              <w:rPr>
                <w:rFonts w:cs="Arial"/>
                <w:b/>
                <w:color w:val="F1F2F2"/>
                <w:sz w:val="21"/>
                <w:szCs w:val="21"/>
                <w:lang w:eastAsia="en-AU"/>
              </w:rPr>
              <w:t>Not-for-profit</w:t>
            </w:r>
            <w:r w:rsidRPr="004609EC">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39C51F9D" w14:textId="77777777" w:rsidR="004609EC" w:rsidRPr="004609EC" w:rsidRDefault="004609EC" w:rsidP="004609EC">
            <w:pPr>
              <w:spacing w:before="0" w:after="0" w:line="240" w:lineRule="auto"/>
              <w:jc w:val="right"/>
              <w:rPr>
                <w:rFonts w:cs="Arial"/>
                <w:b/>
                <w:color w:val="F1F2F2"/>
                <w:sz w:val="21"/>
                <w:szCs w:val="21"/>
                <w:lang w:eastAsia="en-AU"/>
              </w:rPr>
            </w:pPr>
            <w:r w:rsidRPr="004609EC">
              <w:rPr>
                <w:rFonts w:cs="Arial"/>
                <w:b/>
                <w:color w:val="F1F2F2"/>
                <w:sz w:val="21"/>
                <w:szCs w:val="21"/>
                <w:lang w:eastAsia="en-AU"/>
              </w:rPr>
              <w:t>LST providers</w:t>
            </w:r>
            <w:r w:rsidRPr="004609EC">
              <w:rPr>
                <w:rFonts w:cs="Arial"/>
                <w:b/>
                <w:color w:val="F1F2F2"/>
                <w:sz w:val="21"/>
                <w:szCs w:val="21"/>
                <w:lang w:eastAsia="en-AU"/>
              </w:rPr>
              <w:br/>
              <w:t>($m)</w:t>
            </w:r>
          </w:p>
        </w:tc>
        <w:tc>
          <w:tcPr>
            <w:tcW w:w="1276" w:type="dxa"/>
            <w:tcBorders>
              <w:top w:val="single" w:sz="12" w:space="0" w:color="1E1545"/>
              <w:left w:val="nil"/>
              <w:bottom w:val="nil"/>
              <w:right w:val="nil"/>
            </w:tcBorders>
            <w:shd w:val="clear" w:color="000000" w:fill="1E1545"/>
            <w:vAlign w:val="center"/>
            <w:hideMark/>
          </w:tcPr>
          <w:p w14:paraId="5A5AA333" w14:textId="77777777" w:rsidR="004609EC" w:rsidRPr="004609EC" w:rsidRDefault="004609EC" w:rsidP="004609EC">
            <w:pPr>
              <w:spacing w:before="0" w:after="0" w:line="240" w:lineRule="auto"/>
              <w:jc w:val="right"/>
              <w:rPr>
                <w:rFonts w:cs="Arial"/>
                <w:b/>
                <w:color w:val="F1F2F2"/>
                <w:sz w:val="21"/>
                <w:szCs w:val="21"/>
                <w:lang w:eastAsia="en-AU"/>
              </w:rPr>
            </w:pPr>
            <w:r w:rsidRPr="004609EC">
              <w:rPr>
                <w:rFonts w:cs="Arial"/>
                <w:b/>
                <w:color w:val="F1F2F2"/>
                <w:sz w:val="21"/>
                <w:szCs w:val="21"/>
                <w:lang w:eastAsia="en-AU"/>
              </w:rPr>
              <w:t>All providers</w:t>
            </w:r>
            <w:r w:rsidRPr="004609EC">
              <w:rPr>
                <w:rFonts w:cs="Arial"/>
                <w:b/>
                <w:color w:val="F1F2F2"/>
                <w:sz w:val="21"/>
                <w:szCs w:val="21"/>
                <w:lang w:eastAsia="en-AU"/>
              </w:rPr>
              <w:br/>
              <w:t>($m)</w:t>
            </w:r>
          </w:p>
        </w:tc>
      </w:tr>
      <w:tr w:rsidR="00134B68" w:rsidRPr="00134B68" w14:paraId="20A694FA"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A96C9C8"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Other internal direct service costs</w:t>
            </w:r>
          </w:p>
        </w:tc>
        <w:tc>
          <w:tcPr>
            <w:tcW w:w="1275" w:type="dxa"/>
            <w:tcBorders>
              <w:top w:val="nil"/>
              <w:left w:val="nil"/>
              <w:bottom w:val="single" w:sz="12" w:space="0" w:color="1E1545"/>
              <w:right w:val="nil"/>
            </w:tcBorders>
            <w:shd w:val="clear" w:color="000000" w:fill="FFFFFF"/>
            <w:noWrap/>
            <w:vAlign w:val="center"/>
            <w:hideMark/>
          </w:tcPr>
          <w:p w14:paraId="55C7A91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 </w:t>
            </w:r>
          </w:p>
        </w:tc>
        <w:tc>
          <w:tcPr>
            <w:tcW w:w="1276" w:type="dxa"/>
            <w:tcBorders>
              <w:top w:val="nil"/>
              <w:left w:val="nil"/>
              <w:bottom w:val="single" w:sz="12" w:space="0" w:color="1E1545"/>
              <w:right w:val="nil"/>
            </w:tcBorders>
            <w:shd w:val="clear" w:color="000000" w:fill="FFFFFF"/>
            <w:noWrap/>
            <w:vAlign w:val="center"/>
            <w:hideMark/>
          </w:tcPr>
          <w:p w14:paraId="67AFA4D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$34 </w:t>
            </w:r>
          </w:p>
        </w:tc>
        <w:tc>
          <w:tcPr>
            <w:tcW w:w="1276" w:type="dxa"/>
            <w:tcBorders>
              <w:top w:val="nil"/>
              <w:left w:val="nil"/>
              <w:bottom w:val="single" w:sz="12" w:space="0" w:color="1E1545"/>
              <w:right w:val="nil"/>
            </w:tcBorders>
            <w:shd w:val="clear" w:color="000000" w:fill="FFFFFF"/>
            <w:noWrap/>
            <w:vAlign w:val="center"/>
            <w:hideMark/>
          </w:tcPr>
          <w:p w14:paraId="5854784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3B96BB9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$42 </w:t>
            </w:r>
          </w:p>
        </w:tc>
      </w:tr>
      <w:tr w:rsidR="00134B68" w:rsidRPr="00134B68" w14:paraId="1EAE6E05"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31ADF27E"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Total internal direct service costs expenses</w:t>
            </w:r>
          </w:p>
        </w:tc>
        <w:tc>
          <w:tcPr>
            <w:tcW w:w="1275" w:type="dxa"/>
            <w:tcBorders>
              <w:top w:val="nil"/>
              <w:left w:val="nil"/>
              <w:bottom w:val="single" w:sz="8" w:space="0" w:color="auto"/>
              <w:right w:val="nil"/>
            </w:tcBorders>
            <w:shd w:val="clear" w:color="000000" w:fill="D8DADA"/>
            <w:vAlign w:val="center"/>
            <w:hideMark/>
          </w:tcPr>
          <w:p w14:paraId="793CA409"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$571 </w:t>
            </w:r>
          </w:p>
        </w:tc>
        <w:tc>
          <w:tcPr>
            <w:tcW w:w="1276" w:type="dxa"/>
            <w:tcBorders>
              <w:top w:val="nil"/>
              <w:left w:val="nil"/>
              <w:bottom w:val="single" w:sz="8" w:space="0" w:color="auto"/>
              <w:right w:val="nil"/>
            </w:tcBorders>
            <w:shd w:val="clear" w:color="000000" w:fill="D8DADA"/>
            <w:vAlign w:val="center"/>
            <w:hideMark/>
          </w:tcPr>
          <w:p w14:paraId="266DEC6D"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$1,111 </w:t>
            </w:r>
          </w:p>
        </w:tc>
        <w:tc>
          <w:tcPr>
            <w:tcW w:w="1276" w:type="dxa"/>
            <w:tcBorders>
              <w:top w:val="nil"/>
              <w:left w:val="nil"/>
              <w:bottom w:val="single" w:sz="8" w:space="0" w:color="auto"/>
              <w:right w:val="nil"/>
            </w:tcBorders>
            <w:shd w:val="clear" w:color="000000" w:fill="D8DADA"/>
            <w:vAlign w:val="center"/>
            <w:hideMark/>
          </w:tcPr>
          <w:p w14:paraId="6213CE83"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$63 </w:t>
            </w:r>
          </w:p>
        </w:tc>
        <w:tc>
          <w:tcPr>
            <w:tcW w:w="1276" w:type="dxa"/>
            <w:tcBorders>
              <w:top w:val="nil"/>
              <w:left w:val="nil"/>
              <w:bottom w:val="single" w:sz="8" w:space="0" w:color="auto"/>
              <w:right w:val="nil"/>
            </w:tcBorders>
            <w:shd w:val="clear" w:color="000000" w:fill="D8DADA"/>
            <w:vAlign w:val="center"/>
            <w:hideMark/>
          </w:tcPr>
          <w:p w14:paraId="2CE66B48"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$1,746 </w:t>
            </w:r>
          </w:p>
        </w:tc>
      </w:tr>
      <w:tr w:rsidR="00134B68" w:rsidRPr="00134B68" w14:paraId="1915D80D" w14:textId="77777777" w:rsidTr="009A592B">
        <w:trPr>
          <w:trHeight w:val="285"/>
        </w:trPr>
        <w:tc>
          <w:tcPr>
            <w:tcW w:w="4395" w:type="dxa"/>
            <w:tcBorders>
              <w:top w:val="nil"/>
              <w:left w:val="nil"/>
              <w:bottom w:val="single" w:sz="8" w:space="0" w:color="auto"/>
              <w:right w:val="nil"/>
            </w:tcBorders>
            <w:shd w:val="clear" w:color="000000" w:fill="D8DADA"/>
            <w:vAlign w:val="center"/>
            <w:hideMark/>
          </w:tcPr>
          <w:p w14:paraId="24BF6686"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External direct service costs</w:t>
            </w:r>
          </w:p>
        </w:tc>
        <w:tc>
          <w:tcPr>
            <w:tcW w:w="1275" w:type="dxa"/>
            <w:tcBorders>
              <w:top w:val="nil"/>
              <w:left w:val="nil"/>
              <w:bottom w:val="single" w:sz="8" w:space="0" w:color="auto"/>
              <w:right w:val="nil"/>
            </w:tcBorders>
            <w:shd w:val="clear" w:color="000000" w:fill="D8DADA"/>
            <w:vAlign w:val="center"/>
            <w:hideMark/>
          </w:tcPr>
          <w:p w14:paraId="5DCCD8B4"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16A249CF"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6AF64A8F"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05975148"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r>
      <w:tr w:rsidR="00134B68" w:rsidRPr="00134B68" w14:paraId="32F6BBF7" w14:textId="77777777" w:rsidTr="009A592B">
        <w:trPr>
          <w:trHeight w:val="555"/>
        </w:trPr>
        <w:tc>
          <w:tcPr>
            <w:tcW w:w="4395" w:type="dxa"/>
            <w:tcBorders>
              <w:top w:val="nil"/>
              <w:left w:val="nil"/>
              <w:bottom w:val="single" w:sz="12" w:space="0" w:color="1E1545"/>
              <w:right w:val="nil"/>
            </w:tcBorders>
            <w:shd w:val="clear" w:color="000000" w:fill="D8DADA"/>
            <w:vAlign w:val="center"/>
            <w:hideMark/>
          </w:tcPr>
          <w:p w14:paraId="760E3A98"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Sub-contracted or brokered client services - external direct care service cost</w:t>
            </w:r>
          </w:p>
        </w:tc>
        <w:tc>
          <w:tcPr>
            <w:tcW w:w="1275" w:type="dxa"/>
            <w:tcBorders>
              <w:top w:val="nil"/>
              <w:left w:val="nil"/>
              <w:bottom w:val="single" w:sz="12" w:space="0" w:color="1E1545"/>
              <w:right w:val="nil"/>
            </w:tcBorders>
            <w:shd w:val="clear" w:color="000000" w:fill="D8DADA"/>
            <w:noWrap/>
            <w:vAlign w:val="center"/>
            <w:hideMark/>
          </w:tcPr>
          <w:p w14:paraId="1AEACB30"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$483 </w:t>
            </w:r>
          </w:p>
        </w:tc>
        <w:tc>
          <w:tcPr>
            <w:tcW w:w="1276" w:type="dxa"/>
            <w:tcBorders>
              <w:top w:val="nil"/>
              <w:left w:val="nil"/>
              <w:bottom w:val="single" w:sz="12" w:space="0" w:color="1E1545"/>
              <w:right w:val="nil"/>
            </w:tcBorders>
            <w:shd w:val="clear" w:color="000000" w:fill="D8DADA"/>
            <w:noWrap/>
            <w:vAlign w:val="center"/>
            <w:hideMark/>
          </w:tcPr>
          <w:p w14:paraId="3C81AE8E"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$550 </w:t>
            </w:r>
          </w:p>
        </w:tc>
        <w:tc>
          <w:tcPr>
            <w:tcW w:w="1276" w:type="dxa"/>
            <w:tcBorders>
              <w:top w:val="nil"/>
              <w:left w:val="nil"/>
              <w:bottom w:val="single" w:sz="12" w:space="0" w:color="1E1545"/>
              <w:right w:val="nil"/>
            </w:tcBorders>
            <w:shd w:val="clear" w:color="000000" w:fill="D8DADA"/>
            <w:noWrap/>
            <w:vAlign w:val="center"/>
            <w:hideMark/>
          </w:tcPr>
          <w:p w14:paraId="56124750"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$64 </w:t>
            </w:r>
          </w:p>
        </w:tc>
        <w:tc>
          <w:tcPr>
            <w:tcW w:w="1276" w:type="dxa"/>
            <w:tcBorders>
              <w:top w:val="nil"/>
              <w:left w:val="nil"/>
              <w:bottom w:val="single" w:sz="12" w:space="0" w:color="1E1545"/>
              <w:right w:val="nil"/>
            </w:tcBorders>
            <w:shd w:val="clear" w:color="000000" w:fill="D8DADA"/>
            <w:noWrap/>
            <w:vAlign w:val="center"/>
            <w:hideMark/>
          </w:tcPr>
          <w:p w14:paraId="1646BE14"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$1,097 </w:t>
            </w:r>
          </w:p>
        </w:tc>
      </w:tr>
      <w:tr w:rsidR="00134B68" w:rsidRPr="00134B68" w14:paraId="2B37B972"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E95BD22"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Registered nurses</w:t>
            </w:r>
          </w:p>
        </w:tc>
        <w:tc>
          <w:tcPr>
            <w:tcW w:w="1275" w:type="dxa"/>
            <w:tcBorders>
              <w:top w:val="nil"/>
              <w:left w:val="nil"/>
              <w:bottom w:val="single" w:sz="12" w:space="0" w:color="1E1545"/>
              <w:right w:val="nil"/>
            </w:tcBorders>
            <w:shd w:val="clear" w:color="000000" w:fill="FFFFFF"/>
            <w:noWrap/>
            <w:vAlign w:val="center"/>
            <w:hideMark/>
          </w:tcPr>
          <w:p w14:paraId="1185A95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$12 </w:t>
            </w:r>
          </w:p>
        </w:tc>
        <w:tc>
          <w:tcPr>
            <w:tcW w:w="1276" w:type="dxa"/>
            <w:tcBorders>
              <w:top w:val="nil"/>
              <w:left w:val="nil"/>
              <w:bottom w:val="single" w:sz="12" w:space="0" w:color="1E1545"/>
              <w:right w:val="nil"/>
            </w:tcBorders>
            <w:shd w:val="clear" w:color="000000" w:fill="FFFFFF"/>
            <w:noWrap/>
            <w:vAlign w:val="center"/>
            <w:hideMark/>
          </w:tcPr>
          <w:p w14:paraId="4FBEC008"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$15 </w:t>
            </w:r>
          </w:p>
        </w:tc>
        <w:tc>
          <w:tcPr>
            <w:tcW w:w="1276" w:type="dxa"/>
            <w:tcBorders>
              <w:top w:val="nil"/>
              <w:left w:val="nil"/>
              <w:bottom w:val="single" w:sz="12" w:space="0" w:color="1E1545"/>
              <w:right w:val="nil"/>
            </w:tcBorders>
            <w:shd w:val="clear" w:color="000000" w:fill="FFFFFF"/>
            <w:noWrap/>
            <w:vAlign w:val="center"/>
            <w:hideMark/>
          </w:tcPr>
          <w:p w14:paraId="63D9C0AE"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33C1C1E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$30 </w:t>
            </w:r>
          </w:p>
        </w:tc>
      </w:tr>
      <w:tr w:rsidR="00134B68" w:rsidRPr="00134B68" w14:paraId="6A0694FC"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3D202B0"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 xml:space="preserve">Enrolled and licensed nurses (registered with the NMBA) </w:t>
            </w:r>
          </w:p>
        </w:tc>
        <w:tc>
          <w:tcPr>
            <w:tcW w:w="1275" w:type="dxa"/>
            <w:tcBorders>
              <w:top w:val="nil"/>
              <w:left w:val="nil"/>
              <w:bottom w:val="single" w:sz="12" w:space="0" w:color="1E1545"/>
              <w:right w:val="nil"/>
            </w:tcBorders>
            <w:shd w:val="clear" w:color="000000" w:fill="FFFFFF"/>
            <w:noWrap/>
            <w:vAlign w:val="center"/>
            <w:hideMark/>
          </w:tcPr>
          <w:p w14:paraId="7ABDDD38"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60DCB1E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0DA15E1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02A4095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 </w:t>
            </w:r>
          </w:p>
        </w:tc>
      </w:tr>
      <w:tr w:rsidR="00134B68" w:rsidRPr="00134B68" w14:paraId="75F9B1AF"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198E6D9B"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Personal care staff / other unlicensed nurses</w:t>
            </w:r>
          </w:p>
        </w:tc>
        <w:tc>
          <w:tcPr>
            <w:tcW w:w="1275" w:type="dxa"/>
            <w:tcBorders>
              <w:top w:val="nil"/>
              <w:left w:val="nil"/>
              <w:bottom w:val="single" w:sz="12" w:space="0" w:color="1E1545"/>
              <w:right w:val="nil"/>
            </w:tcBorders>
            <w:shd w:val="clear" w:color="000000" w:fill="FFFFFF"/>
            <w:noWrap/>
            <w:vAlign w:val="center"/>
            <w:hideMark/>
          </w:tcPr>
          <w:p w14:paraId="080F869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$286 </w:t>
            </w:r>
          </w:p>
        </w:tc>
        <w:tc>
          <w:tcPr>
            <w:tcW w:w="1276" w:type="dxa"/>
            <w:tcBorders>
              <w:top w:val="nil"/>
              <w:left w:val="nil"/>
              <w:bottom w:val="single" w:sz="12" w:space="0" w:color="1E1545"/>
              <w:right w:val="nil"/>
            </w:tcBorders>
            <w:shd w:val="clear" w:color="000000" w:fill="FFFFFF"/>
            <w:noWrap/>
            <w:vAlign w:val="center"/>
            <w:hideMark/>
          </w:tcPr>
          <w:p w14:paraId="56A9FF1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$262 </w:t>
            </w:r>
          </w:p>
        </w:tc>
        <w:tc>
          <w:tcPr>
            <w:tcW w:w="1276" w:type="dxa"/>
            <w:tcBorders>
              <w:top w:val="nil"/>
              <w:left w:val="nil"/>
              <w:bottom w:val="single" w:sz="12" w:space="0" w:color="1E1545"/>
              <w:right w:val="nil"/>
            </w:tcBorders>
            <w:shd w:val="clear" w:color="000000" w:fill="FFFFFF"/>
            <w:noWrap/>
            <w:vAlign w:val="center"/>
            <w:hideMark/>
          </w:tcPr>
          <w:p w14:paraId="52AB880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$37 </w:t>
            </w:r>
          </w:p>
        </w:tc>
        <w:tc>
          <w:tcPr>
            <w:tcW w:w="1276" w:type="dxa"/>
            <w:tcBorders>
              <w:top w:val="nil"/>
              <w:left w:val="nil"/>
              <w:bottom w:val="single" w:sz="12" w:space="0" w:color="1E1545"/>
              <w:right w:val="nil"/>
            </w:tcBorders>
            <w:shd w:val="clear" w:color="000000" w:fill="FFFFFF"/>
            <w:noWrap/>
            <w:vAlign w:val="center"/>
            <w:hideMark/>
          </w:tcPr>
          <w:p w14:paraId="198DF4E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$585 </w:t>
            </w:r>
          </w:p>
        </w:tc>
      </w:tr>
      <w:tr w:rsidR="00134B68" w:rsidRPr="00134B68" w14:paraId="2F5141B5"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722905F"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 xml:space="preserve">Allied health </w:t>
            </w:r>
          </w:p>
        </w:tc>
        <w:tc>
          <w:tcPr>
            <w:tcW w:w="1275" w:type="dxa"/>
            <w:tcBorders>
              <w:top w:val="nil"/>
              <w:left w:val="nil"/>
              <w:bottom w:val="single" w:sz="12" w:space="0" w:color="1E1545"/>
              <w:right w:val="nil"/>
            </w:tcBorders>
            <w:shd w:val="clear" w:color="000000" w:fill="FFFFFF"/>
            <w:noWrap/>
            <w:vAlign w:val="center"/>
            <w:hideMark/>
          </w:tcPr>
          <w:p w14:paraId="5409417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$95 </w:t>
            </w:r>
          </w:p>
        </w:tc>
        <w:tc>
          <w:tcPr>
            <w:tcW w:w="1276" w:type="dxa"/>
            <w:tcBorders>
              <w:top w:val="nil"/>
              <w:left w:val="nil"/>
              <w:bottom w:val="single" w:sz="12" w:space="0" w:color="1E1545"/>
              <w:right w:val="nil"/>
            </w:tcBorders>
            <w:shd w:val="clear" w:color="000000" w:fill="FFFFFF"/>
            <w:noWrap/>
            <w:vAlign w:val="center"/>
            <w:hideMark/>
          </w:tcPr>
          <w:p w14:paraId="02221C0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$138 </w:t>
            </w:r>
          </w:p>
        </w:tc>
        <w:tc>
          <w:tcPr>
            <w:tcW w:w="1276" w:type="dxa"/>
            <w:tcBorders>
              <w:top w:val="nil"/>
              <w:left w:val="nil"/>
              <w:bottom w:val="single" w:sz="12" w:space="0" w:color="1E1545"/>
              <w:right w:val="nil"/>
            </w:tcBorders>
            <w:shd w:val="clear" w:color="000000" w:fill="FFFFFF"/>
            <w:noWrap/>
            <w:vAlign w:val="center"/>
            <w:hideMark/>
          </w:tcPr>
          <w:p w14:paraId="7198D95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$10 </w:t>
            </w:r>
          </w:p>
        </w:tc>
        <w:tc>
          <w:tcPr>
            <w:tcW w:w="1276" w:type="dxa"/>
            <w:tcBorders>
              <w:top w:val="nil"/>
              <w:left w:val="nil"/>
              <w:bottom w:val="single" w:sz="12" w:space="0" w:color="1E1545"/>
              <w:right w:val="nil"/>
            </w:tcBorders>
            <w:shd w:val="clear" w:color="000000" w:fill="FFFFFF"/>
            <w:noWrap/>
            <w:vAlign w:val="center"/>
            <w:hideMark/>
          </w:tcPr>
          <w:p w14:paraId="0FD6679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$242 </w:t>
            </w:r>
          </w:p>
        </w:tc>
      </w:tr>
      <w:tr w:rsidR="00134B68" w:rsidRPr="00134B68" w14:paraId="1A60B42D"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B529086"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Other sub-contracted/brokered staff</w:t>
            </w:r>
          </w:p>
        </w:tc>
        <w:tc>
          <w:tcPr>
            <w:tcW w:w="1275" w:type="dxa"/>
            <w:tcBorders>
              <w:top w:val="nil"/>
              <w:left w:val="nil"/>
              <w:bottom w:val="single" w:sz="12" w:space="0" w:color="1E1545"/>
              <w:right w:val="nil"/>
            </w:tcBorders>
            <w:shd w:val="clear" w:color="000000" w:fill="FFFFFF"/>
            <w:noWrap/>
            <w:vAlign w:val="center"/>
            <w:hideMark/>
          </w:tcPr>
          <w:p w14:paraId="097F415F"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$90 </w:t>
            </w:r>
          </w:p>
        </w:tc>
        <w:tc>
          <w:tcPr>
            <w:tcW w:w="1276" w:type="dxa"/>
            <w:tcBorders>
              <w:top w:val="nil"/>
              <w:left w:val="nil"/>
              <w:bottom w:val="single" w:sz="12" w:space="0" w:color="1E1545"/>
              <w:right w:val="nil"/>
            </w:tcBorders>
            <w:shd w:val="clear" w:color="000000" w:fill="FFFFFF"/>
            <w:noWrap/>
            <w:vAlign w:val="center"/>
            <w:hideMark/>
          </w:tcPr>
          <w:p w14:paraId="71FB811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$132 </w:t>
            </w:r>
          </w:p>
        </w:tc>
        <w:tc>
          <w:tcPr>
            <w:tcW w:w="1276" w:type="dxa"/>
            <w:tcBorders>
              <w:top w:val="nil"/>
              <w:left w:val="nil"/>
              <w:bottom w:val="single" w:sz="12" w:space="0" w:color="1E1545"/>
              <w:right w:val="nil"/>
            </w:tcBorders>
            <w:shd w:val="clear" w:color="000000" w:fill="FFFFFF"/>
            <w:noWrap/>
            <w:vAlign w:val="center"/>
            <w:hideMark/>
          </w:tcPr>
          <w:p w14:paraId="58938C25"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$14 </w:t>
            </w:r>
          </w:p>
        </w:tc>
        <w:tc>
          <w:tcPr>
            <w:tcW w:w="1276" w:type="dxa"/>
            <w:tcBorders>
              <w:top w:val="nil"/>
              <w:left w:val="nil"/>
              <w:bottom w:val="single" w:sz="12" w:space="0" w:color="1E1545"/>
              <w:right w:val="nil"/>
            </w:tcBorders>
            <w:shd w:val="clear" w:color="000000" w:fill="FFFFFF"/>
            <w:noWrap/>
            <w:vAlign w:val="center"/>
            <w:hideMark/>
          </w:tcPr>
          <w:p w14:paraId="2F7443F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$235 </w:t>
            </w:r>
          </w:p>
        </w:tc>
      </w:tr>
      <w:tr w:rsidR="00134B68" w:rsidRPr="00134B68" w14:paraId="58D3118B"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AECDA79"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Consumables</w:t>
            </w:r>
          </w:p>
        </w:tc>
        <w:tc>
          <w:tcPr>
            <w:tcW w:w="1275" w:type="dxa"/>
            <w:tcBorders>
              <w:top w:val="nil"/>
              <w:left w:val="nil"/>
              <w:bottom w:val="single" w:sz="12" w:space="0" w:color="1E1545"/>
              <w:right w:val="nil"/>
            </w:tcBorders>
            <w:shd w:val="clear" w:color="000000" w:fill="FFFFFF"/>
            <w:noWrap/>
            <w:vAlign w:val="center"/>
            <w:hideMark/>
          </w:tcPr>
          <w:p w14:paraId="3B86094E"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$29 </w:t>
            </w:r>
          </w:p>
        </w:tc>
        <w:tc>
          <w:tcPr>
            <w:tcW w:w="1276" w:type="dxa"/>
            <w:tcBorders>
              <w:top w:val="nil"/>
              <w:left w:val="nil"/>
              <w:bottom w:val="single" w:sz="12" w:space="0" w:color="1E1545"/>
              <w:right w:val="nil"/>
            </w:tcBorders>
            <w:shd w:val="clear" w:color="000000" w:fill="FFFFFF"/>
            <w:noWrap/>
            <w:vAlign w:val="center"/>
            <w:hideMark/>
          </w:tcPr>
          <w:p w14:paraId="201FDBC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$124 </w:t>
            </w:r>
          </w:p>
        </w:tc>
        <w:tc>
          <w:tcPr>
            <w:tcW w:w="1276" w:type="dxa"/>
            <w:tcBorders>
              <w:top w:val="nil"/>
              <w:left w:val="nil"/>
              <w:bottom w:val="single" w:sz="12" w:space="0" w:color="1E1545"/>
              <w:right w:val="nil"/>
            </w:tcBorders>
            <w:shd w:val="clear" w:color="000000" w:fill="FFFFFF"/>
            <w:noWrap/>
            <w:vAlign w:val="center"/>
            <w:hideMark/>
          </w:tcPr>
          <w:p w14:paraId="013EAD4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$8 </w:t>
            </w:r>
          </w:p>
        </w:tc>
        <w:tc>
          <w:tcPr>
            <w:tcW w:w="1276" w:type="dxa"/>
            <w:tcBorders>
              <w:top w:val="nil"/>
              <w:left w:val="nil"/>
              <w:bottom w:val="single" w:sz="12" w:space="0" w:color="1E1545"/>
              <w:right w:val="nil"/>
            </w:tcBorders>
            <w:shd w:val="clear" w:color="000000" w:fill="FFFFFF"/>
            <w:noWrap/>
            <w:vAlign w:val="center"/>
            <w:hideMark/>
          </w:tcPr>
          <w:p w14:paraId="5C8AEDD6"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$162 </w:t>
            </w:r>
          </w:p>
        </w:tc>
      </w:tr>
      <w:tr w:rsidR="00134B68" w:rsidRPr="00134B68" w14:paraId="5BB46234"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454EEE4"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Home modifications</w:t>
            </w:r>
          </w:p>
        </w:tc>
        <w:tc>
          <w:tcPr>
            <w:tcW w:w="1275" w:type="dxa"/>
            <w:tcBorders>
              <w:top w:val="nil"/>
              <w:left w:val="nil"/>
              <w:bottom w:val="single" w:sz="12" w:space="0" w:color="1E1545"/>
              <w:right w:val="nil"/>
            </w:tcBorders>
            <w:shd w:val="clear" w:color="000000" w:fill="FFFFFF"/>
            <w:noWrap/>
            <w:vAlign w:val="center"/>
            <w:hideMark/>
          </w:tcPr>
          <w:p w14:paraId="395D822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$25 </w:t>
            </w:r>
          </w:p>
        </w:tc>
        <w:tc>
          <w:tcPr>
            <w:tcW w:w="1276" w:type="dxa"/>
            <w:tcBorders>
              <w:top w:val="nil"/>
              <w:left w:val="nil"/>
              <w:bottom w:val="single" w:sz="12" w:space="0" w:color="1E1545"/>
              <w:right w:val="nil"/>
            </w:tcBorders>
            <w:shd w:val="clear" w:color="000000" w:fill="FFFFFF"/>
            <w:noWrap/>
            <w:vAlign w:val="center"/>
            <w:hideMark/>
          </w:tcPr>
          <w:p w14:paraId="535736D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$43 </w:t>
            </w:r>
          </w:p>
        </w:tc>
        <w:tc>
          <w:tcPr>
            <w:tcW w:w="1276" w:type="dxa"/>
            <w:tcBorders>
              <w:top w:val="nil"/>
              <w:left w:val="nil"/>
              <w:bottom w:val="single" w:sz="12" w:space="0" w:color="1E1545"/>
              <w:right w:val="nil"/>
            </w:tcBorders>
            <w:shd w:val="clear" w:color="000000" w:fill="FFFFFF"/>
            <w:noWrap/>
            <w:vAlign w:val="center"/>
            <w:hideMark/>
          </w:tcPr>
          <w:p w14:paraId="53E07933"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65968D3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$71 </w:t>
            </w:r>
          </w:p>
        </w:tc>
      </w:tr>
      <w:tr w:rsidR="00134B68" w:rsidRPr="00134B68" w14:paraId="0204907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2283BF5"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Client capital purchases</w:t>
            </w:r>
          </w:p>
        </w:tc>
        <w:tc>
          <w:tcPr>
            <w:tcW w:w="1275" w:type="dxa"/>
            <w:tcBorders>
              <w:top w:val="nil"/>
              <w:left w:val="nil"/>
              <w:bottom w:val="single" w:sz="12" w:space="0" w:color="1E1545"/>
              <w:right w:val="nil"/>
            </w:tcBorders>
            <w:shd w:val="clear" w:color="000000" w:fill="FFFFFF"/>
            <w:noWrap/>
            <w:vAlign w:val="center"/>
            <w:hideMark/>
          </w:tcPr>
          <w:p w14:paraId="4C91026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$73 </w:t>
            </w:r>
          </w:p>
        </w:tc>
        <w:tc>
          <w:tcPr>
            <w:tcW w:w="1276" w:type="dxa"/>
            <w:tcBorders>
              <w:top w:val="nil"/>
              <w:left w:val="nil"/>
              <w:bottom w:val="single" w:sz="12" w:space="0" w:color="1E1545"/>
              <w:right w:val="nil"/>
            </w:tcBorders>
            <w:shd w:val="clear" w:color="000000" w:fill="FFFFFF"/>
            <w:noWrap/>
            <w:vAlign w:val="center"/>
            <w:hideMark/>
          </w:tcPr>
          <w:p w14:paraId="72158EBE"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$130 </w:t>
            </w:r>
          </w:p>
        </w:tc>
        <w:tc>
          <w:tcPr>
            <w:tcW w:w="1276" w:type="dxa"/>
            <w:tcBorders>
              <w:top w:val="nil"/>
              <w:left w:val="nil"/>
              <w:bottom w:val="single" w:sz="12" w:space="0" w:color="1E1545"/>
              <w:right w:val="nil"/>
            </w:tcBorders>
            <w:shd w:val="clear" w:color="000000" w:fill="FFFFFF"/>
            <w:noWrap/>
            <w:vAlign w:val="center"/>
            <w:hideMark/>
          </w:tcPr>
          <w:p w14:paraId="4011F5C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$11 </w:t>
            </w:r>
          </w:p>
        </w:tc>
        <w:tc>
          <w:tcPr>
            <w:tcW w:w="1276" w:type="dxa"/>
            <w:tcBorders>
              <w:top w:val="nil"/>
              <w:left w:val="nil"/>
              <w:bottom w:val="single" w:sz="12" w:space="0" w:color="1E1545"/>
              <w:right w:val="nil"/>
            </w:tcBorders>
            <w:shd w:val="clear" w:color="000000" w:fill="FFFFFF"/>
            <w:noWrap/>
            <w:vAlign w:val="center"/>
            <w:hideMark/>
          </w:tcPr>
          <w:p w14:paraId="0C0DA1C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$214 </w:t>
            </w:r>
          </w:p>
        </w:tc>
      </w:tr>
      <w:tr w:rsidR="00134B68" w:rsidRPr="00134B68" w14:paraId="31D7FE14"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426BCB0"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Transport services</w:t>
            </w:r>
          </w:p>
        </w:tc>
        <w:tc>
          <w:tcPr>
            <w:tcW w:w="1275" w:type="dxa"/>
            <w:tcBorders>
              <w:top w:val="nil"/>
              <w:left w:val="nil"/>
              <w:bottom w:val="single" w:sz="12" w:space="0" w:color="1E1545"/>
              <w:right w:val="nil"/>
            </w:tcBorders>
            <w:shd w:val="clear" w:color="000000" w:fill="FFFFFF"/>
            <w:noWrap/>
            <w:vAlign w:val="center"/>
            <w:hideMark/>
          </w:tcPr>
          <w:p w14:paraId="5D2159C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$12 </w:t>
            </w:r>
          </w:p>
        </w:tc>
        <w:tc>
          <w:tcPr>
            <w:tcW w:w="1276" w:type="dxa"/>
            <w:tcBorders>
              <w:top w:val="nil"/>
              <w:left w:val="nil"/>
              <w:bottom w:val="single" w:sz="12" w:space="0" w:color="1E1545"/>
              <w:right w:val="nil"/>
            </w:tcBorders>
            <w:shd w:val="clear" w:color="000000" w:fill="FFFFFF"/>
            <w:noWrap/>
            <w:vAlign w:val="center"/>
            <w:hideMark/>
          </w:tcPr>
          <w:p w14:paraId="637EB7DF"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$30 </w:t>
            </w:r>
          </w:p>
        </w:tc>
        <w:tc>
          <w:tcPr>
            <w:tcW w:w="1276" w:type="dxa"/>
            <w:tcBorders>
              <w:top w:val="nil"/>
              <w:left w:val="nil"/>
              <w:bottom w:val="single" w:sz="12" w:space="0" w:color="1E1545"/>
              <w:right w:val="nil"/>
            </w:tcBorders>
            <w:shd w:val="clear" w:color="000000" w:fill="FFFFFF"/>
            <w:noWrap/>
            <w:vAlign w:val="center"/>
            <w:hideMark/>
          </w:tcPr>
          <w:p w14:paraId="0F60CF9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100884B6"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$46 </w:t>
            </w:r>
          </w:p>
        </w:tc>
      </w:tr>
      <w:tr w:rsidR="00134B68" w:rsidRPr="00134B68" w14:paraId="50C1DE12"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463B1570"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Commission/brokerage fee/franchisee fee</w:t>
            </w:r>
          </w:p>
        </w:tc>
        <w:tc>
          <w:tcPr>
            <w:tcW w:w="1275" w:type="dxa"/>
            <w:tcBorders>
              <w:top w:val="nil"/>
              <w:left w:val="nil"/>
              <w:bottom w:val="single" w:sz="12" w:space="0" w:color="1E1545"/>
              <w:right w:val="nil"/>
            </w:tcBorders>
            <w:shd w:val="clear" w:color="000000" w:fill="FFFFFF"/>
            <w:noWrap/>
            <w:vAlign w:val="center"/>
            <w:hideMark/>
          </w:tcPr>
          <w:p w14:paraId="63B2512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$18 </w:t>
            </w:r>
          </w:p>
        </w:tc>
        <w:tc>
          <w:tcPr>
            <w:tcW w:w="1276" w:type="dxa"/>
            <w:tcBorders>
              <w:top w:val="nil"/>
              <w:left w:val="nil"/>
              <w:bottom w:val="single" w:sz="12" w:space="0" w:color="1E1545"/>
              <w:right w:val="nil"/>
            </w:tcBorders>
            <w:shd w:val="clear" w:color="000000" w:fill="FFFFFF"/>
            <w:noWrap/>
            <w:vAlign w:val="center"/>
            <w:hideMark/>
          </w:tcPr>
          <w:p w14:paraId="4AE08C2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 </w:t>
            </w:r>
          </w:p>
        </w:tc>
        <w:tc>
          <w:tcPr>
            <w:tcW w:w="1276" w:type="dxa"/>
            <w:tcBorders>
              <w:top w:val="nil"/>
              <w:left w:val="nil"/>
              <w:bottom w:val="single" w:sz="12" w:space="0" w:color="1E1545"/>
              <w:right w:val="nil"/>
            </w:tcBorders>
            <w:shd w:val="clear" w:color="000000" w:fill="FFFFFF"/>
            <w:noWrap/>
            <w:vAlign w:val="center"/>
            <w:hideMark/>
          </w:tcPr>
          <w:p w14:paraId="236E84F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61F00A23"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$25 </w:t>
            </w:r>
          </w:p>
        </w:tc>
      </w:tr>
      <w:tr w:rsidR="00134B68" w:rsidRPr="00134B68" w14:paraId="6E836953"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8712DF5"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Other external direct service costs</w:t>
            </w:r>
          </w:p>
        </w:tc>
        <w:tc>
          <w:tcPr>
            <w:tcW w:w="1275" w:type="dxa"/>
            <w:tcBorders>
              <w:top w:val="nil"/>
              <w:left w:val="nil"/>
              <w:bottom w:val="single" w:sz="12" w:space="0" w:color="1E1545"/>
              <w:right w:val="nil"/>
            </w:tcBorders>
            <w:shd w:val="clear" w:color="000000" w:fill="FFFFFF"/>
            <w:noWrap/>
            <w:vAlign w:val="center"/>
            <w:hideMark/>
          </w:tcPr>
          <w:p w14:paraId="68FCEC8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$63 </w:t>
            </w:r>
          </w:p>
        </w:tc>
        <w:tc>
          <w:tcPr>
            <w:tcW w:w="1276" w:type="dxa"/>
            <w:tcBorders>
              <w:top w:val="nil"/>
              <w:left w:val="nil"/>
              <w:bottom w:val="single" w:sz="12" w:space="0" w:color="1E1545"/>
              <w:right w:val="nil"/>
            </w:tcBorders>
            <w:shd w:val="clear" w:color="000000" w:fill="FFFFFF"/>
            <w:noWrap/>
            <w:vAlign w:val="center"/>
            <w:hideMark/>
          </w:tcPr>
          <w:p w14:paraId="4A0B507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$134 </w:t>
            </w:r>
          </w:p>
        </w:tc>
        <w:tc>
          <w:tcPr>
            <w:tcW w:w="1276" w:type="dxa"/>
            <w:tcBorders>
              <w:top w:val="nil"/>
              <w:left w:val="nil"/>
              <w:bottom w:val="single" w:sz="12" w:space="0" w:color="1E1545"/>
              <w:right w:val="nil"/>
            </w:tcBorders>
            <w:shd w:val="clear" w:color="000000" w:fill="FFFFFF"/>
            <w:noWrap/>
            <w:vAlign w:val="center"/>
            <w:hideMark/>
          </w:tcPr>
          <w:p w14:paraId="2F1B8388"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$23 </w:t>
            </w:r>
          </w:p>
        </w:tc>
        <w:tc>
          <w:tcPr>
            <w:tcW w:w="1276" w:type="dxa"/>
            <w:tcBorders>
              <w:top w:val="nil"/>
              <w:left w:val="nil"/>
              <w:bottom w:val="single" w:sz="12" w:space="0" w:color="1E1545"/>
              <w:right w:val="nil"/>
            </w:tcBorders>
            <w:shd w:val="clear" w:color="000000" w:fill="FFFFFF"/>
            <w:noWrap/>
            <w:vAlign w:val="center"/>
            <w:hideMark/>
          </w:tcPr>
          <w:p w14:paraId="4D91D41E"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$219 </w:t>
            </w:r>
          </w:p>
        </w:tc>
      </w:tr>
      <w:tr w:rsidR="00134B68" w:rsidRPr="00134B68" w14:paraId="4F116F64"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426C7A9B"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Total external direct service costs expenses</w:t>
            </w:r>
          </w:p>
        </w:tc>
        <w:tc>
          <w:tcPr>
            <w:tcW w:w="1275" w:type="dxa"/>
            <w:tcBorders>
              <w:top w:val="nil"/>
              <w:left w:val="nil"/>
              <w:bottom w:val="single" w:sz="8" w:space="0" w:color="auto"/>
              <w:right w:val="nil"/>
            </w:tcBorders>
            <w:shd w:val="clear" w:color="000000" w:fill="D8DADA"/>
            <w:vAlign w:val="center"/>
            <w:hideMark/>
          </w:tcPr>
          <w:p w14:paraId="56A8640C"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$703 </w:t>
            </w:r>
          </w:p>
        </w:tc>
        <w:tc>
          <w:tcPr>
            <w:tcW w:w="1276" w:type="dxa"/>
            <w:tcBorders>
              <w:top w:val="nil"/>
              <w:left w:val="nil"/>
              <w:bottom w:val="single" w:sz="8" w:space="0" w:color="auto"/>
              <w:right w:val="nil"/>
            </w:tcBorders>
            <w:shd w:val="clear" w:color="000000" w:fill="D8DADA"/>
            <w:vAlign w:val="center"/>
            <w:hideMark/>
          </w:tcPr>
          <w:p w14:paraId="1513151A"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$1,017 </w:t>
            </w:r>
          </w:p>
        </w:tc>
        <w:tc>
          <w:tcPr>
            <w:tcW w:w="1276" w:type="dxa"/>
            <w:tcBorders>
              <w:top w:val="nil"/>
              <w:left w:val="nil"/>
              <w:bottom w:val="single" w:sz="8" w:space="0" w:color="auto"/>
              <w:right w:val="nil"/>
            </w:tcBorders>
            <w:shd w:val="clear" w:color="000000" w:fill="D8DADA"/>
            <w:vAlign w:val="center"/>
            <w:hideMark/>
          </w:tcPr>
          <w:p w14:paraId="181D39C6"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$114 </w:t>
            </w:r>
          </w:p>
        </w:tc>
        <w:tc>
          <w:tcPr>
            <w:tcW w:w="1276" w:type="dxa"/>
            <w:tcBorders>
              <w:top w:val="nil"/>
              <w:left w:val="nil"/>
              <w:bottom w:val="single" w:sz="8" w:space="0" w:color="auto"/>
              <w:right w:val="nil"/>
            </w:tcBorders>
            <w:shd w:val="clear" w:color="000000" w:fill="D8DADA"/>
            <w:vAlign w:val="center"/>
            <w:hideMark/>
          </w:tcPr>
          <w:p w14:paraId="343E24AA"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$1,834 </w:t>
            </w:r>
          </w:p>
        </w:tc>
      </w:tr>
      <w:tr w:rsidR="00134B68" w:rsidRPr="00134B68" w14:paraId="4AE9D687" w14:textId="77777777" w:rsidTr="009A592B">
        <w:trPr>
          <w:trHeight w:val="285"/>
        </w:trPr>
        <w:tc>
          <w:tcPr>
            <w:tcW w:w="4395" w:type="dxa"/>
            <w:tcBorders>
              <w:top w:val="nil"/>
              <w:left w:val="nil"/>
              <w:bottom w:val="single" w:sz="8" w:space="0" w:color="auto"/>
              <w:right w:val="nil"/>
            </w:tcBorders>
            <w:shd w:val="clear" w:color="000000" w:fill="D8DADA"/>
            <w:vAlign w:val="center"/>
            <w:hideMark/>
          </w:tcPr>
          <w:p w14:paraId="6AEB1CCD"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Care management</w:t>
            </w:r>
          </w:p>
        </w:tc>
        <w:tc>
          <w:tcPr>
            <w:tcW w:w="1275" w:type="dxa"/>
            <w:tcBorders>
              <w:top w:val="nil"/>
              <w:left w:val="nil"/>
              <w:bottom w:val="single" w:sz="8" w:space="0" w:color="auto"/>
              <w:right w:val="nil"/>
            </w:tcBorders>
            <w:shd w:val="clear" w:color="000000" w:fill="D8DADA"/>
            <w:vAlign w:val="center"/>
            <w:hideMark/>
          </w:tcPr>
          <w:p w14:paraId="58BCDDA1"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608F5EC0"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7732CFDA"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735CD1CF"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r>
      <w:tr w:rsidR="00134B68" w:rsidRPr="00134B68" w14:paraId="71A7D7A4" w14:textId="77777777" w:rsidTr="009A592B">
        <w:trPr>
          <w:trHeight w:val="285"/>
        </w:trPr>
        <w:tc>
          <w:tcPr>
            <w:tcW w:w="4395" w:type="dxa"/>
            <w:tcBorders>
              <w:top w:val="nil"/>
              <w:left w:val="nil"/>
              <w:bottom w:val="single" w:sz="12" w:space="0" w:color="1E1545"/>
              <w:right w:val="nil"/>
            </w:tcBorders>
            <w:shd w:val="clear" w:color="auto" w:fill="auto"/>
            <w:vAlign w:val="center"/>
            <w:hideMark/>
          </w:tcPr>
          <w:p w14:paraId="07D7DB47"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Wages and salaries - care management staff</w:t>
            </w:r>
          </w:p>
        </w:tc>
        <w:tc>
          <w:tcPr>
            <w:tcW w:w="1275" w:type="dxa"/>
            <w:tcBorders>
              <w:top w:val="nil"/>
              <w:left w:val="nil"/>
              <w:bottom w:val="single" w:sz="12" w:space="0" w:color="1E1545"/>
              <w:right w:val="nil"/>
            </w:tcBorders>
            <w:shd w:val="clear" w:color="000000" w:fill="FFFFFF"/>
            <w:noWrap/>
            <w:vAlign w:val="center"/>
            <w:hideMark/>
          </w:tcPr>
          <w:p w14:paraId="7F03EB4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$172 </w:t>
            </w:r>
          </w:p>
        </w:tc>
        <w:tc>
          <w:tcPr>
            <w:tcW w:w="1276" w:type="dxa"/>
            <w:tcBorders>
              <w:top w:val="nil"/>
              <w:left w:val="nil"/>
              <w:bottom w:val="single" w:sz="12" w:space="0" w:color="1E1545"/>
              <w:right w:val="nil"/>
            </w:tcBorders>
            <w:shd w:val="clear" w:color="000000" w:fill="FFFFFF"/>
            <w:noWrap/>
            <w:vAlign w:val="center"/>
            <w:hideMark/>
          </w:tcPr>
          <w:p w14:paraId="54664E13"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$378 </w:t>
            </w:r>
          </w:p>
        </w:tc>
        <w:tc>
          <w:tcPr>
            <w:tcW w:w="1276" w:type="dxa"/>
            <w:tcBorders>
              <w:top w:val="nil"/>
              <w:left w:val="nil"/>
              <w:bottom w:val="single" w:sz="12" w:space="0" w:color="1E1545"/>
              <w:right w:val="nil"/>
            </w:tcBorders>
            <w:shd w:val="clear" w:color="000000" w:fill="FFFFFF"/>
            <w:noWrap/>
            <w:vAlign w:val="center"/>
            <w:hideMark/>
          </w:tcPr>
          <w:p w14:paraId="73CE00C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$47 </w:t>
            </w:r>
          </w:p>
        </w:tc>
        <w:tc>
          <w:tcPr>
            <w:tcW w:w="1276" w:type="dxa"/>
            <w:tcBorders>
              <w:top w:val="nil"/>
              <w:left w:val="nil"/>
              <w:bottom w:val="single" w:sz="12" w:space="0" w:color="1E1545"/>
              <w:right w:val="nil"/>
            </w:tcBorders>
            <w:shd w:val="clear" w:color="000000" w:fill="FFFFFF"/>
            <w:noWrap/>
            <w:vAlign w:val="center"/>
            <w:hideMark/>
          </w:tcPr>
          <w:p w14:paraId="4101806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$597 </w:t>
            </w:r>
          </w:p>
        </w:tc>
      </w:tr>
      <w:tr w:rsidR="00134B68" w:rsidRPr="00134B68" w14:paraId="1CD71C1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4F08A1D1"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Payroll tax - care management staff</w:t>
            </w:r>
          </w:p>
        </w:tc>
        <w:tc>
          <w:tcPr>
            <w:tcW w:w="1275" w:type="dxa"/>
            <w:tcBorders>
              <w:top w:val="nil"/>
              <w:left w:val="nil"/>
              <w:bottom w:val="single" w:sz="12" w:space="0" w:color="1E1545"/>
              <w:right w:val="nil"/>
            </w:tcBorders>
            <w:shd w:val="clear" w:color="000000" w:fill="FFFFFF"/>
            <w:noWrap/>
            <w:vAlign w:val="center"/>
            <w:hideMark/>
          </w:tcPr>
          <w:p w14:paraId="1934B6D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$8 </w:t>
            </w:r>
          </w:p>
        </w:tc>
        <w:tc>
          <w:tcPr>
            <w:tcW w:w="1276" w:type="dxa"/>
            <w:tcBorders>
              <w:top w:val="nil"/>
              <w:left w:val="nil"/>
              <w:bottom w:val="single" w:sz="12" w:space="0" w:color="1E1545"/>
              <w:right w:val="nil"/>
            </w:tcBorders>
            <w:shd w:val="clear" w:color="000000" w:fill="FFFFFF"/>
            <w:noWrap/>
            <w:vAlign w:val="center"/>
            <w:hideMark/>
          </w:tcPr>
          <w:p w14:paraId="1657A091"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3AB78636"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2DA48D8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$9 </w:t>
            </w:r>
          </w:p>
        </w:tc>
      </w:tr>
      <w:tr w:rsidR="00134B68" w:rsidRPr="00134B68" w14:paraId="4983EC62"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035D44DF"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Motor vehicle expenses</w:t>
            </w:r>
          </w:p>
        </w:tc>
        <w:tc>
          <w:tcPr>
            <w:tcW w:w="1275" w:type="dxa"/>
            <w:tcBorders>
              <w:top w:val="nil"/>
              <w:left w:val="nil"/>
              <w:bottom w:val="single" w:sz="12" w:space="0" w:color="1E1545"/>
              <w:right w:val="nil"/>
            </w:tcBorders>
            <w:shd w:val="clear" w:color="000000" w:fill="FFFFFF"/>
            <w:noWrap/>
            <w:vAlign w:val="center"/>
            <w:hideMark/>
          </w:tcPr>
          <w:p w14:paraId="2C27E06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 </w:t>
            </w:r>
          </w:p>
        </w:tc>
        <w:tc>
          <w:tcPr>
            <w:tcW w:w="1276" w:type="dxa"/>
            <w:tcBorders>
              <w:top w:val="nil"/>
              <w:left w:val="nil"/>
              <w:bottom w:val="single" w:sz="12" w:space="0" w:color="1E1545"/>
              <w:right w:val="nil"/>
            </w:tcBorders>
            <w:shd w:val="clear" w:color="000000" w:fill="FFFFFF"/>
            <w:noWrap/>
            <w:vAlign w:val="center"/>
            <w:hideMark/>
          </w:tcPr>
          <w:p w14:paraId="10D97F08"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$8 </w:t>
            </w:r>
          </w:p>
        </w:tc>
        <w:tc>
          <w:tcPr>
            <w:tcW w:w="1276" w:type="dxa"/>
            <w:tcBorders>
              <w:top w:val="nil"/>
              <w:left w:val="nil"/>
              <w:bottom w:val="single" w:sz="12" w:space="0" w:color="1E1545"/>
              <w:right w:val="nil"/>
            </w:tcBorders>
            <w:shd w:val="clear" w:color="000000" w:fill="FFFFFF"/>
            <w:noWrap/>
            <w:vAlign w:val="center"/>
            <w:hideMark/>
          </w:tcPr>
          <w:p w14:paraId="02EB09B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0DDF45C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 </w:t>
            </w:r>
          </w:p>
        </w:tc>
      </w:tr>
      <w:tr w:rsidR="00134B68" w:rsidRPr="00134B68" w14:paraId="68EE2E86"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65105254"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Administration and support</w:t>
            </w:r>
          </w:p>
        </w:tc>
        <w:tc>
          <w:tcPr>
            <w:tcW w:w="1275" w:type="dxa"/>
            <w:tcBorders>
              <w:top w:val="nil"/>
              <w:left w:val="nil"/>
              <w:bottom w:val="single" w:sz="8" w:space="0" w:color="auto"/>
              <w:right w:val="nil"/>
            </w:tcBorders>
            <w:shd w:val="clear" w:color="000000" w:fill="D8DADA"/>
            <w:vAlign w:val="center"/>
            <w:hideMark/>
          </w:tcPr>
          <w:p w14:paraId="3E333B7B"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4E7DA4CA"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4527C1AF"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213E2A6C"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r>
      <w:tr w:rsidR="00134B68" w:rsidRPr="00134B68" w14:paraId="7F14D240" w14:textId="77777777" w:rsidTr="009A592B">
        <w:trPr>
          <w:trHeight w:val="285"/>
        </w:trPr>
        <w:tc>
          <w:tcPr>
            <w:tcW w:w="4395" w:type="dxa"/>
            <w:tcBorders>
              <w:top w:val="nil"/>
              <w:left w:val="nil"/>
              <w:bottom w:val="single" w:sz="12" w:space="0" w:color="1E1545"/>
              <w:right w:val="nil"/>
            </w:tcBorders>
            <w:shd w:val="clear" w:color="auto" w:fill="auto"/>
            <w:vAlign w:val="center"/>
            <w:hideMark/>
          </w:tcPr>
          <w:p w14:paraId="147BBADA"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Wages and salaries - administration &amp; non-care staff</w:t>
            </w:r>
          </w:p>
        </w:tc>
        <w:tc>
          <w:tcPr>
            <w:tcW w:w="1275" w:type="dxa"/>
            <w:tcBorders>
              <w:top w:val="nil"/>
              <w:left w:val="nil"/>
              <w:bottom w:val="single" w:sz="12" w:space="0" w:color="1E1545"/>
              <w:right w:val="nil"/>
            </w:tcBorders>
            <w:shd w:val="clear" w:color="000000" w:fill="FFFFFF"/>
            <w:noWrap/>
            <w:vAlign w:val="center"/>
            <w:hideMark/>
          </w:tcPr>
          <w:p w14:paraId="69BBED7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$195 </w:t>
            </w:r>
          </w:p>
        </w:tc>
        <w:tc>
          <w:tcPr>
            <w:tcW w:w="1276" w:type="dxa"/>
            <w:tcBorders>
              <w:top w:val="nil"/>
              <w:left w:val="nil"/>
              <w:bottom w:val="single" w:sz="12" w:space="0" w:color="1E1545"/>
              <w:right w:val="nil"/>
            </w:tcBorders>
            <w:shd w:val="clear" w:color="000000" w:fill="FFFFFF"/>
            <w:noWrap/>
            <w:vAlign w:val="center"/>
            <w:hideMark/>
          </w:tcPr>
          <w:p w14:paraId="69912DB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$337 </w:t>
            </w:r>
          </w:p>
        </w:tc>
        <w:tc>
          <w:tcPr>
            <w:tcW w:w="1276" w:type="dxa"/>
            <w:tcBorders>
              <w:top w:val="nil"/>
              <w:left w:val="nil"/>
              <w:bottom w:val="single" w:sz="12" w:space="0" w:color="1E1545"/>
              <w:right w:val="nil"/>
            </w:tcBorders>
            <w:shd w:val="clear" w:color="000000" w:fill="FFFFFF"/>
            <w:noWrap/>
            <w:vAlign w:val="center"/>
            <w:hideMark/>
          </w:tcPr>
          <w:p w14:paraId="0193B6A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$26 </w:t>
            </w:r>
          </w:p>
        </w:tc>
        <w:tc>
          <w:tcPr>
            <w:tcW w:w="1276" w:type="dxa"/>
            <w:tcBorders>
              <w:top w:val="nil"/>
              <w:left w:val="nil"/>
              <w:bottom w:val="single" w:sz="12" w:space="0" w:color="1E1545"/>
              <w:right w:val="nil"/>
            </w:tcBorders>
            <w:shd w:val="clear" w:color="000000" w:fill="FFFFFF"/>
            <w:noWrap/>
            <w:vAlign w:val="center"/>
            <w:hideMark/>
          </w:tcPr>
          <w:p w14:paraId="1AD1D63E"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$559 </w:t>
            </w:r>
          </w:p>
        </w:tc>
      </w:tr>
      <w:tr w:rsidR="00134B68" w:rsidRPr="00134B68" w14:paraId="57F1932E"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CD2E2C3"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Workers compensation insurance</w:t>
            </w:r>
          </w:p>
        </w:tc>
        <w:tc>
          <w:tcPr>
            <w:tcW w:w="1275" w:type="dxa"/>
            <w:tcBorders>
              <w:top w:val="nil"/>
              <w:left w:val="nil"/>
              <w:bottom w:val="single" w:sz="12" w:space="0" w:color="1E1545"/>
              <w:right w:val="nil"/>
            </w:tcBorders>
            <w:shd w:val="clear" w:color="000000" w:fill="FFFFFF"/>
            <w:noWrap/>
            <w:vAlign w:val="center"/>
            <w:hideMark/>
          </w:tcPr>
          <w:p w14:paraId="21523EA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$22 </w:t>
            </w:r>
          </w:p>
        </w:tc>
        <w:tc>
          <w:tcPr>
            <w:tcW w:w="1276" w:type="dxa"/>
            <w:tcBorders>
              <w:top w:val="nil"/>
              <w:left w:val="nil"/>
              <w:bottom w:val="single" w:sz="12" w:space="0" w:color="1E1545"/>
              <w:right w:val="nil"/>
            </w:tcBorders>
            <w:shd w:val="clear" w:color="000000" w:fill="FFFFFF"/>
            <w:noWrap/>
            <w:vAlign w:val="center"/>
            <w:hideMark/>
          </w:tcPr>
          <w:p w14:paraId="6B3AC1D8"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$31 </w:t>
            </w:r>
          </w:p>
        </w:tc>
        <w:tc>
          <w:tcPr>
            <w:tcW w:w="1276" w:type="dxa"/>
            <w:tcBorders>
              <w:top w:val="nil"/>
              <w:left w:val="nil"/>
              <w:bottom w:val="single" w:sz="12" w:space="0" w:color="1E1545"/>
              <w:right w:val="nil"/>
            </w:tcBorders>
            <w:shd w:val="clear" w:color="000000" w:fill="FFFFFF"/>
            <w:noWrap/>
            <w:vAlign w:val="center"/>
            <w:hideMark/>
          </w:tcPr>
          <w:p w14:paraId="482B5D4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42A53BB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$54 </w:t>
            </w:r>
          </w:p>
        </w:tc>
      </w:tr>
      <w:tr w:rsidR="00134B68" w:rsidRPr="00134B68" w14:paraId="6A8A507D"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69A83D86"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Payroll tax - administration and non-care staff</w:t>
            </w:r>
          </w:p>
        </w:tc>
        <w:tc>
          <w:tcPr>
            <w:tcW w:w="1275" w:type="dxa"/>
            <w:tcBorders>
              <w:top w:val="nil"/>
              <w:left w:val="nil"/>
              <w:bottom w:val="single" w:sz="12" w:space="0" w:color="1E1545"/>
              <w:right w:val="nil"/>
            </w:tcBorders>
            <w:shd w:val="clear" w:color="000000" w:fill="FFFFFF"/>
            <w:noWrap/>
            <w:vAlign w:val="center"/>
            <w:hideMark/>
          </w:tcPr>
          <w:p w14:paraId="764D3A8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$10 </w:t>
            </w:r>
          </w:p>
        </w:tc>
        <w:tc>
          <w:tcPr>
            <w:tcW w:w="1276" w:type="dxa"/>
            <w:tcBorders>
              <w:top w:val="nil"/>
              <w:left w:val="nil"/>
              <w:bottom w:val="single" w:sz="12" w:space="0" w:color="1E1545"/>
              <w:right w:val="nil"/>
            </w:tcBorders>
            <w:shd w:val="clear" w:color="000000" w:fill="FFFFFF"/>
            <w:noWrap/>
            <w:vAlign w:val="center"/>
            <w:hideMark/>
          </w:tcPr>
          <w:p w14:paraId="0BCA7E9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7267605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02E6C7C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$10 </w:t>
            </w:r>
          </w:p>
        </w:tc>
      </w:tr>
      <w:tr w:rsidR="00134B68" w:rsidRPr="00134B68" w14:paraId="2777B956"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573EC4A5"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Administration costs and management fees</w:t>
            </w:r>
          </w:p>
        </w:tc>
        <w:tc>
          <w:tcPr>
            <w:tcW w:w="1275" w:type="dxa"/>
            <w:tcBorders>
              <w:top w:val="nil"/>
              <w:left w:val="nil"/>
              <w:bottom w:val="single" w:sz="8" w:space="0" w:color="auto"/>
              <w:right w:val="nil"/>
            </w:tcBorders>
            <w:shd w:val="clear" w:color="000000" w:fill="D8DADA"/>
            <w:vAlign w:val="center"/>
            <w:hideMark/>
          </w:tcPr>
          <w:p w14:paraId="1E0ADABD"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2176549C"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5398B73E"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24BAA5CF"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w:t>
            </w:r>
          </w:p>
        </w:tc>
      </w:tr>
      <w:tr w:rsidR="00134B68" w:rsidRPr="00134B68" w14:paraId="3F310A6C" w14:textId="77777777" w:rsidTr="009A592B">
        <w:trPr>
          <w:trHeight w:val="285"/>
        </w:trPr>
        <w:tc>
          <w:tcPr>
            <w:tcW w:w="4395" w:type="dxa"/>
            <w:tcBorders>
              <w:top w:val="nil"/>
              <w:left w:val="nil"/>
              <w:bottom w:val="single" w:sz="12" w:space="0" w:color="1E1545"/>
              <w:right w:val="nil"/>
            </w:tcBorders>
            <w:shd w:val="clear" w:color="auto" w:fill="auto"/>
            <w:vAlign w:val="center"/>
            <w:hideMark/>
          </w:tcPr>
          <w:p w14:paraId="370DE87E"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Education/training &amp; quality control expense</w:t>
            </w:r>
          </w:p>
        </w:tc>
        <w:tc>
          <w:tcPr>
            <w:tcW w:w="1275" w:type="dxa"/>
            <w:tcBorders>
              <w:top w:val="nil"/>
              <w:left w:val="nil"/>
              <w:bottom w:val="single" w:sz="12" w:space="0" w:color="1E1545"/>
              <w:right w:val="nil"/>
            </w:tcBorders>
            <w:shd w:val="clear" w:color="000000" w:fill="FFFFFF"/>
            <w:noWrap/>
            <w:vAlign w:val="center"/>
            <w:hideMark/>
          </w:tcPr>
          <w:p w14:paraId="2B9CF1D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$7 </w:t>
            </w:r>
          </w:p>
        </w:tc>
        <w:tc>
          <w:tcPr>
            <w:tcW w:w="1276" w:type="dxa"/>
            <w:tcBorders>
              <w:top w:val="nil"/>
              <w:left w:val="nil"/>
              <w:bottom w:val="single" w:sz="12" w:space="0" w:color="1E1545"/>
              <w:right w:val="nil"/>
            </w:tcBorders>
            <w:shd w:val="clear" w:color="000000" w:fill="FFFFFF"/>
            <w:noWrap/>
            <w:vAlign w:val="center"/>
            <w:hideMark/>
          </w:tcPr>
          <w:p w14:paraId="3EF72E5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$11 </w:t>
            </w:r>
          </w:p>
        </w:tc>
        <w:tc>
          <w:tcPr>
            <w:tcW w:w="1276" w:type="dxa"/>
            <w:tcBorders>
              <w:top w:val="nil"/>
              <w:left w:val="nil"/>
              <w:bottom w:val="single" w:sz="12" w:space="0" w:color="1E1545"/>
              <w:right w:val="nil"/>
            </w:tcBorders>
            <w:shd w:val="clear" w:color="000000" w:fill="FFFFFF"/>
            <w:noWrap/>
            <w:vAlign w:val="center"/>
            <w:hideMark/>
          </w:tcPr>
          <w:p w14:paraId="2BBA440F"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23D1B59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$18 </w:t>
            </w:r>
          </w:p>
        </w:tc>
      </w:tr>
      <w:tr w:rsidR="00134B68" w:rsidRPr="00134B68" w14:paraId="602666C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769A886"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General insurances</w:t>
            </w:r>
          </w:p>
        </w:tc>
        <w:tc>
          <w:tcPr>
            <w:tcW w:w="1275" w:type="dxa"/>
            <w:tcBorders>
              <w:top w:val="nil"/>
              <w:left w:val="nil"/>
              <w:bottom w:val="single" w:sz="12" w:space="0" w:color="1E1545"/>
              <w:right w:val="nil"/>
            </w:tcBorders>
            <w:shd w:val="clear" w:color="000000" w:fill="FFFFFF"/>
            <w:noWrap/>
            <w:vAlign w:val="center"/>
            <w:hideMark/>
          </w:tcPr>
          <w:p w14:paraId="0B730DF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 </w:t>
            </w:r>
          </w:p>
        </w:tc>
        <w:tc>
          <w:tcPr>
            <w:tcW w:w="1276" w:type="dxa"/>
            <w:tcBorders>
              <w:top w:val="nil"/>
              <w:left w:val="nil"/>
              <w:bottom w:val="single" w:sz="12" w:space="0" w:color="1E1545"/>
              <w:right w:val="nil"/>
            </w:tcBorders>
            <w:shd w:val="clear" w:color="000000" w:fill="FFFFFF"/>
            <w:noWrap/>
            <w:vAlign w:val="center"/>
            <w:hideMark/>
          </w:tcPr>
          <w:p w14:paraId="57EBD58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 </w:t>
            </w:r>
          </w:p>
        </w:tc>
        <w:tc>
          <w:tcPr>
            <w:tcW w:w="1276" w:type="dxa"/>
            <w:tcBorders>
              <w:top w:val="nil"/>
              <w:left w:val="nil"/>
              <w:bottom w:val="single" w:sz="12" w:space="0" w:color="1E1545"/>
              <w:right w:val="nil"/>
            </w:tcBorders>
            <w:shd w:val="clear" w:color="000000" w:fill="FFFFFF"/>
            <w:noWrap/>
            <w:vAlign w:val="center"/>
            <w:hideMark/>
          </w:tcPr>
          <w:p w14:paraId="0D6AC415"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53F103A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$12 </w:t>
            </w:r>
          </w:p>
        </w:tc>
      </w:tr>
      <w:tr w:rsidR="00134B68" w:rsidRPr="00134B68" w14:paraId="0E8A7950"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3C41A7DA"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Rent, utilities, and property outgoings</w:t>
            </w:r>
          </w:p>
        </w:tc>
        <w:tc>
          <w:tcPr>
            <w:tcW w:w="1275" w:type="dxa"/>
            <w:tcBorders>
              <w:top w:val="nil"/>
              <w:left w:val="nil"/>
              <w:bottom w:val="single" w:sz="12" w:space="0" w:color="1E1545"/>
              <w:right w:val="nil"/>
            </w:tcBorders>
            <w:shd w:val="clear" w:color="000000" w:fill="FFFFFF"/>
            <w:noWrap/>
            <w:vAlign w:val="center"/>
            <w:hideMark/>
          </w:tcPr>
          <w:p w14:paraId="3DD11B9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$18 </w:t>
            </w:r>
          </w:p>
        </w:tc>
        <w:tc>
          <w:tcPr>
            <w:tcW w:w="1276" w:type="dxa"/>
            <w:tcBorders>
              <w:top w:val="nil"/>
              <w:left w:val="nil"/>
              <w:bottom w:val="single" w:sz="12" w:space="0" w:color="1E1545"/>
              <w:right w:val="nil"/>
            </w:tcBorders>
            <w:shd w:val="clear" w:color="000000" w:fill="FFFFFF"/>
            <w:noWrap/>
            <w:vAlign w:val="center"/>
            <w:hideMark/>
          </w:tcPr>
          <w:p w14:paraId="1A1BDE40"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$26 </w:t>
            </w:r>
          </w:p>
        </w:tc>
        <w:tc>
          <w:tcPr>
            <w:tcW w:w="1276" w:type="dxa"/>
            <w:tcBorders>
              <w:top w:val="nil"/>
              <w:left w:val="nil"/>
              <w:bottom w:val="single" w:sz="12" w:space="0" w:color="1E1545"/>
              <w:right w:val="nil"/>
            </w:tcBorders>
            <w:shd w:val="clear" w:color="000000" w:fill="FFFFFF"/>
            <w:noWrap/>
            <w:vAlign w:val="center"/>
            <w:hideMark/>
          </w:tcPr>
          <w:p w14:paraId="3A29FCC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77D3AC6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$46 </w:t>
            </w:r>
          </w:p>
        </w:tc>
      </w:tr>
      <w:tr w:rsidR="00134B68" w:rsidRPr="00134B68" w14:paraId="0603C513"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15CB007"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IT and communication expenses</w:t>
            </w:r>
          </w:p>
        </w:tc>
        <w:tc>
          <w:tcPr>
            <w:tcW w:w="1275" w:type="dxa"/>
            <w:tcBorders>
              <w:top w:val="nil"/>
              <w:left w:val="nil"/>
              <w:bottom w:val="single" w:sz="12" w:space="0" w:color="1E1545"/>
              <w:right w:val="nil"/>
            </w:tcBorders>
            <w:shd w:val="clear" w:color="000000" w:fill="FFFFFF"/>
            <w:noWrap/>
            <w:vAlign w:val="center"/>
            <w:hideMark/>
          </w:tcPr>
          <w:p w14:paraId="0BD9DEB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$25 </w:t>
            </w:r>
          </w:p>
        </w:tc>
        <w:tc>
          <w:tcPr>
            <w:tcW w:w="1276" w:type="dxa"/>
            <w:tcBorders>
              <w:top w:val="nil"/>
              <w:left w:val="nil"/>
              <w:bottom w:val="single" w:sz="12" w:space="0" w:color="1E1545"/>
              <w:right w:val="nil"/>
            </w:tcBorders>
            <w:shd w:val="clear" w:color="000000" w:fill="FFFFFF"/>
            <w:noWrap/>
            <w:vAlign w:val="center"/>
            <w:hideMark/>
          </w:tcPr>
          <w:p w14:paraId="4041511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$30 </w:t>
            </w:r>
          </w:p>
        </w:tc>
        <w:tc>
          <w:tcPr>
            <w:tcW w:w="1276" w:type="dxa"/>
            <w:tcBorders>
              <w:top w:val="nil"/>
              <w:left w:val="nil"/>
              <w:bottom w:val="single" w:sz="12" w:space="0" w:color="1E1545"/>
              <w:right w:val="nil"/>
            </w:tcBorders>
            <w:shd w:val="clear" w:color="000000" w:fill="FFFFFF"/>
            <w:noWrap/>
            <w:vAlign w:val="center"/>
            <w:hideMark/>
          </w:tcPr>
          <w:p w14:paraId="24CFE36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565495CD"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$58 </w:t>
            </w:r>
          </w:p>
        </w:tc>
      </w:tr>
      <w:tr w:rsidR="00134B68" w:rsidRPr="00134B68" w14:paraId="1EA66FAB"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59AC1715"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Corporate recharge</w:t>
            </w:r>
          </w:p>
        </w:tc>
        <w:tc>
          <w:tcPr>
            <w:tcW w:w="1275" w:type="dxa"/>
            <w:tcBorders>
              <w:top w:val="nil"/>
              <w:left w:val="nil"/>
              <w:bottom w:val="single" w:sz="12" w:space="0" w:color="1E1545"/>
              <w:right w:val="nil"/>
            </w:tcBorders>
            <w:shd w:val="clear" w:color="000000" w:fill="FFFFFF"/>
            <w:noWrap/>
            <w:vAlign w:val="center"/>
            <w:hideMark/>
          </w:tcPr>
          <w:p w14:paraId="39FE6EC6"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$38 </w:t>
            </w:r>
          </w:p>
        </w:tc>
        <w:tc>
          <w:tcPr>
            <w:tcW w:w="1276" w:type="dxa"/>
            <w:tcBorders>
              <w:top w:val="nil"/>
              <w:left w:val="nil"/>
              <w:bottom w:val="single" w:sz="12" w:space="0" w:color="1E1545"/>
              <w:right w:val="nil"/>
            </w:tcBorders>
            <w:shd w:val="clear" w:color="000000" w:fill="FFFFFF"/>
            <w:noWrap/>
            <w:vAlign w:val="center"/>
            <w:hideMark/>
          </w:tcPr>
          <w:p w14:paraId="70EC7C3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$312 </w:t>
            </w:r>
          </w:p>
        </w:tc>
        <w:tc>
          <w:tcPr>
            <w:tcW w:w="1276" w:type="dxa"/>
            <w:tcBorders>
              <w:top w:val="nil"/>
              <w:left w:val="nil"/>
              <w:bottom w:val="single" w:sz="12" w:space="0" w:color="1E1545"/>
              <w:right w:val="nil"/>
            </w:tcBorders>
            <w:shd w:val="clear" w:color="000000" w:fill="FFFFFF"/>
            <w:noWrap/>
            <w:vAlign w:val="center"/>
            <w:hideMark/>
          </w:tcPr>
          <w:p w14:paraId="3B664577"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 </w:t>
            </w:r>
          </w:p>
        </w:tc>
        <w:tc>
          <w:tcPr>
            <w:tcW w:w="1276" w:type="dxa"/>
            <w:tcBorders>
              <w:top w:val="nil"/>
              <w:left w:val="nil"/>
              <w:bottom w:val="single" w:sz="12" w:space="0" w:color="1E1545"/>
              <w:right w:val="nil"/>
            </w:tcBorders>
            <w:shd w:val="clear" w:color="000000" w:fill="FFFFFF"/>
            <w:noWrap/>
            <w:vAlign w:val="center"/>
            <w:hideMark/>
          </w:tcPr>
          <w:p w14:paraId="5D83A6E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$363 </w:t>
            </w:r>
          </w:p>
        </w:tc>
      </w:tr>
      <w:tr w:rsidR="00134B68" w:rsidRPr="00134B68" w14:paraId="14719DBA"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216A9BE" w14:textId="77777777" w:rsidR="00134B68" w:rsidRPr="00134B68" w:rsidRDefault="00134B68" w:rsidP="00134B68">
            <w:pPr>
              <w:spacing w:before="0" w:after="0" w:line="240" w:lineRule="auto"/>
              <w:ind w:firstLineChars="100" w:firstLine="210"/>
              <w:rPr>
                <w:rFonts w:cs="Arial"/>
                <w:bCs w:val="0"/>
                <w:color w:val="1E1545"/>
                <w:sz w:val="21"/>
                <w:szCs w:val="21"/>
                <w:lang w:eastAsia="en-AU"/>
              </w:rPr>
            </w:pPr>
            <w:r w:rsidRPr="00134B68">
              <w:rPr>
                <w:rFonts w:cs="Arial"/>
                <w:bCs w:val="0"/>
                <w:color w:val="1E1545"/>
                <w:sz w:val="21"/>
                <w:szCs w:val="21"/>
                <w:lang w:eastAsia="en-AU"/>
              </w:rPr>
              <w:t>Other administration costs</w:t>
            </w:r>
          </w:p>
        </w:tc>
        <w:tc>
          <w:tcPr>
            <w:tcW w:w="1275" w:type="dxa"/>
            <w:tcBorders>
              <w:top w:val="nil"/>
              <w:left w:val="nil"/>
              <w:bottom w:val="single" w:sz="12" w:space="0" w:color="1E1545"/>
              <w:right w:val="nil"/>
            </w:tcBorders>
            <w:shd w:val="clear" w:color="000000" w:fill="FFFFFF"/>
            <w:noWrap/>
            <w:vAlign w:val="center"/>
            <w:hideMark/>
          </w:tcPr>
          <w:p w14:paraId="6A7AC7D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$62 </w:t>
            </w:r>
          </w:p>
        </w:tc>
        <w:tc>
          <w:tcPr>
            <w:tcW w:w="1276" w:type="dxa"/>
            <w:tcBorders>
              <w:top w:val="nil"/>
              <w:left w:val="nil"/>
              <w:bottom w:val="single" w:sz="12" w:space="0" w:color="1E1545"/>
              <w:right w:val="nil"/>
            </w:tcBorders>
            <w:shd w:val="clear" w:color="000000" w:fill="FFFFFF"/>
            <w:noWrap/>
            <w:vAlign w:val="center"/>
            <w:hideMark/>
          </w:tcPr>
          <w:p w14:paraId="0350AF6A"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$77 </w:t>
            </w:r>
          </w:p>
        </w:tc>
        <w:tc>
          <w:tcPr>
            <w:tcW w:w="1276" w:type="dxa"/>
            <w:tcBorders>
              <w:top w:val="nil"/>
              <w:left w:val="nil"/>
              <w:bottom w:val="single" w:sz="12" w:space="0" w:color="1E1545"/>
              <w:right w:val="nil"/>
            </w:tcBorders>
            <w:shd w:val="clear" w:color="000000" w:fill="FFFFFF"/>
            <w:noWrap/>
            <w:vAlign w:val="center"/>
            <w:hideMark/>
          </w:tcPr>
          <w:p w14:paraId="49662D1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$5 </w:t>
            </w:r>
          </w:p>
        </w:tc>
        <w:tc>
          <w:tcPr>
            <w:tcW w:w="1276" w:type="dxa"/>
            <w:tcBorders>
              <w:top w:val="nil"/>
              <w:left w:val="nil"/>
              <w:bottom w:val="single" w:sz="12" w:space="0" w:color="1E1545"/>
              <w:right w:val="nil"/>
            </w:tcBorders>
            <w:shd w:val="clear" w:color="000000" w:fill="FFFFFF"/>
            <w:noWrap/>
            <w:vAlign w:val="center"/>
            <w:hideMark/>
          </w:tcPr>
          <w:p w14:paraId="6FDD361B"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$145 </w:t>
            </w:r>
          </w:p>
        </w:tc>
      </w:tr>
      <w:tr w:rsidR="00134B68" w:rsidRPr="00134B68" w14:paraId="2BB93C1E"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65BC9C0B"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Depreciation expenses</w:t>
            </w:r>
          </w:p>
        </w:tc>
        <w:tc>
          <w:tcPr>
            <w:tcW w:w="1275" w:type="dxa"/>
            <w:tcBorders>
              <w:top w:val="nil"/>
              <w:left w:val="nil"/>
              <w:bottom w:val="single" w:sz="12" w:space="0" w:color="1E1545"/>
              <w:right w:val="nil"/>
            </w:tcBorders>
            <w:shd w:val="clear" w:color="000000" w:fill="FFFFFF"/>
            <w:noWrap/>
            <w:vAlign w:val="center"/>
            <w:hideMark/>
          </w:tcPr>
          <w:p w14:paraId="0FBB4A0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$13 </w:t>
            </w:r>
          </w:p>
        </w:tc>
        <w:tc>
          <w:tcPr>
            <w:tcW w:w="1276" w:type="dxa"/>
            <w:tcBorders>
              <w:top w:val="nil"/>
              <w:left w:val="nil"/>
              <w:bottom w:val="single" w:sz="12" w:space="0" w:color="1E1545"/>
              <w:right w:val="nil"/>
            </w:tcBorders>
            <w:shd w:val="clear" w:color="000000" w:fill="FFFFFF"/>
            <w:noWrap/>
            <w:vAlign w:val="center"/>
            <w:hideMark/>
          </w:tcPr>
          <w:p w14:paraId="1F13EE4C"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$24 </w:t>
            </w:r>
          </w:p>
        </w:tc>
        <w:tc>
          <w:tcPr>
            <w:tcW w:w="1276" w:type="dxa"/>
            <w:tcBorders>
              <w:top w:val="nil"/>
              <w:left w:val="nil"/>
              <w:bottom w:val="single" w:sz="12" w:space="0" w:color="1E1545"/>
              <w:right w:val="nil"/>
            </w:tcBorders>
            <w:shd w:val="clear" w:color="000000" w:fill="FFFFFF"/>
            <w:noWrap/>
            <w:vAlign w:val="center"/>
            <w:hideMark/>
          </w:tcPr>
          <w:p w14:paraId="5AA9A7D5"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$2 </w:t>
            </w:r>
          </w:p>
        </w:tc>
        <w:tc>
          <w:tcPr>
            <w:tcW w:w="1276" w:type="dxa"/>
            <w:tcBorders>
              <w:top w:val="nil"/>
              <w:left w:val="nil"/>
              <w:bottom w:val="single" w:sz="12" w:space="0" w:color="1E1545"/>
              <w:right w:val="nil"/>
            </w:tcBorders>
            <w:shd w:val="clear" w:color="000000" w:fill="FFFFFF"/>
            <w:noWrap/>
            <w:vAlign w:val="center"/>
            <w:hideMark/>
          </w:tcPr>
          <w:p w14:paraId="3998887F"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$39 </w:t>
            </w:r>
          </w:p>
        </w:tc>
      </w:tr>
      <w:tr w:rsidR="00134B68" w:rsidRPr="00134B68" w14:paraId="31E98516"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7C44056A" w14:textId="77777777" w:rsidR="00134B68" w:rsidRPr="00134B68" w:rsidRDefault="00134B68" w:rsidP="00134B68">
            <w:pPr>
              <w:spacing w:before="0" w:after="0" w:line="240" w:lineRule="auto"/>
              <w:rPr>
                <w:rFonts w:cs="Arial"/>
                <w:bCs w:val="0"/>
                <w:color w:val="1E1545"/>
                <w:sz w:val="21"/>
                <w:szCs w:val="21"/>
                <w:lang w:eastAsia="en-AU"/>
              </w:rPr>
            </w:pPr>
            <w:r w:rsidRPr="00134B68">
              <w:rPr>
                <w:rFonts w:cs="Arial"/>
                <w:bCs w:val="0"/>
                <w:color w:val="1E1545"/>
                <w:sz w:val="21"/>
                <w:szCs w:val="21"/>
                <w:lang w:eastAsia="en-AU"/>
              </w:rPr>
              <w:t>Interest expenses</w:t>
            </w:r>
          </w:p>
        </w:tc>
        <w:tc>
          <w:tcPr>
            <w:tcW w:w="1275" w:type="dxa"/>
            <w:tcBorders>
              <w:top w:val="nil"/>
              <w:left w:val="nil"/>
              <w:bottom w:val="single" w:sz="12" w:space="0" w:color="1E1545"/>
              <w:right w:val="nil"/>
            </w:tcBorders>
            <w:shd w:val="clear" w:color="000000" w:fill="FFFFFF"/>
            <w:noWrap/>
            <w:vAlign w:val="center"/>
            <w:hideMark/>
          </w:tcPr>
          <w:p w14:paraId="5890AE64"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$11 </w:t>
            </w:r>
          </w:p>
        </w:tc>
        <w:tc>
          <w:tcPr>
            <w:tcW w:w="1276" w:type="dxa"/>
            <w:tcBorders>
              <w:top w:val="nil"/>
              <w:left w:val="nil"/>
              <w:bottom w:val="single" w:sz="12" w:space="0" w:color="1E1545"/>
              <w:right w:val="nil"/>
            </w:tcBorders>
            <w:shd w:val="clear" w:color="000000" w:fill="FFFFFF"/>
            <w:noWrap/>
            <w:vAlign w:val="center"/>
            <w:hideMark/>
          </w:tcPr>
          <w:p w14:paraId="417F07F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4161A689"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5A3EAFC2" w14:textId="77777777" w:rsidR="00134B68" w:rsidRPr="00134B68" w:rsidRDefault="00134B68" w:rsidP="00134B68">
            <w:pPr>
              <w:spacing w:before="0" w:after="0" w:line="240" w:lineRule="auto"/>
              <w:jc w:val="right"/>
              <w:rPr>
                <w:rFonts w:cs="Arial"/>
                <w:bCs w:val="0"/>
                <w:color w:val="1E1545"/>
                <w:sz w:val="21"/>
                <w:szCs w:val="21"/>
                <w:lang w:eastAsia="en-AU"/>
              </w:rPr>
            </w:pPr>
            <w:r w:rsidRPr="00134B68">
              <w:rPr>
                <w:rFonts w:cs="Arial"/>
                <w:bCs w:val="0"/>
                <w:color w:val="1E1545"/>
                <w:sz w:val="21"/>
                <w:szCs w:val="21"/>
                <w:lang w:eastAsia="en-AU"/>
              </w:rPr>
              <w:t xml:space="preserve"> $12 </w:t>
            </w:r>
          </w:p>
        </w:tc>
      </w:tr>
      <w:tr w:rsidR="00134B68" w:rsidRPr="00134B68" w14:paraId="7965131F"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66A36E23" w14:textId="77777777" w:rsidR="00134B68" w:rsidRPr="00134B68" w:rsidRDefault="00134B68" w:rsidP="00134B68">
            <w:pPr>
              <w:spacing w:before="0" w:after="0" w:line="240" w:lineRule="auto"/>
              <w:rPr>
                <w:rFonts w:cs="Arial"/>
                <w:b/>
                <w:color w:val="1E1545"/>
                <w:sz w:val="21"/>
                <w:szCs w:val="21"/>
                <w:lang w:eastAsia="en-AU"/>
              </w:rPr>
            </w:pPr>
            <w:r w:rsidRPr="00134B68">
              <w:rPr>
                <w:rFonts w:cs="Arial"/>
                <w:b/>
                <w:color w:val="1E1545"/>
                <w:sz w:val="21"/>
                <w:szCs w:val="21"/>
                <w:lang w:eastAsia="en-AU"/>
              </w:rPr>
              <w:t>Total administration and support expenses</w:t>
            </w:r>
          </w:p>
        </w:tc>
        <w:tc>
          <w:tcPr>
            <w:tcW w:w="1275" w:type="dxa"/>
            <w:tcBorders>
              <w:top w:val="nil"/>
              <w:left w:val="nil"/>
              <w:bottom w:val="single" w:sz="8" w:space="0" w:color="auto"/>
              <w:right w:val="nil"/>
            </w:tcBorders>
            <w:shd w:val="clear" w:color="000000" w:fill="D8DADA"/>
            <w:vAlign w:val="center"/>
            <w:hideMark/>
          </w:tcPr>
          <w:p w14:paraId="26C52A0E"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$407 </w:t>
            </w:r>
          </w:p>
        </w:tc>
        <w:tc>
          <w:tcPr>
            <w:tcW w:w="1276" w:type="dxa"/>
            <w:tcBorders>
              <w:top w:val="nil"/>
              <w:left w:val="nil"/>
              <w:bottom w:val="single" w:sz="8" w:space="0" w:color="auto"/>
              <w:right w:val="nil"/>
            </w:tcBorders>
            <w:shd w:val="clear" w:color="000000" w:fill="D8DADA"/>
            <w:vAlign w:val="center"/>
            <w:hideMark/>
          </w:tcPr>
          <w:p w14:paraId="74EB1FCB"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$856 </w:t>
            </w:r>
          </w:p>
        </w:tc>
        <w:tc>
          <w:tcPr>
            <w:tcW w:w="1276" w:type="dxa"/>
            <w:tcBorders>
              <w:top w:val="nil"/>
              <w:left w:val="nil"/>
              <w:bottom w:val="single" w:sz="8" w:space="0" w:color="auto"/>
              <w:right w:val="nil"/>
            </w:tcBorders>
            <w:shd w:val="clear" w:color="000000" w:fill="D8DADA"/>
            <w:vAlign w:val="center"/>
            <w:hideMark/>
          </w:tcPr>
          <w:p w14:paraId="7B2F9E3C"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$52 </w:t>
            </w:r>
          </w:p>
        </w:tc>
        <w:tc>
          <w:tcPr>
            <w:tcW w:w="1276" w:type="dxa"/>
            <w:tcBorders>
              <w:top w:val="nil"/>
              <w:left w:val="nil"/>
              <w:bottom w:val="single" w:sz="8" w:space="0" w:color="auto"/>
              <w:right w:val="nil"/>
            </w:tcBorders>
            <w:shd w:val="clear" w:color="000000" w:fill="D8DADA"/>
            <w:vAlign w:val="center"/>
            <w:hideMark/>
          </w:tcPr>
          <w:p w14:paraId="6CD66EC9" w14:textId="77777777" w:rsidR="00134B68" w:rsidRPr="00134B68" w:rsidRDefault="00134B68" w:rsidP="00134B68">
            <w:pPr>
              <w:spacing w:before="0" w:after="0" w:line="240" w:lineRule="auto"/>
              <w:jc w:val="right"/>
              <w:rPr>
                <w:rFonts w:cs="Arial"/>
                <w:b/>
                <w:color w:val="1E1545"/>
                <w:sz w:val="21"/>
                <w:szCs w:val="21"/>
                <w:lang w:eastAsia="en-AU"/>
              </w:rPr>
            </w:pPr>
            <w:r w:rsidRPr="00134B68">
              <w:rPr>
                <w:rFonts w:cs="Arial"/>
                <w:b/>
                <w:color w:val="1E1545"/>
                <w:sz w:val="21"/>
                <w:szCs w:val="21"/>
                <w:lang w:eastAsia="en-AU"/>
              </w:rPr>
              <w:t xml:space="preserve"> $1,315 </w:t>
            </w:r>
          </w:p>
        </w:tc>
      </w:tr>
      <w:tr w:rsidR="00634A5F" w:rsidRPr="00634A5F" w14:paraId="1201DEAF" w14:textId="77777777" w:rsidTr="009A592B">
        <w:trPr>
          <w:trHeight w:val="285"/>
        </w:trPr>
        <w:tc>
          <w:tcPr>
            <w:tcW w:w="4395" w:type="dxa"/>
            <w:tcBorders>
              <w:top w:val="nil"/>
              <w:left w:val="nil"/>
              <w:bottom w:val="single" w:sz="12" w:space="0" w:color="1E1545"/>
              <w:right w:val="nil"/>
            </w:tcBorders>
            <w:shd w:val="clear" w:color="auto" w:fill="auto"/>
            <w:vAlign w:val="center"/>
            <w:hideMark/>
          </w:tcPr>
          <w:p w14:paraId="52C43CDC" w14:textId="77777777" w:rsidR="00634A5F" w:rsidRPr="00634A5F" w:rsidRDefault="00634A5F" w:rsidP="00634A5F">
            <w:pPr>
              <w:spacing w:before="0" w:after="0" w:line="240" w:lineRule="auto"/>
              <w:rPr>
                <w:rFonts w:cs="Arial"/>
                <w:bCs w:val="0"/>
                <w:color w:val="1E1545"/>
                <w:sz w:val="21"/>
                <w:szCs w:val="21"/>
                <w:lang w:eastAsia="en-AU"/>
              </w:rPr>
            </w:pPr>
            <w:r w:rsidRPr="00634A5F">
              <w:rPr>
                <w:rFonts w:cs="Arial"/>
                <w:bCs w:val="0"/>
                <w:color w:val="1E1545"/>
                <w:sz w:val="21"/>
                <w:szCs w:val="21"/>
                <w:lang w:eastAsia="en-AU"/>
              </w:rPr>
              <w:t>COVID-19 expenses</w:t>
            </w:r>
          </w:p>
        </w:tc>
        <w:tc>
          <w:tcPr>
            <w:tcW w:w="1275" w:type="dxa"/>
            <w:tcBorders>
              <w:top w:val="nil"/>
              <w:left w:val="nil"/>
              <w:bottom w:val="single" w:sz="12" w:space="0" w:color="1E1545"/>
              <w:right w:val="nil"/>
            </w:tcBorders>
            <w:shd w:val="clear" w:color="000000" w:fill="FFFFFF"/>
            <w:noWrap/>
            <w:vAlign w:val="center"/>
            <w:hideMark/>
          </w:tcPr>
          <w:p w14:paraId="4D5FB4B0"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$3 </w:t>
            </w:r>
          </w:p>
        </w:tc>
        <w:tc>
          <w:tcPr>
            <w:tcW w:w="1276" w:type="dxa"/>
            <w:tcBorders>
              <w:top w:val="nil"/>
              <w:left w:val="nil"/>
              <w:bottom w:val="single" w:sz="12" w:space="0" w:color="1E1545"/>
              <w:right w:val="nil"/>
            </w:tcBorders>
            <w:shd w:val="clear" w:color="000000" w:fill="FFFFFF"/>
            <w:noWrap/>
            <w:vAlign w:val="center"/>
            <w:hideMark/>
          </w:tcPr>
          <w:p w14:paraId="6BA3ABF0"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$7 </w:t>
            </w:r>
          </w:p>
        </w:tc>
        <w:tc>
          <w:tcPr>
            <w:tcW w:w="1276" w:type="dxa"/>
            <w:tcBorders>
              <w:top w:val="nil"/>
              <w:left w:val="nil"/>
              <w:bottom w:val="single" w:sz="12" w:space="0" w:color="1E1545"/>
              <w:right w:val="nil"/>
            </w:tcBorders>
            <w:shd w:val="clear" w:color="000000" w:fill="FFFFFF"/>
            <w:noWrap/>
            <w:vAlign w:val="center"/>
            <w:hideMark/>
          </w:tcPr>
          <w:p w14:paraId="0107F487"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$0 </w:t>
            </w:r>
          </w:p>
        </w:tc>
        <w:tc>
          <w:tcPr>
            <w:tcW w:w="1276" w:type="dxa"/>
            <w:tcBorders>
              <w:top w:val="nil"/>
              <w:left w:val="nil"/>
              <w:bottom w:val="single" w:sz="12" w:space="0" w:color="1E1545"/>
              <w:right w:val="nil"/>
            </w:tcBorders>
            <w:shd w:val="clear" w:color="000000" w:fill="FFFFFF"/>
            <w:noWrap/>
            <w:vAlign w:val="center"/>
            <w:hideMark/>
          </w:tcPr>
          <w:p w14:paraId="293C8688"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$10 </w:t>
            </w:r>
          </w:p>
        </w:tc>
      </w:tr>
      <w:tr w:rsidR="00634A5F" w:rsidRPr="00634A5F" w14:paraId="3DCA6FDC" w14:textId="77777777" w:rsidTr="009A592B">
        <w:trPr>
          <w:trHeight w:val="300"/>
        </w:trPr>
        <w:tc>
          <w:tcPr>
            <w:tcW w:w="4395" w:type="dxa"/>
            <w:tcBorders>
              <w:top w:val="nil"/>
              <w:left w:val="nil"/>
              <w:bottom w:val="single" w:sz="12" w:space="0" w:color="1E1545"/>
              <w:right w:val="nil"/>
            </w:tcBorders>
            <w:shd w:val="clear" w:color="auto" w:fill="auto"/>
            <w:vAlign w:val="center"/>
            <w:hideMark/>
          </w:tcPr>
          <w:p w14:paraId="6CC8A54B" w14:textId="77777777" w:rsidR="00634A5F" w:rsidRPr="00634A5F" w:rsidRDefault="00634A5F" w:rsidP="00634A5F">
            <w:pPr>
              <w:spacing w:before="0" w:after="0" w:line="240" w:lineRule="auto"/>
              <w:rPr>
                <w:rFonts w:cs="Arial"/>
                <w:bCs w:val="0"/>
                <w:color w:val="1E1545"/>
                <w:sz w:val="21"/>
                <w:szCs w:val="21"/>
                <w:lang w:eastAsia="en-AU"/>
              </w:rPr>
            </w:pPr>
            <w:r w:rsidRPr="00634A5F">
              <w:rPr>
                <w:rFonts w:cs="Arial"/>
                <w:bCs w:val="0"/>
                <w:color w:val="1E1545"/>
                <w:sz w:val="21"/>
                <w:szCs w:val="21"/>
                <w:lang w:eastAsia="en-AU"/>
              </w:rPr>
              <w:t>Other expenses</w:t>
            </w:r>
          </w:p>
        </w:tc>
        <w:tc>
          <w:tcPr>
            <w:tcW w:w="1275" w:type="dxa"/>
            <w:tcBorders>
              <w:top w:val="nil"/>
              <w:left w:val="nil"/>
              <w:bottom w:val="single" w:sz="12" w:space="0" w:color="1E1545"/>
              <w:right w:val="nil"/>
            </w:tcBorders>
            <w:shd w:val="clear" w:color="000000" w:fill="FFFFFF"/>
            <w:noWrap/>
            <w:vAlign w:val="center"/>
            <w:hideMark/>
          </w:tcPr>
          <w:p w14:paraId="687A1BE7"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$49 </w:t>
            </w:r>
          </w:p>
        </w:tc>
        <w:tc>
          <w:tcPr>
            <w:tcW w:w="1276" w:type="dxa"/>
            <w:tcBorders>
              <w:top w:val="nil"/>
              <w:left w:val="nil"/>
              <w:bottom w:val="single" w:sz="12" w:space="0" w:color="1E1545"/>
              <w:right w:val="nil"/>
            </w:tcBorders>
            <w:shd w:val="clear" w:color="000000" w:fill="FFFFFF"/>
            <w:noWrap/>
            <w:vAlign w:val="center"/>
            <w:hideMark/>
          </w:tcPr>
          <w:p w14:paraId="2F8D537F"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$27 </w:t>
            </w:r>
          </w:p>
        </w:tc>
        <w:tc>
          <w:tcPr>
            <w:tcW w:w="1276" w:type="dxa"/>
            <w:tcBorders>
              <w:top w:val="nil"/>
              <w:left w:val="nil"/>
              <w:bottom w:val="single" w:sz="12" w:space="0" w:color="1E1545"/>
              <w:right w:val="nil"/>
            </w:tcBorders>
            <w:shd w:val="clear" w:color="000000" w:fill="FFFFFF"/>
            <w:noWrap/>
            <w:vAlign w:val="center"/>
            <w:hideMark/>
          </w:tcPr>
          <w:p w14:paraId="5BC8FC29"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$1 </w:t>
            </w:r>
          </w:p>
        </w:tc>
        <w:tc>
          <w:tcPr>
            <w:tcW w:w="1276" w:type="dxa"/>
            <w:tcBorders>
              <w:top w:val="nil"/>
              <w:left w:val="nil"/>
              <w:bottom w:val="single" w:sz="12" w:space="0" w:color="1E1545"/>
              <w:right w:val="nil"/>
            </w:tcBorders>
            <w:shd w:val="clear" w:color="000000" w:fill="FFFFFF"/>
            <w:noWrap/>
            <w:vAlign w:val="center"/>
            <w:hideMark/>
          </w:tcPr>
          <w:p w14:paraId="487EA69B" w14:textId="77777777" w:rsidR="00634A5F" w:rsidRPr="00634A5F" w:rsidRDefault="00634A5F" w:rsidP="00634A5F">
            <w:pPr>
              <w:spacing w:before="0" w:after="0" w:line="240" w:lineRule="auto"/>
              <w:jc w:val="right"/>
              <w:rPr>
                <w:rFonts w:cs="Arial"/>
                <w:bCs w:val="0"/>
                <w:color w:val="1E1545"/>
                <w:sz w:val="21"/>
                <w:szCs w:val="21"/>
                <w:lang w:eastAsia="en-AU"/>
              </w:rPr>
            </w:pPr>
            <w:r w:rsidRPr="00634A5F">
              <w:rPr>
                <w:rFonts w:cs="Arial"/>
                <w:bCs w:val="0"/>
                <w:color w:val="1E1545"/>
                <w:sz w:val="21"/>
                <w:szCs w:val="21"/>
                <w:lang w:eastAsia="en-AU"/>
              </w:rPr>
              <w:t xml:space="preserve"> $77 </w:t>
            </w:r>
          </w:p>
        </w:tc>
      </w:tr>
      <w:tr w:rsidR="00634A5F" w:rsidRPr="00634A5F" w14:paraId="65E8DA38" w14:textId="77777777" w:rsidTr="009A592B">
        <w:trPr>
          <w:trHeight w:val="300"/>
        </w:trPr>
        <w:tc>
          <w:tcPr>
            <w:tcW w:w="4395" w:type="dxa"/>
            <w:tcBorders>
              <w:top w:val="nil"/>
              <w:left w:val="nil"/>
              <w:bottom w:val="single" w:sz="12" w:space="0" w:color="1E1545"/>
              <w:right w:val="nil"/>
            </w:tcBorders>
            <w:shd w:val="clear" w:color="000000" w:fill="D8DADA"/>
            <w:vAlign w:val="center"/>
            <w:hideMark/>
          </w:tcPr>
          <w:p w14:paraId="1A3225D0" w14:textId="77777777" w:rsidR="00634A5F" w:rsidRPr="00634A5F" w:rsidRDefault="00634A5F" w:rsidP="00634A5F">
            <w:pPr>
              <w:spacing w:before="0" w:after="0" w:line="240" w:lineRule="auto"/>
              <w:rPr>
                <w:rFonts w:cs="Arial"/>
                <w:b/>
                <w:color w:val="1E1545"/>
                <w:sz w:val="21"/>
                <w:szCs w:val="21"/>
                <w:lang w:eastAsia="en-AU"/>
              </w:rPr>
            </w:pPr>
            <w:r w:rsidRPr="00634A5F">
              <w:rPr>
                <w:rFonts w:cs="Arial"/>
                <w:b/>
                <w:color w:val="1E1545"/>
                <w:sz w:val="21"/>
                <w:szCs w:val="21"/>
                <w:lang w:eastAsia="en-AU"/>
              </w:rPr>
              <w:t>Total expenses:</w:t>
            </w:r>
          </w:p>
        </w:tc>
        <w:tc>
          <w:tcPr>
            <w:tcW w:w="1275" w:type="dxa"/>
            <w:tcBorders>
              <w:top w:val="nil"/>
              <w:left w:val="nil"/>
              <w:bottom w:val="single" w:sz="12" w:space="0" w:color="1E1545"/>
              <w:right w:val="nil"/>
            </w:tcBorders>
            <w:shd w:val="clear" w:color="000000" w:fill="D8DADA"/>
            <w:noWrap/>
            <w:vAlign w:val="center"/>
            <w:hideMark/>
          </w:tcPr>
          <w:p w14:paraId="10E15CB4"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$1,917 </w:t>
            </w:r>
          </w:p>
        </w:tc>
        <w:tc>
          <w:tcPr>
            <w:tcW w:w="1276" w:type="dxa"/>
            <w:tcBorders>
              <w:top w:val="nil"/>
              <w:left w:val="nil"/>
              <w:bottom w:val="single" w:sz="12" w:space="0" w:color="1E1545"/>
              <w:right w:val="nil"/>
            </w:tcBorders>
            <w:shd w:val="clear" w:color="000000" w:fill="D8DADA"/>
            <w:noWrap/>
            <w:vAlign w:val="center"/>
            <w:hideMark/>
          </w:tcPr>
          <w:p w14:paraId="30AE2B73"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$3,405 </w:t>
            </w:r>
          </w:p>
        </w:tc>
        <w:tc>
          <w:tcPr>
            <w:tcW w:w="1276" w:type="dxa"/>
            <w:tcBorders>
              <w:top w:val="nil"/>
              <w:left w:val="nil"/>
              <w:bottom w:val="single" w:sz="12" w:space="0" w:color="1E1545"/>
              <w:right w:val="nil"/>
            </w:tcBorders>
            <w:shd w:val="clear" w:color="000000" w:fill="D8DADA"/>
            <w:noWrap/>
            <w:vAlign w:val="center"/>
            <w:hideMark/>
          </w:tcPr>
          <w:p w14:paraId="24C5AE40"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$280 </w:t>
            </w:r>
          </w:p>
        </w:tc>
        <w:tc>
          <w:tcPr>
            <w:tcW w:w="1276" w:type="dxa"/>
            <w:tcBorders>
              <w:top w:val="nil"/>
              <w:left w:val="nil"/>
              <w:bottom w:val="single" w:sz="12" w:space="0" w:color="1E1545"/>
              <w:right w:val="nil"/>
            </w:tcBorders>
            <w:shd w:val="clear" w:color="000000" w:fill="D8DADA"/>
            <w:noWrap/>
            <w:vAlign w:val="center"/>
            <w:hideMark/>
          </w:tcPr>
          <w:p w14:paraId="4EBA8E10"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$5,602 </w:t>
            </w:r>
          </w:p>
        </w:tc>
      </w:tr>
      <w:tr w:rsidR="00634A5F" w:rsidRPr="00634A5F" w14:paraId="34DC5EFA" w14:textId="77777777" w:rsidTr="009A592B">
        <w:trPr>
          <w:trHeight w:val="300"/>
        </w:trPr>
        <w:tc>
          <w:tcPr>
            <w:tcW w:w="4395" w:type="dxa"/>
            <w:tcBorders>
              <w:top w:val="nil"/>
              <w:left w:val="nil"/>
              <w:bottom w:val="single" w:sz="8" w:space="0" w:color="auto"/>
              <w:right w:val="nil"/>
            </w:tcBorders>
            <w:shd w:val="clear" w:color="000000" w:fill="D8DADA"/>
            <w:vAlign w:val="center"/>
            <w:hideMark/>
          </w:tcPr>
          <w:p w14:paraId="31089174" w14:textId="77777777" w:rsidR="00634A5F" w:rsidRPr="00634A5F" w:rsidRDefault="00634A5F" w:rsidP="00634A5F">
            <w:pPr>
              <w:spacing w:before="0" w:after="0" w:line="240" w:lineRule="auto"/>
              <w:rPr>
                <w:rFonts w:cs="Arial"/>
                <w:b/>
                <w:color w:val="1E1545"/>
                <w:sz w:val="21"/>
                <w:szCs w:val="21"/>
                <w:lang w:eastAsia="en-AU"/>
              </w:rPr>
            </w:pPr>
            <w:r w:rsidRPr="00634A5F">
              <w:rPr>
                <w:rFonts w:cs="Arial"/>
                <w:b/>
                <w:color w:val="1E1545"/>
                <w:sz w:val="21"/>
                <w:szCs w:val="21"/>
                <w:lang w:eastAsia="en-AU"/>
              </w:rPr>
              <w:t>Net profit/(loss) before tax:</w:t>
            </w:r>
          </w:p>
        </w:tc>
        <w:tc>
          <w:tcPr>
            <w:tcW w:w="1275" w:type="dxa"/>
            <w:tcBorders>
              <w:top w:val="nil"/>
              <w:left w:val="nil"/>
              <w:bottom w:val="single" w:sz="8" w:space="0" w:color="auto"/>
              <w:right w:val="nil"/>
            </w:tcBorders>
            <w:shd w:val="clear" w:color="000000" w:fill="D8DADA"/>
            <w:noWrap/>
            <w:vAlign w:val="center"/>
            <w:hideMark/>
          </w:tcPr>
          <w:p w14:paraId="30C0D354"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$82 </w:t>
            </w:r>
          </w:p>
        </w:tc>
        <w:tc>
          <w:tcPr>
            <w:tcW w:w="1276" w:type="dxa"/>
            <w:tcBorders>
              <w:top w:val="nil"/>
              <w:left w:val="nil"/>
              <w:bottom w:val="single" w:sz="8" w:space="0" w:color="auto"/>
              <w:right w:val="nil"/>
            </w:tcBorders>
            <w:shd w:val="clear" w:color="000000" w:fill="D8DADA"/>
            <w:noWrap/>
            <w:vAlign w:val="center"/>
            <w:hideMark/>
          </w:tcPr>
          <w:p w14:paraId="7077FC3A"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$99 </w:t>
            </w:r>
          </w:p>
        </w:tc>
        <w:tc>
          <w:tcPr>
            <w:tcW w:w="1276" w:type="dxa"/>
            <w:tcBorders>
              <w:top w:val="nil"/>
              <w:left w:val="nil"/>
              <w:bottom w:val="single" w:sz="8" w:space="0" w:color="auto"/>
              <w:right w:val="nil"/>
            </w:tcBorders>
            <w:shd w:val="clear" w:color="000000" w:fill="D8DADA"/>
            <w:noWrap/>
            <w:vAlign w:val="center"/>
            <w:hideMark/>
          </w:tcPr>
          <w:p w14:paraId="46143E8C"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$4 </w:t>
            </w:r>
          </w:p>
        </w:tc>
        <w:tc>
          <w:tcPr>
            <w:tcW w:w="1276" w:type="dxa"/>
            <w:tcBorders>
              <w:top w:val="nil"/>
              <w:left w:val="nil"/>
              <w:bottom w:val="single" w:sz="8" w:space="0" w:color="auto"/>
              <w:right w:val="nil"/>
            </w:tcBorders>
            <w:shd w:val="clear" w:color="000000" w:fill="D8DADA"/>
            <w:noWrap/>
            <w:vAlign w:val="center"/>
            <w:hideMark/>
          </w:tcPr>
          <w:p w14:paraId="11B055E8" w14:textId="77777777" w:rsidR="00634A5F" w:rsidRPr="00634A5F" w:rsidRDefault="00634A5F" w:rsidP="00634A5F">
            <w:pPr>
              <w:spacing w:before="0" w:after="0" w:line="240" w:lineRule="auto"/>
              <w:jc w:val="right"/>
              <w:rPr>
                <w:rFonts w:cs="Arial"/>
                <w:b/>
                <w:color w:val="1E1545"/>
                <w:sz w:val="21"/>
                <w:szCs w:val="21"/>
                <w:lang w:eastAsia="en-AU"/>
              </w:rPr>
            </w:pPr>
            <w:r w:rsidRPr="00634A5F">
              <w:rPr>
                <w:rFonts w:cs="Arial"/>
                <w:b/>
                <w:color w:val="1E1545"/>
                <w:sz w:val="21"/>
                <w:szCs w:val="21"/>
                <w:lang w:eastAsia="en-AU"/>
              </w:rPr>
              <w:t xml:space="preserve"> $186 </w:t>
            </w:r>
          </w:p>
        </w:tc>
      </w:tr>
    </w:tbl>
    <w:p w14:paraId="3C86AF1A" w14:textId="77777777" w:rsidR="00933C13" w:rsidRDefault="00933C13">
      <w:pPr>
        <w:spacing w:before="0" w:after="0" w:line="240" w:lineRule="auto"/>
        <w:rPr>
          <w:b/>
          <w:bCs w:val="0"/>
          <w:sz w:val="28"/>
          <w:szCs w:val="28"/>
        </w:rPr>
      </w:pPr>
      <w:r>
        <w:rPr>
          <w:b/>
          <w:bCs w:val="0"/>
          <w:sz w:val="28"/>
          <w:szCs w:val="28"/>
        </w:rPr>
        <w:br w:type="page"/>
      </w:r>
    </w:p>
    <w:p w14:paraId="6E17F2FC" w14:textId="351E2EC0" w:rsidR="00C82DDB" w:rsidRPr="00525FE2" w:rsidRDefault="00C82DDB" w:rsidP="00525FE2">
      <w:pPr>
        <w:rPr>
          <w:bCs w:val="0"/>
          <w:sz w:val="28"/>
        </w:rPr>
      </w:pPr>
      <w:r w:rsidRPr="00525FE2">
        <w:rPr>
          <w:b/>
          <w:bCs w:val="0"/>
          <w:sz w:val="28"/>
          <w:szCs w:val="28"/>
        </w:rPr>
        <w:t xml:space="preserve">Appendix </w:t>
      </w:r>
      <w:r w:rsidR="0046425D" w:rsidRPr="00525FE2">
        <w:rPr>
          <w:b/>
          <w:bCs w:val="0"/>
          <w:sz w:val="28"/>
          <w:szCs w:val="28"/>
        </w:rPr>
        <w:t>G</w:t>
      </w:r>
    </w:p>
    <w:p w14:paraId="491498A4" w14:textId="77777777" w:rsidR="0099682F" w:rsidRDefault="00C82DDB" w:rsidP="00706D0A">
      <w:r w:rsidRPr="001D39D3">
        <w:t xml:space="preserve">Home Care segment income and expense statement, per </w:t>
      </w:r>
      <w:r>
        <w:t xml:space="preserve">care recipient </w:t>
      </w:r>
      <w:r w:rsidRPr="001D39D3">
        <w:t>per day, 2022</w:t>
      </w:r>
      <w:r>
        <w:t>-23</w:t>
      </w:r>
      <w:r w:rsidR="0099682F">
        <w:t xml:space="preserve"> </w:t>
      </w:r>
    </w:p>
    <w:tbl>
      <w:tblPr>
        <w:tblW w:w="9529" w:type="dxa"/>
        <w:tblLook w:val="04A0" w:firstRow="1" w:lastRow="0" w:firstColumn="1" w:lastColumn="0" w:noHBand="0" w:noVBand="1"/>
      </w:tblPr>
      <w:tblGrid>
        <w:gridCol w:w="4489"/>
        <w:gridCol w:w="1418"/>
        <w:gridCol w:w="1276"/>
        <w:gridCol w:w="1173"/>
        <w:gridCol w:w="1173"/>
      </w:tblGrid>
      <w:tr w:rsidR="0099682F" w:rsidRPr="0099682F" w14:paraId="619DCB8B" w14:textId="77777777" w:rsidTr="009A592B">
        <w:trPr>
          <w:trHeight w:val="544"/>
        </w:trPr>
        <w:tc>
          <w:tcPr>
            <w:tcW w:w="4497" w:type="dxa"/>
            <w:tcBorders>
              <w:top w:val="single" w:sz="4" w:space="0" w:color="auto"/>
              <w:left w:val="nil"/>
              <w:bottom w:val="nil"/>
              <w:right w:val="nil"/>
            </w:tcBorders>
            <w:shd w:val="clear" w:color="000000" w:fill="1E1545"/>
            <w:vAlign w:val="center"/>
            <w:hideMark/>
          </w:tcPr>
          <w:p w14:paraId="7B71CD31" w14:textId="77777777" w:rsidR="0099682F" w:rsidRPr="0099682F" w:rsidRDefault="0099682F" w:rsidP="009A592B">
            <w:pPr>
              <w:spacing w:before="0" w:after="0" w:line="240" w:lineRule="auto"/>
              <w:jc w:val="right"/>
              <w:rPr>
                <w:rFonts w:cs="Arial"/>
                <w:b/>
                <w:color w:val="F1F2F2"/>
                <w:sz w:val="21"/>
                <w:szCs w:val="21"/>
                <w:lang w:eastAsia="en-AU"/>
              </w:rPr>
            </w:pPr>
            <w:r w:rsidRPr="0099682F">
              <w:rPr>
                <w:rFonts w:cs="Arial"/>
                <w:b/>
                <w:color w:val="F1F2F2"/>
                <w:sz w:val="21"/>
                <w:szCs w:val="21"/>
                <w:lang w:eastAsia="en-AU"/>
              </w:rPr>
              <w:t> </w:t>
            </w:r>
          </w:p>
        </w:tc>
        <w:tc>
          <w:tcPr>
            <w:tcW w:w="1418" w:type="dxa"/>
            <w:tcBorders>
              <w:top w:val="single" w:sz="4" w:space="0" w:color="auto"/>
              <w:left w:val="nil"/>
              <w:bottom w:val="nil"/>
              <w:right w:val="nil"/>
            </w:tcBorders>
            <w:shd w:val="clear" w:color="000000" w:fill="1E1545"/>
            <w:vAlign w:val="center"/>
            <w:hideMark/>
          </w:tcPr>
          <w:p w14:paraId="57D9D739" w14:textId="77777777" w:rsidR="0099682F" w:rsidRPr="0099682F" w:rsidRDefault="0099682F" w:rsidP="009A592B">
            <w:pPr>
              <w:spacing w:before="0" w:after="0" w:line="240" w:lineRule="auto"/>
              <w:jc w:val="right"/>
              <w:rPr>
                <w:rFonts w:cs="Arial"/>
                <w:b/>
                <w:color w:val="F1F2F2"/>
                <w:sz w:val="21"/>
                <w:szCs w:val="21"/>
                <w:lang w:eastAsia="en-AU"/>
              </w:rPr>
            </w:pPr>
            <w:r w:rsidRPr="0099682F">
              <w:rPr>
                <w:rFonts w:cs="Arial"/>
                <w:b/>
                <w:color w:val="F1F2F2"/>
                <w:sz w:val="21"/>
                <w:szCs w:val="21"/>
                <w:lang w:eastAsia="en-AU"/>
              </w:rPr>
              <w:t>For-profit</w:t>
            </w:r>
          </w:p>
        </w:tc>
        <w:tc>
          <w:tcPr>
            <w:tcW w:w="1276" w:type="dxa"/>
            <w:tcBorders>
              <w:top w:val="single" w:sz="4" w:space="0" w:color="auto"/>
              <w:left w:val="nil"/>
              <w:bottom w:val="nil"/>
              <w:right w:val="nil"/>
            </w:tcBorders>
            <w:shd w:val="clear" w:color="000000" w:fill="1E1545"/>
            <w:vAlign w:val="center"/>
            <w:hideMark/>
          </w:tcPr>
          <w:p w14:paraId="5B227A73" w14:textId="77777777" w:rsidR="0099682F" w:rsidRPr="0099682F" w:rsidRDefault="0099682F" w:rsidP="009A592B">
            <w:pPr>
              <w:spacing w:before="0" w:after="0" w:line="240" w:lineRule="auto"/>
              <w:jc w:val="right"/>
              <w:rPr>
                <w:rFonts w:cs="Arial"/>
                <w:b/>
                <w:color w:val="F1F2F2"/>
                <w:sz w:val="21"/>
                <w:szCs w:val="21"/>
                <w:lang w:eastAsia="en-AU"/>
              </w:rPr>
            </w:pPr>
            <w:r w:rsidRPr="0099682F">
              <w:rPr>
                <w:rFonts w:cs="Arial"/>
                <w:b/>
                <w:color w:val="F1F2F2"/>
                <w:sz w:val="21"/>
                <w:szCs w:val="21"/>
                <w:lang w:eastAsia="en-AU"/>
              </w:rPr>
              <w:t>Not-for-profit</w:t>
            </w:r>
          </w:p>
        </w:tc>
        <w:tc>
          <w:tcPr>
            <w:tcW w:w="1173" w:type="dxa"/>
            <w:tcBorders>
              <w:top w:val="single" w:sz="4" w:space="0" w:color="auto"/>
              <w:left w:val="nil"/>
              <w:bottom w:val="nil"/>
              <w:right w:val="nil"/>
            </w:tcBorders>
            <w:shd w:val="clear" w:color="000000" w:fill="1E1545"/>
            <w:vAlign w:val="center"/>
            <w:hideMark/>
          </w:tcPr>
          <w:p w14:paraId="54C07853" w14:textId="77777777" w:rsidR="0099682F" w:rsidRPr="0099682F" w:rsidRDefault="0099682F" w:rsidP="009A592B">
            <w:pPr>
              <w:spacing w:before="0" w:after="0" w:line="240" w:lineRule="auto"/>
              <w:jc w:val="right"/>
              <w:rPr>
                <w:rFonts w:cs="Arial"/>
                <w:b/>
                <w:color w:val="F1F2F2"/>
                <w:sz w:val="21"/>
                <w:szCs w:val="21"/>
                <w:lang w:eastAsia="en-AU"/>
              </w:rPr>
            </w:pPr>
            <w:r w:rsidRPr="0099682F">
              <w:rPr>
                <w:rFonts w:cs="Arial"/>
                <w:b/>
                <w:color w:val="F1F2F2"/>
                <w:sz w:val="21"/>
                <w:szCs w:val="21"/>
                <w:lang w:eastAsia="en-AU"/>
              </w:rPr>
              <w:t>LST providers</w:t>
            </w:r>
          </w:p>
        </w:tc>
        <w:tc>
          <w:tcPr>
            <w:tcW w:w="1165" w:type="dxa"/>
            <w:tcBorders>
              <w:top w:val="single" w:sz="4" w:space="0" w:color="auto"/>
              <w:left w:val="nil"/>
              <w:bottom w:val="nil"/>
              <w:right w:val="nil"/>
            </w:tcBorders>
            <w:shd w:val="clear" w:color="000000" w:fill="1E1545"/>
            <w:vAlign w:val="center"/>
            <w:hideMark/>
          </w:tcPr>
          <w:p w14:paraId="76D4ED3A" w14:textId="77777777" w:rsidR="0099682F" w:rsidRPr="0099682F" w:rsidRDefault="0099682F" w:rsidP="009A592B">
            <w:pPr>
              <w:spacing w:before="0" w:after="0" w:line="240" w:lineRule="auto"/>
              <w:jc w:val="right"/>
              <w:rPr>
                <w:rFonts w:cs="Arial"/>
                <w:b/>
                <w:color w:val="F1F2F2"/>
                <w:sz w:val="21"/>
                <w:szCs w:val="21"/>
                <w:lang w:eastAsia="en-AU"/>
              </w:rPr>
            </w:pPr>
            <w:r w:rsidRPr="0099682F">
              <w:rPr>
                <w:rFonts w:cs="Arial"/>
                <w:b/>
                <w:color w:val="F1F2F2"/>
                <w:sz w:val="21"/>
                <w:szCs w:val="21"/>
                <w:lang w:eastAsia="en-AU"/>
              </w:rPr>
              <w:t>All providers</w:t>
            </w:r>
          </w:p>
        </w:tc>
      </w:tr>
      <w:tr w:rsidR="0099682F" w:rsidRPr="0099682F" w14:paraId="79EC0C1C" w14:textId="77777777" w:rsidTr="009A592B">
        <w:trPr>
          <w:trHeight w:val="287"/>
        </w:trPr>
        <w:tc>
          <w:tcPr>
            <w:tcW w:w="4497" w:type="dxa"/>
            <w:tcBorders>
              <w:top w:val="single" w:sz="4" w:space="0" w:color="auto"/>
              <w:left w:val="nil"/>
              <w:bottom w:val="single" w:sz="8" w:space="0" w:color="auto"/>
              <w:right w:val="nil"/>
            </w:tcBorders>
            <w:shd w:val="clear" w:color="000000" w:fill="E3E6E6"/>
            <w:vAlign w:val="center"/>
            <w:hideMark/>
          </w:tcPr>
          <w:p w14:paraId="7D968EE6"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Income</w:t>
            </w:r>
          </w:p>
        </w:tc>
        <w:tc>
          <w:tcPr>
            <w:tcW w:w="1418" w:type="dxa"/>
            <w:tcBorders>
              <w:top w:val="single" w:sz="4" w:space="0" w:color="auto"/>
              <w:left w:val="nil"/>
              <w:bottom w:val="single" w:sz="8" w:space="0" w:color="auto"/>
              <w:right w:val="nil"/>
            </w:tcBorders>
            <w:shd w:val="clear" w:color="000000" w:fill="E3E6E6"/>
            <w:noWrap/>
            <w:vAlign w:val="center"/>
            <w:hideMark/>
          </w:tcPr>
          <w:p w14:paraId="13F513FB"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 </w:t>
            </w:r>
          </w:p>
        </w:tc>
        <w:tc>
          <w:tcPr>
            <w:tcW w:w="1276" w:type="dxa"/>
            <w:tcBorders>
              <w:top w:val="single" w:sz="4" w:space="0" w:color="auto"/>
              <w:left w:val="nil"/>
              <w:bottom w:val="single" w:sz="8" w:space="0" w:color="auto"/>
              <w:right w:val="nil"/>
            </w:tcBorders>
            <w:shd w:val="clear" w:color="000000" w:fill="E3E6E6"/>
            <w:noWrap/>
            <w:vAlign w:val="center"/>
            <w:hideMark/>
          </w:tcPr>
          <w:p w14:paraId="3C0C3291"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 </w:t>
            </w:r>
          </w:p>
        </w:tc>
        <w:tc>
          <w:tcPr>
            <w:tcW w:w="1173" w:type="dxa"/>
            <w:tcBorders>
              <w:top w:val="single" w:sz="4" w:space="0" w:color="auto"/>
              <w:left w:val="nil"/>
              <w:bottom w:val="single" w:sz="8" w:space="0" w:color="auto"/>
              <w:right w:val="nil"/>
            </w:tcBorders>
            <w:shd w:val="clear" w:color="000000" w:fill="E3E6E6"/>
            <w:noWrap/>
            <w:vAlign w:val="center"/>
            <w:hideMark/>
          </w:tcPr>
          <w:p w14:paraId="3AFCA8DC"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 </w:t>
            </w:r>
          </w:p>
        </w:tc>
        <w:tc>
          <w:tcPr>
            <w:tcW w:w="1165" w:type="dxa"/>
            <w:tcBorders>
              <w:top w:val="single" w:sz="4" w:space="0" w:color="auto"/>
              <w:left w:val="nil"/>
              <w:bottom w:val="single" w:sz="8" w:space="0" w:color="auto"/>
              <w:right w:val="nil"/>
            </w:tcBorders>
            <w:shd w:val="clear" w:color="000000" w:fill="E3E6E6"/>
            <w:noWrap/>
            <w:vAlign w:val="center"/>
            <w:hideMark/>
          </w:tcPr>
          <w:p w14:paraId="09E6E501"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 </w:t>
            </w:r>
          </w:p>
        </w:tc>
      </w:tr>
      <w:tr w:rsidR="0099682F" w:rsidRPr="0099682F" w14:paraId="76F61B7A" w14:textId="77777777" w:rsidTr="009A592B">
        <w:trPr>
          <w:trHeight w:val="287"/>
        </w:trPr>
        <w:tc>
          <w:tcPr>
            <w:tcW w:w="4497" w:type="dxa"/>
            <w:tcBorders>
              <w:top w:val="nil"/>
              <w:left w:val="nil"/>
              <w:bottom w:val="single" w:sz="8" w:space="0" w:color="auto"/>
              <w:right w:val="nil"/>
            </w:tcBorders>
            <w:shd w:val="clear" w:color="auto" w:fill="auto"/>
            <w:vAlign w:val="center"/>
            <w:hideMark/>
          </w:tcPr>
          <w:p w14:paraId="6F998994"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Direct care services</w:t>
            </w:r>
          </w:p>
        </w:tc>
        <w:tc>
          <w:tcPr>
            <w:tcW w:w="1418" w:type="dxa"/>
            <w:tcBorders>
              <w:top w:val="nil"/>
              <w:left w:val="nil"/>
              <w:bottom w:val="single" w:sz="8" w:space="0" w:color="auto"/>
              <w:right w:val="nil"/>
            </w:tcBorders>
            <w:shd w:val="clear" w:color="000000" w:fill="FFFFFF"/>
            <w:noWrap/>
            <w:vAlign w:val="center"/>
            <w:hideMark/>
          </w:tcPr>
          <w:p w14:paraId="703FD2E5"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$26.4 </w:t>
            </w:r>
          </w:p>
        </w:tc>
        <w:tc>
          <w:tcPr>
            <w:tcW w:w="1276" w:type="dxa"/>
            <w:tcBorders>
              <w:top w:val="nil"/>
              <w:left w:val="nil"/>
              <w:bottom w:val="single" w:sz="8" w:space="0" w:color="auto"/>
              <w:right w:val="nil"/>
            </w:tcBorders>
            <w:shd w:val="clear" w:color="000000" w:fill="FFFFFF"/>
            <w:noWrap/>
            <w:vAlign w:val="center"/>
            <w:hideMark/>
          </w:tcPr>
          <w:p w14:paraId="5B8A9D31"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$31.2 </w:t>
            </w:r>
          </w:p>
        </w:tc>
        <w:tc>
          <w:tcPr>
            <w:tcW w:w="1173" w:type="dxa"/>
            <w:tcBorders>
              <w:top w:val="nil"/>
              <w:left w:val="nil"/>
              <w:bottom w:val="single" w:sz="8" w:space="0" w:color="auto"/>
              <w:right w:val="nil"/>
            </w:tcBorders>
            <w:shd w:val="clear" w:color="000000" w:fill="FFFFFF"/>
            <w:noWrap/>
            <w:vAlign w:val="center"/>
            <w:hideMark/>
          </w:tcPr>
          <w:p w14:paraId="6FBD4055"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$15.8 </w:t>
            </w:r>
          </w:p>
        </w:tc>
        <w:tc>
          <w:tcPr>
            <w:tcW w:w="1165" w:type="dxa"/>
            <w:tcBorders>
              <w:top w:val="nil"/>
              <w:left w:val="nil"/>
              <w:bottom w:val="single" w:sz="8" w:space="0" w:color="auto"/>
              <w:right w:val="nil"/>
            </w:tcBorders>
            <w:shd w:val="clear" w:color="000000" w:fill="FFFFFF"/>
            <w:noWrap/>
            <w:vAlign w:val="center"/>
            <w:hideMark/>
          </w:tcPr>
          <w:p w14:paraId="4A59ED6C"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$28.7 </w:t>
            </w:r>
          </w:p>
        </w:tc>
      </w:tr>
      <w:tr w:rsidR="0099682F" w:rsidRPr="0099682F" w14:paraId="5B8A6D3F"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5A890FF4"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Domestic</w:t>
            </w:r>
          </w:p>
        </w:tc>
        <w:tc>
          <w:tcPr>
            <w:tcW w:w="1418" w:type="dxa"/>
            <w:tcBorders>
              <w:top w:val="nil"/>
              <w:left w:val="nil"/>
              <w:bottom w:val="single" w:sz="12" w:space="0" w:color="1E1545"/>
              <w:right w:val="nil"/>
            </w:tcBorders>
            <w:shd w:val="clear" w:color="000000" w:fill="FFFFFF"/>
            <w:noWrap/>
            <w:vAlign w:val="center"/>
            <w:hideMark/>
          </w:tcPr>
          <w:p w14:paraId="5735EE9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$16.4 </w:t>
            </w:r>
          </w:p>
        </w:tc>
        <w:tc>
          <w:tcPr>
            <w:tcW w:w="1276" w:type="dxa"/>
            <w:tcBorders>
              <w:top w:val="nil"/>
              <w:left w:val="nil"/>
              <w:bottom w:val="single" w:sz="12" w:space="0" w:color="1E1545"/>
              <w:right w:val="nil"/>
            </w:tcBorders>
            <w:shd w:val="clear" w:color="000000" w:fill="FFFFFF"/>
            <w:noWrap/>
            <w:vAlign w:val="center"/>
            <w:hideMark/>
          </w:tcPr>
          <w:p w14:paraId="4B0DEBD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$20.7 </w:t>
            </w:r>
          </w:p>
        </w:tc>
        <w:tc>
          <w:tcPr>
            <w:tcW w:w="1173" w:type="dxa"/>
            <w:tcBorders>
              <w:top w:val="nil"/>
              <w:left w:val="nil"/>
              <w:bottom w:val="single" w:sz="12" w:space="0" w:color="1E1545"/>
              <w:right w:val="nil"/>
            </w:tcBorders>
            <w:shd w:val="clear" w:color="000000" w:fill="FFFFFF"/>
            <w:noWrap/>
            <w:vAlign w:val="center"/>
            <w:hideMark/>
          </w:tcPr>
          <w:p w14:paraId="701E908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$10.8 </w:t>
            </w:r>
          </w:p>
        </w:tc>
        <w:tc>
          <w:tcPr>
            <w:tcW w:w="1165" w:type="dxa"/>
            <w:tcBorders>
              <w:top w:val="nil"/>
              <w:left w:val="nil"/>
              <w:bottom w:val="single" w:sz="12" w:space="0" w:color="1E1545"/>
              <w:right w:val="nil"/>
            </w:tcBorders>
            <w:shd w:val="clear" w:color="000000" w:fill="FFFFFF"/>
            <w:noWrap/>
            <w:vAlign w:val="center"/>
            <w:hideMark/>
          </w:tcPr>
          <w:p w14:paraId="5F9B153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$18.7 </w:t>
            </w:r>
          </w:p>
        </w:tc>
      </w:tr>
      <w:tr w:rsidR="0099682F" w:rsidRPr="0099682F" w14:paraId="1ABD088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688DEA8B"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Nursing</w:t>
            </w:r>
          </w:p>
        </w:tc>
        <w:tc>
          <w:tcPr>
            <w:tcW w:w="1418" w:type="dxa"/>
            <w:tcBorders>
              <w:top w:val="nil"/>
              <w:left w:val="nil"/>
              <w:bottom w:val="single" w:sz="12" w:space="0" w:color="1E1545"/>
              <w:right w:val="nil"/>
            </w:tcBorders>
            <w:shd w:val="clear" w:color="000000" w:fill="FFFFFF"/>
            <w:noWrap/>
            <w:vAlign w:val="center"/>
            <w:hideMark/>
          </w:tcPr>
          <w:p w14:paraId="276BBC7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$2.5 </w:t>
            </w:r>
          </w:p>
        </w:tc>
        <w:tc>
          <w:tcPr>
            <w:tcW w:w="1276" w:type="dxa"/>
            <w:tcBorders>
              <w:top w:val="nil"/>
              <w:left w:val="nil"/>
              <w:bottom w:val="single" w:sz="12" w:space="0" w:color="1E1545"/>
              <w:right w:val="nil"/>
            </w:tcBorders>
            <w:shd w:val="clear" w:color="000000" w:fill="FFFFFF"/>
            <w:noWrap/>
            <w:vAlign w:val="center"/>
            <w:hideMark/>
          </w:tcPr>
          <w:p w14:paraId="6B2A4FF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$1.4 </w:t>
            </w:r>
          </w:p>
        </w:tc>
        <w:tc>
          <w:tcPr>
            <w:tcW w:w="1173" w:type="dxa"/>
            <w:tcBorders>
              <w:top w:val="nil"/>
              <w:left w:val="nil"/>
              <w:bottom w:val="single" w:sz="12" w:space="0" w:color="1E1545"/>
              <w:right w:val="nil"/>
            </w:tcBorders>
            <w:shd w:val="clear" w:color="000000" w:fill="FFFFFF"/>
            <w:noWrap/>
            <w:vAlign w:val="center"/>
            <w:hideMark/>
          </w:tcPr>
          <w:p w14:paraId="514A80A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165" w:type="dxa"/>
            <w:tcBorders>
              <w:top w:val="nil"/>
              <w:left w:val="nil"/>
              <w:bottom w:val="single" w:sz="12" w:space="0" w:color="1E1545"/>
              <w:right w:val="nil"/>
            </w:tcBorders>
            <w:shd w:val="clear" w:color="000000" w:fill="FFFFFF"/>
            <w:noWrap/>
            <w:vAlign w:val="center"/>
            <w:hideMark/>
          </w:tcPr>
          <w:p w14:paraId="32379E3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$1.7 </w:t>
            </w:r>
          </w:p>
        </w:tc>
      </w:tr>
      <w:tr w:rsidR="0099682F" w:rsidRPr="0099682F" w14:paraId="06CE4008"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60FE1D5B"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Allied health</w:t>
            </w:r>
          </w:p>
        </w:tc>
        <w:tc>
          <w:tcPr>
            <w:tcW w:w="1418" w:type="dxa"/>
            <w:tcBorders>
              <w:top w:val="nil"/>
              <w:left w:val="nil"/>
              <w:bottom w:val="single" w:sz="12" w:space="0" w:color="1E1545"/>
              <w:right w:val="nil"/>
            </w:tcBorders>
            <w:shd w:val="clear" w:color="000000" w:fill="FFFFFF"/>
            <w:noWrap/>
            <w:vAlign w:val="center"/>
            <w:hideMark/>
          </w:tcPr>
          <w:p w14:paraId="0FB909D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276" w:type="dxa"/>
            <w:tcBorders>
              <w:top w:val="nil"/>
              <w:left w:val="nil"/>
              <w:bottom w:val="single" w:sz="12" w:space="0" w:color="1E1545"/>
              <w:right w:val="nil"/>
            </w:tcBorders>
            <w:shd w:val="clear" w:color="000000" w:fill="FFFFFF"/>
            <w:noWrap/>
            <w:vAlign w:val="center"/>
            <w:hideMark/>
          </w:tcPr>
          <w:p w14:paraId="48BC735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$1.1 </w:t>
            </w:r>
          </w:p>
        </w:tc>
        <w:tc>
          <w:tcPr>
            <w:tcW w:w="1173" w:type="dxa"/>
            <w:tcBorders>
              <w:top w:val="nil"/>
              <w:left w:val="nil"/>
              <w:bottom w:val="single" w:sz="12" w:space="0" w:color="1E1545"/>
              <w:right w:val="nil"/>
            </w:tcBorders>
            <w:shd w:val="clear" w:color="000000" w:fill="FFFFFF"/>
            <w:noWrap/>
            <w:vAlign w:val="center"/>
            <w:hideMark/>
          </w:tcPr>
          <w:p w14:paraId="00A2E8A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165" w:type="dxa"/>
            <w:tcBorders>
              <w:top w:val="nil"/>
              <w:left w:val="nil"/>
              <w:bottom w:val="single" w:sz="12" w:space="0" w:color="1E1545"/>
              <w:right w:val="nil"/>
            </w:tcBorders>
            <w:shd w:val="clear" w:color="000000" w:fill="FFFFFF"/>
            <w:noWrap/>
            <w:vAlign w:val="center"/>
            <w:hideMark/>
          </w:tcPr>
          <w:p w14:paraId="04C4A3D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r>
      <w:tr w:rsidR="0099682F" w:rsidRPr="0099682F" w14:paraId="5E5950F7"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17B3879"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w:t>
            </w:r>
          </w:p>
        </w:tc>
        <w:tc>
          <w:tcPr>
            <w:tcW w:w="1418" w:type="dxa"/>
            <w:tcBorders>
              <w:top w:val="nil"/>
              <w:left w:val="nil"/>
              <w:bottom w:val="single" w:sz="12" w:space="0" w:color="1E1545"/>
              <w:right w:val="nil"/>
            </w:tcBorders>
            <w:shd w:val="clear" w:color="000000" w:fill="FFFFFF"/>
            <w:noWrap/>
            <w:vAlign w:val="center"/>
            <w:hideMark/>
          </w:tcPr>
          <w:p w14:paraId="5F32520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$6.9 </w:t>
            </w:r>
          </w:p>
        </w:tc>
        <w:tc>
          <w:tcPr>
            <w:tcW w:w="1276" w:type="dxa"/>
            <w:tcBorders>
              <w:top w:val="nil"/>
              <w:left w:val="nil"/>
              <w:bottom w:val="single" w:sz="12" w:space="0" w:color="1E1545"/>
              <w:right w:val="nil"/>
            </w:tcBorders>
            <w:shd w:val="clear" w:color="000000" w:fill="FFFFFF"/>
            <w:noWrap/>
            <w:vAlign w:val="center"/>
            <w:hideMark/>
          </w:tcPr>
          <w:p w14:paraId="2882B5C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$8.0 </w:t>
            </w:r>
          </w:p>
        </w:tc>
        <w:tc>
          <w:tcPr>
            <w:tcW w:w="1173" w:type="dxa"/>
            <w:tcBorders>
              <w:top w:val="nil"/>
              <w:left w:val="nil"/>
              <w:bottom w:val="single" w:sz="12" w:space="0" w:color="1E1545"/>
              <w:right w:val="nil"/>
            </w:tcBorders>
            <w:shd w:val="clear" w:color="000000" w:fill="FFFFFF"/>
            <w:noWrap/>
            <w:vAlign w:val="center"/>
            <w:hideMark/>
          </w:tcPr>
          <w:p w14:paraId="39858E0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$3.8 </w:t>
            </w:r>
          </w:p>
        </w:tc>
        <w:tc>
          <w:tcPr>
            <w:tcW w:w="1165" w:type="dxa"/>
            <w:tcBorders>
              <w:top w:val="nil"/>
              <w:left w:val="nil"/>
              <w:bottom w:val="single" w:sz="12" w:space="0" w:color="1E1545"/>
              <w:right w:val="nil"/>
            </w:tcBorders>
            <w:shd w:val="clear" w:color="000000" w:fill="FFFFFF"/>
            <w:noWrap/>
            <w:vAlign w:val="center"/>
            <w:hideMark/>
          </w:tcPr>
          <w:p w14:paraId="53A7905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$7.4 </w:t>
            </w:r>
          </w:p>
        </w:tc>
      </w:tr>
      <w:tr w:rsidR="0099682F" w:rsidRPr="0099682F" w14:paraId="5C7F6B3C" w14:textId="77777777" w:rsidTr="009A592B">
        <w:trPr>
          <w:trHeight w:val="302"/>
        </w:trPr>
        <w:tc>
          <w:tcPr>
            <w:tcW w:w="4497" w:type="dxa"/>
            <w:tcBorders>
              <w:top w:val="single" w:sz="8" w:space="0" w:color="auto"/>
              <w:left w:val="nil"/>
              <w:bottom w:val="single" w:sz="8" w:space="0" w:color="auto"/>
              <w:right w:val="nil"/>
            </w:tcBorders>
            <w:shd w:val="clear" w:color="auto" w:fill="auto"/>
            <w:vAlign w:val="center"/>
            <w:hideMark/>
          </w:tcPr>
          <w:p w14:paraId="2383FB22"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Sub-contracted services</w:t>
            </w:r>
          </w:p>
        </w:tc>
        <w:tc>
          <w:tcPr>
            <w:tcW w:w="1418" w:type="dxa"/>
            <w:tcBorders>
              <w:top w:val="single" w:sz="8" w:space="0" w:color="auto"/>
              <w:left w:val="nil"/>
              <w:bottom w:val="single" w:sz="8" w:space="0" w:color="auto"/>
              <w:right w:val="nil"/>
            </w:tcBorders>
            <w:shd w:val="clear" w:color="000000" w:fill="FFFFFF"/>
            <w:noWrap/>
            <w:vAlign w:val="center"/>
            <w:hideMark/>
          </w:tcPr>
          <w:p w14:paraId="1946144E"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$16.1 </w:t>
            </w:r>
          </w:p>
        </w:tc>
        <w:tc>
          <w:tcPr>
            <w:tcW w:w="1276" w:type="dxa"/>
            <w:tcBorders>
              <w:top w:val="single" w:sz="8" w:space="0" w:color="auto"/>
              <w:left w:val="nil"/>
              <w:bottom w:val="single" w:sz="8" w:space="0" w:color="auto"/>
              <w:right w:val="nil"/>
            </w:tcBorders>
            <w:shd w:val="clear" w:color="000000" w:fill="FFFFFF"/>
            <w:noWrap/>
            <w:vAlign w:val="center"/>
            <w:hideMark/>
          </w:tcPr>
          <w:p w14:paraId="3085BCB8"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$14.9 </w:t>
            </w:r>
          </w:p>
        </w:tc>
        <w:tc>
          <w:tcPr>
            <w:tcW w:w="1173" w:type="dxa"/>
            <w:tcBorders>
              <w:top w:val="single" w:sz="8" w:space="0" w:color="auto"/>
              <w:left w:val="nil"/>
              <w:bottom w:val="single" w:sz="8" w:space="0" w:color="auto"/>
              <w:right w:val="nil"/>
            </w:tcBorders>
            <w:shd w:val="clear" w:color="000000" w:fill="FFFFFF"/>
            <w:noWrap/>
            <w:vAlign w:val="center"/>
            <w:hideMark/>
          </w:tcPr>
          <w:p w14:paraId="15A5A428"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$25.3 </w:t>
            </w:r>
          </w:p>
        </w:tc>
        <w:tc>
          <w:tcPr>
            <w:tcW w:w="1165" w:type="dxa"/>
            <w:tcBorders>
              <w:top w:val="single" w:sz="8" w:space="0" w:color="auto"/>
              <w:left w:val="nil"/>
              <w:bottom w:val="single" w:sz="8" w:space="0" w:color="auto"/>
              <w:right w:val="nil"/>
            </w:tcBorders>
            <w:shd w:val="clear" w:color="000000" w:fill="FFFFFF"/>
            <w:noWrap/>
            <w:vAlign w:val="center"/>
            <w:hideMark/>
          </w:tcPr>
          <w:p w14:paraId="0E9746AF"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$15.9 </w:t>
            </w:r>
          </w:p>
        </w:tc>
      </w:tr>
      <w:tr w:rsidR="0099682F" w:rsidRPr="0099682F" w14:paraId="31809DE1"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1F41B776"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Domestic</w:t>
            </w:r>
          </w:p>
        </w:tc>
        <w:tc>
          <w:tcPr>
            <w:tcW w:w="1418" w:type="dxa"/>
            <w:tcBorders>
              <w:top w:val="nil"/>
              <w:left w:val="nil"/>
              <w:bottom w:val="single" w:sz="12" w:space="0" w:color="1E1545"/>
              <w:right w:val="nil"/>
            </w:tcBorders>
            <w:shd w:val="clear" w:color="000000" w:fill="FFFFFF"/>
            <w:noWrap/>
            <w:vAlign w:val="center"/>
            <w:hideMark/>
          </w:tcPr>
          <w:p w14:paraId="3727FB7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$5.0 </w:t>
            </w:r>
          </w:p>
        </w:tc>
        <w:tc>
          <w:tcPr>
            <w:tcW w:w="1276" w:type="dxa"/>
            <w:tcBorders>
              <w:top w:val="nil"/>
              <w:left w:val="nil"/>
              <w:bottom w:val="single" w:sz="12" w:space="0" w:color="1E1545"/>
              <w:right w:val="nil"/>
            </w:tcBorders>
            <w:shd w:val="clear" w:color="000000" w:fill="FFFFFF"/>
            <w:noWrap/>
            <w:vAlign w:val="center"/>
            <w:hideMark/>
          </w:tcPr>
          <w:p w14:paraId="13E6D6A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$4.2 </w:t>
            </w:r>
          </w:p>
        </w:tc>
        <w:tc>
          <w:tcPr>
            <w:tcW w:w="1173" w:type="dxa"/>
            <w:tcBorders>
              <w:top w:val="nil"/>
              <w:left w:val="nil"/>
              <w:bottom w:val="single" w:sz="12" w:space="0" w:color="1E1545"/>
              <w:right w:val="nil"/>
            </w:tcBorders>
            <w:shd w:val="clear" w:color="000000" w:fill="FFFFFF"/>
            <w:noWrap/>
            <w:vAlign w:val="center"/>
            <w:hideMark/>
          </w:tcPr>
          <w:p w14:paraId="19C5970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$8.4 </w:t>
            </w:r>
          </w:p>
        </w:tc>
        <w:tc>
          <w:tcPr>
            <w:tcW w:w="1165" w:type="dxa"/>
            <w:tcBorders>
              <w:top w:val="nil"/>
              <w:left w:val="nil"/>
              <w:bottom w:val="single" w:sz="12" w:space="0" w:color="1E1545"/>
              <w:right w:val="nil"/>
            </w:tcBorders>
            <w:shd w:val="clear" w:color="000000" w:fill="FFFFFF"/>
            <w:noWrap/>
            <w:vAlign w:val="center"/>
            <w:hideMark/>
          </w:tcPr>
          <w:p w14:paraId="4C3F3FD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$4.7 </w:t>
            </w:r>
          </w:p>
        </w:tc>
      </w:tr>
      <w:tr w:rsidR="0099682F" w:rsidRPr="0099682F" w14:paraId="35F96066"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E358FDD"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Nursing</w:t>
            </w:r>
          </w:p>
        </w:tc>
        <w:tc>
          <w:tcPr>
            <w:tcW w:w="1418" w:type="dxa"/>
            <w:tcBorders>
              <w:top w:val="nil"/>
              <w:left w:val="nil"/>
              <w:bottom w:val="single" w:sz="12" w:space="0" w:color="1E1545"/>
              <w:right w:val="nil"/>
            </w:tcBorders>
            <w:shd w:val="clear" w:color="000000" w:fill="FFFFFF"/>
            <w:noWrap/>
            <w:vAlign w:val="center"/>
            <w:hideMark/>
          </w:tcPr>
          <w:p w14:paraId="57DCE3E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276" w:type="dxa"/>
            <w:tcBorders>
              <w:top w:val="nil"/>
              <w:left w:val="nil"/>
              <w:bottom w:val="single" w:sz="12" w:space="0" w:color="1E1545"/>
              <w:right w:val="nil"/>
            </w:tcBorders>
            <w:shd w:val="clear" w:color="000000" w:fill="FFFFFF"/>
            <w:noWrap/>
            <w:vAlign w:val="center"/>
            <w:hideMark/>
          </w:tcPr>
          <w:p w14:paraId="502108B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173" w:type="dxa"/>
            <w:tcBorders>
              <w:top w:val="nil"/>
              <w:left w:val="nil"/>
              <w:bottom w:val="single" w:sz="12" w:space="0" w:color="1E1545"/>
              <w:right w:val="nil"/>
            </w:tcBorders>
            <w:shd w:val="clear" w:color="000000" w:fill="FFFFFF"/>
            <w:noWrap/>
            <w:vAlign w:val="center"/>
            <w:hideMark/>
          </w:tcPr>
          <w:p w14:paraId="1E58137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c>
          <w:tcPr>
            <w:tcW w:w="1165" w:type="dxa"/>
            <w:tcBorders>
              <w:top w:val="nil"/>
              <w:left w:val="nil"/>
              <w:bottom w:val="single" w:sz="12" w:space="0" w:color="1E1545"/>
              <w:right w:val="nil"/>
            </w:tcBorders>
            <w:shd w:val="clear" w:color="000000" w:fill="FFFFFF"/>
            <w:noWrap/>
            <w:vAlign w:val="center"/>
            <w:hideMark/>
          </w:tcPr>
          <w:p w14:paraId="33F0BFC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r>
      <w:tr w:rsidR="0099682F" w:rsidRPr="0099682F" w14:paraId="612DBA5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AF40A9D"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Allied health</w:t>
            </w:r>
          </w:p>
        </w:tc>
        <w:tc>
          <w:tcPr>
            <w:tcW w:w="1418" w:type="dxa"/>
            <w:tcBorders>
              <w:top w:val="nil"/>
              <w:left w:val="nil"/>
              <w:bottom w:val="single" w:sz="12" w:space="0" w:color="1E1545"/>
              <w:right w:val="nil"/>
            </w:tcBorders>
            <w:shd w:val="clear" w:color="000000" w:fill="FFFFFF"/>
            <w:noWrap/>
            <w:vAlign w:val="center"/>
            <w:hideMark/>
          </w:tcPr>
          <w:p w14:paraId="3F47EF8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$2.6 </w:t>
            </w:r>
          </w:p>
        </w:tc>
        <w:tc>
          <w:tcPr>
            <w:tcW w:w="1276" w:type="dxa"/>
            <w:tcBorders>
              <w:top w:val="nil"/>
              <w:left w:val="nil"/>
              <w:bottom w:val="single" w:sz="12" w:space="0" w:color="1E1545"/>
              <w:right w:val="nil"/>
            </w:tcBorders>
            <w:shd w:val="clear" w:color="000000" w:fill="FFFFFF"/>
            <w:noWrap/>
            <w:vAlign w:val="center"/>
            <w:hideMark/>
          </w:tcPr>
          <w:p w14:paraId="45BD7E6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$2.2 </w:t>
            </w:r>
          </w:p>
        </w:tc>
        <w:tc>
          <w:tcPr>
            <w:tcW w:w="1173" w:type="dxa"/>
            <w:tcBorders>
              <w:top w:val="nil"/>
              <w:left w:val="nil"/>
              <w:bottom w:val="single" w:sz="12" w:space="0" w:color="1E1545"/>
              <w:right w:val="nil"/>
            </w:tcBorders>
            <w:shd w:val="clear" w:color="000000" w:fill="FFFFFF"/>
            <w:noWrap/>
            <w:vAlign w:val="center"/>
            <w:hideMark/>
          </w:tcPr>
          <w:p w14:paraId="11A776F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$2.4 </w:t>
            </w:r>
          </w:p>
        </w:tc>
        <w:tc>
          <w:tcPr>
            <w:tcW w:w="1165" w:type="dxa"/>
            <w:tcBorders>
              <w:top w:val="nil"/>
              <w:left w:val="nil"/>
              <w:bottom w:val="single" w:sz="12" w:space="0" w:color="1E1545"/>
              <w:right w:val="nil"/>
            </w:tcBorders>
            <w:shd w:val="clear" w:color="000000" w:fill="FFFFFF"/>
            <w:noWrap/>
            <w:vAlign w:val="center"/>
            <w:hideMark/>
          </w:tcPr>
          <w:p w14:paraId="608B75A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$2.3 </w:t>
            </w:r>
          </w:p>
        </w:tc>
      </w:tr>
      <w:tr w:rsidR="0099682F" w:rsidRPr="0099682F" w14:paraId="7F2A44FE"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253B085"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w:t>
            </w:r>
          </w:p>
        </w:tc>
        <w:tc>
          <w:tcPr>
            <w:tcW w:w="1418" w:type="dxa"/>
            <w:tcBorders>
              <w:top w:val="nil"/>
              <w:left w:val="nil"/>
              <w:bottom w:val="single" w:sz="12" w:space="0" w:color="1E1545"/>
              <w:right w:val="nil"/>
            </w:tcBorders>
            <w:shd w:val="clear" w:color="000000" w:fill="FFFFFF"/>
            <w:noWrap/>
            <w:vAlign w:val="center"/>
            <w:hideMark/>
          </w:tcPr>
          <w:p w14:paraId="4FA7A84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$8.0 </w:t>
            </w:r>
          </w:p>
        </w:tc>
        <w:tc>
          <w:tcPr>
            <w:tcW w:w="1276" w:type="dxa"/>
            <w:tcBorders>
              <w:top w:val="nil"/>
              <w:left w:val="nil"/>
              <w:bottom w:val="single" w:sz="12" w:space="0" w:color="1E1545"/>
              <w:right w:val="nil"/>
            </w:tcBorders>
            <w:shd w:val="clear" w:color="000000" w:fill="FFFFFF"/>
            <w:noWrap/>
            <w:vAlign w:val="center"/>
            <w:hideMark/>
          </w:tcPr>
          <w:p w14:paraId="6DEF439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$8.0 </w:t>
            </w:r>
          </w:p>
        </w:tc>
        <w:tc>
          <w:tcPr>
            <w:tcW w:w="1173" w:type="dxa"/>
            <w:tcBorders>
              <w:top w:val="nil"/>
              <w:left w:val="nil"/>
              <w:bottom w:val="single" w:sz="12" w:space="0" w:color="1E1545"/>
              <w:right w:val="nil"/>
            </w:tcBorders>
            <w:shd w:val="clear" w:color="000000" w:fill="FFFFFF"/>
            <w:noWrap/>
            <w:vAlign w:val="center"/>
            <w:hideMark/>
          </w:tcPr>
          <w:p w14:paraId="0F01FB7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$13.6 </w:t>
            </w:r>
          </w:p>
        </w:tc>
        <w:tc>
          <w:tcPr>
            <w:tcW w:w="1165" w:type="dxa"/>
            <w:tcBorders>
              <w:top w:val="nil"/>
              <w:left w:val="nil"/>
              <w:bottom w:val="single" w:sz="12" w:space="0" w:color="1E1545"/>
              <w:right w:val="nil"/>
            </w:tcBorders>
            <w:shd w:val="clear" w:color="000000" w:fill="FFFFFF"/>
            <w:noWrap/>
            <w:vAlign w:val="center"/>
            <w:hideMark/>
          </w:tcPr>
          <w:p w14:paraId="5A18A97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$8.3 </w:t>
            </w:r>
          </w:p>
        </w:tc>
      </w:tr>
      <w:tr w:rsidR="0099682F" w:rsidRPr="0099682F" w14:paraId="07297A2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13A5D3C4"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Care management service fees</w:t>
            </w:r>
          </w:p>
        </w:tc>
        <w:tc>
          <w:tcPr>
            <w:tcW w:w="1418" w:type="dxa"/>
            <w:tcBorders>
              <w:top w:val="nil"/>
              <w:left w:val="nil"/>
              <w:bottom w:val="single" w:sz="12" w:space="0" w:color="1E1545"/>
              <w:right w:val="nil"/>
            </w:tcBorders>
            <w:shd w:val="clear" w:color="000000" w:fill="FFFFFF"/>
            <w:noWrap/>
            <w:vAlign w:val="center"/>
            <w:hideMark/>
          </w:tcPr>
          <w:p w14:paraId="5BB9B3A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$9.3 </w:t>
            </w:r>
          </w:p>
        </w:tc>
        <w:tc>
          <w:tcPr>
            <w:tcW w:w="1276" w:type="dxa"/>
            <w:tcBorders>
              <w:top w:val="nil"/>
              <w:left w:val="nil"/>
              <w:bottom w:val="single" w:sz="12" w:space="0" w:color="1E1545"/>
              <w:right w:val="nil"/>
            </w:tcBorders>
            <w:shd w:val="clear" w:color="000000" w:fill="FFFFFF"/>
            <w:noWrap/>
            <w:vAlign w:val="center"/>
            <w:hideMark/>
          </w:tcPr>
          <w:p w14:paraId="7E2F243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$12.6 </w:t>
            </w:r>
          </w:p>
        </w:tc>
        <w:tc>
          <w:tcPr>
            <w:tcW w:w="1173" w:type="dxa"/>
            <w:tcBorders>
              <w:top w:val="nil"/>
              <w:left w:val="nil"/>
              <w:bottom w:val="single" w:sz="12" w:space="0" w:color="1E1545"/>
              <w:right w:val="nil"/>
            </w:tcBorders>
            <w:shd w:val="clear" w:color="000000" w:fill="FFFFFF"/>
            <w:noWrap/>
            <w:vAlign w:val="center"/>
            <w:hideMark/>
          </w:tcPr>
          <w:p w14:paraId="718DB53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$12.1 </w:t>
            </w:r>
          </w:p>
        </w:tc>
        <w:tc>
          <w:tcPr>
            <w:tcW w:w="1165" w:type="dxa"/>
            <w:tcBorders>
              <w:top w:val="nil"/>
              <w:left w:val="nil"/>
              <w:bottom w:val="single" w:sz="12" w:space="0" w:color="1E1545"/>
              <w:right w:val="nil"/>
            </w:tcBorders>
            <w:shd w:val="clear" w:color="000000" w:fill="FFFFFF"/>
            <w:noWrap/>
            <w:vAlign w:val="center"/>
            <w:hideMark/>
          </w:tcPr>
          <w:p w14:paraId="646EBBD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$11.4 </w:t>
            </w:r>
          </w:p>
        </w:tc>
      </w:tr>
      <w:tr w:rsidR="0099682F" w:rsidRPr="0099682F" w14:paraId="6E7C19A8"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5D410456"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Package management service fees</w:t>
            </w:r>
          </w:p>
        </w:tc>
        <w:tc>
          <w:tcPr>
            <w:tcW w:w="1418" w:type="dxa"/>
            <w:tcBorders>
              <w:top w:val="nil"/>
              <w:left w:val="nil"/>
              <w:bottom w:val="single" w:sz="12" w:space="0" w:color="1E1545"/>
              <w:right w:val="nil"/>
            </w:tcBorders>
            <w:shd w:val="clear" w:color="000000" w:fill="FFFFFF"/>
            <w:noWrap/>
            <w:vAlign w:val="center"/>
            <w:hideMark/>
          </w:tcPr>
          <w:p w14:paraId="225037F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$7.2 </w:t>
            </w:r>
          </w:p>
        </w:tc>
        <w:tc>
          <w:tcPr>
            <w:tcW w:w="1276" w:type="dxa"/>
            <w:tcBorders>
              <w:top w:val="nil"/>
              <w:left w:val="nil"/>
              <w:bottom w:val="single" w:sz="12" w:space="0" w:color="1E1545"/>
              <w:right w:val="nil"/>
            </w:tcBorders>
            <w:shd w:val="clear" w:color="000000" w:fill="FFFFFF"/>
            <w:noWrap/>
            <w:vAlign w:val="center"/>
            <w:hideMark/>
          </w:tcPr>
          <w:p w14:paraId="7A80386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$8.1 </w:t>
            </w:r>
          </w:p>
        </w:tc>
        <w:tc>
          <w:tcPr>
            <w:tcW w:w="1173" w:type="dxa"/>
            <w:tcBorders>
              <w:top w:val="nil"/>
              <w:left w:val="nil"/>
              <w:bottom w:val="single" w:sz="12" w:space="0" w:color="1E1545"/>
              <w:right w:val="nil"/>
            </w:tcBorders>
            <w:shd w:val="clear" w:color="000000" w:fill="FFFFFF"/>
            <w:noWrap/>
            <w:vAlign w:val="center"/>
            <w:hideMark/>
          </w:tcPr>
          <w:p w14:paraId="2400A54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$10.1 </w:t>
            </w:r>
          </w:p>
        </w:tc>
        <w:tc>
          <w:tcPr>
            <w:tcW w:w="1165" w:type="dxa"/>
            <w:tcBorders>
              <w:top w:val="nil"/>
              <w:left w:val="nil"/>
              <w:bottom w:val="single" w:sz="12" w:space="0" w:color="1E1545"/>
              <w:right w:val="nil"/>
            </w:tcBorders>
            <w:shd w:val="clear" w:color="000000" w:fill="FFFFFF"/>
            <w:noWrap/>
            <w:vAlign w:val="center"/>
            <w:hideMark/>
          </w:tcPr>
          <w:p w14:paraId="47D26BB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$7.9 </w:t>
            </w:r>
          </w:p>
        </w:tc>
      </w:tr>
      <w:tr w:rsidR="0099682F" w:rsidRPr="0099682F" w14:paraId="1DBADC4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9F146BB"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Exit amounts deducted</w:t>
            </w:r>
          </w:p>
        </w:tc>
        <w:tc>
          <w:tcPr>
            <w:tcW w:w="1418" w:type="dxa"/>
            <w:tcBorders>
              <w:top w:val="nil"/>
              <w:left w:val="nil"/>
              <w:bottom w:val="single" w:sz="12" w:space="0" w:color="1E1545"/>
              <w:right w:val="nil"/>
            </w:tcBorders>
            <w:shd w:val="clear" w:color="000000" w:fill="FFFFFF"/>
            <w:noWrap/>
            <w:vAlign w:val="center"/>
            <w:hideMark/>
          </w:tcPr>
          <w:p w14:paraId="283341C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276" w:type="dxa"/>
            <w:tcBorders>
              <w:top w:val="nil"/>
              <w:left w:val="nil"/>
              <w:bottom w:val="single" w:sz="12" w:space="0" w:color="1E1545"/>
              <w:right w:val="nil"/>
            </w:tcBorders>
            <w:shd w:val="clear" w:color="000000" w:fill="FFFFFF"/>
            <w:noWrap/>
            <w:vAlign w:val="center"/>
            <w:hideMark/>
          </w:tcPr>
          <w:p w14:paraId="516F8B4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3F3F9CD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0670500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r>
      <w:tr w:rsidR="0099682F" w:rsidRPr="0099682F" w14:paraId="43F98211"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4A28C48"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Handling fee</w:t>
            </w:r>
          </w:p>
        </w:tc>
        <w:tc>
          <w:tcPr>
            <w:tcW w:w="1418" w:type="dxa"/>
            <w:tcBorders>
              <w:top w:val="nil"/>
              <w:left w:val="nil"/>
              <w:bottom w:val="single" w:sz="12" w:space="0" w:color="1E1545"/>
              <w:right w:val="nil"/>
            </w:tcBorders>
            <w:shd w:val="clear" w:color="000000" w:fill="FFFFFF"/>
            <w:noWrap/>
            <w:vAlign w:val="center"/>
            <w:hideMark/>
          </w:tcPr>
          <w:p w14:paraId="0AEC67D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2A5994F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73" w:type="dxa"/>
            <w:tcBorders>
              <w:top w:val="nil"/>
              <w:left w:val="nil"/>
              <w:bottom w:val="single" w:sz="12" w:space="0" w:color="1E1545"/>
              <w:right w:val="nil"/>
            </w:tcBorders>
            <w:shd w:val="clear" w:color="000000" w:fill="FFFFFF"/>
            <w:noWrap/>
            <w:vAlign w:val="center"/>
            <w:hideMark/>
          </w:tcPr>
          <w:p w14:paraId="49B41E4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165" w:type="dxa"/>
            <w:tcBorders>
              <w:top w:val="nil"/>
              <w:left w:val="nil"/>
              <w:bottom w:val="single" w:sz="12" w:space="0" w:color="1E1545"/>
              <w:right w:val="nil"/>
            </w:tcBorders>
            <w:shd w:val="clear" w:color="000000" w:fill="FFFFFF"/>
            <w:noWrap/>
            <w:vAlign w:val="center"/>
            <w:hideMark/>
          </w:tcPr>
          <w:p w14:paraId="1DFB124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r>
      <w:tr w:rsidR="0099682F" w:rsidRPr="0099682F" w14:paraId="4EF4E373"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55FF9034"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COVID-19 funding</w:t>
            </w:r>
          </w:p>
        </w:tc>
        <w:tc>
          <w:tcPr>
            <w:tcW w:w="1418" w:type="dxa"/>
            <w:tcBorders>
              <w:top w:val="nil"/>
              <w:left w:val="nil"/>
              <w:bottom w:val="single" w:sz="12" w:space="0" w:color="1E1545"/>
              <w:right w:val="nil"/>
            </w:tcBorders>
            <w:shd w:val="clear" w:color="000000" w:fill="FFFFFF"/>
            <w:noWrap/>
            <w:vAlign w:val="center"/>
            <w:hideMark/>
          </w:tcPr>
          <w:p w14:paraId="484C066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276" w:type="dxa"/>
            <w:tcBorders>
              <w:top w:val="nil"/>
              <w:left w:val="nil"/>
              <w:bottom w:val="single" w:sz="12" w:space="0" w:color="1E1545"/>
              <w:right w:val="nil"/>
            </w:tcBorders>
            <w:shd w:val="clear" w:color="000000" w:fill="FFFFFF"/>
            <w:noWrap/>
            <w:vAlign w:val="center"/>
            <w:hideMark/>
          </w:tcPr>
          <w:p w14:paraId="279EDD1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149460E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65" w:type="dxa"/>
            <w:tcBorders>
              <w:top w:val="nil"/>
              <w:left w:val="nil"/>
              <w:bottom w:val="single" w:sz="12" w:space="0" w:color="1E1545"/>
              <w:right w:val="nil"/>
            </w:tcBorders>
            <w:shd w:val="clear" w:color="000000" w:fill="FFFFFF"/>
            <w:noWrap/>
            <w:vAlign w:val="center"/>
            <w:hideMark/>
          </w:tcPr>
          <w:p w14:paraId="1B560B1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r>
      <w:tr w:rsidR="0099682F" w:rsidRPr="0099682F" w14:paraId="3C7639FC"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3C6880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Other income</w:t>
            </w:r>
          </w:p>
        </w:tc>
        <w:tc>
          <w:tcPr>
            <w:tcW w:w="1418" w:type="dxa"/>
            <w:tcBorders>
              <w:top w:val="nil"/>
              <w:left w:val="nil"/>
              <w:bottom w:val="single" w:sz="12" w:space="0" w:color="1E1545"/>
              <w:right w:val="nil"/>
            </w:tcBorders>
            <w:shd w:val="clear" w:color="000000" w:fill="FFFFFF"/>
            <w:noWrap/>
            <w:vAlign w:val="center"/>
            <w:hideMark/>
          </w:tcPr>
          <w:p w14:paraId="125E02F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$7.7 </w:t>
            </w:r>
          </w:p>
        </w:tc>
        <w:tc>
          <w:tcPr>
            <w:tcW w:w="1276" w:type="dxa"/>
            <w:tcBorders>
              <w:top w:val="nil"/>
              <w:left w:val="nil"/>
              <w:bottom w:val="single" w:sz="12" w:space="0" w:color="1E1545"/>
              <w:right w:val="nil"/>
            </w:tcBorders>
            <w:shd w:val="clear" w:color="000000" w:fill="FFFFFF"/>
            <w:noWrap/>
            <w:vAlign w:val="center"/>
            <w:hideMark/>
          </w:tcPr>
          <w:p w14:paraId="3BA45F9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$1.4 </w:t>
            </w:r>
          </w:p>
        </w:tc>
        <w:tc>
          <w:tcPr>
            <w:tcW w:w="1173" w:type="dxa"/>
            <w:tcBorders>
              <w:top w:val="nil"/>
              <w:left w:val="nil"/>
              <w:bottom w:val="single" w:sz="12" w:space="0" w:color="1E1545"/>
              <w:right w:val="nil"/>
            </w:tcBorders>
            <w:shd w:val="clear" w:color="000000" w:fill="FFFFFF"/>
            <w:noWrap/>
            <w:vAlign w:val="center"/>
            <w:hideMark/>
          </w:tcPr>
          <w:p w14:paraId="2BF44E5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165" w:type="dxa"/>
            <w:tcBorders>
              <w:top w:val="nil"/>
              <w:left w:val="nil"/>
              <w:bottom w:val="single" w:sz="12" w:space="0" w:color="1E1545"/>
              <w:right w:val="nil"/>
            </w:tcBorders>
            <w:shd w:val="clear" w:color="000000" w:fill="FFFFFF"/>
            <w:noWrap/>
            <w:vAlign w:val="center"/>
            <w:hideMark/>
          </w:tcPr>
          <w:p w14:paraId="566D5C2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$3.6 </w:t>
            </w:r>
          </w:p>
        </w:tc>
      </w:tr>
      <w:tr w:rsidR="0099682F" w:rsidRPr="0099682F" w14:paraId="17E35FD6" w14:textId="77777777" w:rsidTr="009A592B">
        <w:trPr>
          <w:trHeight w:val="302"/>
        </w:trPr>
        <w:tc>
          <w:tcPr>
            <w:tcW w:w="4497" w:type="dxa"/>
            <w:tcBorders>
              <w:top w:val="single" w:sz="8" w:space="0" w:color="auto"/>
              <w:left w:val="nil"/>
              <w:bottom w:val="single" w:sz="8" w:space="0" w:color="auto"/>
              <w:right w:val="nil"/>
            </w:tcBorders>
            <w:shd w:val="clear" w:color="000000" w:fill="D8DADA"/>
            <w:vAlign w:val="center"/>
            <w:hideMark/>
          </w:tcPr>
          <w:p w14:paraId="1E9B5A41"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Total income</w:t>
            </w:r>
          </w:p>
        </w:tc>
        <w:tc>
          <w:tcPr>
            <w:tcW w:w="1418" w:type="dxa"/>
            <w:tcBorders>
              <w:top w:val="single" w:sz="8" w:space="0" w:color="auto"/>
              <w:left w:val="nil"/>
              <w:bottom w:val="single" w:sz="8" w:space="0" w:color="auto"/>
              <w:right w:val="nil"/>
            </w:tcBorders>
            <w:shd w:val="clear" w:color="000000" w:fill="D8DADA"/>
            <w:noWrap/>
            <w:vAlign w:val="center"/>
            <w:hideMark/>
          </w:tcPr>
          <w:p w14:paraId="48E2440F"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$66.8 </w:t>
            </w:r>
          </w:p>
        </w:tc>
        <w:tc>
          <w:tcPr>
            <w:tcW w:w="1276" w:type="dxa"/>
            <w:tcBorders>
              <w:top w:val="single" w:sz="8" w:space="0" w:color="auto"/>
              <w:left w:val="nil"/>
              <w:bottom w:val="single" w:sz="8" w:space="0" w:color="auto"/>
              <w:right w:val="nil"/>
            </w:tcBorders>
            <w:shd w:val="clear" w:color="000000" w:fill="D8DADA"/>
            <w:noWrap/>
            <w:vAlign w:val="center"/>
            <w:hideMark/>
          </w:tcPr>
          <w:p w14:paraId="2B59C22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$68.4 </w:t>
            </w:r>
          </w:p>
        </w:tc>
        <w:tc>
          <w:tcPr>
            <w:tcW w:w="1173" w:type="dxa"/>
            <w:tcBorders>
              <w:top w:val="single" w:sz="8" w:space="0" w:color="auto"/>
              <w:left w:val="nil"/>
              <w:bottom w:val="single" w:sz="8" w:space="0" w:color="auto"/>
              <w:right w:val="nil"/>
            </w:tcBorders>
            <w:shd w:val="clear" w:color="000000" w:fill="D8DADA"/>
            <w:noWrap/>
            <w:vAlign w:val="center"/>
            <w:hideMark/>
          </w:tcPr>
          <w:p w14:paraId="2D7914D3"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$64.3 </w:t>
            </w:r>
          </w:p>
        </w:tc>
        <w:tc>
          <w:tcPr>
            <w:tcW w:w="1165" w:type="dxa"/>
            <w:tcBorders>
              <w:top w:val="single" w:sz="8" w:space="0" w:color="auto"/>
              <w:left w:val="nil"/>
              <w:bottom w:val="single" w:sz="8" w:space="0" w:color="auto"/>
              <w:right w:val="nil"/>
            </w:tcBorders>
            <w:shd w:val="clear" w:color="000000" w:fill="D8DADA"/>
            <w:noWrap/>
            <w:vAlign w:val="center"/>
            <w:hideMark/>
          </w:tcPr>
          <w:p w14:paraId="1920BC45"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$67.6 </w:t>
            </w:r>
          </w:p>
        </w:tc>
      </w:tr>
      <w:tr w:rsidR="0099682F" w:rsidRPr="0099682F" w14:paraId="0F9B7F20" w14:textId="77777777" w:rsidTr="009A592B">
        <w:trPr>
          <w:trHeight w:val="287"/>
        </w:trPr>
        <w:tc>
          <w:tcPr>
            <w:tcW w:w="4497" w:type="dxa"/>
            <w:tcBorders>
              <w:top w:val="nil"/>
              <w:left w:val="nil"/>
              <w:bottom w:val="single" w:sz="8" w:space="0" w:color="auto"/>
              <w:right w:val="nil"/>
            </w:tcBorders>
            <w:shd w:val="clear" w:color="000000" w:fill="D8DADA"/>
            <w:vAlign w:val="center"/>
            <w:hideMark/>
          </w:tcPr>
          <w:p w14:paraId="08E05423"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Expenses</w:t>
            </w:r>
          </w:p>
        </w:tc>
        <w:tc>
          <w:tcPr>
            <w:tcW w:w="1418" w:type="dxa"/>
            <w:tcBorders>
              <w:top w:val="nil"/>
              <w:left w:val="nil"/>
              <w:bottom w:val="single" w:sz="8" w:space="0" w:color="auto"/>
              <w:right w:val="nil"/>
            </w:tcBorders>
            <w:shd w:val="clear" w:color="000000" w:fill="D8DADA"/>
            <w:noWrap/>
            <w:vAlign w:val="center"/>
            <w:hideMark/>
          </w:tcPr>
          <w:p w14:paraId="21086974"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noWrap/>
            <w:vAlign w:val="center"/>
            <w:hideMark/>
          </w:tcPr>
          <w:p w14:paraId="5AC25D75"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73" w:type="dxa"/>
            <w:tcBorders>
              <w:top w:val="nil"/>
              <w:left w:val="nil"/>
              <w:bottom w:val="single" w:sz="8" w:space="0" w:color="auto"/>
              <w:right w:val="nil"/>
            </w:tcBorders>
            <w:shd w:val="clear" w:color="000000" w:fill="D8DADA"/>
            <w:noWrap/>
            <w:vAlign w:val="center"/>
            <w:hideMark/>
          </w:tcPr>
          <w:p w14:paraId="6D8834EE"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65" w:type="dxa"/>
            <w:tcBorders>
              <w:top w:val="nil"/>
              <w:left w:val="nil"/>
              <w:bottom w:val="single" w:sz="8" w:space="0" w:color="auto"/>
              <w:right w:val="nil"/>
            </w:tcBorders>
            <w:shd w:val="clear" w:color="000000" w:fill="D8DADA"/>
            <w:noWrap/>
            <w:vAlign w:val="center"/>
            <w:hideMark/>
          </w:tcPr>
          <w:p w14:paraId="1D63901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r>
      <w:tr w:rsidR="0099682F" w:rsidRPr="0099682F" w14:paraId="1374AD34" w14:textId="77777777" w:rsidTr="009A592B">
        <w:trPr>
          <w:trHeight w:val="287"/>
        </w:trPr>
        <w:tc>
          <w:tcPr>
            <w:tcW w:w="4497" w:type="dxa"/>
            <w:tcBorders>
              <w:top w:val="nil"/>
              <w:left w:val="nil"/>
              <w:bottom w:val="nil"/>
              <w:right w:val="nil"/>
            </w:tcBorders>
            <w:shd w:val="clear" w:color="000000" w:fill="D8DADA"/>
            <w:vAlign w:val="center"/>
            <w:hideMark/>
          </w:tcPr>
          <w:p w14:paraId="5B68AE03"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Internal direct service costs</w:t>
            </w:r>
          </w:p>
        </w:tc>
        <w:tc>
          <w:tcPr>
            <w:tcW w:w="1418" w:type="dxa"/>
            <w:tcBorders>
              <w:top w:val="nil"/>
              <w:left w:val="nil"/>
              <w:bottom w:val="nil"/>
              <w:right w:val="nil"/>
            </w:tcBorders>
            <w:shd w:val="clear" w:color="000000" w:fill="D8DADA"/>
            <w:noWrap/>
            <w:vAlign w:val="center"/>
            <w:hideMark/>
          </w:tcPr>
          <w:p w14:paraId="59E89C8E"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276" w:type="dxa"/>
            <w:tcBorders>
              <w:top w:val="nil"/>
              <w:left w:val="nil"/>
              <w:bottom w:val="nil"/>
              <w:right w:val="nil"/>
            </w:tcBorders>
            <w:shd w:val="clear" w:color="000000" w:fill="D8DADA"/>
            <w:noWrap/>
            <w:vAlign w:val="center"/>
            <w:hideMark/>
          </w:tcPr>
          <w:p w14:paraId="4BCAC9E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73" w:type="dxa"/>
            <w:tcBorders>
              <w:top w:val="nil"/>
              <w:left w:val="nil"/>
              <w:bottom w:val="nil"/>
              <w:right w:val="nil"/>
            </w:tcBorders>
            <w:shd w:val="clear" w:color="000000" w:fill="D8DADA"/>
            <w:noWrap/>
            <w:vAlign w:val="center"/>
            <w:hideMark/>
          </w:tcPr>
          <w:p w14:paraId="3DB08659"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65" w:type="dxa"/>
            <w:tcBorders>
              <w:top w:val="nil"/>
              <w:left w:val="nil"/>
              <w:bottom w:val="nil"/>
              <w:right w:val="nil"/>
            </w:tcBorders>
            <w:shd w:val="clear" w:color="000000" w:fill="D8DADA"/>
            <w:noWrap/>
            <w:vAlign w:val="center"/>
            <w:hideMark/>
          </w:tcPr>
          <w:p w14:paraId="381EDF98"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r>
      <w:tr w:rsidR="0099682F" w:rsidRPr="0099682F" w14:paraId="20C48AA6" w14:textId="77777777" w:rsidTr="009A592B">
        <w:trPr>
          <w:trHeight w:val="287"/>
        </w:trPr>
        <w:tc>
          <w:tcPr>
            <w:tcW w:w="4497" w:type="dxa"/>
            <w:tcBorders>
              <w:top w:val="single" w:sz="8" w:space="0" w:color="auto"/>
              <w:left w:val="nil"/>
              <w:bottom w:val="single" w:sz="8" w:space="0" w:color="auto"/>
              <w:right w:val="nil"/>
            </w:tcBorders>
            <w:shd w:val="clear" w:color="000000" w:fill="D8DADA"/>
            <w:vAlign w:val="center"/>
            <w:hideMark/>
          </w:tcPr>
          <w:p w14:paraId="7E255557"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Labour cost - internal direct Care - employee</w:t>
            </w:r>
          </w:p>
        </w:tc>
        <w:tc>
          <w:tcPr>
            <w:tcW w:w="1418" w:type="dxa"/>
            <w:tcBorders>
              <w:top w:val="single" w:sz="8" w:space="0" w:color="auto"/>
              <w:left w:val="nil"/>
              <w:bottom w:val="single" w:sz="8" w:space="0" w:color="auto"/>
              <w:right w:val="nil"/>
            </w:tcBorders>
            <w:shd w:val="clear" w:color="000000" w:fill="D8DADA"/>
            <w:noWrap/>
            <w:vAlign w:val="center"/>
            <w:hideMark/>
          </w:tcPr>
          <w:p w14:paraId="7947E64F"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$15.9 </w:t>
            </w:r>
          </w:p>
        </w:tc>
        <w:tc>
          <w:tcPr>
            <w:tcW w:w="1276" w:type="dxa"/>
            <w:tcBorders>
              <w:top w:val="single" w:sz="8" w:space="0" w:color="auto"/>
              <w:left w:val="nil"/>
              <w:bottom w:val="single" w:sz="8" w:space="0" w:color="auto"/>
              <w:right w:val="nil"/>
            </w:tcBorders>
            <w:shd w:val="clear" w:color="000000" w:fill="D8DADA"/>
            <w:noWrap/>
            <w:vAlign w:val="center"/>
            <w:hideMark/>
          </w:tcPr>
          <w:p w14:paraId="565B60B4"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$18.4 </w:t>
            </w:r>
          </w:p>
        </w:tc>
        <w:tc>
          <w:tcPr>
            <w:tcW w:w="1173" w:type="dxa"/>
            <w:tcBorders>
              <w:top w:val="single" w:sz="8" w:space="0" w:color="auto"/>
              <w:left w:val="nil"/>
              <w:bottom w:val="single" w:sz="8" w:space="0" w:color="auto"/>
              <w:right w:val="nil"/>
            </w:tcBorders>
            <w:shd w:val="clear" w:color="000000" w:fill="D8DADA"/>
            <w:noWrap/>
            <w:vAlign w:val="center"/>
            <w:hideMark/>
          </w:tcPr>
          <w:p w14:paraId="0A99CAE9"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$11.7 </w:t>
            </w:r>
          </w:p>
        </w:tc>
        <w:tc>
          <w:tcPr>
            <w:tcW w:w="1165" w:type="dxa"/>
            <w:tcBorders>
              <w:top w:val="single" w:sz="8" w:space="0" w:color="auto"/>
              <w:left w:val="nil"/>
              <w:bottom w:val="single" w:sz="8" w:space="0" w:color="auto"/>
              <w:right w:val="nil"/>
            </w:tcBorders>
            <w:shd w:val="clear" w:color="000000" w:fill="D8DADA"/>
            <w:noWrap/>
            <w:vAlign w:val="center"/>
            <w:hideMark/>
          </w:tcPr>
          <w:p w14:paraId="490A073D"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$17.2 </w:t>
            </w:r>
          </w:p>
        </w:tc>
      </w:tr>
      <w:tr w:rsidR="0099682F" w:rsidRPr="0099682F" w14:paraId="4F1CECA5" w14:textId="77777777" w:rsidTr="009A592B">
        <w:trPr>
          <w:trHeight w:val="287"/>
        </w:trPr>
        <w:tc>
          <w:tcPr>
            <w:tcW w:w="4497" w:type="dxa"/>
            <w:tcBorders>
              <w:top w:val="nil"/>
              <w:left w:val="nil"/>
              <w:bottom w:val="single" w:sz="12" w:space="0" w:color="1E1545"/>
              <w:right w:val="nil"/>
            </w:tcBorders>
            <w:shd w:val="clear" w:color="000000" w:fill="FFFFFF"/>
            <w:vAlign w:val="center"/>
            <w:hideMark/>
          </w:tcPr>
          <w:p w14:paraId="2F07D3D4"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Registered nurses</w:t>
            </w:r>
          </w:p>
        </w:tc>
        <w:tc>
          <w:tcPr>
            <w:tcW w:w="1418" w:type="dxa"/>
            <w:tcBorders>
              <w:top w:val="nil"/>
              <w:left w:val="nil"/>
              <w:bottom w:val="single" w:sz="12" w:space="0" w:color="1E1545"/>
              <w:right w:val="nil"/>
            </w:tcBorders>
            <w:shd w:val="clear" w:color="000000" w:fill="FFFFFF"/>
            <w:noWrap/>
            <w:vAlign w:val="center"/>
            <w:hideMark/>
          </w:tcPr>
          <w:p w14:paraId="5A56377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276" w:type="dxa"/>
            <w:tcBorders>
              <w:top w:val="nil"/>
              <w:left w:val="nil"/>
              <w:bottom w:val="single" w:sz="12" w:space="0" w:color="1E1545"/>
              <w:right w:val="nil"/>
            </w:tcBorders>
            <w:shd w:val="clear" w:color="000000" w:fill="FFFFFF"/>
            <w:noWrap/>
            <w:vAlign w:val="center"/>
            <w:hideMark/>
          </w:tcPr>
          <w:p w14:paraId="389ACD1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$1.2 </w:t>
            </w:r>
          </w:p>
        </w:tc>
        <w:tc>
          <w:tcPr>
            <w:tcW w:w="1173" w:type="dxa"/>
            <w:tcBorders>
              <w:top w:val="nil"/>
              <w:left w:val="nil"/>
              <w:bottom w:val="single" w:sz="12" w:space="0" w:color="1E1545"/>
              <w:right w:val="nil"/>
            </w:tcBorders>
            <w:shd w:val="clear" w:color="000000" w:fill="FFFFFF"/>
            <w:noWrap/>
            <w:vAlign w:val="center"/>
            <w:hideMark/>
          </w:tcPr>
          <w:p w14:paraId="25B9A9D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165" w:type="dxa"/>
            <w:tcBorders>
              <w:top w:val="nil"/>
              <w:left w:val="nil"/>
              <w:bottom w:val="single" w:sz="12" w:space="0" w:color="1E1545"/>
              <w:right w:val="nil"/>
            </w:tcBorders>
            <w:shd w:val="clear" w:color="000000" w:fill="FFFFFF"/>
            <w:noWrap/>
            <w:vAlign w:val="center"/>
            <w:hideMark/>
          </w:tcPr>
          <w:p w14:paraId="5EB489F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 </w:t>
            </w:r>
          </w:p>
        </w:tc>
      </w:tr>
      <w:tr w:rsidR="0099682F" w:rsidRPr="0099682F" w14:paraId="6EDA117B" w14:textId="77777777" w:rsidTr="009A592B">
        <w:trPr>
          <w:trHeight w:val="574"/>
        </w:trPr>
        <w:tc>
          <w:tcPr>
            <w:tcW w:w="4497" w:type="dxa"/>
            <w:tcBorders>
              <w:top w:val="nil"/>
              <w:left w:val="nil"/>
              <w:bottom w:val="single" w:sz="12" w:space="0" w:color="1E1545"/>
              <w:right w:val="nil"/>
            </w:tcBorders>
            <w:shd w:val="clear" w:color="000000" w:fill="FFFFFF"/>
            <w:vAlign w:val="center"/>
            <w:hideMark/>
          </w:tcPr>
          <w:p w14:paraId="23AF46B7"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Enrolled and licensed nurses (registered with the NMBA) </w:t>
            </w:r>
          </w:p>
        </w:tc>
        <w:tc>
          <w:tcPr>
            <w:tcW w:w="1418" w:type="dxa"/>
            <w:tcBorders>
              <w:top w:val="nil"/>
              <w:left w:val="nil"/>
              <w:bottom w:val="single" w:sz="12" w:space="0" w:color="1E1545"/>
              <w:right w:val="nil"/>
            </w:tcBorders>
            <w:shd w:val="clear" w:color="000000" w:fill="FFFFFF"/>
            <w:noWrap/>
            <w:vAlign w:val="center"/>
            <w:hideMark/>
          </w:tcPr>
          <w:p w14:paraId="1638ACF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276" w:type="dxa"/>
            <w:tcBorders>
              <w:top w:val="nil"/>
              <w:left w:val="nil"/>
              <w:bottom w:val="single" w:sz="12" w:space="0" w:color="1E1545"/>
              <w:right w:val="nil"/>
            </w:tcBorders>
            <w:shd w:val="clear" w:color="000000" w:fill="FFFFFF"/>
            <w:noWrap/>
            <w:vAlign w:val="center"/>
            <w:hideMark/>
          </w:tcPr>
          <w:p w14:paraId="1750CC2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73" w:type="dxa"/>
            <w:tcBorders>
              <w:top w:val="nil"/>
              <w:left w:val="nil"/>
              <w:bottom w:val="single" w:sz="12" w:space="0" w:color="1E1545"/>
              <w:right w:val="nil"/>
            </w:tcBorders>
            <w:shd w:val="clear" w:color="000000" w:fill="FFFFFF"/>
            <w:noWrap/>
            <w:vAlign w:val="center"/>
            <w:hideMark/>
          </w:tcPr>
          <w:p w14:paraId="11B421F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65" w:type="dxa"/>
            <w:tcBorders>
              <w:top w:val="nil"/>
              <w:left w:val="nil"/>
              <w:bottom w:val="single" w:sz="12" w:space="0" w:color="1E1545"/>
              <w:right w:val="nil"/>
            </w:tcBorders>
            <w:shd w:val="clear" w:color="000000" w:fill="FFFFFF"/>
            <w:noWrap/>
            <w:vAlign w:val="center"/>
            <w:hideMark/>
          </w:tcPr>
          <w:p w14:paraId="46881D5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r>
      <w:tr w:rsidR="0099682F" w:rsidRPr="0099682F" w14:paraId="7A1703DD"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3EDD8017"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Personal care staff / other unlicensed nurses</w:t>
            </w:r>
          </w:p>
        </w:tc>
        <w:tc>
          <w:tcPr>
            <w:tcW w:w="1418" w:type="dxa"/>
            <w:tcBorders>
              <w:top w:val="nil"/>
              <w:left w:val="nil"/>
              <w:bottom w:val="single" w:sz="12" w:space="0" w:color="1E1545"/>
              <w:right w:val="nil"/>
            </w:tcBorders>
            <w:shd w:val="clear" w:color="000000" w:fill="FFFFFF"/>
            <w:noWrap/>
            <w:vAlign w:val="center"/>
            <w:hideMark/>
          </w:tcPr>
          <w:p w14:paraId="5287B51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$14.4 </w:t>
            </w:r>
          </w:p>
        </w:tc>
        <w:tc>
          <w:tcPr>
            <w:tcW w:w="1276" w:type="dxa"/>
            <w:tcBorders>
              <w:top w:val="nil"/>
              <w:left w:val="nil"/>
              <w:bottom w:val="single" w:sz="12" w:space="0" w:color="1E1545"/>
              <w:right w:val="nil"/>
            </w:tcBorders>
            <w:shd w:val="clear" w:color="000000" w:fill="FFFFFF"/>
            <w:noWrap/>
            <w:vAlign w:val="center"/>
            <w:hideMark/>
          </w:tcPr>
          <w:p w14:paraId="3B3C13A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$15.0 </w:t>
            </w:r>
          </w:p>
        </w:tc>
        <w:tc>
          <w:tcPr>
            <w:tcW w:w="1173" w:type="dxa"/>
            <w:tcBorders>
              <w:top w:val="nil"/>
              <w:left w:val="nil"/>
              <w:bottom w:val="single" w:sz="12" w:space="0" w:color="1E1545"/>
              <w:right w:val="nil"/>
            </w:tcBorders>
            <w:shd w:val="clear" w:color="000000" w:fill="FFFFFF"/>
            <w:noWrap/>
            <w:vAlign w:val="center"/>
            <w:hideMark/>
          </w:tcPr>
          <w:p w14:paraId="0ACB63D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$9.5 </w:t>
            </w:r>
          </w:p>
        </w:tc>
        <w:tc>
          <w:tcPr>
            <w:tcW w:w="1165" w:type="dxa"/>
            <w:tcBorders>
              <w:top w:val="nil"/>
              <w:left w:val="nil"/>
              <w:bottom w:val="single" w:sz="12" w:space="0" w:color="1E1545"/>
              <w:right w:val="nil"/>
            </w:tcBorders>
            <w:shd w:val="clear" w:color="000000" w:fill="FFFFFF"/>
            <w:noWrap/>
            <w:vAlign w:val="center"/>
            <w:hideMark/>
          </w:tcPr>
          <w:p w14:paraId="37C0CA2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$14.5 </w:t>
            </w:r>
          </w:p>
        </w:tc>
      </w:tr>
      <w:tr w:rsidR="0099682F" w:rsidRPr="0099682F" w14:paraId="7C541A31"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5FFC381C"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Allied health </w:t>
            </w:r>
          </w:p>
        </w:tc>
        <w:tc>
          <w:tcPr>
            <w:tcW w:w="1418" w:type="dxa"/>
            <w:tcBorders>
              <w:top w:val="nil"/>
              <w:left w:val="nil"/>
              <w:bottom w:val="single" w:sz="12" w:space="0" w:color="1E1545"/>
              <w:right w:val="nil"/>
            </w:tcBorders>
            <w:shd w:val="clear" w:color="000000" w:fill="FFFFFF"/>
            <w:noWrap/>
            <w:vAlign w:val="center"/>
            <w:hideMark/>
          </w:tcPr>
          <w:p w14:paraId="6A0169B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53410EE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173" w:type="dxa"/>
            <w:tcBorders>
              <w:top w:val="nil"/>
              <w:left w:val="nil"/>
              <w:bottom w:val="single" w:sz="12" w:space="0" w:color="1E1545"/>
              <w:right w:val="nil"/>
            </w:tcBorders>
            <w:shd w:val="clear" w:color="000000" w:fill="FFFFFF"/>
            <w:noWrap/>
            <w:vAlign w:val="center"/>
            <w:hideMark/>
          </w:tcPr>
          <w:p w14:paraId="01E6B9E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165" w:type="dxa"/>
            <w:tcBorders>
              <w:top w:val="nil"/>
              <w:left w:val="nil"/>
              <w:bottom w:val="single" w:sz="12" w:space="0" w:color="1E1545"/>
              <w:right w:val="nil"/>
            </w:tcBorders>
            <w:shd w:val="clear" w:color="000000" w:fill="FFFFFF"/>
            <w:noWrap/>
            <w:vAlign w:val="center"/>
            <w:hideMark/>
          </w:tcPr>
          <w:p w14:paraId="0B77571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60E76FEC"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417DB3AA"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 employee staff</w:t>
            </w:r>
          </w:p>
        </w:tc>
        <w:tc>
          <w:tcPr>
            <w:tcW w:w="1418" w:type="dxa"/>
            <w:tcBorders>
              <w:top w:val="nil"/>
              <w:left w:val="nil"/>
              <w:bottom w:val="single" w:sz="12" w:space="0" w:color="1E1545"/>
              <w:right w:val="nil"/>
            </w:tcBorders>
            <w:shd w:val="clear" w:color="000000" w:fill="FFFFFF"/>
            <w:noWrap/>
            <w:vAlign w:val="center"/>
            <w:hideMark/>
          </w:tcPr>
          <w:p w14:paraId="0E6264A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276" w:type="dxa"/>
            <w:tcBorders>
              <w:top w:val="nil"/>
              <w:left w:val="nil"/>
              <w:bottom w:val="single" w:sz="12" w:space="0" w:color="1E1545"/>
              <w:right w:val="nil"/>
            </w:tcBorders>
            <w:shd w:val="clear" w:color="000000" w:fill="FFFFFF"/>
            <w:noWrap/>
            <w:vAlign w:val="center"/>
            <w:hideMark/>
          </w:tcPr>
          <w:p w14:paraId="6FBB9FE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$1.4 </w:t>
            </w:r>
          </w:p>
        </w:tc>
        <w:tc>
          <w:tcPr>
            <w:tcW w:w="1173" w:type="dxa"/>
            <w:tcBorders>
              <w:top w:val="nil"/>
              <w:left w:val="nil"/>
              <w:bottom w:val="single" w:sz="12" w:space="0" w:color="1E1545"/>
              <w:right w:val="nil"/>
            </w:tcBorders>
            <w:shd w:val="clear" w:color="000000" w:fill="FFFFFF"/>
            <w:noWrap/>
            <w:vAlign w:val="center"/>
            <w:hideMark/>
          </w:tcPr>
          <w:p w14:paraId="0BF3115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c>
          <w:tcPr>
            <w:tcW w:w="1165" w:type="dxa"/>
            <w:tcBorders>
              <w:top w:val="nil"/>
              <w:left w:val="nil"/>
              <w:bottom w:val="single" w:sz="12" w:space="0" w:color="1E1545"/>
              <w:right w:val="nil"/>
            </w:tcBorders>
            <w:shd w:val="clear" w:color="000000" w:fill="FFFFFF"/>
            <w:noWrap/>
            <w:vAlign w:val="center"/>
            <w:hideMark/>
          </w:tcPr>
          <w:p w14:paraId="06ED83D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 </w:t>
            </w:r>
          </w:p>
        </w:tc>
      </w:tr>
      <w:tr w:rsidR="0099682F" w:rsidRPr="0099682F" w14:paraId="18C200B6" w14:textId="77777777" w:rsidTr="009A592B">
        <w:trPr>
          <w:trHeight w:val="574"/>
        </w:trPr>
        <w:tc>
          <w:tcPr>
            <w:tcW w:w="4497" w:type="dxa"/>
            <w:tcBorders>
              <w:top w:val="single" w:sz="8" w:space="0" w:color="auto"/>
              <w:left w:val="nil"/>
              <w:bottom w:val="single" w:sz="8" w:space="0" w:color="auto"/>
              <w:right w:val="nil"/>
            </w:tcBorders>
            <w:shd w:val="clear" w:color="000000" w:fill="D8DADA"/>
            <w:vAlign w:val="center"/>
            <w:hideMark/>
          </w:tcPr>
          <w:p w14:paraId="29BDA001"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Labour cost - internal direct care - agency care staff</w:t>
            </w:r>
          </w:p>
        </w:tc>
        <w:tc>
          <w:tcPr>
            <w:tcW w:w="1418" w:type="dxa"/>
            <w:tcBorders>
              <w:top w:val="single" w:sz="8" w:space="0" w:color="auto"/>
              <w:left w:val="nil"/>
              <w:bottom w:val="single" w:sz="8" w:space="0" w:color="auto"/>
              <w:right w:val="nil"/>
            </w:tcBorders>
            <w:shd w:val="clear" w:color="000000" w:fill="D8DADA"/>
            <w:noWrap/>
            <w:vAlign w:val="center"/>
            <w:hideMark/>
          </w:tcPr>
          <w:p w14:paraId="6AB01616"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$0.8 </w:t>
            </w:r>
          </w:p>
        </w:tc>
        <w:tc>
          <w:tcPr>
            <w:tcW w:w="1276" w:type="dxa"/>
            <w:tcBorders>
              <w:top w:val="single" w:sz="8" w:space="0" w:color="auto"/>
              <w:left w:val="nil"/>
              <w:bottom w:val="single" w:sz="8" w:space="0" w:color="auto"/>
              <w:right w:val="nil"/>
            </w:tcBorders>
            <w:shd w:val="clear" w:color="000000" w:fill="D8DADA"/>
            <w:noWrap/>
            <w:vAlign w:val="center"/>
            <w:hideMark/>
          </w:tcPr>
          <w:p w14:paraId="004C2E0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$0.8 </w:t>
            </w:r>
          </w:p>
        </w:tc>
        <w:tc>
          <w:tcPr>
            <w:tcW w:w="1173" w:type="dxa"/>
            <w:tcBorders>
              <w:top w:val="single" w:sz="8" w:space="0" w:color="auto"/>
              <w:left w:val="nil"/>
              <w:bottom w:val="single" w:sz="8" w:space="0" w:color="auto"/>
              <w:right w:val="nil"/>
            </w:tcBorders>
            <w:shd w:val="clear" w:color="000000" w:fill="D8DADA"/>
            <w:noWrap/>
            <w:vAlign w:val="center"/>
            <w:hideMark/>
          </w:tcPr>
          <w:p w14:paraId="058E627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$0.1 </w:t>
            </w:r>
          </w:p>
        </w:tc>
        <w:tc>
          <w:tcPr>
            <w:tcW w:w="1165" w:type="dxa"/>
            <w:tcBorders>
              <w:top w:val="single" w:sz="8" w:space="0" w:color="auto"/>
              <w:left w:val="nil"/>
              <w:bottom w:val="single" w:sz="8" w:space="0" w:color="auto"/>
              <w:right w:val="nil"/>
            </w:tcBorders>
            <w:shd w:val="clear" w:color="000000" w:fill="D8DADA"/>
            <w:noWrap/>
            <w:vAlign w:val="center"/>
            <w:hideMark/>
          </w:tcPr>
          <w:p w14:paraId="4264313E"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$0.7 </w:t>
            </w:r>
          </w:p>
        </w:tc>
      </w:tr>
      <w:tr w:rsidR="0099682F" w:rsidRPr="0099682F" w14:paraId="1466E33D" w14:textId="77777777" w:rsidTr="009A592B">
        <w:trPr>
          <w:trHeight w:val="287"/>
        </w:trPr>
        <w:tc>
          <w:tcPr>
            <w:tcW w:w="4497" w:type="dxa"/>
            <w:tcBorders>
              <w:top w:val="nil"/>
              <w:left w:val="nil"/>
              <w:bottom w:val="single" w:sz="12" w:space="0" w:color="1E1545"/>
              <w:right w:val="nil"/>
            </w:tcBorders>
            <w:shd w:val="clear" w:color="000000" w:fill="FFFFFF"/>
            <w:vAlign w:val="center"/>
            <w:hideMark/>
          </w:tcPr>
          <w:p w14:paraId="65A20A00"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Registered nurses</w:t>
            </w:r>
          </w:p>
        </w:tc>
        <w:tc>
          <w:tcPr>
            <w:tcW w:w="1418" w:type="dxa"/>
            <w:tcBorders>
              <w:top w:val="nil"/>
              <w:left w:val="nil"/>
              <w:bottom w:val="single" w:sz="12" w:space="0" w:color="1E1545"/>
              <w:right w:val="nil"/>
            </w:tcBorders>
            <w:shd w:val="clear" w:color="000000" w:fill="FFFFFF"/>
            <w:noWrap/>
            <w:vAlign w:val="center"/>
            <w:hideMark/>
          </w:tcPr>
          <w:p w14:paraId="1466919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276" w:type="dxa"/>
            <w:tcBorders>
              <w:top w:val="nil"/>
              <w:left w:val="nil"/>
              <w:bottom w:val="single" w:sz="12" w:space="0" w:color="1E1545"/>
              <w:right w:val="nil"/>
            </w:tcBorders>
            <w:shd w:val="clear" w:color="000000" w:fill="FFFFFF"/>
            <w:noWrap/>
            <w:vAlign w:val="center"/>
            <w:hideMark/>
          </w:tcPr>
          <w:p w14:paraId="3DEB534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07E677F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2F95799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r>
      <w:tr w:rsidR="0099682F" w:rsidRPr="0099682F" w14:paraId="230BFECE" w14:textId="77777777" w:rsidTr="009A592B">
        <w:trPr>
          <w:trHeight w:val="574"/>
        </w:trPr>
        <w:tc>
          <w:tcPr>
            <w:tcW w:w="4497" w:type="dxa"/>
            <w:tcBorders>
              <w:top w:val="nil"/>
              <w:left w:val="nil"/>
              <w:bottom w:val="single" w:sz="12" w:space="0" w:color="1E1545"/>
              <w:right w:val="nil"/>
            </w:tcBorders>
            <w:shd w:val="clear" w:color="000000" w:fill="FFFFFF"/>
            <w:vAlign w:val="center"/>
            <w:hideMark/>
          </w:tcPr>
          <w:p w14:paraId="4A2849EA"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Enrolled and licensed nurses (registered with the NMBA) </w:t>
            </w:r>
          </w:p>
        </w:tc>
        <w:tc>
          <w:tcPr>
            <w:tcW w:w="1418" w:type="dxa"/>
            <w:tcBorders>
              <w:top w:val="nil"/>
              <w:left w:val="nil"/>
              <w:bottom w:val="single" w:sz="12" w:space="0" w:color="1E1545"/>
              <w:right w:val="nil"/>
            </w:tcBorders>
            <w:shd w:val="clear" w:color="000000" w:fill="FFFFFF"/>
            <w:noWrap/>
            <w:vAlign w:val="center"/>
            <w:hideMark/>
          </w:tcPr>
          <w:p w14:paraId="06A87D0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276" w:type="dxa"/>
            <w:tcBorders>
              <w:top w:val="nil"/>
              <w:left w:val="nil"/>
              <w:bottom w:val="single" w:sz="12" w:space="0" w:color="1E1545"/>
              <w:right w:val="nil"/>
            </w:tcBorders>
            <w:shd w:val="clear" w:color="000000" w:fill="FFFFFF"/>
            <w:noWrap/>
            <w:vAlign w:val="center"/>
            <w:hideMark/>
          </w:tcPr>
          <w:p w14:paraId="08D192B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6AF7600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 </w:t>
            </w:r>
          </w:p>
        </w:tc>
        <w:tc>
          <w:tcPr>
            <w:tcW w:w="1165" w:type="dxa"/>
            <w:tcBorders>
              <w:top w:val="nil"/>
              <w:left w:val="nil"/>
              <w:bottom w:val="single" w:sz="12" w:space="0" w:color="1E1545"/>
              <w:right w:val="nil"/>
            </w:tcBorders>
            <w:shd w:val="clear" w:color="000000" w:fill="FFFFFF"/>
            <w:noWrap/>
            <w:vAlign w:val="center"/>
            <w:hideMark/>
          </w:tcPr>
          <w:p w14:paraId="2F2B168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r>
      <w:tr w:rsidR="0099682F" w:rsidRPr="0099682F" w14:paraId="750956EB"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1E3ADC6F"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Personal care staff / other unlicensed nurses</w:t>
            </w:r>
          </w:p>
        </w:tc>
        <w:tc>
          <w:tcPr>
            <w:tcW w:w="1418" w:type="dxa"/>
            <w:tcBorders>
              <w:top w:val="nil"/>
              <w:left w:val="nil"/>
              <w:bottom w:val="single" w:sz="12" w:space="0" w:color="1E1545"/>
              <w:right w:val="nil"/>
            </w:tcBorders>
            <w:shd w:val="clear" w:color="000000" w:fill="FFFFFF"/>
            <w:noWrap/>
            <w:vAlign w:val="center"/>
            <w:hideMark/>
          </w:tcPr>
          <w:p w14:paraId="53275F9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276" w:type="dxa"/>
            <w:tcBorders>
              <w:top w:val="nil"/>
              <w:left w:val="nil"/>
              <w:bottom w:val="single" w:sz="12" w:space="0" w:color="1E1545"/>
              <w:right w:val="nil"/>
            </w:tcBorders>
            <w:shd w:val="clear" w:color="000000" w:fill="FFFFFF"/>
            <w:noWrap/>
            <w:vAlign w:val="center"/>
            <w:hideMark/>
          </w:tcPr>
          <w:p w14:paraId="288C33A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73" w:type="dxa"/>
            <w:tcBorders>
              <w:top w:val="nil"/>
              <w:left w:val="nil"/>
              <w:bottom w:val="single" w:sz="12" w:space="0" w:color="1E1545"/>
              <w:right w:val="nil"/>
            </w:tcBorders>
            <w:shd w:val="clear" w:color="000000" w:fill="FFFFFF"/>
            <w:noWrap/>
            <w:vAlign w:val="center"/>
            <w:hideMark/>
          </w:tcPr>
          <w:p w14:paraId="25A7305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19F55D4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08303BE0"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0258708F"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Allied health </w:t>
            </w:r>
          </w:p>
        </w:tc>
        <w:tc>
          <w:tcPr>
            <w:tcW w:w="1418" w:type="dxa"/>
            <w:tcBorders>
              <w:top w:val="nil"/>
              <w:left w:val="nil"/>
              <w:bottom w:val="single" w:sz="12" w:space="0" w:color="1E1545"/>
              <w:right w:val="nil"/>
            </w:tcBorders>
            <w:shd w:val="clear" w:color="000000" w:fill="FFFFFF"/>
            <w:noWrap/>
            <w:vAlign w:val="center"/>
            <w:hideMark/>
          </w:tcPr>
          <w:p w14:paraId="15E2C2B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3755AD9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73" w:type="dxa"/>
            <w:tcBorders>
              <w:top w:val="nil"/>
              <w:left w:val="nil"/>
              <w:bottom w:val="single" w:sz="12" w:space="0" w:color="1E1545"/>
              <w:right w:val="nil"/>
            </w:tcBorders>
            <w:shd w:val="clear" w:color="000000" w:fill="FFFFFF"/>
            <w:noWrap/>
            <w:vAlign w:val="center"/>
            <w:hideMark/>
          </w:tcPr>
          <w:p w14:paraId="6CF278E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 </w:t>
            </w:r>
          </w:p>
        </w:tc>
        <w:tc>
          <w:tcPr>
            <w:tcW w:w="1165" w:type="dxa"/>
            <w:tcBorders>
              <w:top w:val="nil"/>
              <w:left w:val="nil"/>
              <w:bottom w:val="single" w:sz="12" w:space="0" w:color="1E1545"/>
              <w:right w:val="nil"/>
            </w:tcBorders>
            <w:shd w:val="clear" w:color="000000" w:fill="FFFFFF"/>
            <w:noWrap/>
            <w:vAlign w:val="center"/>
            <w:hideMark/>
          </w:tcPr>
          <w:p w14:paraId="2D148B4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1659D66E"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3D75B75F"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 employee staff</w:t>
            </w:r>
          </w:p>
        </w:tc>
        <w:tc>
          <w:tcPr>
            <w:tcW w:w="1418" w:type="dxa"/>
            <w:tcBorders>
              <w:top w:val="nil"/>
              <w:left w:val="nil"/>
              <w:bottom w:val="single" w:sz="12" w:space="0" w:color="1E1545"/>
              <w:right w:val="nil"/>
            </w:tcBorders>
            <w:shd w:val="clear" w:color="000000" w:fill="FFFFFF"/>
            <w:noWrap/>
            <w:vAlign w:val="center"/>
            <w:hideMark/>
          </w:tcPr>
          <w:p w14:paraId="68089DC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2D9A25E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73" w:type="dxa"/>
            <w:tcBorders>
              <w:top w:val="nil"/>
              <w:left w:val="nil"/>
              <w:bottom w:val="single" w:sz="12" w:space="0" w:color="1E1545"/>
              <w:right w:val="nil"/>
            </w:tcBorders>
            <w:shd w:val="clear" w:color="000000" w:fill="FFFFFF"/>
            <w:noWrap/>
            <w:vAlign w:val="center"/>
            <w:hideMark/>
          </w:tcPr>
          <w:p w14:paraId="0DACC86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3890640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38DB0DC5"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0F83FFC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Payroll tax - care staff</w:t>
            </w:r>
          </w:p>
        </w:tc>
        <w:tc>
          <w:tcPr>
            <w:tcW w:w="1418" w:type="dxa"/>
            <w:tcBorders>
              <w:top w:val="nil"/>
              <w:left w:val="nil"/>
              <w:bottom w:val="single" w:sz="12" w:space="0" w:color="1E1545"/>
              <w:right w:val="nil"/>
            </w:tcBorders>
            <w:shd w:val="clear" w:color="000000" w:fill="FFFFFF"/>
            <w:noWrap/>
            <w:vAlign w:val="center"/>
            <w:hideMark/>
          </w:tcPr>
          <w:p w14:paraId="55F8F3A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276" w:type="dxa"/>
            <w:tcBorders>
              <w:top w:val="nil"/>
              <w:left w:val="nil"/>
              <w:bottom w:val="single" w:sz="12" w:space="0" w:color="1E1545"/>
              <w:right w:val="nil"/>
            </w:tcBorders>
            <w:shd w:val="clear" w:color="000000" w:fill="FFFFFF"/>
            <w:noWrap/>
            <w:vAlign w:val="center"/>
            <w:hideMark/>
          </w:tcPr>
          <w:p w14:paraId="4AA9010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5099207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1D7F548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r>
      <w:tr w:rsidR="0099682F" w:rsidRPr="0099682F" w14:paraId="61436723"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46AC1E06"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Care related expenses</w:t>
            </w:r>
          </w:p>
        </w:tc>
        <w:tc>
          <w:tcPr>
            <w:tcW w:w="1418" w:type="dxa"/>
            <w:tcBorders>
              <w:top w:val="nil"/>
              <w:left w:val="nil"/>
              <w:bottom w:val="single" w:sz="12" w:space="0" w:color="1E1545"/>
              <w:right w:val="nil"/>
            </w:tcBorders>
            <w:shd w:val="clear" w:color="000000" w:fill="FFFFFF"/>
            <w:noWrap/>
            <w:vAlign w:val="center"/>
            <w:hideMark/>
          </w:tcPr>
          <w:p w14:paraId="5408B5C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$1.2 </w:t>
            </w:r>
          </w:p>
        </w:tc>
        <w:tc>
          <w:tcPr>
            <w:tcW w:w="1276" w:type="dxa"/>
            <w:tcBorders>
              <w:top w:val="nil"/>
              <w:left w:val="nil"/>
              <w:bottom w:val="single" w:sz="12" w:space="0" w:color="1E1545"/>
              <w:right w:val="nil"/>
            </w:tcBorders>
            <w:shd w:val="clear" w:color="000000" w:fill="FFFFFF"/>
            <w:noWrap/>
            <w:vAlign w:val="center"/>
            <w:hideMark/>
          </w:tcPr>
          <w:p w14:paraId="6D31845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c>
          <w:tcPr>
            <w:tcW w:w="1173" w:type="dxa"/>
            <w:tcBorders>
              <w:top w:val="nil"/>
              <w:left w:val="nil"/>
              <w:bottom w:val="single" w:sz="12" w:space="0" w:color="1E1545"/>
              <w:right w:val="nil"/>
            </w:tcBorders>
            <w:shd w:val="clear" w:color="000000" w:fill="FFFFFF"/>
            <w:noWrap/>
            <w:vAlign w:val="center"/>
            <w:hideMark/>
          </w:tcPr>
          <w:p w14:paraId="1FAE74D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$1.7 </w:t>
            </w:r>
          </w:p>
        </w:tc>
        <w:tc>
          <w:tcPr>
            <w:tcW w:w="1165" w:type="dxa"/>
            <w:tcBorders>
              <w:top w:val="nil"/>
              <w:left w:val="nil"/>
              <w:bottom w:val="single" w:sz="12" w:space="0" w:color="1E1545"/>
              <w:right w:val="nil"/>
            </w:tcBorders>
            <w:shd w:val="clear" w:color="000000" w:fill="FFFFFF"/>
            <w:noWrap/>
            <w:vAlign w:val="center"/>
            <w:hideMark/>
          </w:tcPr>
          <w:p w14:paraId="02C52C5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 </w:t>
            </w:r>
          </w:p>
        </w:tc>
      </w:tr>
      <w:tr w:rsidR="0099682F" w:rsidRPr="0099682F" w14:paraId="191B6896"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71D89FE0"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Motor vehicle expenses</w:t>
            </w:r>
          </w:p>
        </w:tc>
        <w:tc>
          <w:tcPr>
            <w:tcW w:w="1418" w:type="dxa"/>
            <w:tcBorders>
              <w:top w:val="nil"/>
              <w:left w:val="nil"/>
              <w:bottom w:val="single" w:sz="12" w:space="0" w:color="1E1545"/>
              <w:right w:val="nil"/>
            </w:tcBorders>
            <w:shd w:val="clear" w:color="000000" w:fill="FFFFFF"/>
            <w:noWrap/>
            <w:vAlign w:val="center"/>
            <w:hideMark/>
          </w:tcPr>
          <w:p w14:paraId="1E7A566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276" w:type="dxa"/>
            <w:tcBorders>
              <w:top w:val="nil"/>
              <w:left w:val="nil"/>
              <w:bottom w:val="single" w:sz="12" w:space="0" w:color="1E1545"/>
              <w:right w:val="nil"/>
            </w:tcBorders>
            <w:shd w:val="clear" w:color="000000" w:fill="FFFFFF"/>
            <w:noWrap/>
            <w:vAlign w:val="center"/>
            <w:hideMark/>
          </w:tcPr>
          <w:p w14:paraId="5650806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c>
          <w:tcPr>
            <w:tcW w:w="1173" w:type="dxa"/>
            <w:tcBorders>
              <w:top w:val="nil"/>
              <w:left w:val="nil"/>
              <w:bottom w:val="single" w:sz="12" w:space="0" w:color="1E1545"/>
              <w:right w:val="nil"/>
            </w:tcBorders>
            <w:shd w:val="clear" w:color="000000" w:fill="FFFFFF"/>
            <w:noWrap/>
            <w:vAlign w:val="center"/>
            <w:hideMark/>
          </w:tcPr>
          <w:p w14:paraId="695B065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165" w:type="dxa"/>
            <w:tcBorders>
              <w:top w:val="nil"/>
              <w:left w:val="nil"/>
              <w:bottom w:val="single" w:sz="12" w:space="0" w:color="1E1545"/>
              <w:right w:val="nil"/>
            </w:tcBorders>
            <w:shd w:val="clear" w:color="000000" w:fill="FFFFFF"/>
            <w:noWrap/>
            <w:vAlign w:val="center"/>
            <w:hideMark/>
          </w:tcPr>
          <w:p w14:paraId="640E713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r>
      <w:tr w:rsidR="0099682F" w:rsidRPr="0099682F" w14:paraId="4FA49C29" w14:textId="77777777" w:rsidTr="009A592B">
        <w:trPr>
          <w:trHeight w:val="302"/>
        </w:trPr>
        <w:tc>
          <w:tcPr>
            <w:tcW w:w="4497" w:type="dxa"/>
            <w:tcBorders>
              <w:top w:val="nil"/>
              <w:left w:val="nil"/>
              <w:bottom w:val="single" w:sz="12" w:space="0" w:color="1E1545"/>
              <w:right w:val="nil"/>
            </w:tcBorders>
            <w:shd w:val="clear" w:color="000000" w:fill="FFFFFF"/>
            <w:vAlign w:val="center"/>
            <w:hideMark/>
          </w:tcPr>
          <w:p w14:paraId="4B880F25"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Other internal direct service costs</w:t>
            </w:r>
          </w:p>
        </w:tc>
        <w:tc>
          <w:tcPr>
            <w:tcW w:w="1418" w:type="dxa"/>
            <w:tcBorders>
              <w:top w:val="nil"/>
              <w:left w:val="nil"/>
              <w:bottom w:val="single" w:sz="12" w:space="0" w:color="1E1545"/>
              <w:right w:val="nil"/>
            </w:tcBorders>
            <w:shd w:val="clear" w:color="000000" w:fill="FFFFFF"/>
            <w:noWrap/>
            <w:vAlign w:val="center"/>
            <w:hideMark/>
          </w:tcPr>
          <w:p w14:paraId="3DB9D15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276" w:type="dxa"/>
            <w:tcBorders>
              <w:top w:val="nil"/>
              <w:left w:val="nil"/>
              <w:bottom w:val="single" w:sz="12" w:space="0" w:color="1E1545"/>
              <w:right w:val="nil"/>
            </w:tcBorders>
            <w:shd w:val="clear" w:color="000000" w:fill="FFFFFF"/>
            <w:noWrap/>
            <w:vAlign w:val="center"/>
            <w:hideMark/>
          </w:tcPr>
          <w:p w14:paraId="1C9FBFD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173" w:type="dxa"/>
            <w:tcBorders>
              <w:top w:val="nil"/>
              <w:left w:val="nil"/>
              <w:bottom w:val="single" w:sz="12" w:space="0" w:color="1E1545"/>
              <w:right w:val="nil"/>
            </w:tcBorders>
            <w:shd w:val="clear" w:color="000000" w:fill="FFFFFF"/>
            <w:noWrap/>
            <w:vAlign w:val="center"/>
            <w:hideMark/>
          </w:tcPr>
          <w:p w14:paraId="37900D9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65" w:type="dxa"/>
            <w:tcBorders>
              <w:top w:val="nil"/>
              <w:left w:val="nil"/>
              <w:bottom w:val="single" w:sz="12" w:space="0" w:color="1E1545"/>
              <w:right w:val="nil"/>
            </w:tcBorders>
            <w:shd w:val="clear" w:color="000000" w:fill="FFFFFF"/>
            <w:noWrap/>
            <w:vAlign w:val="center"/>
            <w:hideMark/>
          </w:tcPr>
          <w:p w14:paraId="2C65922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3B4202CC" w14:textId="77777777" w:rsidTr="009A592B">
        <w:trPr>
          <w:trHeight w:val="302"/>
        </w:trPr>
        <w:tc>
          <w:tcPr>
            <w:tcW w:w="4497" w:type="dxa"/>
            <w:tcBorders>
              <w:top w:val="nil"/>
              <w:left w:val="nil"/>
              <w:bottom w:val="single" w:sz="8" w:space="0" w:color="auto"/>
              <w:right w:val="nil"/>
            </w:tcBorders>
            <w:shd w:val="clear" w:color="000000" w:fill="D8DADA"/>
            <w:vAlign w:val="center"/>
            <w:hideMark/>
          </w:tcPr>
          <w:p w14:paraId="7907C15C"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Total internal direct service costs expenses</w:t>
            </w:r>
          </w:p>
        </w:tc>
        <w:tc>
          <w:tcPr>
            <w:tcW w:w="1418" w:type="dxa"/>
            <w:tcBorders>
              <w:top w:val="nil"/>
              <w:left w:val="nil"/>
              <w:bottom w:val="single" w:sz="8" w:space="0" w:color="auto"/>
              <w:right w:val="nil"/>
            </w:tcBorders>
            <w:shd w:val="clear" w:color="000000" w:fill="D8DADA"/>
            <w:vAlign w:val="center"/>
            <w:hideMark/>
          </w:tcPr>
          <w:p w14:paraId="3991D8EA"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$19.1 </w:t>
            </w:r>
          </w:p>
        </w:tc>
        <w:tc>
          <w:tcPr>
            <w:tcW w:w="1276" w:type="dxa"/>
            <w:tcBorders>
              <w:top w:val="nil"/>
              <w:left w:val="nil"/>
              <w:bottom w:val="single" w:sz="8" w:space="0" w:color="auto"/>
              <w:right w:val="nil"/>
            </w:tcBorders>
            <w:shd w:val="clear" w:color="000000" w:fill="D8DADA"/>
            <w:vAlign w:val="center"/>
            <w:hideMark/>
          </w:tcPr>
          <w:p w14:paraId="2B3B517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$21.7 </w:t>
            </w:r>
          </w:p>
        </w:tc>
        <w:tc>
          <w:tcPr>
            <w:tcW w:w="1173" w:type="dxa"/>
            <w:tcBorders>
              <w:top w:val="nil"/>
              <w:left w:val="nil"/>
              <w:bottom w:val="single" w:sz="8" w:space="0" w:color="auto"/>
              <w:right w:val="nil"/>
            </w:tcBorders>
            <w:shd w:val="clear" w:color="000000" w:fill="D8DADA"/>
            <w:vAlign w:val="center"/>
            <w:hideMark/>
          </w:tcPr>
          <w:p w14:paraId="1DB10E83"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$14.4 </w:t>
            </w:r>
          </w:p>
        </w:tc>
        <w:tc>
          <w:tcPr>
            <w:tcW w:w="1165" w:type="dxa"/>
            <w:tcBorders>
              <w:top w:val="nil"/>
              <w:left w:val="nil"/>
              <w:bottom w:val="single" w:sz="8" w:space="0" w:color="auto"/>
              <w:right w:val="nil"/>
            </w:tcBorders>
            <w:shd w:val="clear" w:color="000000" w:fill="D8DADA"/>
            <w:vAlign w:val="center"/>
            <w:hideMark/>
          </w:tcPr>
          <w:p w14:paraId="2C86679F"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$20.4 </w:t>
            </w:r>
          </w:p>
        </w:tc>
      </w:tr>
      <w:tr w:rsidR="0099682F" w:rsidRPr="0099682F" w14:paraId="4748C2BE" w14:textId="77777777" w:rsidTr="009A592B">
        <w:trPr>
          <w:trHeight w:val="287"/>
        </w:trPr>
        <w:tc>
          <w:tcPr>
            <w:tcW w:w="4497" w:type="dxa"/>
            <w:tcBorders>
              <w:top w:val="nil"/>
              <w:left w:val="nil"/>
              <w:bottom w:val="single" w:sz="8" w:space="0" w:color="auto"/>
              <w:right w:val="nil"/>
            </w:tcBorders>
            <w:shd w:val="clear" w:color="000000" w:fill="D8DADA"/>
            <w:vAlign w:val="center"/>
            <w:hideMark/>
          </w:tcPr>
          <w:p w14:paraId="6E722340"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External direct service costs</w:t>
            </w:r>
          </w:p>
        </w:tc>
        <w:tc>
          <w:tcPr>
            <w:tcW w:w="1418" w:type="dxa"/>
            <w:tcBorders>
              <w:top w:val="nil"/>
              <w:left w:val="nil"/>
              <w:bottom w:val="single" w:sz="8" w:space="0" w:color="auto"/>
              <w:right w:val="nil"/>
            </w:tcBorders>
            <w:shd w:val="clear" w:color="000000" w:fill="D8DADA"/>
            <w:vAlign w:val="center"/>
            <w:hideMark/>
          </w:tcPr>
          <w:p w14:paraId="2BBF319B"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60DEDBC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73" w:type="dxa"/>
            <w:tcBorders>
              <w:top w:val="nil"/>
              <w:left w:val="nil"/>
              <w:bottom w:val="single" w:sz="8" w:space="0" w:color="auto"/>
              <w:right w:val="nil"/>
            </w:tcBorders>
            <w:shd w:val="clear" w:color="000000" w:fill="D8DADA"/>
            <w:vAlign w:val="center"/>
            <w:hideMark/>
          </w:tcPr>
          <w:p w14:paraId="60A149C9"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65" w:type="dxa"/>
            <w:tcBorders>
              <w:top w:val="nil"/>
              <w:left w:val="nil"/>
              <w:bottom w:val="single" w:sz="8" w:space="0" w:color="auto"/>
              <w:right w:val="nil"/>
            </w:tcBorders>
            <w:shd w:val="clear" w:color="000000" w:fill="D8DADA"/>
            <w:vAlign w:val="center"/>
            <w:hideMark/>
          </w:tcPr>
          <w:p w14:paraId="26989995"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r>
      <w:tr w:rsidR="0099682F" w:rsidRPr="0099682F" w14:paraId="39F15200" w14:textId="77777777" w:rsidTr="009A592B">
        <w:trPr>
          <w:trHeight w:val="559"/>
        </w:trPr>
        <w:tc>
          <w:tcPr>
            <w:tcW w:w="4497" w:type="dxa"/>
            <w:tcBorders>
              <w:top w:val="nil"/>
              <w:left w:val="nil"/>
              <w:bottom w:val="single" w:sz="8" w:space="0" w:color="auto"/>
              <w:right w:val="nil"/>
            </w:tcBorders>
            <w:shd w:val="clear" w:color="000000" w:fill="D8DADA"/>
            <w:vAlign w:val="center"/>
            <w:hideMark/>
          </w:tcPr>
          <w:p w14:paraId="4D63D627"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Sub-contracted or brokered client services - external direct care service cost</w:t>
            </w:r>
          </w:p>
        </w:tc>
        <w:tc>
          <w:tcPr>
            <w:tcW w:w="1418" w:type="dxa"/>
            <w:tcBorders>
              <w:top w:val="nil"/>
              <w:left w:val="nil"/>
              <w:bottom w:val="single" w:sz="8" w:space="0" w:color="auto"/>
              <w:right w:val="nil"/>
            </w:tcBorders>
            <w:shd w:val="clear" w:color="000000" w:fill="D8DADA"/>
            <w:noWrap/>
            <w:vAlign w:val="center"/>
            <w:hideMark/>
          </w:tcPr>
          <w:p w14:paraId="0A1B7BED"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$16.1 </w:t>
            </w:r>
          </w:p>
        </w:tc>
        <w:tc>
          <w:tcPr>
            <w:tcW w:w="1276" w:type="dxa"/>
            <w:tcBorders>
              <w:top w:val="nil"/>
              <w:left w:val="nil"/>
              <w:bottom w:val="single" w:sz="8" w:space="0" w:color="auto"/>
              <w:right w:val="nil"/>
            </w:tcBorders>
            <w:shd w:val="clear" w:color="000000" w:fill="D8DADA"/>
            <w:noWrap/>
            <w:vAlign w:val="center"/>
            <w:hideMark/>
          </w:tcPr>
          <w:p w14:paraId="5B6DD9D6"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$10.7 </w:t>
            </w:r>
          </w:p>
        </w:tc>
        <w:tc>
          <w:tcPr>
            <w:tcW w:w="1173" w:type="dxa"/>
            <w:tcBorders>
              <w:top w:val="nil"/>
              <w:left w:val="nil"/>
              <w:bottom w:val="single" w:sz="8" w:space="0" w:color="auto"/>
              <w:right w:val="nil"/>
            </w:tcBorders>
            <w:shd w:val="clear" w:color="000000" w:fill="D8DADA"/>
            <w:noWrap/>
            <w:vAlign w:val="center"/>
            <w:hideMark/>
          </w:tcPr>
          <w:p w14:paraId="204ABD1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$14.4 </w:t>
            </w:r>
          </w:p>
        </w:tc>
        <w:tc>
          <w:tcPr>
            <w:tcW w:w="1165" w:type="dxa"/>
            <w:tcBorders>
              <w:top w:val="nil"/>
              <w:left w:val="nil"/>
              <w:bottom w:val="single" w:sz="8" w:space="0" w:color="auto"/>
              <w:right w:val="nil"/>
            </w:tcBorders>
            <w:shd w:val="clear" w:color="000000" w:fill="D8DADA"/>
            <w:noWrap/>
            <w:vAlign w:val="center"/>
            <w:hideMark/>
          </w:tcPr>
          <w:p w14:paraId="6E43CBE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$12.8 </w:t>
            </w:r>
          </w:p>
        </w:tc>
      </w:tr>
      <w:tr w:rsidR="0099682F" w:rsidRPr="0099682F" w14:paraId="6CB54F97"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79E3AD20"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Registered nurses</w:t>
            </w:r>
          </w:p>
        </w:tc>
        <w:tc>
          <w:tcPr>
            <w:tcW w:w="1418" w:type="dxa"/>
            <w:tcBorders>
              <w:top w:val="nil"/>
              <w:left w:val="nil"/>
              <w:bottom w:val="single" w:sz="12" w:space="0" w:color="1E1545"/>
              <w:right w:val="nil"/>
            </w:tcBorders>
            <w:shd w:val="clear" w:color="000000" w:fill="FFFFFF"/>
            <w:noWrap/>
            <w:vAlign w:val="center"/>
            <w:hideMark/>
          </w:tcPr>
          <w:p w14:paraId="2E75B0B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276" w:type="dxa"/>
            <w:tcBorders>
              <w:top w:val="nil"/>
              <w:left w:val="nil"/>
              <w:bottom w:val="single" w:sz="12" w:space="0" w:color="1E1545"/>
              <w:right w:val="nil"/>
            </w:tcBorders>
            <w:shd w:val="clear" w:color="000000" w:fill="FFFFFF"/>
            <w:noWrap/>
            <w:vAlign w:val="center"/>
            <w:hideMark/>
          </w:tcPr>
          <w:p w14:paraId="740A364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173" w:type="dxa"/>
            <w:tcBorders>
              <w:top w:val="nil"/>
              <w:left w:val="nil"/>
              <w:bottom w:val="single" w:sz="12" w:space="0" w:color="1E1545"/>
              <w:right w:val="nil"/>
            </w:tcBorders>
            <w:shd w:val="clear" w:color="000000" w:fill="FFFFFF"/>
            <w:noWrap/>
            <w:vAlign w:val="center"/>
            <w:hideMark/>
          </w:tcPr>
          <w:p w14:paraId="46D0FFA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165" w:type="dxa"/>
            <w:tcBorders>
              <w:top w:val="nil"/>
              <w:left w:val="nil"/>
              <w:bottom w:val="single" w:sz="12" w:space="0" w:color="1E1545"/>
              <w:right w:val="nil"/>
            </w:tcBorders>
            <w:shd w:val="clear" w:color="000000" w:fill="FFFFFF"/>
            <w:noWrap/>
            <w:vAlign w:val="center"/>
            <w:hideMark/>
          </w:tcPr>
          <w:p w14:paraId="5AEDB7E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r>
      <w:tr w:rsidR="0099682F" w:rsidRPr="0099682F" w14:paraId="7C0BF01B" w14:textId="77777777" w:rsidTr="009A592B">
        <w:trPr>
          <w:trHeight w:val="574"/>
        </w:trPr>
        <w:tc>
          <w:tcPr>
            <w:tcW w:w="4497" w:type="dxa"/>
            <w:tcBorders>
              <w:top w:val="nil"/>
              <w:left w:val="nil"/>
              <w:bottom w:val="single" w:sz="12" w:space="0" w:color="1E1545"/>
              <w:right w:val="nil"/>
            </w:tcBorders>
            <w:shd w:val="clear" w:color="auto" w:fill="auto"/>
            <w:vAlign w:val="center"/>
            <w:hideMark/>
          </w:tcPr>
          <w:p w14:paraId="02BB4DEB"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Enrolled and licensed nurses (registered with the NMBA) </w:t>
            </w:r>
          </w:p>
        </w:tc>
        <w:tc>
          <w:tcPr>
            <w:tcW w:w="1418" w:type="dxa"/>
            <w:tcBorders>
              <w:top w:val="nil"/>
              <w:left w:val="nil"/>
              <w:bottom w:val="single" w:sz="12" w:space="0" w:color="1E1545"/>
              <w:right w:val="nil"/>
            </w:tcBorders>
            <w:shd w:val="clear" w:color="000000" w:fill="FFFFFF"/>
            <w:noWrap/>
            <w:vAlign w:val="center"/>
            <w:hideMark/>
          </w:tcPr>
          <w:p w14:paraId="66A8DFC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276" w:type="dxa"/>
            <w:tcBorders>
              <w:top w:val="nil"/>
              <w:left w:val="nil"/>
              <w:bottom w:val="single" w:sz="12" w:space="0" w:color="1E1545"/>
              <w:right w:val="nil"/>
            </w:tcBorders>
            <w:shd w:val="clear" w:color="000000" w:fill="FFFFFF"/>
            <w:noWrap/>
            <w:vAlign w:val="center"/>
            <w:hideMark/>
          </w:tcPr>
          <w:p w14:paraId="779E947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73" w:type="dxa"/>
            <w:tcBorders>
              <w:top w:val="nil"/>
              <w:left w:val="nil"/>
              <w:bottom w:val="single" w:sz="12" w:space="0" w:color="1E1545"/>
              <w:right w:val="nil"/>
            </w:tcBorders>
            <w:shd w:val="clear" w:color="000000" w:fill="FFFFFF"/>
            <w:noWrap/>
            <w:vAlign w:val="center"/>
            <w:hideMark/>
          </w:tcPr>
          <w:p w14:paraId="19B3682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65" w:type="dxa"/>
            <w:tcBorders>
              <w:top w:val="nil"/>
              <w:left w:val="nil"/>
              <w:bottom w:val="single" w:sz="12" w:space="0" w:color="1E1545"/>
              <w:right w:val="nil"/>
            </w:tcBorders>
            <w:shd w:val="clear" w:color="000000" w:fill="FFFFFF"/>
            <w:noWrap/>
            <w:vAlign w:val="center"/>
            <w:hideMark/>
          </w:tcPr>
          <w:p w14:paraId="12AFC45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42A708E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710725FB"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Personal care staff / other unlicensed nurses</w:t>
            </w:r>
          </w:p>
        </w:tc>
        <w:tc>
          <w:tcPr>
            <w:tcW w:w="1418" w:type="dxa"/>
            <w:tcBorders>
              <w:top w:val="nil"/>
              <w:left w:val="nil"/>
              <w:bottom w:val="single" w:sz="12" w:space="0" w:color="1E1545"/>
              <w:right w:val="nil"/>
            </w:tcBorders>
            <w:shd w:val="clear" w:color="000000" w:fill="FFFFFF"/>
            <w:noWrap/>
            <w:vAlign w:val="center"/>
            <w:hideMark/>
          </w:tcPr>
          <w:p w14:paraId="3A48F6D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$9.6 </w:t>
            </w:r>
          </w:p>
        </w:tc>
        <w:tc>
          <w:tcPr>
            <w:tcW w:w="1276" w:type="dxa"/>
            <w:tcBorders>
              <w:top w:val="nil"/>
              <w:left w:val="nil"/>
              <w:bottom w:val="single" w:sz="12" w:space="0" w:color="1E1545"/>
              <w:right w:val="nil"/>
            </w:tcBorders>
            <w:shd w:val="clear" w:color="000000" w:fill="FFFFFF"/>
            <w:noWrap/>
            <w:vAlign w:val="center"/>
            <w:hideMark/>
          </w:tcPr>
          <w:p w14:paraId="1C33265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$5.1 </w:t>
            </w:r>
          </w:p>
        </w:tc>
        <w:tc>
          <w:tcPr>
            <w:tcW w:w="1173" w:type="dxa"/>
            <w:tcBorders>
              <w:top w:val="nil"/>
              <w:left w:val="nil"/>
              <w:bottom w:val="single" w:sz="12" w:space="0" w:color="1E1545"/>
              <w:right w:val="nil"/>
            </w:tcBorders>
            <w:shd w:val="clear" w:color="000000" w:fill="FFFFFF"/>
            <w:noWrap/>
            <w:vAlign w:val="center"/>
            <w:hideMark/>
          </w:tcPr>
          <w:p w14:paraId="7151EDC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$8.3 </w:t>
            </w:r>
          </w:p>
        </w:tc>
        <w:tc>
          <w:tcPr>
            <w:tcW w:w="1165" w:type="dxa"/>
            <w:tcBorders>
              <w:top w:val="nil"/>
              <w:left w:val="nil"/>
              <w:bottom w:val="single" w:sz="12" w:space="0" w:color="1E1545"/>
              <w:right w:val="nil"/>
            </w:tcBorders>
            <w:shd w:val="clear" w:color="000000" w:fill="FFFFFF"/>
            <w:noWrap/>
            <w:vAlign w:val="center"/>
            <w:hideMark/>
          </w:tcPr>
          <w:p w14:paraId="6F1CE5C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$6.8 </w:t>
            </w:r>
          </w:p>
        </w:tc>
      </w:tr>
      <w:tr w:rsidR="0099682F" w:rsidRPr="0099682F" w14:paraId="3F65CE0D"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1D0EA15A"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 xml:space="preserve">Allied health </w:t>
            </w:r>
          </w:p>
        </w:tc>
        <w:tc>
          <w:tcPr>
            <w:tcW w:w="1418" w:type="dxa"/>
            <w:tcBorders>
              <w:top w:val="nil"/>
              <w:left w:val="nil"/>
              <w:bottom w:val="single" w:sz="12" w:space="0" w:color="1E1545"/>
              <w:right w:val="nil"/>
            </w:tcBorders>
            <w:shd w:val="clear" w:color="000000" w:fill="FFFFFF"/>
            <w:noWrap/>
            <w:vAlign w:val="center"/>
            <w:hideMark/>
          </w:tcPr>
          <w:p w14:paraId="5550BC1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$3.2 </w:t>
            </w:r>
          </w:p>
        </w:tc>
        <w:tc>
          <w:tcPr>
            <w:tcW w:w="1276" w:type="dxa"/>
            <w:tcBorders>
              <w:top w:val="nil"/>
              <w:left w:val="nil"/>
              <w:bottom w:val="single" w:sz="12" w:space="0" w:color="1E1545"/>
              <w:right w:val="nil"/>
            </w:tcBorders>
            <w:shd w:val="clear" w:color="000000" w:fill="FFFFFF"/>
            <w:noWrap/>
            <w:vAlign w:val="center"/>
            <w:hideMark/>
          </w:tcPr>
          <w:p w14:paraId="154C48E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$2.7 </w:t>
            </w:r>
          </w:p>
        </w:tc>
        <w:tc>
          <w:tcPr>
            <w:tcW w:w="1173" w:type="dxa"/>
            <w:tcBorders>
              <w:top w:val="nil"/>
              <w:left w:val="nil"/>
              <w:bottom w:val="single" w:sz="12" w:space="0" w:color="1E1545"/>
              <w:right w:val="nil"/>
            </w:tcBorders>
            <w:shd w:val="clear" w:color="000000" w:fill="FFFFFF"/>
            <w:noWrap/>
            <w:vAlign w:val="center"/>
            <w:hideMark/>
          </w:tcPr>
          <w:p w14:paraId="2A9650A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$2.2 </w:t>
            </w:r>
          </w:p>
        </w:tc>
        <w:tc>
          <w:tcPr>
            <w:tcW w:w="1165" w:type="dxa"/>
            <w:tcBorders>
              <w:top w:val="nil"/>
              <w:left w:val="nil"/>
              <w:bottom w:val="single" w:sz="12" w:space="0" w:color="1E1545"/>
              <w:right w:val="nil"/>
            </w:tcBorders>
            <w:shd w:val="clear" w:color="000000" w:fill="FFFFFF"/>
            <w:noWrap/>
            <w:vAlign w:val="center"/>
            <w:hideMark/>
          </w:tcPr>
          <w:p w14:paraId="63A155C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$2.8 </w:t>
            </w:r>
          </w:p>
        </w:tc>
      </w:tr>
      <w:tr w:rsidR="0099682F" w:rsidRPr="0099682F" w14:paraId="2E25461B"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F9E991F"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 sub-contracted/brokered staff</w:t>
            </w:r>
          </w:p>
        </w:tc>
        <w:tc>
          <w:tcPr>
            <w:tcW w:w="1418" w:type="dxa"/>
            <w:tcBorders>
              <w:top w:val="nil"/>
              <w:left w:val="nil"/>
              <w:bottom w:val="single" w:sz="12" w:space="0" w:color="1E1545"/>
              <w:right w:val="nil"/>
            </w:tcBorders>
            <w:shd w:val="clear" w:color="000000" w:fill="FFFFFF"/>
            <w:noWrap/>
            <w:vAlign w:val="center"/>
            <w:hideMark/>
          </w:tcPr>
          <w:p w14:paraId="4265104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$3.0 </w:t>
            </w:r>
          </w:p>
        </w:tc>
        <w:tc>
          <w:tcPr>
            <w:tcW w:w="1276" w:type="dxa"/>
            <w:tcBorders>
              <w:top w:val="nil"/>
              <w:left w:val="nil"/>
              <w:bottom w:val="single" w:sz="12" w:space="0" w:color="1E1545"/>
              <w:right w:val="nil"/>
            </w:tcBorders>
            <w:shd w:val="clear" w:color="000000" w:fill="FFFFFF"/>
            <w:noWrap/>
            <w:vAlign w:val="center"/>
            <w:hideMark/>
          </w:tcPr>
          <w:p w14:paraId="3A2E61B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$2.6 </w:t>
            </w:r>
          </w:p>
        </w:tc>
        <w:tc>
          <w:tcPr>
            <w:tcW w:w="1173" w:type="dxa"/>
            <w:tcBorders>
              <w:top w:val="nil"/>
              <w:left w:val="nil"/>
              <w:bottom w:val="single" w:sz="12" w:space="0" w:color="1E1545"/>
              <w:right w:val="nil"/>
            </w:tcBorders>
            <w:shd w:val="clear" w:color="000000" w:fill="FFFFFF"/>
            <w:noWrap/>
            <w:vAlign w:val="center"/>
            <w:hideMark/>
          </w:tcPr>
          <w:p w14:paraId="20676ED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$3.1 </w:t>
            </w:r>
          </w:p>
        </w:tc>
        <w:tc>
          <w:tcPr>
            <w:tcW w:w="1165" w:type="dxa"/>
            <w:tcBorders>
              <w:top w:val="nil"/>
              <w:left w:val="nil"/>
              <w:bottom w:val="single" w:sz="12" w:space="0" w:color="1E1545"/>
              <w:right w:val="nil"/>
            </w:tcBorders>
            <w:shd w:val="clear" w:color="000000" w:fill="FFFFFF"/>
            <w:noWrap/>
            <w:vAlign w:val="center"/>
            <w:hideMark/>
          </w:tcPr>
          <w:p w14:paraId="3B14F5C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$2.7 </w:t>
            </w:r>
          </w:p>
        </w:tc>
      </w:tr>
      <w:tr w:rsidR="0099682F" w:rsidRPr="0099682F" w14:paraId="2EA8E614"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66FF54D8"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Consumables</w:t>
            </w:r>
          </w:p>
        </w:tc>
        <w:tc>
          <w:tcPr>
            <w:tcW w:w="1418" w:type="dxa"/>
            <w:tcBorders>
              <w:top w:val="nil"/>
              <w:left w:val="nil"/>
              <w:bottom w:val="single" w:sz="12" w:space="0" w:color="1E1545"/>
              <w:right w:val="nil"/>
            </w:tcBorders>
            <w:shd w:val="clear" w:color="000000" w:fill="FFFFFF"/>
            <w:noWrap/>
            <w:vAlign w:val="center"/>
            <w:hideMark/>
          </w:tcPr>
          <w:p w14:paraId="6C66D6E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 </w:t>
            </w:r>
          </w:p>
        </w:tc>
        <w:tc>
          <w:tcPr>
            <w:tcW w:w="1276" w:type="dxa"/>
            <w:tcBorders>
              <w:top w:val="nil"/>
              <w:left w:val="nil"/>
              <w:bottom w:val="single" w:sz="12" w:space="0" w:color="1E1545"/>
              <w:right w:val="nil"/>
            </w:tcBorders>
            <w:shd w:val="clear" w:color="000000" w:fill="FFFFFF"/>
            <w:noWrap/>
            <w:vAlign w:val="center"/>
            <w:hideMark/>
          </w:tcPr>
          <w:p w14:paraId="404F667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$2.4 </w:t>
            </w:r>
          </w:p>
        </w:tc>
        <w:tc>
          <w:tcPr>
            <w:tcW w:w="1173" w:type="dxa"/>
            <w:tcBorders>
              <w:top w:val="nil"/>
              <w:left w:val="nil"/>
              <w:bottom w:val="single" w:sz="12" w:space="0" w:color="1E1545"/>
              <w:right w:val="nil"/>
            </w:tcBorders>
            <w:shd w:val="clear" w:color="000000" w:fill="FFFFFF"/>
            <w:noWrap/>
            <w:vAlign w:val="center"/>
            <w:hideMark/>
          </w:tcPr>
          <w:p w14:paraId="411A912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$1.9 </w:t>
            </w:r>
          </w:p>
        </w:tc>
        <w:tc>
          <w:tcPr>
            <w:tcW w:w="1165" w:type="dxa"/>
            <w:tcBorders>
              <w:top w:val="nil"/>
              <w:left w:val="nil"/>
              <w:bottom w:val="single" w:sz="12" w:space="0" w:color="1E1545"/>
              <w:right w:val="nil"/>
            </w:tcBorders>
            <w:shd w:val="clear" w:color="000000" w:fill="FFFFFF"/>
            <w:noWrap/>
            <w:vAlign w:val="center"/>
            <w:hideMark/>
          </w:tcPr>
          <w:p w14:paraId="333FB8F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$1.9 </w:t>
            </w:r>
          </w:p>
        </w:tc>
      </w:tr>
      <w:tr w:rsidR="0099682F" w:rsidRPr="0099682F" w14:paraId="13FED738"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08F6622"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Home modifications</w:t>
            </w:r>
          </w:p>
        </w:tc>
        <w:tc>
          <w:tcPr>
            <w:tcW w:w="1418" w:type="dxa"/>
            <w:tcBorders>
              <w:top w:val="nil"/>
              <w:left w:val="nil"/>
              <w:bottom w:val="single" w:sz="12" w:space="0" w:color="1E1545"/>
              <w:right w:val="nil"/>
            </w:tcBorders>
            <w:shd w:val="clear" w:color="000000" w:fill="FFFFFF"/>
            <w:noWrap/>
            <w:vAlign w:val="center"/>
            <w:hideMark/>
          </w:tcPr>
          <w:p w14:paraId="384DEA2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276" w:type="dxa"/>
            <w:tcBorders>
              <w:top w:val="nil"/>
              <w:left w:val="nil"/>
              <w:bottom w:val="single" w:sz="12" w:space="0" w:color="1E1545"/>
              <w:right w:val="nil"/>
            </w:tcBorders>
            <w:shd w:val="clear" w:color="000000" w:fill="FFFFFF"/>
            <w:noWrap/>
            <w:vAlign w:val="center"/>
            <w:hideMark/>
          </w:tcPr>
          <w:p w14:paraId="201D0F7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173" w:type="dxa"/>
            <w:tcBorders>
              <w:top w:val="nil"/>
              <w:left w:val="nil"/>
              <w:bottom w:val="single" w:sz="12" w:space="0" w:color="1E1545"/>
              <w:right w:val="nil"/>
            </w:tcBorders>
            <w:shd w:val="clear" w:color="000000" w:fill="FFFFFF"/>
            <w:noWrap/>
            <w:vAlign w:val="center"/>
            <w:hideMark/>
          </w:tcPr>
          <w:p w14:paraId="15E8447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165" w:type="dxa"/>
            <w:tcBorders>
              <w:top w:val="nil"/>
              <w:left w:val="nil"/>
              <w:bottom w:val="single" w:sz="12" w:space="0" w:color="1E1545"/>
              <w:right w:val="nil"/>
            </w:tcBorders>
            <w:shd w:val="clear" w:color="000000" w:fill="FFFFFF"/>
            <w:noWrap/>
            <w:vAlign w:val="center"/>
            <w:hideMark/>
          </w:tcPr>
          <w:p w14:paraId="0A9868F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r>
      <w:tr w:rsidR="0099682F" w:rsidRPr="0099682F" w14:paraId="1DEFAA22"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29347E0"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Client capital purchases</w:t>
            </w:r>
          </w:p>
        </w:tc>
        <w:tc>
          <w:tcPr>
            <w:tcW w:w="1418" w:type="dxa"/>
            <w:tcBorders>
              <w:top w:val="nil"/>
              <w:left w:val="nil"/>
              <w:bottom w:val="single" w:sz="12" w:space="0" w:color="1E1545"/>
              <w:right w:val="nil"/>
            </w:tcBorders>
            <w:shd w:val="clear" w:color="000000" w:fill="FFFFFF"/>
            <w:noWrap/>
            <w:vAlign w:val="center"/>
            <w:hideMark/>
          </w:tcPr>
          <w:p w14:paraId="57392F9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$2.4 </w:t>
            </w:r>
          </w:p>
        </w:tc>
        <w:tc>
          <w:tcPr>
            <w:tcW w:w="1276" w:type="dxa"/>
            <w:tcBorders>
              <w:top w:val="nil"/>
              <w:left w:val="nil"/>
              <w:bottom w:val="single" w:sz="12" w:space="0" w:color="1E1545"/>
              <w:right w:val="nil"/>
            </w:tcBorders>
            <w:shd w:val="clear" w:color="000000" w:fill="FFFFFF"/>
            <w:noWrap/>
            <w:vAlign w:val="center"/>
            <w:hideMark/>
          </w:tcPr>
          <w:p w14:paraId="47E4B90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$2.5 </w:t>
            </w:r>
          </w:p>
        </w:tc>
        <w:tc>
          <w:tcPr>
            <w:tcW w:w="1173" w:type="dxa"/>
            <w:tcBorders>
              <w:top w:val="nil"/>
              <w:left w:val="nil"/>
              <w:bottom w:val="single" w:sz="12" w:space="0" w:color="1E1545"/>
              <w:right w:val="nil"/>
            </w:tcBorders>
            <w:shd w:val="clear" w:color="000000" w:fill="FFFFFF"/>
            <w:noWrap/>
            <w:vAlign w:val="center"/>
            <w:hideMark/>
          </w:tcPr>
          <w:p w14:paraId="2C9B52A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$2.6 </w:t>
            </w:r>
          </w:p>
        </w:tc>
        <w:tc>
          <w:tcPr>
            <w:tcW w:w="1165" w:type="dxa"/>
            <w:tcBorders>
              <w:top w:val="nil"/>
              <w:left w:val="nil"/>
              <w:bottom w:val="single" w:sz="12" w:space="0" w:color="1E1545"/>
              <w:right w:val="nil"/>
            </w:tcBorders>
            <w:shd w:val="clear" w:color="000000" w:fill="FFFFFF"/>
            <w:noWrap/>
            <w:vAlign w:val="center"/>
            <w:hideMark/>
          </w:tcPr>
          <w:p w14:paraId="5DBFB0D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$2.5 </w:t>
            </w:r>
          </w:p>
        </w:tc>
      </w:tr>
      <w:tr w:rsidR="0099682F" w:rsidRPr="0099682F" w14:paraId="799223DA"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0E5E8A29"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Transport services</w:t>
            </w:r>
          </w:p>
        </w:tc>
        <w:tc>
          <w:tcPr>
            <w:tcW w:w="1418" w:type="dxa"/>
            <w:tcBorders>
              <w:top w:val="nil"/>
              <w:left w:val="nil"/>
              <w:bottom w:val="single" w:sz="12" w:space="0" w:color="1E1545"/>
              <w:right w:val="nil"/>
            </w:tcBorders>
            <w:shd w:val="clear" w:color="000000" w:fill="FFFFFF"/>
            <w:noWrap/>
            <w:vAlign w:val="center"/>
            <w:hideMark/>
          </w:tcPr>
          <w:p w14:paraId="5BE6F60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276" w:type="dxa"/>
            <w:tcBorders>
              <w:top w:val="nil"/>
              <w:left w:val="nil"/>
              <w:bottom w:val="single" w:sz="12" w:space="0" w:color="1E1545"/>
              <w:right w:val="nil"/>
            </w:tcBorders>
            <w:shd w:val="clear" w:color="000000" w:fill="FFFFFF"/>
            <w:noWrap/>
            <w:vAlign w:val="center"/>
            <w:hideMark/>
          </w:tcPr>
          <w:p w14:paraId="467927A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173" w:type="dxa"/>
            <w:tcBorders>
              <w:top w:val="nil"/>
              <w:left w:val="nil"/>
              <w:bottom w:val="single" w:sz="12" w:space="0" w:color="1E1545"/>
              <w:right w:val="nil"/>
            </w:tcBorders>
            <w:shd w:val="clear" w:color="000000" w:fill="FFFFFF"/>
            <w:noWrap/>
            <w:vAlign w:val="center"/>
            <w:hideMark/>
          </w:tcPr>
          <w:p w14:paraId="30F446C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c>
          <w:tcPr>
            <w:tcW w:w="1165" w:type="dxa"/>
            <w:tcBorders>
              <w:top w:val="nil"/>
              <w:left w:val="nil"/>
              <w:bottom w:val="single" w:sz="12" w:space="0" w:color="1E1545"/>
              <w:right w:val="nil"/>
            </w:tcBorders>
            <w:shd w:val="clear" w:color="000000" w:fill="FFFFFF"/>
            <w:noWrap/>
            <w:vAlign w:val="center"/>
            <w:hideMark/>
          </w:tcPr>
          <w:p w14:paraId="264D2BB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011A4EA7"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76765A61"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Commission/brokerage fee/franchisee fee</w:t>
            </w:r>
          </w:p>
        </w:tc>
        <w:tc>
          <w:tcPr>
            <w:tcW w:w="1418" w:type="dxa"/>
            <w:tcBorders>
              <w:top w:val="nil"/>
              <w:left w:val="nil"/>
              <w:bottom w:val="single" w:sz="12" w:space="0" w:color="1E1545"/>
              <w:right w:val="nil"/>
            </w:tcBorders>
            <w:shd w:val="clear" w:color="000000" w:fill="FFFFFF"/>
            <w:noWrap/>
            <w:vAlign w:val="center"/>
            <w:hideMark/>
          </w:tcPr>
          <w:p w14:paraId="3576229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276" w:type="dxa"/>
            <w:tcBorders>
              <w:top w:val="nil"/>
              <w:left w:val="nil"/>
              <w:bottom w:val="single" w:sz="12" w:space="0" w:color="1E1545"/>
              <w:right w:val="nil"/>
            </w:tcBorders>
            <w:shd w:val="clear" w:color="000000" w:fill="FFFFFF"/>
            <w:noWrap/>
            <w:vAlign w:val="center"/>
            <w:hideMark/>
          </w:tcPr>
          <w:p w14:paraId="1018DAB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73" w:type="dxa"/>
            <w:tcBorders>
              <w:top w:val="nil"/>
              <w:left w:val="nil"/>
              <w:bottom w:val="single" w:sz="12" w:space="0" w:color="1E1545"/>
              <w:right w:val="nil"/>
            </w:tcBorders>
            <w:shd w:val="clear" w:color="000000" w:fill="FFFFFF"/>
            <w:noWrap/>
            <w:vAlign w:val="center"/>
            <w:hideMark/>
          </w:tcPr>
          <w:p w14:paraId="248C31C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65" w:type="dxa"/>
            <w:tcBorders>
              <w:top w:val="nil"/>
              <w:left w:val="nil"/>
              <w:bottom w:val="single" w:sz="12" w:space="0" w:color="1E1545"/>
              <w:right w:val="nil"/>
            </w:tcBorders>
            <w:shd w:val="clear" w:color="000000" w:fill="FFFFFF"/>
            <w:noWrap/>
            <w:vAlign w:val="center"/>
            <w:hideMark/>
          </w:tcPr>
          <w:p w14:paraId="315E136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r>
      <w:tr w:rsidR="0099682F" w:rsidRPr="0099682F" w14:paraId="5C863CA4"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69480B0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Other external direct service costs</w:t>
            </w:r>
          </w:p>
        </w:tc>
        <w:tc>
          <w:tcPr>
            <w:tcW w:w="1418" w:type="dxa"/>
            <w:tcBorders>
              <w:top w:val="nil"/>
              <w:left w:val="nil"/>
              <w:bottom w:val="single" w:sz="12" w:space="0" w:color="1E1545"/>
              <w:right w:val="nil"/>
            </w:tcBorders>
            <w:shd w:val="clear" w:color="000000" w:fill="FFFFFF"/>
            <w:noWrap/>
            <w:vAlign w:val="center"/>
            <w:hideMark/>
          </w:tcPr>
          <w:p w14:paraId="0BDCB5E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$2.1 </w:t>
            </w:r>
          </w:p>
        </w:tc>
        <w:tc>
          <w:tcPr>
            <w:tcW w:w="1276" w:type="dxa"/>
            <w:tcBorders>
              <w:top w:val="nil"/>
              <w:left w:val="nil"/>
              <w:bottom w:val="single" w:sz="12" w:space="0" w:color="1E1545"/>
              <w:right w:val="nil"/>
            </w:tcBorders>
            <w:shd w:val="clear" w:color="000000" w:fill="FFFFFF"/>
            <w:noWrap/>
            <w:vAlign w:val="center"/>
            <w:hideMark/>
          </w:tcPr>
          <w:p w14:paraId="2D3B75D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$2.6 </w:t>
            </w:r>
          </w:p>
        </w:tc>
        <w:tc>
          <w:tcPr>
            <w:tcW w:w="1173" w:type="dxa"/>
            <w:tcBorders>
              <w:top w:val="nil"/>
              <w:left w:val="nil"/>
              <w:bottom w:val="single" w:sz="12" w:space="0" w:color="1E1545"/>
              <w:right w:val="nil"/>
            </w:tcBorders>
            <w:shd w:val="clear" w:color="000000" w:fill="FFFFFF"/>
            <w:noWrap/>
            <w:vAlign w:val="center"/>
            <w:hideMark/>
          </w:tcPr>
          <w:p w14:paraId="5D23F2B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$5.2 </w:t>
            </w:r>
          </w:p>
        </w:tc>
        <w:tc>
          <w:tcPr>
            <w:tcW w:w="1165" w:type="dxa"/>
            <w:tcBorders>
              <w:top w:val="nil"/>
              <w:left w:val="nil"/>
              <w:bottom w:val="single" w:sz="12" w:space="0" w:color="1E1545"/>
              <w:right w:val="nil"/>
            </w:tcBorders>
            <w:shd w:val="clear" w:color="000000" w:fill="FFFFFF"/>
            <w:noWrap/>
            <w:vAlign w:val="center"/>
            <w:hideMark/>
          </w:tcPr>
          <w:p w14:paraId="4724741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$2.6 </w:t>
            </w:r>
          </w:p>
        </w:tc>
      </w:tr>
      <w:tr w:rsidR="0099682F" w:rsidRPr="0099682F" w14:paraId="4A5232DD" w14:textId="77777777" w:rsidTr="009A592B">
        <w:trPr>
          <w:trHeight w:val="302"/>
        </w:trPr>
        <w:tc>
          <w:tcPr>
            <w:tcW w:w="4497" w:type="dxa"/>
            <w:tcBorders>
              <w:top w:val="nil"/>
              <w:left w:val="nil"/>
              <w:bottom w:val="single" w:sz="8" w:space="0" w:color="auto"/>
              <w:right w:val="nil"/>
            </w:tcBorders>
            <w:shd w:val="clear" w:color="000000" w:fill="D8DADA"/>
            <w:vAlign w:val="center"/>
            <w:hideMark/>
          </w:tcPr>
          <w:p w14:paraId="24D158D0"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Total external direct service costs expenses</w:t>
            </w:r>
          </w:p>
        </w:tc>
        <w:tc>
          <w:tcPr>
            <w:tcW w:w="1418" w:type="dxa"/>
            <w:tcBorders>
              <w:top w:val="nil"/>
              <w:left w:val="nil"/>
              <w:bottom w:val="single" w:sz="8" w:space="0" w:color="auto"/>
              <w:right w:val="nil"/>
            </w:tcBorders>
            <w:shd w:val="clear" w:color="000000" w:fill="D8DADA"/>
            <w:vAlign w:val="center"/>
            <w:hideMark/>
          </w:tcPr>
          <w:p w14:paraId="0E48F95C"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$23.5 </w:t>
            </w:r>
          </w:p>
        </w:tc>
        <w:tc>
          <w:tcPr>
            <w:tcW w:w="1276" w:type="dxa"/>
            <w:tcBorders>
              <w:top w:val="nil"/>
              <w:left w:val="nil"/>
              <w:bottom w:val="single" w:sz="8" w:space="0" w:color="auto"/>
              <w:right w:val="nil"/>
            </w:tcBorders>
            <w:shd w:val="clear" w:color="000000" w:fill="D8DADA"/>
            <w:vAlign w:val="center"/>
            <w:hideMark/>
          </w:tcPr>
          <w:p w14:paraId="2092F113"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$19.9 </w:t>
            </w:r>
          </w:p>
        </w:tc>
        <w:tc>
          <w:tcPr>
            <w:tcW w:w="1173" w:type="dxa"/>
            <w:tcBorders>
              <w:top w:val="nil"/>
              <w:left w:val="nil"/>
              <w:bottom w:val="single" w:sz="8" w:space="0" w:color="auto"/>
              <w:right w:val="nil"/>
            </w:tcBorders>
            <w:shd w:val="clear" w:color="000000" w:fill="D8DADA"/>
            <w:vAlign w:val="center"/>
            <w:hideMark/>
          </w:tcPr>
          <w:p w14:paraId="403737A6"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$25.8 </w:t>
            </w:r>
          </w:p>
        </w:tc>
        <w:tc>
          <w:tcPr>
            <w:tcW w:w="1165" w:type="dxa"/>
            <w:tcBorders>
              <w:top w:val="nil"/>
              <w:left w:val="nil"/>
              <w:bottom w:val="single" w:sz="8" w:space="0" w:color="auto"/>
              <w:right w:val="nil"/>
            </w:tcBorders>
            <w:shd w:val="clear" w:color="000000" w:fill="D8DADA"/>
            <w:vAlign w:val="center"/>
            <w:hideMark/>
          </w:tcPr>
          <w:p w14:paraId="215EBBAA"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$21.4 </w:t>
            </w:r>
          </w:p>
        </w:tc>
      </w:tr>
      <w:tr w:rsidR="0099682F" w:rsidRPr="0099682F" w14:paraId="526F38C0" w14:textId="77777777" w:rsidTr="009A592B">
        <w:trPr>
          <w:trHeight w:val="287"/>
        </w:trPr>
        <w:tc>
          <w:tcPr>
            <w:tcW w:w="4497" w:type="dxa"/>
            <w:tcBorders>
              <w:top w:val="nil"/>
              <w:left w:val="nil"/>
              <w:bottom w:val="single" w:sz="8" w:space="0" w:color="auto"/>
              <w:right w:val="nil"/>
            </w:tcBorders>
            <w:shd w:val="clear" w:color="000000" w:fill="D8DADA"/>
            <w:vAlign w:val="center"/>
            <w:hideMark/>
          </w:tcPr>
          <w:p w14:paraId="4E761469"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Care management</w:t>
            </w:r>
          </w:p>
        </w:tc>
        <w:tc>
          <w:tcPr>
            <w:tcW w:w="1418" w:type="dxa"/>
            <w:tcBorders>
              <w:top w:val="nil"/>
              <w:left w:val="nil"/>
              <w:bottom w:val="single" w:sz="8" w:space="0" w:color="auto"/>
              <w:right w:val="nil"/>
            </w:tcBorders>
            <w:shd w:val="clear" w:color="000000" w:fill="D8DADA"/>
            <w:noWrap/>
            <w:vAlign w:val="center"/>
            <w:hideMark/>
          </w:tcPr>
          <w:p w14:paraId="22F9EEF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$6.2 </w:t>
            </w:r>
          </w:p>
        </w:tc>
        <w:tc>
          <w:tcPr>
            <w:tcW w:w="1276" w:type="dxa"/>
            <w:tcBorders>
              <w:top w:val="nil"/>
              <w:left w:val="nil"/>
              <w:bottom w:val="single" w:sz="8" w:space="0" w:color="auto"/>
              <w:right w:val="nil"/>
            </w:tcBorders>
            <w:shd w:val="clear" w:color="000000" w:fill="D8DADA"/>
            <w:noWrap/>
            <w:vAlign w:val="center"/>
            <w:hideMark/>
          </w:tcPr>
          <w:p w14:paraId="69514601"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$7.6 </w:t>
            </w:r>
          </w:p>
        </w:tc>
        <w:tc>
          <w:tcPr>
            <w:tcW w:w="1173" w:type="dxa"/>
            <w:tcBorders>
              <w:top w:val="nil"/>
              <w:left w:val="nil"/>
              <w:bottom w:val="single" w:sz="8" w:space="0" w:color="auto"/>
              <w:right w:val="nil"/>
            </w:tcBorders>
            <w:shd w:val="clear" w:color="000000" w:fill="D8DADA"/>
            <w:noWrap/>
            <w:vAlign w:val="center"/>
            <w:hideMark/>
          </w:tcPr>
          <w:p w14:paraId="6DF7911E"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$10.9 </w:t>
            </w:r>
          </w:p>
        </w:tc>
        <w:tc>
          <w:tcPr>
            <w:tcW w:w="1165" w:type="dxa"/>
            <w:tcBorders>
              <w:top w:val="nil"/>
              <w:left w:val="nil"/>
              <w:bottom w:val="single" w:sz="8" w:space="0" w:color="auto"/>
              <w:right w:val="nil"/>
            </w:tcBorders>
            <w:shd w:val="clear" w:color="000000" w:fill="D8DADA"/>
            <w:noWrap/>
            <w:vAlign w:val="center"/>
            <w:hideMark/>
          </w:tcPr>
          <w:p w14:paraId="4D87164C"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$7.2 </w:t>
            </w:r>
          </w:p>
        </w:tc>
      </w:tr>
      <w:tr w:rsidR="0099682F" w:rsidRPr="0099682F" w14:paraId="50D140EA"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0FE1011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Wages and salaries - care management staff</w:t>
            </w:r>
          </w:p>
        </w:tc>
        <w:tc>
          <w:tcPr>
            <w:tcW w:w="1418" w:type="dxa"/>
            <w:tcBorders>
              <w:top w:val="nil"/>
              <w:left w:val="nil"/>
              <w:bottom w:val="single" w:sz="12" w:space="0" w:color="1E1545"/>
              <w:right w:val="nil"/>
            </w:tcBorders>
            <w:shd w:val="clear" w:color="000000" w:fill="FFFFFF"/>
            <w:noWrap/>
            <w:vAlign w:val="center"/>
            <w:hideMark/>
          </w:tcPr>
          <w:p w14:paraId="45F43D1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$5.7 </w:t>
            </w:r>
          </w:p>
        </w:tc>
        <w:tc>
          <w:tcPr>
            <w:tcW w:w="1276" w:type="dxa"/>
            <w:tcBorders>
              <w:top w:val="nil"/>
              <w:left w:val="nil"/>
              <w:bottom w:val="single" w:sz="12" w:space="0" w:color="1E1545"/>
              <w:right w:val="nil"/>
            </w:tcBorders>
            <w:shd w:val="clear" w:color="000000" w:fill="FFFFFF"/>
            <w:noWrap/>
            <w:vAlign w:val="center"/>
            <w:hideMark/>
          </w:tcPr>
          <w:p w14:paraId="45D8F58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$7.4 </w:t>
            </w:r>
          </w:p>
        </w:tc>
        <w:tc>
          <w:tcPr>
            <w:tcW w:w="1173" w:type="dxa"/>
            <w:tcBorders>
              <w:top w:val="nil"/>
              <w:left w:val="nil"/>
              <w:bottom w:val="single" w:sz="12" w:space="0" w:color="1E1545"/>
              <w:right w:val="nil"/>
            </w:tcBorders>
            <w:shd w:val="clear" w:color="000000" w:fill="FFFFFF"/>
            <w:noWrap/>
            <w:vAlign w:val="center"/>
            <w:hideMark/>
          </w:tcPr>
          <w:p w14:paraId="2F50D34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$10.7 </w:t>
            </w:r>
          </w:p>
        </w:tc>
        <w:tc>
          <w:tcPr>
            <w:tcW w:w="1165" w:type="dxa"/>
            <w:tcBorders>
              <w:top w:val="nil"/>
              <w:left w:val="nil"/>
              <w:bottom w:val="single" w:sz="12" w:space="0" w:color="1E1545"/>
              <w:right w:val="nil"/>
            </w:tcBorders>
            <w:shd w:val="clear" w:color="000000" w:fill="FFFFFF"/>
            <w:noWrap/>
            <w:vAlign w:val="center"/>
            <w:hideMark/>
          </w:tcPr>
          <w:p w14:paraId="4AC709D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$7.0 </w:t>
            </w:r>
          </w:p>
        </w:tc>
      </w:tr>
      <w:tr w:rsidR="0099682F" w:rsidRPr="0099682F" w14:paraId="50CE7878"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06B4399D"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Payroll tax - care management staff</w:t>
            </w:r>
          </w:p>
        </w:tc>
        <w:tc>
          <w:tcPr>
            <w:tcW w:w="1418" w:type="dxa"/>
            <w:tcBorders>
              <w:top w:val="nil"/>
              <w:left w:val="nil"/>
              <w:bottom w:val="single" w:sz="12" w:space="0" w:color="1E1545"/>
              <w:right w:val="nil"/>
            </w:tcBorders>
            <w:shd w:val="clear" w:color="000000" w:fill="FFFFFF"/>
            <w:noWrap/>
            <w:vAlign w:val="center"/>
            <w:hideMark/>
          </w:tcPr>
          <w:p w14:paraId="4B12DF0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276" w:type="dxa"/>
            <w:tcBorders>
              <w:top w:val="nil"/>
              <w:left w:val="nil"/>
              <w:bottom w:val="single" w:sz="12" w:space="0" w:color="1E1545"/>
              <w:right w:val="nil"/>
            </w:tcBorders>
            <w:shd w:val="clear" w:color="000000" w:fill="FFFFFF"/>
            <w:noWrap/>
            <w:vAlign w:val="center"/>
            <w:hideMark/>
          </w:tcPr>
          <w:p w14:paraId="2E02E2B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3FC051C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500E548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4B686337"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1BF065DE"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Motor vehicle expenses</w:t>
            </w:r>
          </w:p>
        </w:tc>
        <w:tc>
          <w:tcPr>
            <w:tcW w:w="1418" w:type="dxa"/>
            <w:tcBorders>
              <w:top w:val="nil"/>
              <w:left w:val="nil"/>
              <w:bottom w:val="single" w:sz="12" w:space="0" w:color="1E1545"/>
              <w:right w:val="nil"/>
            </w:tcBorders>
            <w:shd w:val="clear" w:color="000000" w:fill="FFFFFF"/>
            <w:noWrap/>
            <w:vAlign w:val="center"/>
            <w:hideMark/>
          </w:tcPr>
          <w:p w14:paraId="7080BA0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156EA51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73" w:type="dxa"/>
            <w:tcBorders>
              <w:top w:val="nil"/>
              <w:left w:val="nil"/>
              <w:bottom w:val="single" w:sz="12" w:space="0" w:color="1E1545"/>
              <w:right w:val="nil"/>
            </w:tcBorders>
            <w:shd w:val="clear" w:color="000000" w:fill="FFFFFF"/>
            <w:noWrap/>
            <w:vAlign w:val="center"/>
            <w:hideMark/>
          </w:tcPr>
          <w:p w14:paraId="50BF724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65" w:type="dxa"/>
            <w:tcBorders>
              <w:top w:val="nil"/>
              <w:left w:val="nil"/>
              <w:bottom w:val="single" w:sz="12" w:space="0" w:color="1E1545"/>
              <w:right w:val="nil"/>
            </w:tcBorders>
            <w:shd w:val="clear" w:color="000000" w:fill="FFFFFF"/>
            <w:noWrap/>
            <w:vAlign w:val="center"/>
            <w:hideMark/>
          </w:tcPr>
          <w:p w14:paraId="5B90570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r>
      <w:tr w:rsidR="0099682F" w:rsidRPr="0099682F" w14:paraId="0B92ECA1" w14:textId="77777777" w:rsidTr="009A592B">
        <w:trPr>
          <w:trHeight w:val="302"/>
        </w:trPr>
        <w:tc>
          <w:tcPr>
            <w:tcW w:w="4497" w:type="dxa"/>
            <w:tcBorders>
              <w:top w:val="nil"/>
              <w:left w:val="nil"/>
              <w:bottom w:val="single" w:sz="8" w:space="0" w:color="auto"/>
              <w:right w:val="nil"/>
            </w:tcBorders>
            <w:shd w:val="clear" w:color="000000" w:fill="D8DADA"/>
            <w:vAlign w:val="center"/>
            <w:hideMark/>
          </w:tcPr>
          <w:p w14:paraId="7EB3187B"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Administration and support</w:t>
            </w:r>
          </w:p>
        </w:tc>
        <w:tc>
          <w:tcPr>
            <w:tcW w:w="1418" w:type="dxa"/>
            <w:tcBorders>
              <w:top w:val="nil"/>
              <w:left w:val="nil"/>
              <w:bottom w:val="single" w:sz="8" w:space="0" w:color="auto"/>
              <w:right w:val="nil"/>
            </w:tcBorders>
            <w:shd w:val="clear" w:color="000000" w:fill="D8DADA"/>
            <w:vAlign w:val="center"/>
            <w:hideMark/>
          </w:tcPr>
          <w:p w14:paraId="37BF2F47"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276" w:type="dxa"/>
            <w:tcBorders>
              <w:top w:val="nil"/>
              <w:left w:val="nil"/>
              <w:bottom w:val="single" w:sz="8" w:space="0" w:color="auto"/>
              <w:right w:val="nil"/>
            </w:tcBorders>
            <w:shd w:val="clear" w:color="000000" w:fill="D8DADA"/>
            <w:vAlign w:val="center"/>
            <w:hideMark/>
          </w:tcPr>
          <w:p w14:paraId="3C8595BA"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73" w:type="dxa"/>
            <w:tcBorders>
              <w:top w:val="nil"/>
              <w:left w:val="nil"/>
              <w:bottom w:val="single" w:sz="8" w:space="0" w:color="auto"/>
              <w:right w:val="nil"/>
            </w:tcBorders>
            <w:shd w:val="clear" w:color="000000" w:fill="D8DADA"/>
            <w:vAlign w:val="center"/>
            <w:hideMark/>
          </w:tcPr>
          <w:p w14:paraId="6BCDDFBA"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c>
          <w:tcPr>
            <w:tcW w:w="1165" w:type="dxa"/>
            <w:tcBorders>
              <w:top w:val="nil"/>
              <w:left w:val="nil"/>
              <w:bottom w:val="single" w:sz="8" w:space="0" w:color="auto"/>
              <w:right w:val="nil"/>
            </w:tcBorders>
            <w:shd w:val="clear" w:color="000000" w:fill="D8DADA"/>
            <w:vAlign w:val="center"/>
            <w:hideMark/>
          </w:tcPr>
          <w:p w14:paraId="540CD6A2"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w:t>
            </w:r>
          </w:p>
        </w:tc>
      </w:tr>
      <w:tr w:rsidR="0099682F" w:rsidRPr="0099682F" w14:paraId="4D233442"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1E8CA5E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Wages and salaries - administration &amp; non-care staff</w:t>
            </w:r>
          </w:p>
        </w:tc>
        <w:tc>
          <w:tcPr>
            <w:tcW w:w="1418" w:type="dxa"/>
            <w:tcBorders>
              <w:top w:val="nil"/>
              <w:left w:val="nil"/>
              <w:bottom w:val="single" w:sz="12" w:space="0" w:color="1E1545"/>
              <w:right w:val="nil"/>
            </w:tcBorders>
            <w:shd w:val="clear" w:color="000000" w:fill="FFFFFF"/>
            <w:noWrap/>
            <w:vAlign w:val="center"/>
            <w:hideMark/>
          </w:tcPr>
          <w:p w14:paraId="14C6028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$6.5 </w:t>
            </w:r>
          </w:p>
        </w:tc>
        <w:tc>
          <w:tcPr>
            <w:tcW w:w="1276" w:type="dxa"/>
            <w:tcBorders>
              <w:top w:val="nil"/>
              <w:left w:val="nil"/>
              <w:bottom w:val="single" w:sz="12" w:space="0" w:color="1E1545"/>
              <w:right w:val="nil"/>
            </w:tcBorders>
            <w:shd w:val="clear" w:color="000000" w:fill="FFFFFF"/>
            <w:noWrap/>
            <w:vAlign w:val="center"/>
            <w:hideMark/>
          </w:tcPr>
          <w:p w14:paraId="0B5B22C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$6.6 </w:t>
            </w:r>
          </w:p>
        </w:tc>
        <w:tc>
          <w:tcPr>
            <w:tcW w:w="1173" w:type="dxa"/>
            <w:tcBorders>
              <w:top w:val="nil"/>
              <w:left w:val="nil"/>
              <w:bottom w:val="single" w:sz="12" w:space="0" w:color="1E1545"/>
              <w:right w:val="nil"/>
            </w:tcBorders>
            <w:shd w:val="clear" w:color="000000" w:fill="FFFFFF"/>
            <w:noWrap/>
            <w:vAlign w:val="center"/>
            <w:hideMark/>
          </w:tcPr>
          <w:p w14:paraId="4251CED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$5.9 </w:t>
            </w:r>
          </w:p>
        </w:tc>
        <w:tc>
          <w:tcPr>
            <w:tcW w:w="1165" w:type="dxa"/>
            <w:tcBorders>
              <w:top w:val="nil"/>
              <w:left w:val="nil"/>
              <w:bottom w:val="single" w:sz="12" w:space="0" w:color="1E1545"/>
              <w:right w:val="nil"/>
            </w:tcBorders>
            <w:shd w:val="clear" w:color="000000" w:fill="FFFFFF"/>
            <w:noWrap/>
            <w:vAlign w:val="center"/>
            <w:hideMark/>
          </w:tcPr>
          <w:p w14:paraId="5778B77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$6.5 </w:t>
            </w:r>
          </w:p>
        </w:tc>
      </w:tr>
      <w:tr w:rsidR="0099682F" w:rsidRPr="0099682F" w14:paraId="5CD0D902"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5A98B49F"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Workers compensation insurance</w:t>
            </w:r>
          </w:p>
        </w:tc>
        <w:tc>
          <w:tcPr>
            <w:tcW w:w="1418" w:type="dxa"/>
            <w:tcBorders>
              <w:top w:val="nil"/>
              <w:left w:val="nil"/>
              <w:bottom w:val="single" w:sz="12" w:space="0" w:color="1E1545"/>
              <w:right w:val="nil"/>
            </w:tcBorders>
            <w:shd w:val="clear" w:color="000000" w:fill="FFFFFF"/>
            <w:noWrap/>
            <w:vAlign w:val="center"/>
            <w:hideMark/>
          </w:tcPr>
          <w:p w14:paraId="2F56202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c>
          <w:tcPr>
            <w:tcW w:w="1276" w:type="dxa"/>
            <w:tcBorders>
              <w:top w:val="nil"/>
              <w:left w:val="nil"/>
              <w:bottom w:val="single" w:sz="12" w:space="0" w:color="1E1545"/>
              <w:right w:val="nil"/>
            </w:tcBorders>
            <w:shd w:val="clear" w:color="000000" w:fill="FFFFFF"/>
            <w:noWrap/>
            <w:vAlign w:val="center"/>
            <w:hideMark/>
          </w:tcPr>
          <w:p w14:paraId="161BB98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173" w:type="dxa"/>
            <w:tcBorders>
              <w:top w:val="nil"/>
              <w:left w:val="nil"/>
              <w:bottom w:val="single" w:sz="12" w:space="0" w:color="1E1545"/>
              <w:right w:val="nil"/>
            </w:tcBorders>
            <w:shd w:val="clear" w:color="000000" w:fill="FFFFFF"/>
            <w:noWrap/>
            <w:vAlign w:val="center"/>
            <w:hideMark/>
          </w:tcPr>
          <w:p w14:paraId="40A94F9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65" w:type="dxa"/>
            <w:tcBorders>
              <w:top w:val="nil"/>
              <w:left w:val="nil"/>
              <w:bottom w:val="single" w:sz="12" w:space="0" w:color="1E1545"/>
              <w:right w:val="nil"/>
            </w:tcBorders>
            <w:shd w:val="clear" w:color="000000" w:fill="FFFFFF"/>
            <w:noWrap/>
            <w:vAlign w:val="center"/>
            <w:hideMark/>
          </w:tcPr>
          <w:p w14:paraId="3A5EAAF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r>
      <w:tr w:rsidR="0099682F" w:rsidRPr="0099682F" w14:paraId="37FF2431"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53220C6C"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Payroll tax - administration and non-care staff</w:t>
            </w:r>
          </w:p>
        </w:tc>
        <w:tc>
          <w:tcPr>
            <w:tcW w:w="1418" w:type="dxa"/>
            <w:tcBorders>
              <w:top w:val="nil"/>
              <w:left w:val="nil"/>
              <w:bottom w:val="single" w:sz="12" w:space="0" w:color="1E1545"/>
              <w:right w:val="nil"/>
            </w:tcBorders>
            <w:shd w:val="clear" w:color="000000" w:fill="FFFFFF"/>
            <w:noWrap/>
            <w:vAlign w:val="center"/>
            <w:hideMark/>
          </w:tcPr>
          <w:p w14:paraId="5C437E3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276" w:type="dxa"/>
            <w:tcBorders>
              <w:top w:val="nil"/>
              <w:left w:val="nil"/>
              <w:bottom w:val="single" w:sz="12" w:space="0" w:color="1E1545"/>
              <w:right w:val="nil"/>
            </w:tcBorders>
            <w:shd w:val="clear" w:color="000000" w:fill="FFFFFF"/>
            <w:noWrap/>
            <w:vAlign w:val="center"/>
            <w:hideMark/>
          </w:tcPr>
          <w:p w14:paraId="244F301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0CF5EB0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5147511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38E59AB2" w14:textId="77777777" w:rsidTr="009A592B">
        <w:trPr>
          <w:trHeight w:val="302"/>
        </w:trPr>
        <w:tc>
          <w:tcPr>
            <w:tcW w:w="4497" w:type="dxa"/>
            <w:tcBorders>
              <w:top w:val="single" w:sz="8" w:space="0" w:color="auto"/>
              <w:left w:val="nil"/>
              <w:bottom w:val="single" w:sz="8" w:space="0" w:color="auto"/>
              <w:right w:val="nil"/>
            </w:tcBorders>
            <w:shd w:val="clear" w:color="000000" w:fill="D8DADA"/>
            <w:vAlign w:val="center"/>
            <w:hideMark/>
          </w:tcPr>
          <w:p w14:paraId="521C4C28"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Administration costs and management fees</w:t>
            </w:r>
          </w:p>
        </w:tc>
        <w:tc>
          <w:tcPr>
            <w:tcW w:w="1418" w:type="dxa"/>
            <w:tcBorders>
              <w:top w:val="single" w:sz="8" w:space="0" w:color="auto"/>
              <w:left w:val="nil"/>
              <w:bottom w:val="single" w:sz="8" w:space="0" w:color="auto"/>
              <w:right w:val="nil"/>
            </w:tcBorders>
            <w:shd w:val="clear" w:color="000000" w:fill="D8DADA"/>
            <w:noWrap/>
            <w:vAlign w:val="center"/>
            <w:hideMark/>
          </w:tcPr>
          <w:p w14:paraId="22A28B0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$5.2 </w:t>
            </w:r>
          </w:p>
        </w:tc>
        <w:tc>
          <w:tcPr>
            <w:tcW w:w="1276" w:type="dxa"/>
            <w:tcBorders>
              <w:top w:val="single" w:sz="8" w:space="0" w:color="auto"/>
              <w:left w:val="nil"/>
              <w:bottom w:val="single" w:sz="8" w:space="0" w:color="auto"/>
              <w:right w:val="nil"/>
            </w:tcBorders>
            <w:shd w:val="clear" w:color="000000" w:fill="D8DADA"/>
            <w:noWrap/>
            <w:vAlign w:val="center"/>
            <w:hideMark/>
          </w:tcPr>
          <w:p w14:paraId="50BB4B2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$9.0 </w:t>
            </w:r>
          </w:p>
        </w:tc>
        <w:tc>
          <w:tcPr>
            <w:tcW w:w="1173" w:type="dxa"/>
            <w:tcBorders>
              <w:top w:val="single" w:sz="8" w:space="0" w:color="auto"/>
              <w:left w:val="nil"/>
              <w:bottom w:val="single" w:sz="8" w:space="0" w:color="auto"/>
              <w:right w:val="nil"/>
            </w:tcBorders>
            <w:shd w:val="clear" w:color="000000" w:fill="D8DADA"/>
            <w:noWrap/>
            <w:vAlign w:val="center"/>
            <w:hideMark/>
          </w:tcPr>
          <w:p w14:paraId="3C3DF972"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$5.3 </w:t>
            </w:r>
          </w:p>
        </w:tc>
        <w:tc>
          <w:tcPr>
            <w:tcW w:w="1165" w:type="dxa"/>
            <w:tcBorders>
              <w:top w:val="single" w:sz="8" w:space="0" w:color="auto"/>
              <w:left w:val="nil"/>
              <w:bottom w:val="single" w:sz="8" w:space="0" w:color="auto"/>
              <w:right w:val="nil"/>
            </w:tcBorders>
            <w:shd w:val="clear" w:color="000000" w:fill="D8DADA"/>
            <w:noWrap/>
            <w:vAlign w:val="center"/>
            <w:hideMark/>
          </w:tcPr>
          <w:p w14:paraId="309756B1"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$7.5 </w:t>
            </w:r>
          </w:p>
        </w:tc>
      </w:tr>
      <w:tr w:rsidR="0099682F" w:rsidRPr="0099682F" w14:paraId="05B632A9"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5B6C62B3"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Education/training &amp; quality control expense</w:t>
            </w:r>
          </w:p>
        </w:tc>
        <w:tc>
          <w:tcPr>
            <w:tcW w:w="1418" w:type="dxa"/>
            <w:tcBorders>
              <w:top w:val="nil"/>
              <w:left w:val="nil"/>
              <w:bottom w:val="single" w:sz="12" w:space="0" w:color="1E1545"/>
              <w:right w:val="nil"/>
            </w:tcBorders>
            <w:shd w:val="clear" w:color="000000" w:fill="FFFFFF"/>
            <w:noWrap/>
            <w:vAlign w:val="center"/>
            <w:hideMark/>
          </w:tcPr>
          <w:p w14:paraId="6813442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276" w:type="dxa"/>
            <w:tcBorders>
              <w:top w:val="nil"/>
              <w:left w:val="nil"/>
              <w:bottom w:val="single" w:sz="12" w:space="0" w:color="1E1545"/>
              <w:right w:val="nil"/>
            </w:tcBorders>
            <w:shd w:val="clear" w:color="000000" w:fill="FFFFFF"/>
            <w:noWrap/>
            <w:vAlign w:val="center"/>
            <w:hideMark/>
          </w:tcPr>
          <w:p w14:paraId="462B08F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173" w:type="dxa"/>
            <w:tcBorders>
              <w:top w:val="nil"/>
              <w:left w:val="nil"/>
              <w:bottom w:val="single" w:sz="12" w:space="0" w:color="1E1545"/>
              <w:right w:val="nil"/>
            </w:tcBorders>
            <w:shd w:val="clear" w:color="000000" w:fill="FFFFFF"/>
            <w:noWrap/>
            <w:vAlign w:val="center"/>
            <w:hideMark/>
          </w:tcPr>
          <w:p w14:paraId="7C04331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65" w:type="dxa"/>
            <w:tcBorders>
              <w:top w:val="nil"/>
              <w:left w:val="nil"/>
              <w:bottom w:val="single" w:sz="12" w:space="0" w:color="1E1545"/>
              <w:right w:val="nil"/>
            </w:tcBorders>
            <w:shd w:val="clear" w:color="000000" w:fill="FFFFFF"/>
            <w:noWrap/>
            <w:vAlign w:val="center"/>
            <w:hideMark/>
          </w:tcPr>
          <w:p w14:paraId="4829C6A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r>
      <w:tr w:rsidR="0099682F" w:rsidRPr="0099682F" w14:paraId="1B6791AC"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9C22FE6"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General insurances</w:t>
            </w:r>
          </w:p>
        </w:tc>
        <w:tc>
          <w:tcPr>
            <w:tcW w:w="1418" w:type="dxa"/>
            <w:tcBorders>
              <w:top w:val="nil"/>
              <w:left w:val="nil"/>
              <w:bottom w:val="single" w:sz="12" w:space="0" w:color="1E1545"/>
              <w:right w:val="nil"/>
            </w:tcBorders>
            <w:shd w:val="clear" w:color="000000" w:fill="FFFFFF"/>
            <w:noWrap/>
            <w:vAlign w:val="center"/>
            <w:hideMark/>
          </w:tcPr>
          <w:p w14:paraId="69B44E5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$0.2 </w:t>
            </w:r>
          </w:p>
        </w:tc>
        <w:tc>
          <w:tcPr>
            <w:tcW w:w="1276" w:type="dxa"/>
            <w:tcBorders>
              <w:top w:val="nil"/>
              <w:left w:val="nil"/>
              <w:bottom w:val="single" w:sz="12" w:space="0" w:color="1E1545"/>
              <w:right w:val="nil"/>
            </w:tcBorders>
            <w:shd w:val="clear" w:color="000000" w:fill="FFFFFF"/>
            <w:noWrap/>
            <w:vAlign w:val="center"/>
            <w:hideMark/>
          </w:tcPr>
          <w:p w14:paraId="452F2E6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73" w:type="dxa"/>
            <w:tcBorders>
              <w:top w:val="nil"/>
              <w:left w:val="nil"/>
              <w:bottom w:val="single" w:sz="12" w:space="0" w:color="1E1545"/>
              <w:right w:val="nil"/>
            </w:tcBorders>
            <w:shd w:val="clear" w:color="000000" w:fill="FFFFFF"/>
            <w:noWrap/>
            <w:vAlign w:val="center"/>
            <w:hideMark/>
          </w:tcPr>
          <w:p w14:paraId="3E13555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06BCFDF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40386FA9"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6F4C3C03"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Rent, utilities, and property outgoings</w:t>
            </w:r>
          </w:p>
        </w:tc>
        <w:tc>
          <w:tcPr>
            <w:tcW w:w="1418" w:type="dxa"/>
            <w:tcBorders>
              <w:top w:val="nil"/>
              <w:left w:val="nil"/>
              <w:bottom w:val="single" w:sz="12" w:space="0" w:color="1E1545"/>
              <w:right w:val="nil"/>
            </w:tcBorders>
            <w:shd w:val="clear" w:color="000000" w:fill="FFFFFF"/>
            <w:noWrap/>
            <w:vAlign w:val="center"/>
            <w:hideMark/>
          </w:tcPr>
          <w:p w14:paraId="5AA738B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276" w:type="dxa"/>
            <w:tcBorders>
              <w:top w:val="nil"/>
              <w:left w:val="nil"/>
              <w:bottom w:val="single" w:sz="12" w:space="0" w:color="1E1545"/>
              <w:right w:val="nil"/>
            </w:tcBorders>
            <w:shd w:val="clear" w:color="000000" w:fill="FFFFFF"/>
            <w:noWrap/>
            <w:vAlign w:val="center"/>
            <w:hideMark/>
          </w:tcPr>
          <w:p w14:paraId="5C36FD5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73" w:type="dxa"/>
            <w:tcBorders>
              <w:top w:val="nil"/>
              <w:left w:val="nil"/>
              <w:bottom w:val="single" w:sz="12" w:space="0" w:color="1E1545"/>
              <w:right w:val="nil"/>
            </w:tcBorders>
            <w:shd w:val="clear" w:color="000000" w:fill="FFFFFF"/>
            <w:noWrap/>
            <w:vAlign w:val="center"/>
            <w:hideMark/>
          </w:tcPr>
          <w:p w14:paraId="44A3174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165" w:type="dxa"/>
            <w:tcBorders>
              <w:top w:val="nil"/>
              <w:left w:val="nil"/>
              <w:bottom w:val="single" w:sz="12" w:space="0" w:color="1E1545"/>
              <w:right w:val="nil"/>
            </w:tcBorders>
            <w:shd w:val="clear" w:color="000000" w:fill="FFFFFF"/>
            <w:noWrap/>
            <w:vAlign w:val="center"/>
            <w:hideMark/>
          </w:tcPr>
          <w:p w14:paraId="3FBFE81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280DA589"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5020790A"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IT and communication expenses</w:t>
            </w:r>
          </w:p>
        </w:tc>
        <w:tc>
          <w:tcPr>
            <w:tcW w:w="1418" w:type="dxa"/>
            <w:tcBorders>
              <w:top w:val="nil"/>
              <w:left w:val="nil"/>
              <w:bottom w:val="single" w:sz="12" w:space="0" w:color="1E1545"/>
              <w:right w:val="nil"/>
            </w:tcBorders>
            <w:shd w:val="clear" w:color="000000" w:fill="FFFFFF"/>
            <w:noWrap/>
            <w:vAlign w:val="center"/>
            <w:hideMark/>
          </w:tcPr>
          <w:p w14:paraId="08D05BE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$0.8 </w:t>
            </w:r>
          </w:p>
        </w:tc>
        <w:tc>
          <w:tcPr>
            <w:tcW w:w="1276" w:type="dxa"/>
            <w:tcBorders>
              <w:top w:val="nil"/>
              <w:left w:val="nil"/>
              <w:bottom w:val="single" w:sz="12" w:space="0" w:color="1E1545"/>
              <w:right w:val="nil"/>
            </w:tcBorders>
            <w:shd w:val="clear" w:color="000000" w:fill="FFFFFF"/>
            <w:noWrap/>
            <w:vAlign w:val="center"/>
            <w:hideMark/>
          </w:tcPr>
          <w:p w14:paraId="3C61D27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$0.6 </w:t>
            </w:r>
          </w:p>
        </w:tc>
        <w:tc>
          <w:tcPr>
            <w:tcW w:w="1173" w:type="dxa"/>
            <w:tcBorders>
              <w:top w:val="nil"/>
              <w:left w:val="nil"/>
              <w:bottom w:val="single" w:sz="12" w:space="0" w:color="1E1545"/>
              <w:right w:val="nil"/>
            </w:tcBorders>
            <w:shd w:val="clear" w:color="000000" w:fill="FFFFFF"/>
            <w:noWrap/>
            <w:vAlign w:val="center"/>
            <w:hideMark/>
          </w:tcPr>
          <w:p w14:paraId="0FD4894F"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65" w:type="dxa"/>
            <w:tcBorders>
              <w:top w:val="nil"/>
              <w:left w:val="nil"/>
              <w:bottom w:val="single" w:sz="12" w:space="0" w:color="1E1545"/>
              <w:right w:val="nil"/>
            </w:tcBorders>
            <w:shd w:val="clear" w:color="000000" w:fill="FFFFFF"/>
            <w:noWrap/>
            <w:vAlign w:val="center"/>
            <w:hideMark/>
          </w:tcPr>
          <w:p w14:paraId="67A4604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$0.7 </w:t>
            </w:r>
          </w:p>
        </w:tc>
      </w:tr>
      <w:tr w:rsidR="0099682F" w:rsidRPr="0099682F" w14:paraId="3455514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2E943F47"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Corporate recharge</w:t>
            </w:r>
          </w:p>
        </w:tc>
        <w:tc>
          <w:tcPr>
            <w:tcW w:w="1418" w:type="dxa"/>
            <w:tcBorders>
              <w:top w:val="nil"/>
              <w:left w:val="nil"/>
              <w:bottom w:val="single" w:sz="12" w:space="0" w:color="1E1545"/>
              <w:right w:val="nil"/>
            </w:tcBorders>
            <w:shd w:val="clear" w:color="000000" w:fill="FFFFFF"/>
            <w:noWrap/>
            <w:vAlign w:val="center"/>
            <w:hideMark/>
          </w:tcPr>
          <w:p w14:paraId="084C5DB7"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$1.3 </w:t>
            </w:r>
          </w:p>
        </w:tc>
        <w:tc>
          <w:tcPr>
            <w:tcW w:w="1276" w:type="dxa"/>
            <w:tcBorders>
              <w:top w:val="nil"/>
              <w:left w:val="nil"/>
              <w:bottom w:val="single" w:sz="12" w:space="0" w:color="1E1545"/>
              <w:right w:val="nil"/>
            </w:tcBorders>
            <w:shd w:val="clear" w:color="000000" w:fill="FFFFFF"/>
            <w:noWrap/>
            <w:vAlign w:val="center"/>
            <w:hideMark/>
          </w:tcPr>
          <w:p w14:paraId="74B3DD9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$6.1 </w:t>
            </w:r>
          </w:p>
        </w:tc>
        <w:tc>
          <w:tcPr>
            <w:tcW w:w="1173" w:type="dxa"/>
            <w:tcBorders>
              <w:top w:val="nil"/>
              <w:left w:val="nil"/>
              <w:bottom w:val="single" w:sz="12" w:space="0" w:color="1E1545"/>
              <w:right w:val="nil"/>
            </w:tcBorders>
            <w:shd w:val="clear" w:color="000000" w:fill="FFFFFF"/>
            <w:noWrap/>
            <w:vAlign w:val="center"/>
            <w:hideMark/>
          </w:tcPr>
          <w:p w14:paraId="3347E456"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$3.0 </w:t>
            </w:r>
          </w:p>
        </w:tc>
        <w:tc>
          <w:tcPr>
            <w:tcW w:w="1165" w:type="dxa"/>
            <w:tcBorders>
              <w:top w:val="nil"/>
              <w:left w:val="nil"/>
              <w:bottom w:val="single" w:sz="12" w:space="0" w:color="1E1545"/>
              <w:right w:val="nil"/>
            </w:tcBorders>
            <w:shd w:val="clear" w:color="000000" w:fill="FFFFFF"/>
            <w:noWrap/>
            <w:vAlign w:val="center"/>
            <w:hideMark/>
          </w:tcPr>
          <w:p w14:paraId="680F7701"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$4.2 </w:t>
            </w:r>
          </w:p>
        </w:tc>
      </w:tr>
      <w:tr w:rsidR="0099682F" w:rsidRPr="0099682F" w14:paraId="0F333DA2"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481D0569" w14:textId="77777777" w:rsidR="0099682F" w:rsidRPr="0099682F" w:rsidRDefault="0099682F" w:rsidP="009A592B">
            <w:pPr>
              <w:spacing w:before="0" w:after="0" w:line="240" w:lineRule="auto"/>
              <w:ind w:firstLineChars="100" w:firstLine="210"/>
              <w:rPr>
                <w:rFonts w:cs="Arial"/>
                <w:bCs w:val="0"/>
                <w:color w:val="1E1545"/>
                <w:sz w:val="21"/>
                <w:szCs w:val="21"/>
                <w:lang w:eastAsia="en-AU"/>
              </w:rPr>
            </w:pPr>
            <w:r w:rsidRPr="0099682F">
              <w:rPr>
                <w:rFonts w:cs="Arial"/>
                <w:bCs w:val="0"/>
                <w:color w:val="1E1545"/>
                <w:sz w:val="21"/>
                <w:szCs w:val="21"/>
                <w:lang w:eastAsia="en-AU"/>
              </w:rPr>
              <w:t>Other administration costs</w:t>
            </w:r>
          </w:p>
        </w:tc>
        <w:tc>
          <w:tcPr>
            <w:tcW w:w="1418" w:type="dxa"/>
            <w:tcBorders>
              <w:top w:val="nil"/>
              <w:left w:val="nil"/>
              <w:bottom w:val="single" w:sz="12" w:space="0" w:color="1E1545"/>
              <w:right w:val="nil"/>
            </w:tcBorders>
            <w:shd w:val="clear" w:color="000000" w:fill="FFFFFF"/>
            <w:noWrap/>
            <w:vAlign w:val="center"/>
            <w:hideMark/>
          </w:tcPr>
          <w:p w14:paraId="1C657273"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$2.1 </w:t>
            </w:r>
          </w:p>
        </w:tc>
        <w:tc>
          <w:tcPr>
            <w:tcW w:w="1276" w:type="dxa"/>
            <w:tcBorders>
              <w:top w:val="nil"/>
              <w:left w:val="nil"/>
              <w:bottom w:val="single" w:sz="12" w:space="0" w:color="1E1545"/>
              <w:right w:val="nil"/>
            </w:tcBorders>
            <w:shd w:val="clear" w:color="000000" w:fill="FFFFFF"/>
            <w:noWrap/>
            <w:vAlign w:val="center"/>
            <w:hideMark/>
          </w:tcPr>
          <w:p w14:paraId="7AE46F6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$1.5 </w:t>
            </w:r>
          </w:p>
        </w:tc>
        <w:tc>
          <w:tcPr>
            <w:tcW w:w="1173" w:type="dxa"/>
            <w:tcBorders>
              <w:top w:val="nil"/>
              <w:left w:val="nil"/>
              <w:bottom w:val="single" w:sz="12" w:space="0" w:color="1E1545"/>
              <w:right w:val="nil"/>
            </w:tcBorders>
            <w:shd w:val="clear" w:color="000000" w:fill="FFFFFF"/>
            <w:noWrap/>
            <w:vAlign w:val="center"/>
            <w:hideMark/>
          </w:tcPr>
          <w:p w14:paraId="2893BE0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$1.2 </w:t>
            </w:r>
          </w:p>
        </w:tc>
        <w:tc>
          <w:tcPr>
            <w:tcW w:w="1165" w:type="dxa"/>
            <w:tcBorders>
              <w:top w:val="nil"/>
              <w:left w:val="nil"/>
              <w:bottom w:val="single" w:sz="12" w:space="0" w:color="1E1545"/>
              <w:right w:val="nil"/>
            </w:tcBorders>
            <w:shd w:val="clear" w:color="000000" w:fill="FFFFFF"/>
            <w:noWrap/>
            <w:vAlign w:val="center"/>
            <w:hideMark/>
          </w:tcPr>
          <w:p w14:paraId="46ED0DB2"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$1.7 </w:t>
            </w:r>
          </w:p>
        </w:tc>
      </w:tr>
      <w:tr w:rsidR="0099682F" w:rsidRPr="0099682F" w14:paraId="106B47FC"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3BD02CC5"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Depreciation expenses</w:t>
            </w:r>
          </w:p>
        </w:tc>
        <w:tc>
          <w:tcPr>
            <w:tcW w:w="1418" w:type="dxa"/>
            <w:tcBorders>
              <w:top w:val="nil"/>
              <w:left w:val="nil"/>
              <w:bottom w:val="single" w:sz="12" w:space="0" w:color="1E1545"/>
              <w:right w:val="nil"/>
            </w:tcBorders>
            <w:shd w:val="clear" w:color="000000" w:fill="FFFFFF"/>
            <w:noWrap/>
            <w:vAlign w:val="center"/>
            <w:hideMark/>
          </w:tcPr>
          <w:p w14:paraId="3C524EE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276" w:type="dxa"/>
            <w:tcBorders>
              <w:top w:val="nil"/>
              <w:left w:val="nil"/>
              <w:bottom w:val="single" w:sz="12" w:space="0" w:color="1E1545"/>
              <w:right w:val="nil"/>
            </w:tcBorders>
            <w:shd w:val="clear" w:color="000000" w:fill="FFFFFF"/>
            <w:noWrap/>
            <w:vAlign w:val="center"/>
            <w:hideMark/>
          </w:tcPr>
          <w:p w14:paraId="3CA96C0D"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73" w:type="dxa"/>
            <w:tcBorders>
              <w:top w:val="nil"/>
              <w:left w:val="nil"/>
              <w:bottom w:val="single" w:sz="12" w:space="0" w:color="1E1545"/>
              <w:right w:val="nil"/>
            </w:tcBorders>
            <w:shd w:val="clear" w:color="000000" w:fill="FFFFFF"/>
            <w:noWrap/>
            <w:vAlign w:val="center"/>
            <w:hideMark/>
          </w:tcPr>
          <w:p w14:paraId="4AA305C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165" w:type="dxa"/>
            <w:tcBorders>
              <w:top w:val="nil"/>
              <w:left w:val="nil"/>
              <w:bottom w:val="single" w:sz="12" w:space="0" w:color="1E1545"/>
              <w:right w:val="nil"/>
            </w:tcBorders>
            <w:shd w:val="clear" w:color="000000" w:fill="FFFFFF"/>
            <w:noWrap/>
            <w:vAlign w:val="center"/>
            <w:hideMark/>
          </w:tcPr>
          <w:p w14:paraId="6B21F2C4"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r>
      <w:tr w:rsidR="0099682F" w:rsidRPr="0099682F" w14:paraId="590810DF"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7EB54EE8"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Interest expenses</w:t>
            </w:r>
          </w:p>
        </w:tc>
        <w:tc>
          <w:tcPr>
            <w:tcW w:w="1418" w:type="dxa"/>
            <w:tcBorders>
              <w:top w:val="nil"/>
              <w:left w:val="nil"/>
              <w:bottom w:val="single" w:sz="12" w:space="0" w:color="1E1545"/>
              <w:right w:val="nil"/>
            </w:tcBorders>
            <w:shd w:val="clear" w:color="000000" w:fill="FFFFFF"/>
            <w:noWrap/>
            <w:vAlign w:val="center"/>
            <w:hideMark/>
          </w:tcPr>
          <w:p w14:paraId="0CA11B9C"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$0.4 </w:t>
            </w:r>
          </w:p>
        </w:tc>
        <w:tc>
          <w:tcPr>
            <w:tcW w:w="1276" w:type="dxa"/>
            <w:tcBorders>
              <w:top w:val="nil"/>
              <w:left w:val="nil"/>
              <w:bottom w:val="single" w:sz="12" w:space="0" w:color="1E1545"/>
              <w:right w:val="nil"/>
            </w:tcBorders>
            <w:shd w:val="clear" w:color="000000" w:fill="FFFFFF"/>
            <w:noWrap/>
            <w:vAlign w:val="center"/>
            <w:hideMark/>
          </w:tcPr>
          <w:p w14:paraId="1BACF6EE"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73" w:type="dxa"/>
            <w:tcBorders>
              <w:top w:val="nil"/>
              <w:left w:val="nil"/>
              <w:bottom w:val="single" w:sz="12" w:space="0" w:color="1E1545"/>
              <w:right w:val="nil"/>
            </w:tcBorders>
            <w:shd w:val="clear" w:color="000000" w:fill="FFFFFF"/>
            <w:noWrap/>
            <w:vAlign w:val="center"/>
            <w:hideMark/>
          </w:tcPr>
          <w:p w14:paraId="5589D855"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$0.0 </w:t>
            </w:r>
          </w:p>
        </w:tc>
        <w:tc>
          <w:tcPr>
            <w:tcW w:w="1165" w:type="dxa"/>
            <w:tcBorders>
              <w:top w:val="nil"/>
              <w:left w:val="nil"/>
              <w:bottom w:val="single" w:sz="12" w:space="0" w:color="1E1545"/>
              <w:right w:val="nil"/>
            </w:tcBorders>
            <w:shd w:val="clear" w:color="000000" w:fill="FFFFFF"/>
            <w:noWrap/>
            <w:vAlign w:val="center"/>
            <w:hideMark/>
          </w:tcPr>
          <w:p w14:paraId="243D26D9"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6834ABBD" w14:textId="77777777" w:rsidTr="009A592B">
        <w:trPr>
          <w:trHeight w:val="302"/>
        </w:trPr>
        <w:tc>
          <w:tcPr>
            <w:tcW w:w="4497" w:type="dxa"/>
            <w:tcBorders>
              <w:top w:val="nil"/>
              <w:left w:val="nil"/>
              <w:bottom w:val="single" w:sz="8" w:space="0" w:color="auto"/>
              <w:right w:val="nil"/>
            </w:tcBorders>
            <w:shd w:val="clear" w:color="000000" w:fill="D8DADA"/>
            <w:vAlign w:val="center"/>
            <w:hideMark/>
          </w:tcPr>
          <w:p w14:paraId="257C2423"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Total administration and support expenses</w:t>
            </w:r>
          </w:p>
        </w:tc>
        <w:tc>
          <w:tcPr>
            <w:tcW w:w="1418" w:type="dxa"/>
            <w:tcBorders>
              <w:top w:val="nil"/>
              <w:left w:val="nil"/>
              <w:bottom w:val="single" w:sz="8" w:space="0" w:color="auto"/>
              <w:right w:val="nil"/>
            </w:tcBorders>
            <w:shd w:val="clear" w:color="000000" w:fill="D8DADA"/>
            <w:vAlign w:val="center"/>
            <w:hideMark/>
          </w:tcPr>
          <w:p w14:paraId="2683267D"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$13.6 </w:t>
            </w:r>
          </w:p>
        </w:tc>
        <w:tc>
          <w:tcPr>
            <w:tcW w:w="1276" w:type="dxa"/>
            <w:tcBorders>
              <w:top w:val="nil"/>
              <w:left w:val="nil"/>
              <w:bottom w:val="single" w:sz="8" w:space="0" w:color="auto"/>
              <w:right w:val="nil"/>
            </w:tcBorders>
            <w:shd w:val="clear" w:color="000000" w:fill="D8DADA"/>
            <w:vAlign w:val="center"/>
            <w:hideMark/>
          </w:tcPr>
          <w:p w14:paraId="10683FBD"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$16.7 </w:t>
            </w:r>
          </w:p>
        </w:tc>
        <w:tc>
          <w:tcPr>
            <w:tcW w:w="1173" w:type="dxa"/>
            <w:tcBorders>
              <w:top w:val="nil"/>
              <w:left w:val="nil"/>
              <w:bottom w:val="single" w:sz="8" w:space="0" w:color="auto"/>
              <w:right w:val="nil"/>
            </w:tcBorders>
            <w:shd w:val="clear" w:color="000000" w:fill="D8DADA"/>
            <w:vAlign w:val="center"/>
            <w:hideMark/>
          </w:tcPr>
          <w:p w14:paraId="0A61DD3A"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$11.9 </w:t>
            </w:r>
          </w:p>
        </w:tc>
        <w:tc>
          <w:tcPr>
            <w:tcW w:w="1165" w:type="dxa"/>
            <w:tcBorders>
              <w:top w:val="nil"/>
              <w:left w:val="nil"/>
              <w:bottom w:val="single" w:sz="8" w:space="0" w:color="auto"/>
              <w:right w:val="nil"/>
            </w:tcBorders>
            <w:shd w:val="clear" w:color="000000" w:fill="D8DADA"/>
            <w:vAlign w:val="center"/>
            <w:hideMark/>
          </w:tcPr>
          <w:p w14:paraId="6770A9F3"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$15.4 </w:t>
            </w:r>
          </w:p>
        </w:tc>
      </w:tr>
      <w:tr w:rsidR="0099682F" w:rsidRPr="0099682F" w14:paraId="3ACC3195" w14:textId="77777777" w:rsidTr="009A592B">
        <w:trPr>
          <w:trHeight w:val="287"/>
        </w:trPr>
        <w:tc>
          <w:tcPr>
            <w:tcW w:w="4497" w:type="dxa"/>
            <w:tcBorders>
              <w:top w:val="nil"/>
              <w:left w:val="nil"/>
              <w:bottom w:val="single" w:sz="12" w:space="0" w:color="1E1545"/>
              <w:right w:val="nil"/>
            </w:tcBorders>
            <w:shd w:val="clear" w:color="auto" w:fill="auto"/>
            <w:vAlign w:val="center"/>
            <w:hideMark/>
          </w:tcPr>
          <w:p w14:paraId="47AD510B"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COVID-19 expenses</w:t>
            </w:r>
          </w:p>
        </w:tc>
        <w:tc>
          <w:tcPr>
            <w:tcW w:w="1418" w:type="dxa"/>
            <w:tcBorders>
              <w:top w:val="nil"/>
              <w:left w:val="nil"/>
              <w:bottom w:val="single" w:sz="12" w:space="0" w:color="1E1545"/>
              <w:right w:val="nil"/>
            </w:tcBorders>
            <w:shd w:val="clear" w:color="000000" w:fill="FFFFFF"/>
            <w:noWrap/>
            <w:vAlign w:val="center"/>
            <w:hideMark/>
          </w:tcPr>
          <w:p w14:paraId="5F0AF59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276" w:type="dxa"/>
            <w:tcBorders>
              <w:top w:val="nil"/>
              <w:left w:val="nil"/>
              <w:bottom w:val="single" w:sz="12" w:space="0" w:color="1E1545"/>
              <w:right w:val="nil"/>
            </w:tcBorders>
            <w:shd w:val="clear" w:color="000000" w:fill="FFFFFF"/>
            <w:noWrap/>
            <w:vAlign w:val="center"/>
            <w:hideMark/>
          </w:tcPr>
          <w:p w14:paraId="427CF04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73" w:type="dxa"/>
            <w:tcBorders>
              <w:top w:val="nil"/>
              <w:left w:val="nil"/>
              <w:bottom w:val="single" w:sz="12" w:space="0" w:color="1E1545"/>
              <w:right w:val="nil"/>
            </w:tcBorders>
            <w:shd w:val="clear" w:color="000000" w:fill="FFFFFF"/>
            <w:noWrap/>
            <w:vAlign w:val="center"/>
            <w:hideMark/>
          </w:tcPr>
          <w:p w14:paraId="4E1AE41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c>
          <w:tcPr>
            <w:tcW w:w="1165" w:type="dxa"/>
            <w:tcBorders>
              <w:top w:val="nil"/>
              <w:left w:val="nil"/>
              <w:bottom w:val="single" w:sz="12" w:space="0" w:color="1E1545"/>
              <w:right w:val="nil"/>
            </w:tcBorders>
            <w:shd w:val="clear" w:color="000000" w:fill="FFFFFF"/>
            <w:noWrap/>
            <w:vAlign w:val="center"/>
            <w:hideMark/>
          </w:tcPr>
          <w:p w14:paraId="78ADB380"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$0.1 </w:t>
            </w:r>
          </w:p>
        </w:tc>
      </w:tr>
      <w:tr w:rsidR="0099682F" w:rsidRPr="0099682F" w14:paraId="3A753E54" w14:textId="77777777" w:rsidTr="009A592B">
        <w:trPr>
          <w:trHeight w:val="302"/>
        </w:trPr>
        <w:tc>
          <w:tcPr>
            <w:tcW w:w="4497" w:type="dxa"/>
            <w:tcBorders>
              <w:top w:val="nil"/>
              <w:left w:val="nil"/>
              <w:bottom w:val="single" w:sz="12" w:space="0" w:color="1E1545"/>
              <w:right w:val="nil"/>
            </w:tcBorders>
            <w:shd w:val="clear" w:color="auto" w:fill="auto"/>
            <w:vAlign w:val="center"/>
            <w:hideMark/>
          </w:tcPr>
          <w:p w14:paraId="4696F32D" w14:textId="77777777" w:rsidR="0099682F" w:rsidRPr="0099682F" w:rsidRDefault="0099682F" w:rsidP="009A592B">
            <w:pPr>
              <w:spacing w:before="0" w:after="0" w:line="240" w:lineRule="auto"/>
              <w:rPr>
                <w:rFonts w:cs="Arial"/>
                <w:bCs w:val="0"/>
                <w:color w:val="1E1545"/>
                <w:sz w:val="21"/>
                <w:szCs w:val="21"/>
                <w:lang w:eastAsia="en-AU"/>
              </w:rPr>
            </w:pPr>
            <w:r w:rsidRPr="0099682F">
              <w:rPr>
                <w:rFonts w:cs="Arial"/>
                <w:bCs w:val="0"/>
                <w:color w:val="1E1545"/>
                <w:sz w:val="21"/>
                <w:szCs w:val="21"/>
                <w:lang w:eastAsia="en-AU"/>
              </w:rPr>
              <w:t>Other expenses</w:t>
            </w:r>
          </w:p>
        </w:tc>
        <w:tc>
          <w:tcPr>
            <w:tcW w:w="1418" w:type="dxa"/>
            <w:tcBorders>
              <w:top w:val="nil"/>
              <w:left w:val="nil"/>
              <w:bottom w:val="single" w:sz="12" w:space="0" w:color="1E1545"/>
              <w:right w:val="nil"/>
            </w:tcBorders>
            <w:shd w:val="clear" w:color="000000" w:fill="FFFFFF"/>
            <w:noWrap/>
            <w:vAlign w:val="center"/>
            <w:hideMark/>
          </w:tcPr>
          <w:p w14:paraId="27FBDB3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$1.6 </w:t>
            </w:r>
          </w:p>
        </w:tc>
        <w:tc>
          <w:tcPr>
            <w:tcW w:w="1276" w:type="dxa"/>
            <w:tcBorders>
              <w:top w:val="nil"/>
              <w:left w:val="nil"/>
              <w:bottom w:val="single" w:sz="12" w:space="0" w:color="1E1545"/>
              <w:right w:val="nil"/>
            </w:tcBorders>
            <w:shd w:val="clear" w:color="000000" w:fill="FFFFFF"/>
            <w:noWrap/>
            <w:vAlign w:val="center"/>
            <w:hideMark/>
          </w:tcPr>
          <w:p w14:paraId="0415ACF8"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$0.5 </w:t>
            </w:r>
          </w:p>
        </w:tc>
        <w:tc>
          <w:tcPr>
            <w:tcW w:w="1173" w:type="dxa"/>
            <w:tcBorders>
              <w:top w:val="nil"/>
              <w:left w:val="nil"/>
              <w:bottom w:val="single" w:sz="12" w:space="0" w:color="1E1545"/>
              <w:right w:val="nil"/>
            </w:tcBorders>
            <w:shd w:val="clear" w:color="000000" w:fill="FFFFFF"/>
            <w:noWrap/>
            <w:vAlign w:val="center"/>
            <w:hideMark/>
          </w:tcPr>
          <w:p w14:paraId="4E994D5B"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$0.3 </w:t>
            </w:r>
          </w:p>
        </w:tc>
        <w:tc>
          <w:tcPr>
            <w:tcW w:w="1165" w:type="dxa"/>
            <w:tcBorders>
              <w:top w:val="nil"/>
              <w:left w:val="nil"/>
              <w:bottom w:val="single" w:sz="12" w:space="0" w:color="1E1545"/>
              <w:right w:val="nil"/>
            </w:tcBorders>
            <w:shd w:val="clear" w:color="000000" w:fill="FFFFFF"/>
            <w:noWrap/>
            <w:vAlign w:val="center"/>
            <w:hideMark/>
          </w:tcPr>
          <w:p w14:paraId="6A397CCA" w14:textId="77777777" w:rsidR="0099682F" w:rsidRPr="0099682F" w:rsidRDefault="0099682F" w:rsidP="009A592B">
            <w:pPr>
              <w:spacing w:before="0" w:after="0" w:line="240" w:lineRule="auto"/>
              <w:jc w:val="right"/>
              <w:rPr>
                <w:rFonts w:cs="Arial"/>
                <w:bCs w:val="0"/>
                <w:color w:val="1E1545"/>
                <w:sz w:val="21"/>
                <w:szCs w:val="21"/>
                <w:lang w:eastAsia="en-AU"/>
              </w:rPr>
            </w:pPr>
            <w:r w:rsidRPr="0099682F">
              <w:rPr>
                <w:rFonts w:cs="Arial"/>
                <w:bCs w:val="0"/>
                <w:color w:val="1E1545"/>
                <w:sz w:val="21"/>
                <w:szCs w:val="21"/>
                <w:lang w:eastAsia="en-AU"/>
              </w:rPr>
              <w:t xml:space="preserve"> $0.9 </w:t>
            </w:r>
          </w:p>
        </w:tc>
      </w:tr>
      <w:tr w:rsidR="0099682F" w:rsidRPr="0099682F" w14:paraId="7CF1623C" w14:textId="77777777" w:rsidTr="009A592B">
        <w:trPr>
          <w:trHeight w:val="302"/>
        </w:trPr>
        <w:tc>
          <w:tcPr>
            <w:tcW w:w="4497" w:type="dxa"/>
            <w:tcBorders>
              <w:top w:val="nil"/>
              <w:left w:val="nil"/>
              <w:bottom w:val="single" w:sz="12" w:space="0" w:color="1E1545"/>
              <w:right w:val="nil"/>
            </w:tcBorders>
            <w:shd w:val="clear" w:color="000000" w:fill="D8DADA"/>
            <w:vAlign w:val="center"/>
            <w:hideMark/>
          </w:tcPr>
          <w:p w14:paraId="3EE4FA67"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Total expenses:</w:t>
            </w:r>
          </w:p>
        </w:tc>
        <w:tc>
          <w:tcPr>
            <w:tcW w:w="1418" w:type="dxa"/>
            <w:tcBorders>
              <w:top w:val="nil"/>
              <w:left w:val="nil"/>
              <w:bottom w:val="single" w:sz="12" w:space="0" w:color="1E1545"/>
              <w:right w:val="nil"/>
            </w:tcBorders>
            <w:shd w:val="clear" w:color="000000" w:fill="D8DADA"/>
            <w:noWrap/>
            <w:vAlign w:val="center"/>
            <w:hideMark/>
          </w:tcPr>
          <w:p w14:paraId="71670BBF"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$64.1 </w:t>
            </w:r>
          </w:p>
        </w:tc>
        <w:tc>
          <w:tcPr>
            <w:tcW w:w="1276" w:type="dxa"/>
            <w:tcBorders>
              <w:top w:val="nil"/>
              <w:left w:val="nil"/>
              <w:bottom w:val="single" w:sz="12" w:space="0" w:color="1E1545"/>
              <w:right w:val="nil"/>
            </w:tcBorders>
            <w:shd w:val="clear" w:color="000000" w:fill="D8DADA"/>
            <w:noWrap/>
            <w:vAlign w:val="center"/>
            <w:hideMark/>
          </w:tcPr>
          <w:p w14:paraId="193A7F6C"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$66.5 </w:t>
            </w:r>
          </w:p>
        </w:tc>
        <w:tc>
          <w:tcPr>
            <w:tcW w:w="1173" w:type="dxa"/>
            <w:tcBorders>
              <w:top w:val="nil"/>
              <w:left w:val="nil"/>
              <w:bottom w:val="single" w:sz="12" w:space="0" w:color="1E1545"/>
              <w:right w:val="nil"/>
            </w:tcBorders>
            <w:shd w:val="clear" w:color="000000" w:fill="D8DADA"/>
            <w:noWrap/>
            <w:vAlign w:val="center"/>
            <w:hideMark/>
          </w:tcPr>
          <w:p w14:paraId="74370E66"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$63.4 </w:t>
            </w:r>
          </w:p>
        </w:tc>
        <w:tc>
          <w:tcPr>
            <w:tcW w:w="1165" w:type="dxa"/>
            <w:tcBorders>
              <w:top w:val="nil"/>
              <w:left w:val="nil"/>
              <w:bottom w:val="single" w:sz="12" w:space="0" w:color="1E1545"/>
              <w:right w:val="nil"/>
            </w:tcBorders>
            <w:shd w:val="clear" w:color="000000" w:fill="D8DADA"/>
            <w:noWrap/>
            <w:vAlign w:val="center"/>
            <w:hideMark/>
          </w:tcPr>
          <w:p w14:paraId="7F3059C9"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$65.5 </w:t>
            </w:r>
          </w:p>
        </w:tc>
      </w:tr>
      <w:tr w:rsidR="0099682F" w:rsidRPr="0099682F" w14:paraId="4705A705" w14:textId="77777777" w:rsidTr="009A592B">
        <w:trPr>
          <w:trHeight w:val="302"/>
        </w:trPr>
        <w:tc>
          <w:tcPr>
            <w:tcW w:w="4497" w:type="dxa"/>
            <w:tcBorders>
              <w:top w:val="nil"/>
              <w:left w:val="nil"/>
              <w:bottom w:val="single" w:sz="8" w:space="0" w:color="auto"/>
              <w:right w:val="nil"/>
            </w:tcBorders>
            <w:shd w:val="clear" w:color="000000" w:fill="D8DADA"/>
            <w:vAlign w:val="center"/>
            <w:hideMark/>
          </w:tcPr>
          <w:p w14:paraId="53529F7E" w14:textId="77777777" w:rsidR="0099682F" w:rsidRPr="0099682F" w:rsidRDefault="0099682F" w:rsidP="009A592B">
            <w:pPr>
              <w:spacing w:before="0" w:after="0" w:line="240" w:lineRule="auto"/>
              <w:rPr>
                <w:rFonts w:cs="Arial"/>
                <w:b/>
                <w:color w:val="1E1545"/>
                <w:sz w:val="21"/>
                <w:szCs w:val="21"/>
                <w:lang w:eastAsia="en-AU"/>
              </w:rPr>
            </w:pPr>
            <w:r w:rsidRPr="0099682F">
              <w:rPr>
                <w:rFonts w:cs="Arial"/>
                <w:b/>
                <w:color w:val="1E1545"/>
                <w:sz w:val="21"/>
                <w:szCs w:val="21"/>
                <w:lang w:eastAsia="en-AU"/>
              </w:rPr>
              <w:t>Net profit/(loss) before tax:</w:t>
            </w:r>
          </w:p>
        </w:tc>
        <w:tc>
          <w:tcPr>
            <w:tcW w:w="1418" w:type="dxa"/>
            <w:tcBorders>
              <w:top w:val="nil"/>
              <w:left w:val="nil"/>
              <w:bottom w:val="single" w:sz="8" w:space="0" w:color="auto"/>
              <w:right w:val="nil"/>
            </w:tcBorders>
            <w:shd w:val="clear" w:color="000000" w:fill="D8DADA"/>
            <w:noWrap/>
            <w:vAlign w:val="center"/>
            <w:hideMark/>
          </w:tcPr>
          <w:p w14:paraId="23BD7CD1"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$2.7 </w:t>
            </w:r>
          </w:p>
        </w:tc>
        <w:tc>
          <w:tcPr>
            <w:tcW w:w="1276" w:type="dxa"/>
            <w:tcBorders>
              <w:top w:val="nil"/>
              <w:left w:val="nil"/>
              <w:bottom w:val="single" w:sz="8" w:space="0" w:color="auto"/>
              <w:right w:val="nil"/>
            </w:tcBorders>
            <w:shd w:val="clear" w:color="000000" w:fill="D8DADA"/>
            <w:noWrap/>
            <w:vAlign w:val="center"/>
            <w:hideMark/>
          </w:tcPr>
          <w:p w14:paraId="376A21D0"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$1.9 </w:t>
            </w:r>
          </w:p>
        </w:tc>
        <w:tc>
          <w:tcPr>
            <w:tcW w:w="1173" w:type="dxa"/>
            <w:tcBorders>
              <w:top w:val="nil"/>
              <w:left w:val="nil"/>
              <w:bottom w:val="single" w:sz="8" w:space="0" w:color="auto"/>
              <w:right w:val="nil"/>
            </w:tcBorders>
            <w:shd w:val="clear" w:color="000000" w:fill="D8DADA"/>
            <w:noWrap/>
            <w:vAlign w:val="center"/>
            <w:hideMark/>
          </w:tcPr>
          <w:p w14:paraId="7D9FF1C4"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$0.9 </w:t>
            </w:r>
          </w:p>
        </w:tc>
        <w:tc>
          <w:tcPr>
            <w:tcW w:w="1165" w:type="dxa"/>
            <w:tcBorders>
              <w:top w:val="nil"/>
              <w:left w:val="nil"/>
              <w:bottom w:val="single" w:sz="8" w:space="0" w:color="auto"/>
              <w:right w:val="nil"/>
            </w:tcBorders>
            <w:shd w:val="clear" w:color="000000" w:fill="D8DADA"/>
            <w:noWrap/>
            <w:vAlign w:val="center"/>
            <w:hideMark/>
          </w:tcPr>
          <w:p w14:paraId="7C0AD7CC" w14:textId="77777777" w:rsidR="0099682F" w:rsidRPr="0099682F" w:rsidRDefault="0099682F" w:rsidP="009A592B">
            <w:pPr>
              <w:spacing w:before="0" w:after="0" w:line="240" w:lineRule="auto"/>
              <w:jc w:val="right"/>
              <w:rPr>
                <w:rFonts w:cs="Arial"/>
                <w:b/>
                <w:color w:val="1E1545"/>
                <w:sz w:val="21"/>
                <w:szCs w:val="21"/>
                <w:lang w:eastAsia="en-AU"/>
              </w:rPr>
            </w:pPr>
            <w:r w:rsidRPr="0099682F">
              <w:rPr>
                <w:rFonts w:cs="Arial"/>
                <w:b/>
                <w:color w:val="1E1545"/>
                <w:sz w:val="21"/>
                <w:szCs w:val="21"/>
                <w:lang w:eastAsia="en-AU"/>
              </w:rPr>
              <w:t xml:space="preserve"> $2.2 </w:t>
            </w:r>
          </w:p>
        </w:tc>
      </w:tr>
    </w:tbl>
    <w:p w14:paraId="7332AA10" w14:textId="10DE8A02" w:rsidR="006C338B" w:rsidRDefault="00D0680A">
      <w:pPr>
        <w:spacing w:before="0" w:after="0" w:line="240" w:lineRule="auto"/>
      </w:pPr>
      <w:r>
        <w:br w:type="page"/>
      </w:r>
    </w:p>
    <w:p w14:paraId="321F9B1E" w14:textId="00649CC8" w:rsidR="00D0680A" w:rsidRDefault="00D0680A" w:rsidP="00D0680A">
      <w:pPr>
        <w:rPr>
          <w:b/>
          <w:bCs w:val="0"/>
          <w:sz w:val="28"/>
          <w:szCs w:val="28"/>
        </w:rPr>
      </w:pPr>
      <w:r w:rsidRPr="00525FE2">
        <w:rPr>
          <w:b/>
          <w:bCs w:val="0"/>
          <w:sz w:val="28"/>
          <w:szCs w:val="28"/>
        </w:rPr>
        <w:t xml:space="preserve">Appendix </w:t>
      </w:r>
      <w:r>
        <w:rPr>
          <w:b/>
          <w:bCs w:val="0"/>
          <w:sz w:val="28"/>
          <w:szCs w:val="28"/>
        </w:rPr>
        <w:t>H</w:t>
      </w:r>
    </w:p>
    <w:p w14:paraId="4713EB6D" w14:textId="7D937B7B" w:rsidR="00576E45" w:rsidRPr="00576E45" w:rsidRDefault="00576E45" w:rsidP="00576E45">
      <w:pPr>
        <w:pStyle w:val="TableTitle"/>
        <w:rPr>
          <w:b w:val="0"/>
          <w:bCs/>
          <w:lang w:eastAsia="en-AU"/>
        </w:rPr>
      </w:pPr>
      <w:r w:rsidRPr="00576E45">
        <w:rPr>
          <w:b w:val="0"/>
          <w:bCs/>
          <w:lang w:eastAsia="en-AU"/>
        </w:rPr>
        <w:t>Updated figures for chart 2.1 to reflect the new methodology used to calculate care minutes using occupied bed days rather than claim day data.</w:t>
      </w:r>
    </w:p>
    <w:p w14:paraId="2D28B702" w14:textId="00E40802" w:rsidR="00576E45" w:rsidRPr="00576E45" w:rsidRDefault="00576E45" w:rsidP="00576E45">
      <w:pPr>
        <w:pStyle w:val="TableTitle"/>
        <w:rPr>
          <w:lang w:eastAsia="en-AU"/>
        </w:rPr>
      </w:pPr>
      <w:r w:rsidRPr="00576E45">
        <w:rPr>
          <w:lang w:eastAsia="en-AU"/>
        </w:rPr>
        <w:t>Chart 2.1: Average paid care minutes per resident per day, by ownership type, 2021-22</w:t>
      </w:r>
    </w:p>
    <w:p w14:paraId="1BCA3703" w14:textId="110E5708" w:rsidR="00D0680A" w:rsidRPr="00525FE2" w:rsidRDefault="00BC14CE" w:rsidP="00D0680A">
      <w:pPr>
        <w:rPr>
          <w:sz w:val="28"/>
          <w:szCs w:val="28"/>
        </w:rPr>
      </w:pPr>
      <w:r>
        <w:rPr>
          <w:noProof/>
        </w:rPr>
        <w:drawing>
          <wp:inline distT="0" distB="0" distL="0" distR="0" wp14:anchorId="33CB63B5" wp14:editId="5C42FC91">
            <wp:extent cx="6096753" cy="2888479"/>
            <wp:effectExtent l="0" t="0" r="0" b="7620"/>
            <wp:docPr id="1" name="Picture 1" descr="Chart 2.1 is a clustered column chart titled Average paid care minutes per resident per day, by ownership type, 2021-22. For-profit providers had a higher average of registered nurse care minutes per resident per day (31.8 care minutes) compared to not-for-profit providers (29.5 care minutes). The average total care minutes in 2021-22 per resident per day was 9.7 minutes higher in not-for-profit providers (183.2 care minutes), compared with 173.5 total care minutes for for-profit providers. LST government providers provided the highest care minutes per resident per day of 241.5 minutes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2.1 is a clustered column chart titled Average paid care minutes per resident per day, by ownership type, 2021-22. For-profit providers had a higher average of registered nurse care minutes per resident per day (31.8 care minutes) compared to not-for-profit providers (29.5 care minutes). The average total care minutes in 2021-22 per resident per day was 9.7 minutes higher in not-for-profit providers (183.2 care minutes), compared with 173.5 total care minutes for for-profit providers. LST government providers provided the highest care minutes per resident per day of 241.5 minutes in 2021-22. "/>
                    <pic:cNvPicPr/>
                  </pic:nvPicPr>
                  <pic:blipFill>
                    <a:blip r:embed="rId141">
                      <a:extLst>
                        <a:ext uri="{28A0092B-C50C-407E-A947-70E740481C1C}">
                          <a14:useLocalDpi xmlns:a14="http://schemas.microsoft.com/office/drawing/2010/main" val="0"/>
                        </a:ext>
                      </a:extLst>
                    </a:blip>
                    <a:stretch>
                      <a:fillRect/>
                    </a:stretch>
                  </pic:blipFill>
                  <pic:spPr>
                    <a:xfrm>
                      <a:off x="0" y="0"/>
                      <a:ext cx="6096753" cy="2888479"/>
                    </a:xfrm>
                    <a:prstGeom prst="rect">
                      <a:avLst/>
                    </a:prstGeom>
                  </pic:spPr>
                </pic:pic>
              </a:graphicData>
            </a:graphic>
          </wp:inline>
        </w:drawing>
      </w:r>
    </w:p>
    <w:p w14:paraId="5C24FC5C" w14:textId="77777777" w:rsidR="00B92B4E" w:rsidRDefault="009B311D" w:rsidP="00706D0A">
      <w:pPr>
        <w:sectPr w:rsidR="00B92B4E" w:rsidSect="009B3AC6">
          <w:footerReference w:type="default" r:id="rId142"/>
          <w:pgSz w:w="11906" w:h="16838"/>
          <w:pgMar w:top="1701" w:right="1418" w:bottom="1418" w:left="1418" w:header="709" w:footer="709" w:gutter="0"/>
          <w:cols w:space="708"/>
          <w:docGrid w:linePitch="360"/>
        </w:sectPr>
      </w:pPr>
      <w:r>
        <w:br w:type="page"/>
      </w:r>
    </w:p>
    <w:p w14:paraId="44A54976" w14:textId="3919E4E1" w:rsidR="009B311D" w:rsidRPr="007C6ACF" w:rsidRDefault="009B311D" w:rsidP="009A7517">
      <w:pPr>
        <w:pStyle w:val="Heading1"/>
      </w:pPr>
      <w:bookmarkStart w:id="242" w:name="_Toc149245331"/>
      <w:bookmarkStart w:id="243" w:name="_Toc173428615"/>
      <w:r w:rsidRPr="007C6ACF">
        <w:t>Glossary</w:t>
      </w:r>
      <w:bookmarkEnd w:id="242"/>
      <w:bookmarkEnd w:id="243"/>
    </w:p>
    <w:tbl>
      <w:tblPr>
        <w:tblStyle w:val="PHNGreyTable"/>
        <w:tblpPr w:leftFromText="180" w:rightFromText="180" w:vertAnchor="text" w:tblpY="1"/>
        <w:tblW w:w="0" w:type="auto"/>
        <w:tblLook w:val="04A0" w:firstRow="1" w:lastRow="0" w:firstColumn="1" w:lastColumn="0" w:noHBand="0" w:noVBand="1"/>
      </w:tblPr>
      <w:tblGrid>
        <w:gridCol w:w="1794"/>
        <w:gridCol w:w="7266"/>
      </w:tblGrid>
      <w:tr w:rsidR="009B311D" w:rsidRPr="00814391" w14:paraId="280D4F48" w14:textId="77777777" w:rsidTr="00401168">
        <w:trPr>
          <w:cnfStyle w:val="100000000000" w:firstRow="1" w:lastRow="0" w:firstColumn="0" w:lastColumn="0" w:oddVBand="0" w:evenVBand="0" w:oddHBand="0" w:evenHBand="0" w:firstRowFirstColumn="0" w:firstRowLastColumn="0" w:lastRowFirstColumn="0" w:lastRowLastColumn="0"/>
          <w:trHeight w:val="559"/>
          <w:tblHeader/>
        </w:trPr>
        <w:tc>
          <w:tcPr>
            <w:tcW w:w="1794" w:type="dxa"/>
          </w:tcPr>
          <w:p w14:paraId="1400028B" w14:textId="77777777" w:rsidR="009B311D" w:rsidRPr="00814391" w:rsidRDefault="009B311D" w:rsidP="00706D0A">
            <w:pPr>
              <w:pStyle w:val="TableHeaderWhite"/>
            </w:pPr>
            <w:r w:rsidRPr="00814391">
              <w:t>Term</w:t>
            </w:r>
          </w:p>
        </w:tc>
        <w:tc>
          <w:tcPr>
            <w:tcW w:w="7266" w:type="dxa"/>
          </w:tcPr>
          <w:p w14:paraId="5F6E5DB2" w14:textId="77777777" w:rsidR="009B311D" w:rsidRPr="00814391" w:rsidRDefault="009B311D" w:rsidP="00706D0A">
            <w:pPr>
              <w:pStyle w:val="TableHeaderWhite"/>
            </w:pPr>
            <w:r w:rsidRPr="00814391">
              <w:t>Definition</w:t>
            </w:r>
          </w:p>
        </w:tc>
      </w:tr>
      <w:tr w:rsidR="009B311D" w:rsidRPr="00DA76B8" w14:paraId="0DFAA084" w14:textId="77777777" w:rsidTr="00401168">
        <w:trPr>
          <w:trHeight w:val="328"/>
        </w:trPr>
        <w:tc>
          <w:tcPr>
            <w:tcW w:w="1794" w:type="dxa"/>
          </w:tcPr>
          <w:p w14:paraId="21A739ED" w14:textId="77777777" w:rsidR="009B311D" w:rsidRPr="00FD08AF" w:rsidRDefault="009B311D">
            <w:pPr>
              <w:pStyle w:val="TableofAuthorities"/>
            </w:pPr>
            <w:r w:rsidRPr="00FD08AF">
              <w:t>AASB</w:t>
            </w:r>
          </w:p>
        </w:tc>
        <w:tc>
          <w:tcPr>
            <w:tcW w:w="7266" w:type="dxa"/>
          </w:tcPr>
          <w:p w14:paraId="2765F87D" w14:textId="77777777" w:rsidR="009B311D" w:rsidRPr="00FD08AF" w:rsidRDefault="009B311D">
            <w:pPr>
              <w:pStyle w:val="TableofAuthorities"/>
            </w:pPr>
            <w:r w:rsidRPr="00FD08AF">
              <w:t>Australian Accounting Standards Board</w:t>
            </w:r>
          </w:p>
        </w:tc>
      </w:tr>
      <w:tr w:rsidR="009B311D" w:rsidRPr="00DA76B8" w14:paraId="0E7F5B62" w14:textId="77777777" w:rsidTr="00401168">
        <w:trPr>
          <w:trHeight w:val="328"/>
        </w:trPr>
        <w:tc>
          <w:tcPr>
            <w:tcW w:w="1794" w:type="dxa"/>
          </w:tcPr>
          <w:p w14:paraId="62EC97E8" w14:textId="77777777" w:rsidR="009B311D" w:rsidRPr="00982E7B" w:rsidRDefault="009B311D">
            <w:pPr>
              <w:pStyle w:val="TableofAuthorities"/>
            </w:pPr>
            <w:r w:rsidRPr="00982E7B">
              <w:t>Accommodation supplement</w:t>
            </w:r>
          </w:p>
        </w:tc>
        <w:tc>
          <w:tcPr>
            <w:tcW w:w="7266" w:type="dxa"/>
          </w:tcPr>
          <w:p w14:paraId="298C82B6" w14:textId="7F092740" w:rsidR="009B311D" w:rsidRPr="00982E7B" w:rsidRDefault="74A351B1">
            <w:pPr>
              <w:pStyle w:val="TableofAuthorities"/>
            </w:pPr>
            <w:r>
              <w:t>I</w:t>
            </w:r>
            <w:r w:rsidR="009B311D">
              <w:t>s</w:t>
            </w:r>
            <w:r w:rsidR="009B311D" w:rsidRPr="00982E7B">
              <w:t xml:space="preserve"> payable on behalf of residents receiving permanent residential aged care who do not have the capacity to contribute to all or part of the cost of their accommodation.</w:t>
            </w:r>
          </w:p>
        </w:tc>
      </w:tr>
      <w:tr w:rsidR="009B311D" w:rsidRPr="00DA76B8" w14:paraId="7C8A593C" w14:textId="77777777" w:rsidTr="00401168">
        <w:trPr>
          <w:trHeight w:val="109"/>
        </w:trPr>
        <w:tc>
          <w:tcPr>
            <w:tcW w:w="1794" w:type="dxa"/>
          </w:tcPr>
          <w:p w14:paraId="46E17B38" w14:textId="77777777" w:rsidR="009B311D" w:rsidRPr="00982E7B" w:rsidRDefault="009B311D">
            <w:pPr>
              <w:pStyle w:val="TableofAuthorities"/>
            </w:pPr>
            <w:r w:rsidRPr="00982E7B">
              <w:t>Aged Care Act 1997 (the Act)</w:t>
            </w:r>
          </w:p>
        </w:tc>
        <w:tc>
          <w:tcPr>
            <w:tcW w:w="7266" w:type="dxa"/>
          </w:tcPr>
          <w:p w14:paraId="5340EB29" w14:textId="070F3963" w:rsidR="009B311D" w:rsidRPr="00982E7B" w:rsidRDefault="009B311D">
            <w:pPr>
              <w:pStyle w:val="TableofAuthorities"/>
            </w:pPr>
            <w:r w:rsidRPr="00982E7B">
              <w:t xml:space="preserve">The primary legislation governing the provision of aged care services. </w:t>
            </w:r>
            <w:r w:rsidR="00AA7CB9">
              <w:t>T</w:t>
            </w:r>
            <w:r w:rsidRPr="00982E7B">
              <w:t xml:space="preserve">he Government </w:t>
            </w:r>
            <w:r w:rsidR="00AA7CB9">
              <w:t xml:space="preserve">has </w:t>
            </w:r>
            <w:r w:rsidRPr="00982E7B">
              <w:t xml:space="preserve">announced that </w:t>
            </w:r>
            <w:r w:rsidR="00AA7CB9">
              <w:t>w</w:t>
            </w:r>
            <w:r w:rsidRPr="00982E7B">
              <w:t xml:space="preserve">ork is underway on the </w:t>
            </w:r>
            <w:r w:rsidR="00782C2F">
              <w:t>n</w:t>
            </w:r>
            <w:r w:rsidR="00782C2F" w:rsidRPr="00982E7B">
              <w:t xml:space="preserve">ew </w:t>
            </w:r>
            <w:r w:rsidRPr="00982E7B">
              <w:t>Aged Care Act</w:t>
            </w:r>
            <w:r w:rsidR="002C077D">
              <w:t xml:space="preserve"> </w:t>
            </w:r>
            <w:r w:rsidR="00C20F4D">
              <w:t xml:space="preserve">which </w:t>
            </w:r>
            <w:r w:rsidR="001C2425">
              <w:t>is planned to commence 1 July 2025</w:t>
            </w:r>
            <w:r w:rsidR="00C20F4D">
              <w:t xml:space="preserve"> (subject to parliamentary processes)</w:t>
            </w:r>
            <w:r w:rsidRPr="00982E7B">
              <w:t>.</w:t>
            </w:r>
          </w:p>
        </w:tc>
      </w:tr>
      <w:tr w:rsidR="009B311D" w:rsidRPr="00DA76B8" w14:paraId="2A32E3D9" w14:textId="77777777" w:rsidTr="00401168">
        <w:trPr>
          <w:trHeight w:val="1410"/>
        </w:trPr>
        <w:tc>
          <w:tcPr>
            <w:tcW w:w="1794" w:type="dxa"/>
          </w:tcPr>
          <w:p w14:paraId="628E4EBA" w14:textId="77777777" w:rsidR="009B311D" w:rsidRPr="00982E7B" w:rsidRDefault="009B311D">
            <w:pPr>
              <w:pStyle w:val="TableofAuthorities"/>
            </w:pPr>
            <w:r w:rsidRPr="00982E7B">
              <w:t>Aged Care Approvals Round (ACAR)</w:t>
            </w:r>
          </w:p>
        </w:tc>
        <w:tc>
          <w:tcPr>
            <w:tcW w:w="7266" w:type="dxa"/>
          </w:tcPr>
          <w:p w14:paraId="086F2032" w14:textId="264EC0CD" w:rsidR="009B311D" w:rsidRPr="00982E7B" w:rsidRDefault="009B311D">
            <w:pPr>
              <w:pStyle w:val="TableofAuthorities"/>
            </w:pPr>
            <w:r w:rsidRPr="00982E7B">
              <w:t xml:space="preserve">A competitive application process that enables prospective and existing approved providers of residential aged care to apply for a range of new Australian Government funded aged care places and financial assistance in the form of a capital grant. In May 2021, </w:t>
            </w:r>
            <w:r w:rsidR="2261CBDD">
              <w:t>it was</w:t>
            </w:r>
            <w:r w:rsidRPr="00982E7B">
              <w:t xml:space="preserve"> announced that the 2021 ACAR would be the last round held</w:t>
            </w:r>
            <w:r w:rsidR="00591E28">
              <w:t>.</w:t>
            </w:r>
            <w:r w:rsidRPr="00982E7B">
              <w:t xml:space="preserve"> </w:t>
            </w:r>
            <w:r w:rsidR="00591E28">
              <w:t xml:space="preserve">As part of the new Aged Care Act, </w:t>
            </w:r>
            <w:r w:rsidRPr="00982E7B">
              <w:t>residential care places will be allocated directly to recipients.</w:t>
            </w:r>
          </w:p>
        </w:tc>
      </w:tr>
      <w:tr w:rsidR="009B311D" w:rsidRPr="00DA76B8" w14:paraId="788F9513" w14:textId="77777777" w:rsidTr="00401168">
        <w:trPr>
          <w:trHeight w:val="109"/>
        </w:trPr>
        <w:tc>
          <w:tcPr>
            <w:tcW w:w="1794" w:type="dxa"/>
          </w:tcPr>
          <w:p w14:paraId="7D5BD2D2" w14:textId="77777777" w:rsidR="009B311D" w:rsidRPr="00982E7B" w:rsidRDefault="009B311D">
            <w:pPr>
              <w:pStyle w:val="TableofAuthorities"/>
            </w:pPr>
            <w:r w:rsidRPr="00982E7B">
              <w:t>Aged Care Assessment Team (ACAT)</w:t>
            </w:r>
          </w:p>
        </w:tc>
        <w:tc>
          <w:tcPr>
            <w:tcW w:w="7266" w:type="dxa"/>
          </w:tcPr>
          <w:p w14:paraId="46B3BE12" w14:textId="77777777" w:rsidR="009B311D" w:rsidRPr="00982E7B" w:rsidRDefault="009B311D">
            <w:pPr>
              <w:pStyle w:val="TableofAuthorities"/>
            </w:pPr>
            <w:r w:rsidRPr="00982E7B">
              <w:t>ACATs are teams of medical and allied health professionals who assess the physical, psychological, medical, restorative, cultural and social needs of frail older people and help them and their carers to access appropriate levels of support.</w:t>
            </w:r>
          </w:p>
        </w:tc>
      </w:tr>
      <w:tr w:rsidR="009B311D" w:rsidRPr="00DA76B8" w14:paraId="040AE68A" w14:textId="77777777" w:rsidTr="00401168">
        <w:trPr>
          <w:trHeight w:val="1410"/>
        </w:trPr>
        <w:tc>
          <w:tcPr>
            <w:tcW w:w="1794" w:type="dxa"/>
          </w:tcPr>
          <w:p w14:paraId="3756E041" w14:textId="77777777" w:rsidR="009B311D" w:rsidRPr="00982E7B" w:rsidRDefault="009B311D">
            <w:pPr>
              <w:pStyle w:val="TableofAuthorities"/>
            </w:pPr>
            <w:r w:rsidRPr="00982E7B">
              <w:t>Aged Care Financial Report (ACFR)</w:t>
            </w:r>
          </w:p>
        </w:tc>
        <w:tc>
          <w:tcPr>
            <w:tcW w:w="7266" w:type="dxa"/>
          </w:tcPr>
          <w:p w14:paraId="1AE5FC40" w14:textId="77777777" w:rsidR="009B311D" w:rsidRPr="00982E7B" w:rsidRDefault="009B311D">
            <w:pPr>
              <w:pStyle w:val="TableofAuthorities"/>
            </w:pPr>
            <w:r w:rsidRPr="00982E7B">
              <w:t>A reporting template introduced for the 2016–17 reporting year that consolidates prudential and financial reporting information that was previously separately reported. The ACFR consolidates information previously reported through the Annual Prudential Compliance Statement, the Survey of Aged Care Homes, the Home Care Financial Report and the Short-Term Restorative Care Financial Report.</w:t>
            </w:r>
          </w:p>
        </w:tc>
      </w:tr>
      <w:tr w:rsidR="009B311D" w:rsidRPr="00DA76B8" w14:paraId="18158101" w14:textId="77777777" w:rsidTr="00401168">
        <w:trPr>
          <w:trHeight w:val="136"/>
        </w:trPr>
        <w:tc>
          <w:tcPr>
            <w:tcW w:w="1794" w:type="dxa"/>
          </w:tcPr>
          <w:p w14:paraId="6463F568" w14:textId="77777777" w:rsidR="009B311D" w:rsidRPr="00982E7B" w:rsidRDefault="009B311D">
            <w:pPr>
              <w:pStyle w:val="TableofAuthorities"/>
            </w:pPr>
            <w:r w:rsidRPr="00982E7B">
              <w:t>Aged Care Funding Instrument (ACFI)</w:t>
            </w:r>
          </w:p>
        </w:tc>
        <w:tc>
          <w:tcPr>
            <w:tcW w:w="7266" w:type="dxa"/>
          </w:tcPr>
          <w:p w14:paraId="69CA7C75" w14:textId="5971AD24" w:rsidR="009B311D" w:rsidRPr="00982E7B" w:rsidRDefault="009B311D">
            <w:pPr>
              <w:pStyle w:val="TableofAuthorities"/>
            </w:pPr>
            <w:r w:rsidRPr="00982E7B">
              <w:t xml:space="preserve">The classification instrument used </w:t>
            </w:r>
            <w:r>
              <w:t xml:space="preserve">in 2021-22 </w:t>
            </w:r>
            <w:r w:rsidRPr="00982E7B">
              <w:t xml:space="preserve">to calculate subsidies to residential aged care facilities. ACFI </w:t>
            </w:r>
            <w:r w:rsidR="00DA41BF">
              <w:t>was</w:t>
            </w:r>
            <w:r w:rsidR="00DA41BF" w:rsidRPr="00982E7B">
              <w:t xml:space="preserve"> </w:t>
            </w:r>
            <w:r w:rsidRPr="00982E7B">
              <w:t xml:space="preserve">replaced by the Australian National Aged Care Classification (AN-ACC) </w:t>
            </w:r>
            <w:r w:rsidR="00DA41BF">
              <w:t>in</w:t>
            </w:r>
            <w:r w:rsidR="00DA41BF" w:rsidRPr="00982E7B">
              <w:t xml:space="preserve"> </w:t>
            </w:r>
            <w:r w:rsidRPr="00982E7B">
              <w:t>October 2022.</w:t>
            </w:r>
          </w:p>
        </w:tc>
      </w:tr>
      <w:tr w:rsidR="009B311D" w:rsidRPr="00DA76B8" w14:paraId="1A79354D" w14:textId="77777777" w:rsidTr="001B40F9">
        <w:trPr>
          <w:trHeight w:val="823"/>
        </w:trPr>
        <w:tc>
          <w:tcPr>
            <w:tcW w:w="1794" w:type="dxa"/>
          </w:tcPr>
          <w:p w14:paraId="12AA476D" w14:textId="77777777" w:rsidR="009B311D" w:rsidRPr="00982E7B" w:rsidRDefault="009B311D">
            <w:pPr>
              <w:pStyle w:val="TableofAuthorities"/>
            </w:pPr>
            <w:r w:rsidRPr="00982E7B">
              <w:t>Agreed accommodation price</w:t>
            </w:r>
          </w:p>
        </w:tc>
        <w:tc>
          <w:tcPr>
            <w:tcW w:w="7266" w:type="dxa"/>
          </w:tcPr>
          <w:p w14:paraId="2982D02E" w14:textId="77777777" w:rsidR="009B311D" w:rsidRPr="00982E7B" w:rsidRDefault="009B311D">
            <w:pPr>
              <w:pStyle w:val="TableofAuthorities"/>
            </w:pPr>
            <w:r w:rsidRPr="00982E7B">
              <w:t>Accommodation prices agreed between providers and prospective residents prior to entry, as reported by providers through the Aged Care Entry Record.</w:t>
            </w:r>
          </w:p>
        </w:tc>
      </w:tr>
      <w:tr w:rsidR="009B311D" w:rsidRPr="00DA76B8" w14:paraId="22AB5806" w14:textId="77777777" w:rsidTr="00401168">
        <w:trPr>
          <w:trHeight w:val="501"/>
        </w:trPr>
        <w:tc>
          <w:tcPr>
            <w:tcW w:w="1794" w:type="dxa"/>
          </w:tcPr>
          <w:p w14:paraId="36FE947A" w14:textId="77777777" w:rsidR="009B311D" w:rsidRPr="00982E7B" w:rsidRDefault="009B311D">
            <w:pPr>
              <w:pStyle w:val="TableofAuthorities"/>
            </w:pPr>
            <w:r w:rsidRPr="00982E7B">
              <w:t>Approved provider</w:t>
            </w:r>
          </w:p>
        </w:tc>
        <w:tc>
          <w:tcPr>
            <w:tcW w:w="7266" w:type="dxa"/>
          </w:tcPr>
          <w:p w14:paraId="5F92ED6D" w14:textId="77777777" w:rsidR="009B311D" w:rsidRPr="00982E7B" w:rsidRDefault="009B311D">
            <w:pPr>
              <w:pStyle w:val="TableofAuthorities"/>
            </w:pPr>
            <w:r w:rsidRPr="00982E7B">
              <w:t xml:space="preserve">An approved provider of aged care is an organisation that has been approved by the Secretary of the department to provide residential care, home care or flexible care under the </w:t>
            </w:r>
            <w:r w:rsidRPr="001B40F9">
              <w:rPr>
                <w:i/>
              </w:rPr>
              <w:t>Aged Care Act 1997</w:t>
            </w:r>
            <w:r w:rsidRPr="00982E7B">
              <w:t>.</w:t>
            </w:r>
          </w:p>
        </w:tc>
      </w:tr>
      <w:tr w:rsidR="009B311D" w:rsidRPr="00DA76B8" w14:paraId="1C771B2F" w14:textId="77777777" w:rsidTr="00401168">
        <w:trPr>
          <w:trHeight w:val="1309"/>
        </w:trPr>
        <w:tc>
          <w:tcPr>
            <w:tcW w:w="1794" w:type="dxa"/>
          </w:tcPr>
          <w:p w14:paraId="00FE7EE4" w14:textId="77777777" w:rsidR="009B311D" w:rsidRPr="00982E7B" w:rsidRDefault="009B311D">
            <w:pPr>
              <w:pStyle w:val="TableofAuthorities"/>
            </w:pPr>
            <w:r>
              <w:t>Australian National Aged Care Classification (AN-ACC)</w:t>
            </w:r>
          </w:p>
        </w:tc>
        <w:tc>
          <w:tcPr>
            <w:tcW w:w="7266" w:type="dxa"/>
          </w:tcPr>
          <w:p w14:paraId="3E56A14F" w14:textId="4E052B5E" w:rsidR="009B311D" w:rsidRPr="00982E7B" w:rsidRDefault="009B311D">
            <w:pPr>
              <w:pStyle w:val="TableofAuthorities"/>
            </w:pPr>
            <w:r w:rsidRPr="008E355A">
              <w:t>The Australian Government provides subsidies to approved residential aged care providers through the AN-ACC funding model</w:t>
            </w:r>
            <w:r>
              <w:t>. The AN-ACC model commenced in October 2022.</w:t>
            </w:r>
          </w:p>
        </w:tc>
      </w:tr>
      <w:tr w:rsidR="009B311D" w:rsidRPr="00DA76B8" w14:paraId="40DF76E4" w14:textId="77777777" w:rsidTr="00401168">
        <w:trPr>
          <w:trHeight w:val="109"/>
        </w:trPr>
        <w:tc>
          <w:tcPr>
            <w:tcW w:w="1794" w:type="dxa"/>
          </w:tcPr>
          <w:p w14:paraId="205AA3F5" w14:textId="77777777" w:rsidR="009B311D" w:rsidRPr="00982E7B" w:rsidRDefault="009B311D">
            <w:pPr>
              <w:pStyle w:val="TableofAuthorities"/>
            </w:pPr>
            <w:r w:rsidRPr="00982E7B">
              <w:t>Bed days</w:t>
            </w:r>
          </w:p>
        </w:tc>
        <w:tc>
          <w:tcPr>
            <w:tcW w:w="7266" w:type="dxa"/>
          </w:tcPr>
          <w:p w14:paraId="5050A53A" w14:textId="77777777" w:rsidR="009B311D" w:rsidRPr="00982E7B" w:rsidRDefault="009B311D">
            <w:pPr>
              <w:pStyle w:val="TableofAuthorities"/>
            </w:pPr>
            <w:r w:rsidRPr="00982E7B">
              <w:t>The number of days for which a residential care place was available to be occupied by care recipients.</w:t>
            </w:r>
          </w:p>
        </w:tc>
      </w:tr>
      <w:tr w:rsidR="009B311D" w:rsidRPr="00DA76B8" w14:paraId="6BF227A6" w14:textId="77777777" w:rsidTr="00401168">
        <w:trPr>
          <w:trHeight w:val="109"/>
        </w:trPr>
        <w:tc>
          <w:tcPr>
            <w:tcW w:w="1794" w:type="dxa"/>
          </w:tcPr>
          <w:p w14:paraId="0F2AD933" w14:textId="77777777" w:rsidR="009B311D" w:rsidRPr="00982E7B" w:rsidRDefault="009B311D">
            <w:pPr>
              <w:pStyle w:val="TableofAuthorities"/>
            </w:pPr>
            <w:r w:rsidRPr="00982E7B">
              <w:t>Care days</w:t>
            </w:r>
          </w:p>
        </w:tc>
        <w:tc>
          <w:tcPr>
            <w:tcW w:w="7266" w:type="dxa"/>
          </w:tcPr>
          <w:p w14:paraId="79DB44FA" w14:textId="77777777" w:rsidR="009B311D" w:rsidRPr="00982E7B" w:rsidRDefault="009B311D">
            <w:pPr>
              <w:pStyle w:val="TableofAuthorities"/>
            </w:pPr>
            <w:r w:rsidRPr="00982E7B">
              <w:t>The number of days for which care was actually provided to a care recipient in an aged care place.</w:t>
            </w:r>
          </w:p>
        </w:tc>
      </w:tr>
      <w:tr w:rsidR="009B311D" w:rsidRPr="00DA76B8" w14:paraId="299C5D3F" w14:textId="77777777" w:rsidTr="00401168">
        <w:trPr>
          <w:trHeight w:val="120"/>
        </w:trPr>
        <w:tc>
          <w:tcPr>
            <w:tcW w:w="1794" w:type="dxa"/>
          </w:tcPr>
          <w:p w14:paraId="43E7FCD2" w14:textId="77777777" w:rsidR="009B311D" w:rsidRPr="00982E7B" w:rsidRDefault="009B311D">
            <w:pPr>
              <w:pStyle w:val="TableofAuthorities"/>
            </w:pPr>
            <w:r w:rsidRPr="00982E7B">
              <w:t>Cash as a proportion of accommodation deposits</w:t>
            </w:r>
          </w:p>
        </w:tc>
        <w:tc>
          <w:tcPr>
            <w:tcW w:w="7266" w:type="dxa"/>
          </w:tcPr>
          <w:p w14:paraId="35DAE552" w14:textId="77777777" w:rsidR="009B311D" w:rsidRPr="00982E7B" w:rsidRDefault="009B311D">
            <w:pPr>
              <w:pStyle w:val="TableofAuthorities"/>
            </w:pPr>
            <w:r w:rsidRPr="00982E7B">
              <w:t>Cash and cash equivalents in the form of financial assets, as a proportion of refundable accommodation deposit balances provides an indication of an organisation’s capacity to repay the accommodation deposit balances with liquid resources.</w:t>
            </w:r>
          </w:p>
        </w:tc>
      </w:tr>
      <w:tr w:rsidR="009B311D" w:rsidRPr="00DA76B8" w14:paraId="1053B211" w14:textId="77777777" w:rsidTr="00401168">
        <w:trPr>
          <w:trHeight w:val="1410"/>
        </w:trPr>
        <w:tc>
          <w:tcPr>
            <w:tcW w:w="1794" w:type="dxa"/>
          </w:tcPr>
          <w:p w14:paraId="6EB20749" w14:textId="77777777" w:rsidR="009B311D" w:rsidRPr="00982E7B" w:rsidRDefault="009B311D">
            <w:pPr>
              <w:pStyle w:val="TableofAuthorities"/>
            </w:pPr>
            <w:r w:rsidRPr="00982E7B">
              <w:t>Commonwealth Home Support Programme (CHSP)</w:t>
            </w:r>
          </w:p>
        </w:tc>
        <w:tc>
          <w:tcPr>
            <w:tcW w:w="7266" w:type="dxa"/>
          </w:tcPr>
          <w:p w14:paraId="3ECE6DB6" w14:textId="77777777" w:rsidR="009B311D" w:rsidRPr="00982E7B" w:rsidRDefault="009B311D">
            <w:pPr>
              <w:pStyle w:val="TableofAuthorities"/>
            </w:pPr>
            <w:r w:rsidRPr="00982E7B">
              <w:t>This program provides entry-level support services designed to help frail older people stay in their homes. It was introduced on 1 July 2015, consolidating four former programs: Commonwealth Home and Community Care (HACC); the National Respite for Carers Program (NRCP); Day Therapy Centres (DTC); and Assistance with Care and Housing for the Aged (ACHA).</w:t>
            </w:r>
          </w:p>
        </w:tc>
      </w:tr>
      <w:tr w:rsidR="009B311D" w:rsidRPr="00DA76B8" w14:paraId="2C2F60B9" w14:textId="77777777" w:rsidTr="001B40F9">
        <w:trPr>
          <w:trHeight w:val="749"/>
        </w:trPr>
        <w:tc>
          <w:tcPr>
            <w:tcW w:w="1794" w:type="dxa"/>
          </w:tcPr>
          <w:p w14:paraId="4B60A6F2" w14:textId="77777777" w:rsidR="009B311D" w:rsidRPr="00982E7B" w:rsidRDefault="009B311D">
            <w:pPr>
              <w:pStyle w:val="TableofAuthorities"/>
            </w:pPr>
            <w:r w:rsidRPr="00982E7B">
              <w:t>Consumer Price Index (CPI)</w:t>
            </w:r>
          </w:p>
        </w:tc>
        <w:tc>
          <w:tcPr>
            <w:tcW w:w="7266" w:type="dxa"/>
          </w:tcPr>
          <w:p w14:paraId="55F17C03" w14:textId="53BC54BC" w:rsidR="009B311D" w:rsidRPr="00982E7B" w:rsidRDefault="009B311D">
            <w:pPr>
              <w:pStyle w:val="TableofAuthorities"/>
            </w:pPr>
            <w:r w:rsidRPr="00982E7B">
              <w:t xml:space="preserve">CPI measures the changes in the price of a fixed basket of goods and services, acquired by household residents who are </w:t>
            </w:r>
            <w:r w:rsidR="007D10B7">
              <w:t xml:space="preserve">a </w:t>
            </w:r>
            <w:r w:rsidRPr="00982E7B">
              <w:t>resident in the eight state and territory capital cities.</w:t>
            </w:r>
          </w:p>
        </w:tc>
      </w:tr>
      <w:tr w:rsidR="009B311D" w:rsidRPr="00DA76B8" w14:paraId="50CB076C" w14:textId="77777777" w:rsidTr="00401168">
        <w:trPr>
          <w:trHeight w:val="853"/>
        </w:trPr>
        <w:tc>
          <w:tcPr>
            <w:tcW w:w="1794" w:type="dxa"/>
          </w:tcPr>
          <w:p w14:paraId="309E66AF" w14:textId="77777777" w:rsidR="009B311D" w:rsidRPr="00982E7B" w:rsidRDefault="009B311D">
            <w:pPr>
              <w:pStyle w:val="TableofAuthorities"/>
            </w:pPr>
            <w:r w:rsidRPr="00982E7B">
              <w:t>Culturally and Linguistically Diverse (CALD)</w:t>
            </w:r>
          </w:p>
        </w:tc>
        <w:tc>
          <w:tcPr>
            <w:tcW w:w="7266" w:type="dxa"/>
          </w:tcPr>
          <w:p w14:paraId="53CF3FAF" w14:textId="4F71EE76" w:rsidR="009B311D" w:rsidRPr="00982E7B" w:rsidRDefault="00E830B3">
            <w:pPr>
              <w:pStyle w:val="TableofAuthorities"/>
            </w:pPr>
            <w:r>
              <w:t>Older people in Australia</w:t>
            </w:r>
            <w:r w:rsidR="009B311D" w:rsidRPr="00982E7B">
              <w:t xml:space="preserve"> who have particular cultural or linguistic affiliations due to their:</w:t>
            </w:r>
            <w:r w:rsidR="00B102AA">
              <w:t xml:space="preserve"> </w:t>
            </w:r>
            <w:r w:rsidR="009B311D" w:rsidRPr="00982E7B">
              <w:t>place of birth or ethnic origin;</w:t>
            </w:r>
            <w:r w:rsidR="00B102AA">
              <w:t xml:space="preserve"> </w:t>
            </w:r>
            <w:r w:rsidR="009B311D" w:rsidRPr="00982E7B">
              <w:t>main language other than English spoken at home; or</w:t>
            </w:r>
            <w:r w:rsidR="00B102AA">
              <w:t xml:space="preserve"> </w:t>
            </w:r>
            <w:r w:rsidR="009B311D" w:rsidRPr="00982E7B">
              <w:t>proficiency in spoken English.</w:t>
            </w:r>
          </w:p>
        </w:tc>
      </w:tr>
      <w:tr w:rsidR="009B311D" w:rsidRPr="00DA76B8" w14:paraId="78AFF9B2" w14:textId="77777777" w:rsidTr="00401168">
        <w:trPr>
          <w:trHeight w:val="693"/>
        </w:trPr>
        <w:tc>
          <w:tcPr>
            <w:tcW w:w="1794" w:type="dxa"/>
          </w:tcPr>
          <w:p w14:paraId="17E894D3" w14:textId="77777777" w:rsidR="009B311D" w:rsidRPr="00982E7B" w:rsidRDefault="009B311D">
            <w:pPr>
              <w:pStyle w:val="TableofAuthorities"/>
            </w:pPr>
            <w:r w:rsidRPr="00982E7B">
              <w:t>Current Ratio</w:t>
            </w:r>
          </w:p>
        </w:tc>
        <w:tc>
          <w:tcPr>
            <w:tcW w:w="7266" w:type="dxa"/>
          </w:tcPr>
          <w:p w14:paraId="50A22D48" w14:textId="76E5AA86" w:rsidR="009B311D" w:rsidRPr="00982E7B" w:rsidRDefault="009B311D">
            <w:pPr>
              <w:pStyle w:val="TableofAuthorities"/>
            </w:pPr>
            <w:r w:rsidRPr="00982E7B">
              <w:t>Represents the ability to meet short</w:t>
            </w:r>
            <w:r w:rsidR="009025DA">
              <w:t>-</w:t>
            </w:r>
            <w:r w:rsidRPr="00982E7B">
              <w:t>term debt through current assets. A current ratio of more than one indicates that an organisation’s current assets exceed its current liabilities. It is calculated as Current Assets/Current Liabilities.</w:t>
            </w:r>
          </w:p>
        </w:tc>
      </w:tr>
      <w:tr w:rsidR="009B311D" w:rsidRPr="00DA76B8" w14:paraId="18595B67" w14:textId="77777777" w:rsidTr="00401168">
        <w:trPr>
          <w:trHeight w:val="399"/>
        </w:trPr>
        <w:tc>
          <w:tcPr>
            <w:tcW w:w="1794" w:type="dxa"/>
          </w:tcPr>
          <w:p w14:paraId="120B1A01" w14:textId="77777777" w:rsidR="009B311D" w:rsidRPr="00982E7B" w:rsidRDefault="009B311D">
            <w:pPr>
              <w:pStyle w:val="TableofAuthorities"/>
            </w:pPr>
            <w:r w:rsidRPr="00982E7B">
              <w:t>Daily Accommodation Contribution (DAC)</w:t>
            </w:r>
          </w:p>
        </w:tc>
        <w:tc>
          <w:tcPr>
            <w:tcW w:w="7266" w:type="dxa"/>
          </w:tcPr>
          <w:p w14:paraId="4EF1410C" w14:textId="77777777" w:rsidR="009B311D" w:rsidRPr="00982E7B" w:rsidRDefault="009B311D">
            <w:pPr>
              <w:pStyle w:val="TableofAuthorities"/>
            </w:pPr>
            <w:r w:rsidRPr="00982E7B">
              <w:t>An amount paid by a partially supported resident as a contribution toward their accommodation costs in a residential aged care facility, calculated on a daily basis and paid periodically.</w:t>
            </w:r>
          </w:p>
        </w:tc>
      </w:tr>
      <w:tr w:rsidR="009B311D" w:rsidRPr="00DA76B8" w14:paraId="7CBD9516" w14:textId="77777777" w:rsidTr="00401168">
        <w:trPr>
          <w:trHeight w:val="109"/>
        </w:trPr>
        <w:tc>
          <w:tcPr>
            <w:tcW w:w="1794" w:type="dxa"/>
          </w:tcPr>
          <w:p w14:paraId="3714436E" w14:textId="77777777" w:rsidR="009B311D" w:rsidRPr="00982E7B" w:rsidRDefault="009B311D">
            <w:pPr>
              <w:pStyle w:val="TableofAuthorities"/>
            </w:pPr>
            <w:r w:rsidRPr="00982E7B">
              <w:t>Daily Accommodation Payment (DAP)</w:t>
            </w:r>
          </w:p>
        </w:tc>
        <w:tc>
          <w:tcPr>
            <w:tcW w:w="7266" w:type="dxa"/>
          </w:tcPr>
          <w:p w14:paraId="1F6B919A" w14:textId="77777777" w:rsidR="009B311D" w:rsidRPr="00982E7B" w:rsidRDefault="009B311D">
            <w:pPr>
              <w:pStyle w:val="TableofAuthorities"/>
            </w:pPr>
            <w:r w:rsidRPr="00982E7B">
              <w:t>An amount paid by a non-supported resident towards their accommodation costs in a residential aged care facility calculated on a daily basis and paid periodically.</w:t>
            </w:r>
          </w:p>
        </w:tc>
      </w:tr>
      <w:tr w:rsidR="009B311D" w:rsidRPr="00DA76B8" w14:paraId="6BD739DB" w14:textId="77777777" w:rsidTr="6E9C5146">
        <w:trPr>
          <w:trHeight w:val="610"/>
        </w:trPr>
        <w:tc>
          <w:tcPr>
            <w:tcW w:w="1794" w:type="dxa"/>
          </w:tcPr>
          <w:p w14:paraId="100D6C86" w14:textId="77777777" w:rsidR="009B311D" w:rsidRPr="00982E7B" w:rsidRDefault="009B311D">
            <w:pPr>
              <w:pStyle w:val="TableofAuthorities"/>
            </w:pPr>
            <w:r w:rsidRPr="00982E7B">
              <w:t>Debt Ratio</w:t>
            </w:r>
          </w:p>
        </w:tc>
        <w:tc>
          <w:tcPr>
            <w:tcW w:w="7266" w:type="dxa"/>
          </w:tcPr>
          <w:p w14:paraId="6E090A26" w14:textId="3A51C645" w:rsidR="009B311D" w:rsidRPr="00982E7B" w:rsidRDefault="7BF19700">
            <w:pPr>
              <w:pStyle w:val="TableofAuthorities"/>
            </w:pPr>
            <w:r>
              <w:t>I</w:t>
            </w:r>
            <w:r w:rsidR="009B311D">
              <w:t>s</w:t>
            </w:r>
            <w:r w:rsidR="009B311D" w:rsidRPr="00982E7B">
              <w:t xml:space="preserve"> calculated by dividing an organisation’s total liabilities by its total assets and provides an indication of the degree of financing of an organisation. Within the aged care sector, total liabilities will consist of an organisation’s refundable accommodation deposits as well as other secured and unsecured debt balances. An organisation’s total assets will include cash and asset balances to which the refundable accommodation deposits may have been applied. As total liabilities increase as a proportion of total assets, the higher levels of debt could reflect the use of additional borrowings used to fund an organisation’s improvements and expansions.</w:t>
            </w:r>
          </w:p>
        </w:tc>
      </w:tr>
      <w:tr w:rsidR="009B311D" w:rsidRPr="00DA76B8" w14:paraId="5E2FCC86" w14:textId="77777777" w:rsidTr="00401168">
        <w:trPr>
          <w:trHeight w:val="372"/>
        </w:trPr>
        <w:tc>
          <w:tcPr>
            <w:tcW w:w="1794" w:type="dxa"/>
          </w:tcPr>
          <w:p w14:paraId="3AD36FAF" w14:textId="77777777" w:rsidR="009B311D" w:rsidRPr="00982E7B" w:rsidRDefault="009B311D">
            <w:pPr>
              <w:pStyle w:val="TableofAuthorities"/>
            </w:pPr>
            <w:r w:rsidRPr="00982E7B">
              <w:t>Department of Health and Aged Care</w:t>
            </w:r>
          </w:p>
        </w:tc>
        <w:tc>
          <w:tcPr>
            <w:tcW w:w="7266" w:type="dxa"/>
          </w:tcPr>
          <w:p w14:paraId="5C70606B" w14:textId="01F75332" w:rsidR="009B311D" w:rsidRPr="00982E7B" w:rsidRDefault="009B311D">
            <w:pPr>
              <w:pStyle w:val="TableofAuthorities"/>
            </w:pPr>
            <w:r w:rsidRPr="00982E7B">
              <w:t xml:space="preserve">The department that administers the </w:t>
            </w:r>
            <w:r w:rsidRPr="004059F1">
              <w:rPr>
                <w:i/>
              </w:rPr>
              <w:t>Aged Care Act 1997</w:t>
            </w:r>
            <w:r w:rsidRPr="00982E7B">
              <w:t xml:space="preserve"> </w:t>
            </w:r>
            <w:r w:rsidR="00E371ED">
              <w:t xml:space="preserve">and is the </w:t>
            </w:r>
            <w:r w:rsidR="006773C9">
              <w:t>system g</w:t>
            </w:r>
            <w:r w:rsidR="00E371ED">
              <w:t>overnor</w:t>
            </w:r>
            <w:r w:rsidR="006773C9">
              <w:t xml:space="preserve">. </w:t>
            </w:r>
          </w:p>
        </w:tc>
      </w:tr>
      <w:tr w:rsidR="009B311D" w:rsidRPr="00DA76B8" w14:paraId="314943B8" w14:textId="77777777" w:rsidTr="00401168">
        <w:trPr>
          <w:trHeight w:val="1410"/>
        </w:trPr>
        <w:tc>
          <w:tcPr>
            <w:tcW w:w="1794" w:type="dxa"/>
          </w:tcPr>
          <w:p w14:paraId="6AC620D8" w14:textId="77777777" w:rsidR="009B311D" w:rsidRPr="00982E7B" w:rsidRDefault="009B311D">
            <w:pPr>
              <w:pStyle w:val="TableofAuthorities"/>
            </w:pPr>
            <w:r w:rsidRPr="00982E7B">
              <w:t>Earnings Before Interest, Tax, Depreciation and Amortisation (EBITDA)</w:t>
            </w:r>
          </w:p>
        </w:tc>
        <w:tc>
          <w:tcPr>
            <w:tcW w:w="7266" w:type="dxa"/>
          </w:tcPr>
          <w:p w14:paraId="4DE6FB73" w14:textId="03F08103" w:rsidR="009B311D" w:rsidRPr="00982E7B" w:rsidRDefault="00687A57" w:rsidP="00C870C0">
            <w:pPr>
              <w:rPr>
                <w:sz w:val="22"/>
                <w:szCs w:val="22"/>
              </w:rPr>
            </w:pPr>
            <w:r w:rsidRPr="6E9C5146">
              <w:rPr>
                <w:sz w:val="22"/>
                <w:szCs w:val="22"/>
              </w:rPr>
              <w:t>EBITDA is the</w:t>
            </w:r>
            <w:r w:rsidR="005647E9" w:rsidRPr="6E9C5146">
              <w:rPr>
                <w:sz w:val="22"/>
                <w:szCs w:val="22"/>
              </w:rPr>
              <w:t xml:space="preserve"> profit result prior to </w:t>
            </w:r>
            <w:r w:rsidR="00967107" w:rsidRPr="6E9C5146">
              <w:rPr>
                <w:sz w:val="22"/>
                <w:szCs w:val="22"/>
              </w:rPr>
              <w:t xml:space="preserve">applying </w:t>
            </w:r>
            <w:r w:rsidRPr="6E9C5146">
              <w:rPr>
                <w:sz w:val="22"/>
                <w:szCs w:val="22"/>
              </w:rPr>
              <w:t>interest, tax, depreciation, and amortisation</w:t>
            </w:r>
            <w:r w:rsidR="00967107" w:rsidRPr="6E9C5146">
              <w:rPr>
                <w:sz w:val="22"/>
                <w:szCs w:val="22"/>
              </w:rPr>
              <w:t>. It</w:t>
            </w:r>
            <w:r w:rsidRPr="6E9C5146">
              <w:rPr>
                <w:sz w:val="22"/>
                <w:szCs w:val="22"/>
              </w:rPr>
              <w:t xml:space="preserve"> can be used to compare organisations with each other and against industry averages and is a useful measure of core profit trends because it eliminates some of the extraneous factors mentioned above. This is particularly important when analysing aged care given the diversity of ownership and capital structures. EBITDA helps to smooth out these factors.</w:t>
            </w:r>
          </w:p>
        </w:tc>
      </w:tr>
      <w:tr w:rsidR="009B311D" w:rsidRPr="00DA76B8" w14:paraId="58DD4040" w14:textId="77777777" w:rsidTr="00401168">
        <w:trPr>
          <w:trHeight w:val="109"/>
        </w:trPr>
        <w:tc>
          <w:tcPr>
            <w:tcW w:w="1794" w:type="dxa"/>
          </w:tcPr>
          <w:p w14:paraId="62B7B49F" w14:textId="77777777" w:rsidR="009B311D" w:rsidRPr="00982E7B" w:rsidRDefault="009B311D">
            <w:pPr>
              <w:pStyle w:val="TableofAuthorities"/>
            </w:pPr>
            <w:r w:rsidRPr="00982E7B">
              <w:t>EBITDA margin</w:t>
            </w:r>
          </w:p>
        </w:tc>
        <w:tc>
          <w:tcPr>
            <w:tcW w:w="7266" w:type="dxa"/>
          </w:tcPr>
          <w:p w14:paraId="3C991C3E" w14:textId="77777777" w:rsidR="009B311D" w:rsidRPr="00982E7B" w:rsidRDefault="009B311D">
            <w:pPr>
              <w:pStyle w:val="TableofAuthorities"/>
            </w:pPr>
            <w:r w:rsidRPr="00982E7B">
              <w:t>EBITDA margin shows the average net profit after tax (with interest, taxes, depreciation and amortisation added back into it) generated for each $1 of revenue earned. It’s calculated as EBITDA/total revenue.</w:t>
            </w:r>
          </w:p>
        </w:tc>
      </w:tr>
      <w:tr w:rsidR="009B311D" w:rsidRPr="00DA76B8" w14:paraId="4CD819D2" w14:textId="77777777" w:rsidTr="00401168">
        <w:trPr>
          <w:trHeight w:val="109"/>
        </w:trPr>
        <w:tc>
          <w:tcPr>
            <w:tcW w:w="1794" w:type="dxa"/>
          </w:tcPr>
          <w:p w14:paraId="3AF6CD43" w14:textId="77777777" w:rsidR="009B311D" w:rsidRPr="00982E7B" w:rsidRDefault="009B311D">
            <w:pPr>
              <w:pStyle w:val="TableofAuthorities"/>
            </w:pPr>
            <w:r w:rsidRPr="00982E7B">
              <w:t>Equity to total assets ratio</w:t>
            </w:r>
          </w:p>
        </w:tc>
        <w:tc>
          <w:tcPr>
            <w:tcW w:w="7266" w:type="dxa"/>
          </w:tcPr>
          <w:p w14:paraId="292D6067" w14:textId="0075F022" w:rsidR="009B311D" w:rsidRPr="00982E7B" w:rsidRDefault="009B311D">
            <w:pPr>
              <w:pStyle w:val="TableofAuthorities"/>
            </w:pPr>
            <w:r w:rsidRPr="00982E7B">
              <w:t>Net worth/total equity as a proportion of total assets provides an indication of solvency. For for-profit providers, it shows the proportion of an organisation’s assets which have been contributed by the owners/ shareholders. For not-for-profit and government providers, equity typically consists of retained earnings and revaluation reserves. The lower the ratio suggests that an organisation has used more debt to fund its asset balances.</w:t>
            </w:r>
          </w:p>
        </w:tc>
      </w:tr>
      <w:tr w:rsidR="009B311D" w:rsidRPr="00DA76B8" w14:paraId="289F101F" w14:textId="77777777" w:rsidTr="00401168">
        <w:trPr>
          <w:trHeight w:val="174"/>
        </w:trPr>
        <w:tc>
          <w:tcPr>
            <w:tcW w:w="1794" w:type="dxa"/>
          </w:tcPr>
          <w:p w14:paraId="1963754B" w14:textId="77777777" w:rsidR="009B311D" w:rsidRPr="00982E7B" w:rsidRDefault="009B311D">
            <w:pPr>
              <w:pStyle w:val="TableofAuthorities"/>
            </w:pPr>
            <w:r w:rsidRPr="00982E7B">
              <w:t>Facility</w:t>
            </w:r>
          </w:p>
        </w:tc>
        <w:tc>
          <w:tcPr>
            <w:tcW w:w="7266" w:type="dxa"/>
          </w:tcPr>
          <w:p w14:paraId="17977638" w14:textId="77777777" w:rsidR="009B311D" w:rsidRPr="00982E7B" w:rsidRDefault="009B311D">
            <w:pPr>
              <w:pStyle w:val="TableofAuthorities"/>
            </w:pPr>
            <w:r w:rsidRPr="00982E7B">
              <w:t xml:space="preserve">A residential aged care facility, approved under the </w:t>
            </w:r>
            <w:r w:rsidRPr="004059F1">
              <w:rPr>
                <w:i/>
              </w:rPr>
              <w:t>Aged Care Act 1997</w:t>
            </w:r>
            <w:r w:rsidRPr="00982E7B">
              <w:t xml:space="preserve"> to provide government subsidised accommodation and care.</w:t>
            </w:r>
          </w:p>
        </w:tc>
      </w:tr>
      <w:tr w:rsidR="009B311D" w:rsidRPr="00DA76B8" w14:paraId="4B0C0FDF" w14:textId="77777777" w:rsidTr="00401168">
        <w:trPr>
          <w:trHeight w:val="109"/>
        </w:trPr>
        <w:tc>
          <w:tcPr>
            <w:tcW w:w="1794" w:type="dxa"/>
          </w:tcPr>
          <w:p w14:paraId="793A3D90" w14:textId="77777777" w:rsidR="009B311D" w:rsidRPr="00982E7B" w:rsidRDefault="009B311D">
            <w:pPr>
              <w:pStyle w:val="TableofAuthorities"/>
            </w:pPr>
            <w:r w:rsidRPr="00982E7B">
              <w:t>Flexible care</w:t>
            </w:r>
          </w:p>
        </w:tc>
        <w:tc>
          <w:tcPr>
            <w:tcW w:w="7266" w:type="dxa"/>
          </w:tcPr>
          <w:p w14:paraId="4A58C861" w14:textId="77777777" w:rsidR="009B311D" w:rsidRPr="00982E7B" w:rsidRDefault="009B311D">
            <w:pPr>
              <w:pStyle w:val="TableofAuthorities"/>
            </w:pPr>
            <w:r w:rsidRPr="00982E7B">
              <w:t>For those in either a residential or home care setting, that may require a different care approach than that provided through mainstream residential and home care.</w:t>
            </w:r>
          </w:p>
        </w:tc>
      </w:tr>
      <w:tr w:rsidR="009B311D" w:rsidRPr="00DA76B8" w14:paraId="1AA11FF8" w14:textId="77777777" w:rsidTr="00401168">
        <w:trPr>
          <w:trHeight w:val="355"/>
        </w:trPr>
        <w:tc>
          <w:tcPr>
            <w:tcW w:w="1794" w:type="dxa"/>
          </w:tcPr>
          <w:p w14:paraId="28C9C7AA" w14:textId="77777777" w:rsidR="009B311D" w:rsidRPr="00982E7B" w:rsidRDefault="009B311D">
            <w:pPr>
              <w:pStyle w:val="TableofAuthorities"/>
            </w:pPr>
            <w:r w:rsidRPr="00982E7B">
              <w:t>General Purpose Financial Report (GPFR)</w:t>
            </w:r>
          </w:p>
        </w:tc>
        <w:tc>
          <w:tcPr>
            <w:tcW w:w="7266" w:type="dxa"/>
          </w:tcPr>
          <w:p w14:paraId="5FFD7C94" w14:textId="3D6D3CAA" w:rsidR="009B311D" w:rsidRPr="00982E7B" w:rsidRDefault="009B311D">
            <w:pPr>
              <w:pStyle w:val="TableofAuthorities"/>
            </w:pPr>
            <w:r w:rsidRPr="00982E7B">
              <w:t>An audited financial report that is submitted by providers with their unaudited ACFR</w:t>
            </w:r>
            <w:r>
              <w:t>.</w:t>
            </w:r>
            <w:r w:rsidRPr="00982E7B">
              <w:t xml:space="preserve"> While the ACFR provides a greater level of detail the GPFR is the only audited report and is used to verify information provided.</w:t>
            </w:r>
          </w:p>
        </w:tc>
      </w:tr>
      <w:tr w:rsidR="009B311D" w:rsidRPr="00DA76B8" w14:paraId="3F946716" w14:textId="77777777" w:rsidTr="00401168">
        <w:trPr>
          <w:trHeight w:val="109"/>
        </w:trPr>
        <w:tc>
          <w:tcPr>
            <w:tcW w:w="1794" w:type="dxa"/>
          </w:tcPr>
          <w:p w14:paraId="32543DA5" w14:textId="77777777" w:rsidR="009B311D" w:rsidRPr="00982E7B" w:rsidRDefault="009B311D">
            <w:pPr>
              <w:pStyle w:val="TableofAuthorities"/>
            </w:pPr>
            <w:r w:rsidRPr="00982E7B">
              <w:t>Government provider</w:t>
            </w:r>
          </w:p>
        </w:tc>
        <w:tc>
          <w:tcPr>
            <w:tcW w:w="7266" w:type="dxa"/>
          </w:tcPr>
          <w:p w14:paraId="64CDA088" w14:textId="77777777" w:rsidR="009B311D" w:rsidRPr="00982E7B" w:rsidRDefault="009B311D">
            <w:pPr>
              <w:pStyle w:val="TableofAuthorities"/>
            </w:pPr>
            <w:r w:rsidRPr="00982E7B">
              <w:t>In the context of this report, the term references a provider that is owned by a local, state or territory government.</w:t>
            </w:r>
          </w:p>
        </w:tc>
      </w:tr>
      <w:tr w:rsidR="009B311D" w:rsidRPr="00DA76B8" w14:paraId="69609404" w14:textId="77777777" w:rsidTr="00401168">
        <w:trPr>
          <w:trHeight w:val="109"/>
        </w:trPr>
        <w:tc>
          <w:tcPr>
            <w:tcW w:w="1794" w:type="dxa"/>
          </w:tcPr>
          <w:p w14:paraId="0AEC004F" w14:textId="77777777" w:rsidR="009B311D" w:rsidRPr="00982E7B" w:rsidRDefault="009B311D">
            <w:pPr>
              <w:pStyle w:val="TableofAuthorities"/>
            </w:pPr>
            <w:r w:rsidRPr="00982E7B">
              <w:t>Home care</w:t>
            </w:r>
          </w:p>
        </w:tc>
        <w:tc>
          <w:tcPr>
            <w:tcW w:w="7266" w:type="dxa"/>
          </w:tcPr>
          <w:p w14:paraId="1AD49B90" w14:textId="1681955E" w:rsidR="009B311D" w:rsidRPr="00982E7B" w:rsidRDefault="009B311D">
            <w:pPr>
              <w:pStyle w:val="TableofAuthorities"/>
            </w:pPr>
            <w:r w:rsidRPr="00982E7B">
              <w:t xml:space="preserve">Home based care provided through a home care package to help </w:t>
            </w:r>
            <w:r w:rsidR="00B21FBF">
              <w:t>people</w:t>
            </w:r>
            <w:r w:rsidRPr="00982E7B">
              <w:t xml:space="preserve"> remain in their own homes. Home care is provided through the Home Care Packages </w:t>
            </w:r>
            <w:r w:rsidR="08482ABE">
              <w:t xml:space="preserve">(HCP) </w:t>
            </w:r>
            <w:r w:rsidRPr="00982E7B">
              <w:t>Program.</w:t>
            </w:r>
          </w:p>
        </w:tc>
      </w:tr>
      <w:tr w:rsidR="009B311D" w:rsidRPr="00DA76B8" w14:paraId="2154660C" w14:textId="77777777" w:rsidTr="00401168">
        <w:trPr>
          <w:trHeight w:val="1410"/>
        </w:trPr>
        <w:tc>
          <w:tcPr>
            <w:tcW w:w="1794" w:type="dxa"/>
          </w:tcPr>
          <w:p w14:paraId="391B39D7" w14:textId="3518A1BF" w:rsidR="009B311D" w:rsidRPr="00982E7B" w:rsidRDefault="009B311D">
            <w:pPr>
              <w:pStyle w:val="TableofAuthorities"/>
            </w:pPr>
            <w:r>
              <w:t xml:space="preserve">Home </w:t>
            </w:r>
            <w:r w:rsidR="7FC56703">
              <w:t>C</w:t>
            </w:r>
            <w:r>
              <w:t xml:space="preserve">are </w:t>
            </w:r>
            <w:r w:rsidR="1E348330">
              <w:t>P</w:t>
            </w:r>
            <w:r>
              <w:t>ackage</w:t>
            </w:r>
          </w:p>
        </w:tc>
        <w:tc>
          <w:tcPr>
            <w:tcW w:w="7266" w:type="dxa"/>
          </w:tcPr>
          <w:p w14:paraId="6486C585" w14:textId="3A6F8417" w:rsidR="009B311D" w:rsidRPr="00982E7B" w:rsidRDefault="009B311D">
            <w:pPr>
              <w:pStyle w:val="TableofAuthorities"/>
            </w:pPr>
            <w:r w:rsidRPr="00982E7B">
              <w:t xml:space="preserve">A package of services, delivered though the </w:t>
            </w:r>
            <w:r w:rsidR="4C48576E">
              <w:t>H</w:t>
            </w:r>
            <w:r>
              <w:t>CP</w:t>
            </w:r>
            <w:r w:rsidRPr="00982E7B">
              <w:t xml:space="preserve"> Program, tailored to meet the care needs of a person living at home. The package is coordinated by an approved home care provider, with funding provided by the Australian Government (with some contributions from the recipient). </w:t>
            </w:r>
            <w:r>
              <w:t>H</w:t>
            </w:r>
            <w:r w:rsidR="21C66FF4">
              <w:t>CP</w:t>
            </w:r>
            <w:r>
              <w:t>s</w:t>
            </w:r>
            <w:r w:rsidRPr="00982E7B">
              <w:t xml:space="preserve"> range from level 1 to 4 depending on the care needs of the recipient.</w:t>
            </w:r>
          </w:p>
        </w:tc>
      </w:tr>
      <w:tr w:rsidR="009B311D" w:rsidRPr="00DA76B8" w14:paraId="75B81C41" w14:textId="77777777" w:rsidTr="6E9C5146">
        <w:trPr>
          <w:trHeight w:val="641"/>
        </w:trPr>
        <w:tc>
          <w:tcPr>
            <w:tcW w:w="1794" w:type="dxa"/>
          </w:tcPr>
          <w:p w14:paraId="3DDB8EF6" w14:textId="5D614A41" w:rsidR="009B311D" w:rsidRPr="00982E7B" w:rsidRDefault="009B311D">
            <w:pPr>
              <w:pStyle w:val="TableofAuthorities"/>
            </w:pPr>
            <w:r w:rsidRPr="00982E7B">
              <w:t xml:space="preserve">Home Care Packages </w:t>
            </w:r>
            <w:r w:rsidR="00BC01EE">
              <w:t>(HCP)</w:t>
            </w:r>
            <w:r w:rsidRPr="00982E7B">
              <w:t xml:space="preserve"> Program</w:t>
            </w:r>
          </w:p>
        </w:tc>
        <w:tc>
          <w:tcPr>
            <w:tcW w:w="7266" w:type="dxa"/>
          </w:tcPr>
          <w:p w14:paraId="2B083A7A" w14:textId="65F2931E" w:rsidR="009B311D" w:rsidRPr="00982E7B" w:rsidRDefault="009B311D">
            <w:pPr>
              <w:pStyle w:val="TableofAuthorities"/>
            </w:pPr>
            <w:r w:rsidRPr="00982E7B">
              <w:t xml:space="preserve">An Australian Government funded program </w:t>
            </w:r>
            <w:r>
              <w:t>assist</w:t>
            </w:r>
            <w:r w:rsidR="5C5CBA7F">
              <w:t>ing</w:t>
            </w:r>
            <w:r w:rsidRPr="00982E7B">
              <w:t xml:space="preserve"> people to remain living at home</w:t>
            </w:r>
            <w:r>
              <w:t>.</w:t>
            </w:r>
            <w:r w:rsidRPr="00982E7B">
              <w:t xml:space="preserve"> The </w:t>
            </w:r>
            <w:r>
              <w:t>H</w:t>
            </w:r>
            <w:r w:rsidR="3855FA86">
              <w:t>CP</w:t>
            </w:r>
            <w:r w:rsidRPr="00982E7B">
              <w:t xml:space="preserve"> Program commenced on 1 August 2013.</w:t>
            </w:r>
          </w:p>
        </w:tc>
      </w:tr>
      <w:tr w:rsidR="009B311D" w:rsidRPr="00DA76B8" w14:paraId="593C3797" w14:textId="77777777" w:rsidTr="00401168">
        <w:trPr>
          <w:trHeight w:val="234"/>
        </w:trPr>
        <w:tc>
          <w:tcPr>
            <w:tcW w:w="1794" w:type="dxa"/>
          </w:tcPr>
          <w:p w14:paraId="3320E3D3" w14:textId="77777777" w:rsidR="009B311D" w:rsidRPr="00982E7B" w:rsidRDefault="009B311D">
            <w:pPr>
              <w:pStyle w:val="TableofAuthorities"/>
            </w:pPr>
            <w:r w:rsidRPr="00982E7B">
              <w:t>Homeless supplement</w:t>
            </w:r>
          </w:p>
        </w:tc>
        <w:tc>
          <w:tcPr>
            <w:tcW w:w="7266" w:type="dxa"/>
          </w:tcPr>
          <w:p w14:paraId="0FD0D306" w14:textId="589E077C" w:rsidR="009B311D" w:rsidRPr="00982E7B" w:rsidRDefault="009B311D">
            <w:pPr>
              <w:pStyle w:val="TableofAuthorities"/>
            </w:pPr>
            <w:r w:rsidRPr="00982E7B">
              <w:t>A supplement paid to support residential aged care facilities that specialise in caring for people with a history of, or at risk of, homelessness. This funding is in addition to the funding provided under the viability supplement.</w:t>
            </w:r>
          </w:p>
        </w:tc>
      </w:tr>
      <w:tr w:rsidR="00FC46FF" w:rsidRPr="00DA76B8" w14:paraId="4F38802F" w14:textId="77777777" w:rsidTr="00401168">
        <w:trPr>
          <w:trHeight w:val="109"/>
        </w:trPr>
        <w:tc>
          <w:tcPr>
            <w:tcW w:w="1794" w:type="dxa"/>
          </w:tcPr>
          <w:p w14:paraId="0673DFC8" w14:textId="249260C3" w:rsidR="00FC46FF" w:rsidRPr="00982E7B" w:rsidRDefault="00FC46FF">
            <w:pPr>
              <w:pStyle w:val="TableofAuthorities"/>
            </w:pPr>
            <w:r>
              <w:t>I</w:t>
            </w:r>
            <w:r w:rsidR="0017417D">
              <w:t xml:space="preserve">ndependent </w:t>
            </w:r>
            <w:r w:rsidR="00D50B45">
              <w:t>Health and Aged Care Pricing Authority (IHACPA)</w:t>
            </w:r>
          </w:p>
        </w:tc>
        <w:tc>
          <w:tcPr>
            <w:tcW w:w="7266" w:type="dxa"/>
          </w:tcPr>
          <w:p w14:paraId="265CBFD8" w14:textId="5ADBF6F2" w:rsidR="00FC46FF" w:rsidRPr="00982E7B" w:rsidRDefault="00B77A8B">
            <w:pPr>
              <w:pStyle w:val="TableofAuthorities"/>
            </w:pPr>
            <w:r>
              <w:t xml:space="preserve">An </w:t>
            </w:r>
            <w:r w:rsidR="00CB0995">
              <w:t xml:space="preserve">Independent Government Agency </w:t>
            </w:r>
            <w:r w:rsidR="00661705">
              <w:t>t</w:t>
            </w:r>
            <w:r w:rsidR="00904AF3">
              <w:t xml:space="preserve">hat uses data-driven evidence to </w:t>
            </w:r>
            <w:r w:rsidR="00ED329D">
              <w:t>set fair pricing in the</w:t>
            </w:r>
            <w:r w:rsidR="006308C9">
              <w:t xml:space="preserve"> delivery and funding of public health </w:t>
            </w:r>
            <w:r w:rsidR="00ED329D">
              <w:t xml:space="preserve">and aged care </w:t>
            </w:r>
            <w:r w:rsidR="006308C9">
              <w:t xml:space="preserve">services across Australia. </w:t>
            </w:r>
            <w:r w:rsidR="00F84D00">
              <w:t xml:space="preserve">IHACPA provides </w:t>
            </w:r>
            <w:r w:rsidR="00352EF0">
              <w:t>advice on the sector average efficient cost for delivering care</w:t>
            </w:r>
            <w:r w:rsidR="00B32BF2">
              <w:t xml:space="preserve"> and ensure</w:t>
            </w:r>
            <w:r w:rsidR="003F1D20">
              <w:t>s</w:t>
            </w:r>
            <w:r w:rsidR="00B32BF2">
              <w:t xml:space="preserve"> AN-ACC funding </w:t>
            </w:r>
            <w:r w:rsidR="002B5430">
              <w:t xml:space="preserve">is in line with the costs </w:t>
            </w:r>
            <w:r w:rsidR="00834F3C">
              <w:t>of delivering care</w:t>
            </w:r>
            <w:r w:rsidR="003F1D20">
              <w:t>.</w:t>
            </w:r>
            <w:r w:rsidR="00ED329D">
              <w:t xml:space="preserve"> </w:t>
            </w:r>
          </w:p>
        </w:tc>
      </w:tr>
      <w:tr w:rsidR="009B311D" w:rsidRPr="00DA76B8" w14:paraId="51604AFC" w14:textId="77777777" w:rsidTr="00E83BE3">
        <w:trPr>
          <w:trHeight w:val="690"/>
        </w:trPr>
        <w:tc>
          <w:tcPr>
            <w:tcW w:w="0" w:type="dxa"/>
          </w:tcPr>
          <w:p w14:paraId="1C343601" w14:textId="77777777" w:rsidR="009B311D" w:rsidRPr="00982E7B" w:rsidRDefault="009B311D">
            <w:pPr>
              <w:pStyle w:val="TableofAuthorities"/>
            </w:pPr>
            <w:r w:rsidRPr="00982E7B">
              <w:t>Location</w:t>
            </w:r>
          </w:p>
        </w:tc>
        <w:tc>
          <w:tcPr>
            <w:tcW w:w="0" w:type="dxa"/>
          </w:tcPr>
          <w:p w14:paraId="1A08743F" w14:textId="439D7742" w:rsidR="009B311D" w:rsidRPr="00982E7B" w:rsidRDefault="009B311D">
            <w:pPr>
              <w:pStyle w:val="TableofAuthorities"/>
            </w:pPr>
            <w:r w:rsidRPr="00982E7B">
              <w:t xml:space="preserve">Indicates where a provider, service or resident/recipient is located based on whether they are </w:t>
            </w:r>
            <w:r w:rsidR="00F46C6F">
              <w:t xml:space="preserve">located </w:t>
            </w:r>
            <w:r w:rsidR="00D1568A">
              <w:t xml:space="preserve">in </w:t>
            </w:r>
            <w:r w:rsidRPr="00982E7B">
              <w:t>metropolitan or regional areas. Metropolitan is all major cities and regional is any area outside of a major city. A provider is classified as metropolitan if more than 70</w:t>
            </w:r>
            <w:r w:rsidR="7C94DBC6">
              <w:t>%</w:t>
            </w:r>
            <w:r w:rsidRPr="00982E7B">
              <w:t xml:space="preserve"> of its services are located in metropolitan areas and similarly classified as regional if more than 70</w:t>
            </w:r>
            <w:r w:rsidR="2B0C6FEC">
              <w:t>%</w:t>
            </w:r>
            <w:r w:rsidRPr="00982E7B">
              <w:t xml:space="preserve"> of its services are located in regional areas.</w:t>
            </w:r>
          </w:p>
        </w:tc>
      </w:tr>
      <w:tr w:rsidR="009B311D" w:rsidRPr="00DA76B8" w14:paraId="612CEEBB" w14:textId="77777777" w:rsidTr="001E577B">
        <w:trPr>
          <w:trHeight w:val="1299"/>
        </w:trPr>
        <w:tc>
          <w:tcPr>
            <w:tcW w:w="1794" w:type="dxa"/>
          </w:tcPr>
          <w:p w14:paraId="272A3F8A" w14:textId="77777777" w:rsidR="009B311D" w:rsidRPr="00982E7B" w:rsidRDefault="009B311D">
            <w:pPr>
              <w:pStyle w:val="TableofAuthorities"/>
            </w:pPr>
            <w:r w:rsidRPr="00982E7B">
              <w:t>Maximum accommodation price</w:t>
            </w:r>
          </w:p>
        </w:tc>
        <w:tc>
          <w:tcPr>
            <w:tcW w:w="7266" w:type="dxa"/>
          </w:tcPr>
          <w:p w14:paraId="1AD464D5" w14:textId="0AF4F48C" w:rsidR="009B311D" w:rsidRPr="00982E7B" w:rsidRDefault="009B311D">
            <w:pPr>
              <w:pStyle w:val="TableofAuthorities"/>
            </w:pPr>
            <w:r w:rsidRPr="00982E7B">
              <w:t>Maximum accommodation prices are set by residential care providers for a room (or bed in a shared room) and published on My Aged Care. These are maximum prices (providers and residents may agree lower amounts) that apply to residents who are not eligible for Government support for their accommodation costs.</w:t>
            </w:r>
          </w:p>
        </w:tc>
      </w:tr>
      <w:tr w:rsidR="00AE737F" w:rsidRPr="00DA76B8" w14:paraId="48939607" w14:textId="77777777" w:rsidTr="00401168">
        <w:trPr>
          <w:trHeight w:val="109"/>
        </w:trPr>
        <w:tc>
          <w:tcPr>
            <w:tcW w:w="1794" w:type="dxa"/>
          </w:tcPr>
          <w:p w14:paraId="1ADAC2B8" w14:textId="063CBED7" w:rsidR="00AE737F" w:rsidRPr="00982E7B" w:rsidRDefault="00853DD2">
            <w:pPr>
              <w:pStyle w:val="TableofAuthorities"/>
            </w:pPr>
            <w:r>
              <w:t xml:space="preserve">Modified </w:t>
            </w:r>
            <w:r w:rsidR="00AE737F">
              <w:t xml:space="preserve">Monash Model </w:t>
            </w:r>
            <w:r>
              <w:t>(MMM)</w:t>
            </w:r>
          </w:p>
        </w:tc>
        <w:tc>
          <w:tcPr>
            <w:tcW w:w="7266" w:type="dxa"/>
          </w:tcPr>
          <w:p w14:paraId="556CC377" w14:textId="14F09147" w:rsidR="00AE737F" w:rsidRPr="00982E7B" w:rsidRDefault="00853DD2">
            <w:pPr>
              <w:pStyle w:val="TableofAuthorities"/>
            </w:pPr>
            <w:r w:rsidRPr="00853DD2">
              <w:t xml:space="preserve">The </w:t>
            </w:r>
            <w:r>
              <w:t>MMM</w:t>
            </w:r>
            <w:r w:rsidRPr="00853DD2">
              <w:t xml:space="preserve"> is how </w:t>
            </w:r>
            <w:r w:rsidR="00A736B1">
              <w:t>the department defines</w:t>
            </w:r>
            <w:r w:rsidRPr="00853DD2">
              <w:t xml:space="preserve"> whether a location is metropolitan, rural, remote or very remote. The model measures remoteness and population size on a scale of Modified Monash (MM) categories MM 1 </w:t>
            </w:r>
            <w:r w:rsidR="0C8DA4D9">
              <w:t>(</w:t>
            </w:r>
            <w:r w:rsidRPr="00853DD2">
              <w:t>major city</w:t>
            </w:r>
            <w:r w:rsidR="0C8DA4D9">
              <w:t xml:space="preserve">) </w:t>
            </w:r>
            <w:r w:rsidR="07FD3A43">
              <w:t>to</w:t>
            </w:r>
            <w:r w:rsidRPr="00853DD2">
              <w:t xml:space="preserve"> MM 7 </w:t>
            </w:r>
            <w:r w:rsidR="279F607A">
              <w:t>(</w:t>
            </w:r>
            <w:r w:rsidRPr="00853DD2">
              <w:t>very remote</w:t>
            </w:r>
            <w:r w:rsidR="393FE474">
              <w:t>)</w:t>
            </w:r>
            <w:r w:rsidR="07FD3A43">
              <w:t>.</w:t>
            </w:r>
            <w:r>
              <w:t xml:space="preserve"> </w:t>
            </w:r>
          </w:p>
        </w:tc>
      </w:tr>
      <w:tr w:rsidR="009B311D" w:rsidRPr="00DA76B8" w14:paraId="12E4D6BA" w14:textId="77777777" w:rsidTr="00401168">
        <w:trPr>
          <w:trHeight w:val="109"/>
        </w:trPr>
        <w:tc>
          <w:tcPr>
            <w:tcW w:w="1794" w:type="dxa"/>
          </w:tcPr>
          <w:p w14:paraId="13CF7459" w14:textId="77777777" w:rsidR="009B311D" w:rsidRPr="00982E7B" w:rsidRDefault="009B311D">
            <w:pPr>
              <w:pStyle w:val="TableofAuthorities"/>
            </w:pPr>
            <w:r w:rsidRPr="00982E7B">
              <w:t>My Aged Care</w:t>
            </w:r>
          </w:p>
        </w:tc>
        <w:tc>
          <w:tcPr>
            <w:tcW w:w="7266" w:type="dxa"/>
          </w:tcPr>
          <w:p w14:paraId="18AF29D7" w14:textId="44BE1DA3" w:rsidR="009B311D" w:rsidRPr="00982E7B" w:rsidRDefault="009B311D">
            <w:pPr>
              <w:pStyle w:val="TableofAuthorities"/>
            </w:pPr>
            <w:r w:rsidRPr="00982E7B">
              <w:t xml:space="preserve">The main online entry point to the aged care system in Australia. </w:t>
            </w:r>
            <w:r>
              <w:br/>
            </w:r>
            <w:r w:rsidRPr="00982E7B">
              <w:t>My Aged Care aims to make it easier for older people, their families, and carers to access information on ageing and aged care, have their needs assessed and be supported to find and access services.</w:t>
            </w:r>
          </w:p>
        </w:tc>
      </w:tr>
      <w:tr w:rsidR="00124F70" w:rsidRPr="00DA76B8" w14:paraId="6CC456A0" w14:textId="77777777" w:rsidTr="00401168">
        <w:trPr>
          <w:trHeight w:val="109"/>
        </w:trPr>
        <w:tc>
          <w:tcPr>
            <w:tcW w:w="1794" w:type="dxa"/>
          </w:tcPr>
          <w:p w14:paraId="790C22D1" w14:textId="5C288A6F" w:rsidR="00124F70" w:rsidRPr="00982E7B" w:rsidRDefault="00124F70">
            <w:pPr>
              <w:pStyle w:val="TableofAuthorities"/>
            </w:pPr>
            <w:r>
              <w:t xml:space="preserve">National </w:t>
            </w:r>
            <w:r w:rsidR="00F030E6">
              <w:t xml:space="preserve">Aboriginal and Torres Strait Islander </w:t>
            </w:r>
            <w:r w:rsidR="00C61039">
              <w:t>Flexible Aged Care (NATSIFAC) Program</w:t>
            </w:r>
          </w:p>
        </w:tc>
        <w:tc>
          <w:tcPr>
            <w:tcW w:w="7266" w:type="dxa"/>
          </w:tcPr>
          <w:p w14:paraId="61A0B172" w14:textId="139E8421" w:rsidR="00124F70" w:rsidRPr="00982E7B" w:rsidRDefault="0035171D">
            <w:pPr>
              <w:pStyle w:val="TableofAuthorities"/>
            </w:pPr>
            <w:r>
              <w:t>A</w:t>
            </w:r>
            <w:r w:rsidR="00BC01EE" w:rsidRPr="00982E7B">
              <w:t>n Australian Government funded program</w:t>
            </w:r>
            <w:r w:rsidR="002D27B6">
              <w:t xml:space="preserve"> </w:t>
            </w:r>
            <w:r w:rsidR="00AE737F">
              <w:t xml:space="preserve">to </w:t>
            </w:r>
            <w:r w:rsidR="002D27B6">
              <w:t>provide culturally appropriate aged care to older Aboriginal and Torres Strait Islander peoples. The service</w:t>
            </w:r>
            <w:r w:rsidR="00AE737F">
              <w:t xml:space="preserve"> providers in this program deliver a mix of aged care services, mainly in rural and remote areas. </w:t>
            </w:r>
          </w:p>
        </w:tc>
      </w:tr>
      <w:tr w:rsidR="009B311D" w:rsidRPr="00DA76B8" w14:paraId="65489D6D" w14:textId="77777777" w:rsidTr="00401168">
        <w:trPr>
          <w:trHeight w:val="109"/>
        </w:trPr>
        <w:tc>
          <w:tcPr>
            <w:tcW w:w="1794" w:type="dxa"/>
          </w:tcPr>
          <w:p w14:paraId="11B6678C" w14:textId="77777777" w:rsidR="009B311D" w:rsidRPr="00982E7B" w:rsidRDefault="009B311D">
            <w:pPr>
              <w:pStyle w:val="TableofAuthorities"/>
            </w:pPr>
            <w:r w:rsidRPr="00982E7B">
              <w:t>National Priority System</w:t>
            </w:r>
          </w:p>
        </w:tc>
        <w:tc>
          <w:tcPr>
            <w:tcW w:w="7266" w:type="dxa"/>
          </w:tcPr>
          <w:p w14:paraId="1DAF331D" w14:textId="1C344B6A" w:rsidR="009B311D" w:rsidRPr="00982E7B" w:rsidRDefault="009B311D">
            <w:pPr>
              <w:pStyle w:val="TableofAuthorities"/>
            </w:pPr>
            <w:r w:rsidRPr="00982E7B">
              <w:t xml:space="preserve">People approved for home care and </w:t>
            </w:r>
            <w:r w:rsidR="62D2BDF2">
              <w:t xml:space="preserve">who </w:t>
            </w:r>
            <w:r w:rsidRPr="00982E7B">
              <w:t>have indicated they are actively seeking services are placed in the National Priority System, with each person’s place in the system based on the time and date of their approval for home care and their priority for service (medium or high).</w:t>
            </w:r>
          </w:p>
        </w:tc>
      </w:tr>
      <w:tr w:rsidR="009B311D" w:rsidRPr="00DA76B8" w14:paraId="1D5AFED9" w14:textId="77777777" w:rsidTr="00B46F64">
        <w:trPr>
          <w:trHeight w:val="1331"/>
        </w:trPr>
        <w:tc>
          <w:tcPr>
            <w:tcW w:w="1794" w:type="dxa"/>
          </w:tcPr>
          <w:p w14:paraId="2DCC39C9" w14:textId="77777777" w:rsidR="009B311D" w:rsidRPr="00982E7B" w:rsidRDefault="009B311D">
            <w:pPr>
              <w:pStyle w:val="TableofAuthorities"/>
            </w:pPr>
            <w:r w:rsidRPr="00982E7B">
              <w:t>Net Assets Value</w:t>
            </w:r>
          </w:p>
        </w:tc>
        <w:tc>
          <w:tcPr>
            <w:tcW w:w="7266" w:type="dxa"/>
          </w:tcPr>
          <w:p w14:paraId="0ED1B009" w14:textId="77777777" w:rsidR="009B311D" w:rsidRPr="00982E7B" w:rsidRDefault="009B311D">
            <w:pPr>
              <w:pStyle w:val="TableofAuthorities"/>
            </w:pPr>
            <w:r w:rsidRPr="00982E7B">
              <w:t>The net assets value provides an indication of the value of an organisation. The net assets value is determined by taking the total assets of an organisation and subtracting total liabilities. A low net assets value or a decrease in the value over time indicates higher levels of financial risk for lenders and residents/recipients.</w:t>
            </w:r>
          </w:p>
        </w:tc>
      </w:tr>
      <w:tr w:rsidR="009B311D" w:rsidRPr="00DA76B8" w14:paraId="202F2903" w14:textId="77777777" w:rsidTr="00401168">
        <w:trPr>
          <w:trHeight w:val="109"/>
        </w:trPr>
        <w:tc>
          <w:tcPr>
            <w:tcW w:w="1794" w:type="dxa"/>
          </w:tcPr>
          <w:p w14:paraId="46EF7970" w14:textId="77777777" w:rsidR="009B311D" w:rsidRPr="00982E7B" w:rsidRDefault="009B311D">
            <w:pPr>
              <w:pStyle w:val="TableofAuthorities"/>
            </w:pPr>
            <w:r w:rsidRPr="00982E7B">
              <w:t>Net Profit Before Tax (NPBT)</w:t>
            </w:r>
          </w:p>
        </w:tc>
        <w:tc>
          <w:tcPr>
            <w:tcW w:w="7266" w:type="dxa"/>
          </w:tcPr>
          <w:p w14:paraId="6C1296C6" w14:textId="77777777" w:rsidR="009B311D" w:rsidRPr="00982E7B" w:rsidRDefault="009B311D">
            <w:pPr>
              <w:pStyle w:val="TableofAuthorities"/>
            </w:pPr>
            <w:r w:rsidRPr="00982E7B">
              <w:t>The NPBT is determined by revenue minus expenses for the period except for taxes.</w:t>
            </w:r>
          </w:p>
        </w:tc>
      </w:tr>
      <w:tr w:rsidR="009B311D" w:rsidRPr="00DA76B8" w14:paraId="7090EB38" w14:textId="77777777" w:rsidTr="00401168">
        <w:trPr>
          <w:trHeight w:val="109"/>
        </w:trPr>
        <w:tc>
          <w:tcPr>
            <w:tcW w:w="1794" w:type="dxa"/>
          </w:tcPr>
          <w:p w14:paraId="4C450DF6" w14:textId="77777777" w:rsidR="009B311D" w:rsidRPr="00982E7B" w:rsidRDefault="009B311D">
            <w:pPr>
              <w:pStyle w:val="TableofAuthorities"/>
            </w:pPr>
            <w:r w:rsidRPr="00982E7B">
              <w:t>Net Profit (Before Tax) Margin</w:t>
            </w:r>
          </w:p>
        </w:tc>
        <w:tc>
          <w:tcPr>
            <w:tcW w:w="7266" w:type="dxa"/>
          </w:tcPr>
          <w:p w14:paraId="10358736" w14:textId="77777777" w:rsidR="009B311D" w:rsidRPr="00982E7B" w:rsidRDefault="009B311D">
            <w:pPr>
              <w:pStyle w:val="TableofAuthorities"/>
            </w:pPr>
            <w:r w:rsidRPr="00982E7B">
              <w:t>Shows the average profitability generated on each $1 of total revenue. It is calculated as Net Profit Before Tax / total revenue.</w:t>
            </w:r>
          </w:p>
        </w:tc>
      </w:tr>
      <w:tr w:rsidR="009B311D" w:rsidRPr="00DA76B8" w14:paraId="681C8340" w14:textId="77777777" w:rsidTr="00401168">
        <w:trPr>
          <w:trHeight w:val="753"/>
        </w:trPr>
        <w:tc>
          <w:tcPr>
            <w:tcW w:w="1794" w:type="dxa"/>
          </w:tcPr>
          <w:p w14:paraId="029CC3ED" w14:textId="77777777" w:rsidR="009B311D" w:rsidRPr="00982E7B" w:rsidRDefault="009B311D">
            <w:pPr>
              <w:pStyle w:val="TableofAuthorities"/>
            </w:pPr>
            <w:r w:rsidRPr="00982E7B">
              <w:t>Non-supported residents</w:t>
            </w:r>
          </w:p>
        </w:tc>
        <w:tc>
          <w:tcPr>
            <w:tcW w:w="7266" w:type="dxa"/>
          </w:tcPr>
          <w:p w14:paraId="531502E2" w14:textId="77777777" w:rsidR="009B311D" w:rsidRPr="00982E7B" w:rsidRDefault="009B311D">
            <w:pPr>
              <w:pStyle w:val="TableofAuthorities"/>
            </w:pPr>
            <w:r w:rsidRPr="00982E7B">
              <w:t>Residents who have been assessed (based on a means test) as able to pay the full cost of their accommodation and contribute toward their care costs. Non-supported residents pay a basic daily fee, accommodation payment and means tested care fee (may still receive some assistance with care costs).</w:t>
            </w:r>
          </w:p>
        </w:tc>
      </w:tr>
      <w:tr w:rsidR="009B311D" w:rsidRPr="00DA76B8" w14:paraId="05B01895" w14:textId="77777777" w:rsidTr="00401168">
        <w:trPr>
          <w:trHeight w:val="109"/>
        </w:trPr>
        <w:tc>
          <w:tcPr>
            <w:tcW w:w="1794" w:type="dxa"/>
          </w:tcPr>
          <w:p w14:paraId="28E4155A" w14:textId="77777777" w:rsidR="009B311D" w:rsidRPr="00982E7B" w:rsidRDefault="009B311D">
            <w:pPr>
              <w:pStyle w:val="TableofAuthorities"/>
            </w:pPr>
            <w:r w:rsidRPr="00982E7B">
              <w:t>Operational places</w:t>
            </w:r>
          </w:p>
        </w:tc>
        <w:tc>
          <w:tcPr>
            <w:tcW w:w="7266" w:type="dxa"/>
          </w:tcPr>
          <w:p w14:paraId="5113F523" w14:textId="77777777" w:rsidR="009B311D" w:rsidRPr="00982E7B" w:rsidRDefault="009B311D">
            <w:pPr>
              <w:pStyle w:val="TableofAuthorities"/>
            </w:pPr>
            <w:r w:rsidRPr="00982E7B">
              <w:t>Operational place refers to a residential care place that was allocated to a provider and has since become available for a person to receive care.</w:t>
            </w:r>
          </w:p>
        </w:tc>
      </w:tr>
      <w:tr w:rsidR="009B311D" w:rsidRPr="00DA76B8" w14:paraId="13BE98BE" w14:textId="77777777" w:rsidTr="003A2F28">
        <w:trPr>
          <w:trHeight w:val="1125"/>
        </w:trPr>
        <w:tc>
          <w:tcPr>
            <w:tcW w:w="1794" w:type="dxa"/>
          </w:tcPr>
          <w:p w14:paraId="4FABCFF0" w14:textId="77777777" w:rsidR="009B311D" w:rsidRPr="00982E7B" w:rsidRDefault="009B311D">
            <w:pPr>
              <w:pStyle w:val="TableofAuthorities"/>
            </w:pPr>
            <w:r w:rsidRPr="00982E7B">
              <w:t>Partially supported residents</w:t>
            </w:r>
          </w:p>
        </w:tc>
        <w:tc>
          <w:tcPr>
            <w:tcW w:w="7266" w:type="dxa"/>
          </w:tcPr>
          <w:p w14:paraId="0D5512CA" w14:textId="77777777" w:rsidR="009B311D" w:rsidRPr="00982E7B" w:rsidRDefault="009B311D">
            <w:pPr>
              <w:pStyle w:val="TableofAuthorities"/>
            </w:pPr>
            <w:r w:rsidRPr="00982E7B">
              <w:t>Residents who have been assessed (based on a means test) as eligible for full Government assistance with their care costs, but able to make a part contribution to their accommodation costs. Partially supported residents pay a basic daily fee and accommodation contribution.</w:t>
            </w:r>
          </w:p>
        </w:tc>
      </w:tr>
      <w:tr w:rsidR="009B311D" w:rsidRPr="00DA76B8" w14:paraId="7D81251A" w14:textId="77777777" w:rsidTr="00401168">
        <w:trPr>
          <w:trHeight w:val="109"/>
        </w:trPr>
        <w:tc>
          <w:tcPr>
            <w:tcW w:w="1794" w:type="dxa"/>
          </w:tcPr>
          <w:p w14:paraId="11F65DD5" w14:textId="77777777" w:rsidR="009B311D" w:rsidRPr="00982E7B" w:rsidRDefault="009B311D">
            <w:pPr>
              <w:pStyle w:val="TableofAuthorities"/>
            </w:pPr>
            <w:r w:rsidRPr="00982E7B">
              <w:t>Per recipient per annum (</w:t>
            </w:r>
            <w:proofErr w:type="spellStart"/>
            <w:r w:rsidRPr="00982E7B">
              <w:t>prpa</w:t>
            </w:r>
            <w:proofErr w:type="spellEnd"/>
            <w:r w:rsidRPr="00982E7B">
              <w:t>)</w:t>
            </w:r>
          </w:p>
        </w:tc>
        <w:tc>
          <w:tcPr>
            <w:tcW w:w="7266" w:type="dxa"/>
          </w:tcPr>
          <w:p w14:paraId="337A7FAF" w14:textId="77777777" w:rsidR="009B311D" w:rsidRPr="00982E7B" w:rsidRDefault="009B311D">
            <w:pPr>
              <w:pStyle w:val="TableofAuthorities"/>
            </w:pPr>
            <w:r w:rsidRPr="00982E7B">
              <w:t>An annual average financial figure relating to home care recipient.</w:t>
            </w:r>
          </w:p>
        </w:tc>
      </w:tr>
      <w:tr w:rsidR="009B311D" w:rsidRPr="00DA76B8" w14:paraId="13BA9CB5" w14:textId="77777777" w:rsidTr="00401168">
        <w:trPr>
          <w:trHeight w:val="109"/>
        </w:trPr>
        <w:tc>
          <w:tcPr>
            <w:tcW w:w="1794" w:type="dxa"/>
          </w:tcPr>
          <w:p w14:paraId="5E79500D" w14:textId="77777777" w:rsidR="009B311D" w:rsidRPr="00982E7B" w:rsidRDefault="009B311D">
            <w:pPr>
              <w:pStyle w:val="TableofAuthorities"/>
            </w:pPr>
            <w:r w:rsidRPr="00982E7B">
              <w:t>Per recipient per day (</w:t>
            </w:r>
            <w:proofErr w:type="spellStart"/>
            <w:r w:rsidRPr="00982E7B">
              <w:t>prpd</w:t>
            </w:r>
            <w:proofErr w:type="spellEnd"/>
            <w:r w:rsidRPr="00982E7B">
              <w:t>)</w:t>
            </w:r>
          </w:p>
        </w:tc>
        <w:tc>
          <w:tcPr>
            <w:tcW w:w="7266" w:type="dxa"/>
          </w:tcPr>
          <w:p w14:paraId="6F00FB6E" w14:textId="77777777" w:rsidR="009B311D" w:rsidRPr="00982E7B" w:rsidRDefault="009B311D">
            <w:pPr>
              <w:pStyle w:val="TableofAuthorities"/>
            </w:pPr>
            <w:r w:rsidRPr="00982E7B">
              <w:t>A daily average financial figure relating to home care recipient.</w:t>
            </w:r>
          </w:p>
        </w:tc>
      </w:tr>
      <w:tr w:rsidR="009B311D" w:rsidRPr="00DA76B8" w14:paraId="7A2DC037" w14:textId="77777777" w:rsidTr="00401168">
        <w:trPr>
          <w:trHeight w:val="109"/>
        </w:trPr>
        <w:tc>
          <w:tcPr>
            <w:tcW w:w="1794" w:type="dxa"/>
          </w:tcPr>
          <w:p w14:paraId="791A7509" w14:textId="77777777" w:rsidR="009B311D" w:rsidRPr="00982E7B" w:rsidRDefault="009B311D">
            <w:pPr>
              <w:pStyle w:val="TableofAuthorities"/>
            </w:pPr>
            <w:r w:rsidRPr="00982E7B">
              <w:t>Per resident per annum (</w:t>
            </w:r>
            <w:proofErr w:type="spellStart"/>
            <w:r w:rsidRPr="00982E7B">
              <w:t>prpa</w:t>
            </w:r>
            <w:proofErr w:type="spellEnd"/>
            <w:r w:rsidRPr="00982E7B">
              <w:t>)</w:t>
            </w:r>
          </w:p>
        </w:tc>
        <w:tc>
          <w:tcPr>
            <w:tcW w:w="7266" w:type="dxa"/>
          </w:tcPr>
          <w:p w14:paraId="0708DDB3" w14:textId="77777777" w:rsidR="009B311D" w:rsidRPr="00982E7B" w:rsidRDefault="009B311D">
            <w:pPr>
              <w:pStyle w:val="TableofAuthorities"/>
            </w:pPr>
            <w:r w:rsidRPr="00982E7B">
              <w:t>An annual average financial figure relating to residential aged care residents that converts financial data to daily amount per resident.</w:t>
            </w:r>
          </w:p>
        </w:tc>
      </w:tr>
      <w:tr w:rsidR="009B311D" w:rsidRPr="00DA76B8" w14:paraId="75B7E77E" w14:textId="77777777" w:rsidTr="00401168">
        <w:trPr>
          <w:trHeight w:val="109"/>
        </w:trPr>
        <w:tc>
          <w:tcPr>
            <w:tcW w:w="1794" w:type="dxa"/>
          </w:tcPr>
          <w:p w14:paraId="4833F3EB" w14:textId="77777777" w:rsidR="009B311D" w:rsidRPr="00982E7B" w:rsidRDefault="009B311D">
            <w:pPr>
              <w:pStyle w:val="TableofAuthorities"/>
            </w:pPr>
            <w:r w:rsidRPr="00982E7B">
              <w:t>Per resident per day (</w:t>
            </w:r>
            <w:proofErr w:type="spellStart"/>
            <w:r w:rsidRPr="00982E7B">
              <w:t>prpd</w:t>
            </w:r>
            <w:proofErr w:type="spellEnd"/>
            <w:r w:rsidRPr="00982E7B">
              <w:t>)</w:t>
            </w:r>
          </w:p>
        </w:tc>
        <w:tc>
          <w:tcPr>
            <w:tcW w:w="7266" w:type="dxa"/>
          </w:tcPr>
          <w:p w14:paraId="0C21549E" w14:textId="77777777" w:rsidR="009B311D" w:rsidRPr="00982E7B" w:rsidRDefault="009B311D">
            <w:pPr>
              <w:pStyle w:val="TableofAuthorities"/>
            </w:pPr>
            <w:r w:rsidRPr="00982E7B">
              <w:t>A daily average financial figure relating to residential aged care residents.</w:t>
            </w:r>
          </w:p>
        </w:tc>
      </w:tr>
      <w:tr w:rsidR="009B311D" w:rsidRPr="00DA76B8" w14:paraId="57957EE5" w14:textId="77777777" w:rsidTr="00401168">
        <w:trPr>
          <w:trHeight w:val="109"/>
        </w:trPr>
        <w:tc>
          <w:tcPr>
            <w:tcW w:w="1794" w:type="dxa"/>
          </w:tcPr>
          <w:p w14:paraId="1AD02562" w14:textId="77777777" w:rsidR="009B311D" w:rsidRPr="00982E7B" w:rsidRDefault="009B311D">
            <w:pPr>
              <w:pStyle w:val="TableofAuthorities"/>
            </w:pPr>
            <w:r w:rsidRPr="00982E7B">
              <w:t>Quarterly Financial Report</w:t>
            </w:r>
            <w:r w:rsidRPr="008F4A7B">
              <w:t xml:space="preserve"> (QFR)</w:t>
            </w:r>
          </w:p>
        </w:tc>
        <w:tc>
          <w:tcPr>
            <w:tcW w:w="7266" w:type="dxa"/>
          </w:tcPr>
          <w:p w14:paraId="3E36CE4F" w14:textId="77777777" w:rsidR="009B311D" w:rsidRPr="00982E7B" w:rsidRDefault="009B311D">
            <w:pPr>
              <w:pStyle w:val="TableofAuthorities"/>
            </w:pPr>
            <w:r w:rsidRPr="008F4A7B">
              <w:t>A quarterly report</w:t>
            </w:r>
            <w:r w:rsidRPr="00982E7B">
              <w:t>ing template introduced</w:t>
            </w:r>
            <w:r w:rsidRPr="00982E7B" w:rsidDel="00E84B4B">
              <w:t xml:space="preserve"> for the July to September 2022 quarter</w:t>
            </w:r>
            <w:r w:rsidR="00E84B4B">
              <w:t xml:space="preserve"> </w:t>
            </w:r>
            <w:r w:rsidRPr="00982E7B">
              <w:t>as a broader initiative to improve financial reporting and strengthen prudential compliance for approved aged care providers.</w:t>
            </w:r>
          </w:p>
        </w:tc>
      </w:tr>
      <w:tr w:rsidR="009B311D" w:rsidRPr="00DA76B8" w14:paraId="688AB79C" w14:textId="77777777" w:rsidTr="00401168">
        <w:trPr>
          <w:trHeight w:val="109"/>
        </w:trPr>
        <w:tc>
          <w:tcPr>
            <w:tcW w:w="1794" w:type="dxa"/>
          </w:tcPr>
          <w:p w14:paraId="1D31FB00" w14:textId="77777777" w:rsidR="009B311D" w:rsidRPr="00982E7B" w:rsidRDefault="009B311D">
            <w:pPr>
              <w:pStyle w:val="TableofAuthorities"/>
            </w:pPr>
            <w:r w:rsidRPr="00982E7B">
              <w:t>Refundable Accommodation Contribution (RAC)</w:t>
            </w:r>
          </w:p>
        </w:tc>
        <w:tc>
          <w:tcPr>
            <w:tcW w:w="7266" w:type="dxa"/>
          </w:tcPr>
          <w:p w14:paraId="2176E061" w14:textId="77777777" w:rsidR="009B311D" w:rsidRPr="00982E7B" w:rsidRDefault="009B311D">
            <w:pPr>
              <w:pStyle w:val="TableofAuthorities"/>
            </w:pPr>
            <w:r w:rsidRPr="00982E7B">
              <w:t>An amount paid as a lump sum by a partially supported resident as a contribution toward their accommodation costs in a residential aged care facility.</w:t>
            </w:r>
          </w:p>
        </w:tc>
      </w:tr>
      <w:tr w:rsidR="009B311D" w:rsidRPr="00DA76B8" w14:paraId="0A2ABBF9" w14:textId="77777777" w:rsidTr="00401168">
        <w:trPr>
          <w:trHeight w:val="109"/>
        </w:trPr>
        <w:tc>
          <w:tcPr>
            <w:tcW w:w="1794" w:type="dxa"/>
          </w:tcPr>
          <w:p w14:paraId="2CB2DBBA" w14:textId="77777777" w:rsidR="009B311D" w:rsidRPr="00982E7B" w:rsidRDefault="009B311D">
            <w:pPr>
              <w:pStyle w:val="TableofAuthorities"/>
            </w:pPr>
            <w:r w:rsidRPr="00982E7B">
              <w:t>Refundable Accommodation Deposit (RAD)</w:t>
            </w:r>
          </w:p>
        </w:tc>
        <w:tc>
          <w:tcPr>
            <w:tcW w:w="7266" w:type="dxa"/>
          </w:tcPr>
          <w:p w14:paraId="64A4324E" w14:textId="77777777" w:rsidR="009B311D" w:rsidRPr="00982E7B" w:rsidRDefault="009B311D">
            <w:pPr>
              <w:pStyle w:val="TableofAuthorities"/>
            </w:pPr>
            <w:r w:rsidRPr="00982E7B">
              <w:t>An amount paid as a lump sum by a non-supported resident for their accommodation costs in a residential aged care facility.</w:t>
            </w:r>
          </w:p>
        </w:tc>
      </w:tr>
      <w:tr w:rsidR="009B311D" w:rsidRPr="00DA76B8" w14:paraId="59DD7D91" w14:textId="77777777" w:rsidTr="00401168">
        <w:trPr>
          <w:trHeight w:val="109"/>
        </w:trPr>
        <w:tc>
          <w:tcPr>
            <w:tcW w:w="1794" w:type="dxa"/>
          </w:tcPr>
          <w:p w14:paraId="2479E692" w14:textId="77777777" w:rsidR="009B311D" w:rsidRPr="00982E7B" w:rsidRDefault="009B311D">
            <w:pPr>
              <w:pStyle w:val="TableofAuthorities"/>
            </w:pPr>
            <w:r w:rsidRPr="00982E7B">
              <w:t>Regional</w:t>
            </w:r>
          </w:p>
        </w:tc>
        <w:tc>
          <w:tcPr>
            <w:tcW w:w="7266" w:type="dxa"/>
          </w:tcPr>
          <w:p w14:paraId="738F41D5" w14:textId="77777777" w:rsidR="009B311D" w:rsidRPr="00982E7B" w:rsidRDefault="009B311D">
            <w:pPr>
              <w:pStyle w:val="TableofAuthorities"/>
            </w:pPr>
            <w:r w:rsidRPr="00982E7B">
              <w:t>Geographic region outside of a major city and classified by the Australian Bureau of Statistics as inner regional, outer regional, remote and very remote.</w:t>
            </w:r>
          </w:p>
        </w:tc>
      </w:tr>
      <w:tr w:rsidR="009B311D" w:rsidRPr="00DA76B8" w14:paraId="643381FB" w14:textId="77777777" w:rsidTr="00401168">
        <w:trPr>
          <w:trHeight w:val="653"/>
        </w:trPr>
        <w:tc>
          <w:tcPr>
            <w:tcW w:w="1794" w:type="dxa"/>
          </w:tcPr>
          <w:p w14:paraId="26E9182D" w14:textId="77777777" w:rsidR="009B311D" w:rsidRPr="00982E7B" w:rsidRDefault="009B311D">
            <w:pPr>
              <w:pStyle w:val="TableofAuthorities"/>
            </w:pPr>
            <w:r w:rsidRPr="00982E7B">
              <w:t xml:space="preserve">Report on the Operations of the </w:t>
            </w:r>
            <w:r w:rsidRPr="006B350C">
              <w:rPr>
                <w:i/>
              </w:rPr>
              <w:t>Aged Care Act 1997</w:t>
            </w:r>
            <w:r w:rsidRPr="00982E7B">
              <w:t xml:space="preserve"> (ROACA)</w:t>
            </w:r>
          </w:p>
        </w:tc>
        <w:tc>
          <w:tcPr>
            <w:tcW w:w="7266" w:type="dxa"/>
          </w:tcPr>
          <w:p w14:paraId="57514792" w14:textId="77777777" w:rsidR="009B311D" w:rsidRPr="00982E7B" w:rsidRDefault="009B311D">
            <w:pPr>
              <w:pStyle w:val="TableofAuthorities"/>
            </w:pPr>
            <w:r w:rsidRPr="00982E7B">
              <w:t>A legal requirement under the Act, the ROACA is tabled in Parliament in November each year and presents an annual snapshot of facts and figures on Australian Government funded aged care services in Australia.</w:t>
            </w:r>
          </w:p>
        </w:tc>
      </w:tr>
      <w:tr w:rsidR="009B311D" w:rsidRPr="00DA76B8" w14:paraId="44B95673" w14:textId="77777777" w:rsidTr="00401168">
        <w:trPr>
          <w:trHeight w:val="109"/>
        </w:trPr>
        <w:tc>
          <w:tcPr>
            <w:tcW w:w="1794" w:type="dxa"/>
          </w:tcPr>
          <w:p w14:paraId="270E6123" w14:textId="77777777" w:rsidR="009B311D" w:rsidRPr="00982E7B" w:rsidRDefault="009B311D">
            <w:pPr>
              <w:pStyle w:val="TableofAuthorities"/>
            </w:pPr>
            <w:r w:rsidRPr="00982E7B">
              <w:t>Residential aged care</w:t>
            </w:r>
          </w:p>
        </w:tc>
        <w:tc>
          <w:tcPr>
            <w:tcW w:w="7266" w:type="dxa"/>
          </w:tcPr>
          <w:p w14:paraId="6DB14538" w14:textId="792BC4B1" w:rsidR="009B311D" w:rsidRPr="00982E7B" w:rsidRDefault="009B311D">
            <w:pPr>
              <w:pStyle w:val="TableofAuthorities"/>
            </w:pPr>
            <w:r w:rsidRPr="00982E7B">
              <w:t xml:space="preserve">A program that provides a range of care options and accommodation for older people who </w:t>
            </w:r>
            <w:r w:rsidR="00493171">
              <w:t>can no longer live independently</w:t>
            </w:r>
            <w:r w:rsidRPr="00982E7B">
              <w:t xml:space="preserve"> in their own home.</w:t>
            </w:r>
          </w:p>
        </w:tc>
      </w:tr>
      <w:tr w:rsidR="009B311D" w:rsidRPr="00DA76B8" w14:paraId="2B4FE330" w14:textId="77777777" w:rsidTr="00401168">
        <w:trPr>
          <w:trHeight w:val="1410"/>
        </w:trPr>
        <w:tc>
          <w:tcPr>
            <w:tcW w:w="1794" w:type="dxa"/>
          </w:tcPr>
          <w:p w14:paraId="15366334" w14:textId="77777777" w:rsidR="009B311D" w:rsidRPr="00982E7B" w:rsidRDefault="009B311D">
            <w:pPr>
              <w:pStyle w:val="TableofAuthorities"/>
            </w:pPr>
            <w:r w:rsidRPr="00982E7B">
              <w:t>Restorative care</w:t>
            </w:r>
          </w:p>
        </w:tc>
        <w:tc>
          <w:tcPr>
            <w:tcW w:w="7266" w:type="dxa"/>
          </w:tcPr>
          <w:p w14:paraId="62888B2B" w14:textId="1DA2F13A" w:rsidR="009B311D" w:rsidRPr="00982E7B" w:rsidRDefault="009B311D">
            <w:pPr>
              <w:pStyle w:val="TableofAuthorities"/>
            </w:pPr>
            <w:r w:rsidRPr="00982E7B">
              <w:t>Care focusing on enhancing the physical and cognitive function of people who have lost, or are at risk of losing, condition and independence. The Short-Term Restorative Care (STRC) Programme, is a flexible care program to provide restorative care to older people to improve their capacity to stay independent and living in their own homes.</w:t>
            </w:r>
          </w:p>
        </w:tc>
      </w:tr>
      <w:tr w:rsidR="009B311D" w:rsidRPr="00DA76B8" w14:paraId="2C89C2D2" w14:textId="77777777" w:rsidTr="00401168">
        <w:trPr>
          <w:trHeight w:val="109"/>
        </w:trPr>
        <w:tc>
          <w:tcPr>
            <w:tcW w:w="1794" w:type="dxa"/>
          </w:tcPr>
          <w:p w14:paraId="32CB77DD" w14:textId="77777777" w:rsidR="009B311D" w:rsidRPr="00982E7B" w:rsidRDefault="009B311D">
            <w:pPr>
              <w:pStyle w:val="TableofAuthorities"/>
            </w:pPr>
            <w:r w:rsidRPr="00982E7B">
              <w:t>Retained earnings</w:t>
            </w:r>
          </w:p>
        </w:tc>
        <w:tc>
          <w:tcPr>
            <w:tcW w:w="7266" w:type="dxa"/>
          </w:tcPr>
          <w:p w14:paraId="42C22171" w14:textId="77777777" w:rsidR="009B311D" w:rsidRPr="00982E7B" w:rsidRDefault="009B311D">
            <w:pPr>
              <w:pStyle w:val="TableofAuthorities"/>
            </w:pPr>
            <w:r w:rsidRPr="00982E7B">
              <w:t>Refers to the percentage of net earnings not paid out as dividends, but retained by the company to be reinvested in its core business, or to pay debt. This is recorded under shareholders’ equity on the balance sheet.</w:t>
            </w:r>
          </w:p>
        </w:tc>
      </w:tr>
      <w:tr w:rsidR="006773C9" w:rsidRPr="00DA76B8" w14:paraId="3E1FB098" w14:textId="77777777" w:rsidTr="00401168">
        <w:trPr>
          <w:trHeight w:val="109"/>
        </w:trPr>
        <w:tc>
          <w:tcPr>
            <w:tcW w:w="1794" w:type="dxa"/>
          </w:tcPr>
          <w:p w14:paraId="213DC49B" w14:textId="18A600B3" w:rsidR="006773C9" w:rsidRPr="00982E7B" w:rsidRDefault="006773C9">
            <w:pPr>
              <w:pStyle w:val="TableofAuthorities"/>
            </w:pPr>
            <w:r>
              <w:t>Royal Commission in</w:t>
            </w:r>
            <w:r w:rsidR="00CF3025">
              <w:t xml:space="preserve">to Aged Care Quality and Safety </w:t>
            </w:r>
          </w:p>
        </w:tc>
        <w:tc>
          <w:tcPr>
            <w:tcW w:w="7266" w:type="dxa"/>
          </w:tcPr>
          <w:p w14:paraId="59AC32A4" w14:textId="1F25C5BF" w:rsidR="006773C9" w:rsidRPr="00982E7B" w:rsidRDefault="0089669B">
            <w:pPr>
              <w:pStyle w:val="TableofAuthorities"/>
            </w:pPr>
            <w:r>
              <w:t>The Royal Commission into Aged Care Quality and Safety was established on 8 October 2018 to inquire into the quality of aged care services in Australia</w:t>
            </w:r>
            <w:r w:rsidR="0000126A">
              <w:t>. The department works closely with the Aged Care Quality and Safety Commission (the Commission) to regulate aged care</w:t>
            </w:r>
            <w:r w:rsidR="00687A57">
              <w:t>.</w:t>
            </w:r>
          </w:p>
        </w:tc>
      </w:tr>
      <w:tr w:rsidR="009B311D" w:rsidRPr="00DA76B8" w14:paraId="4B82CFA0" w14:textId="77777777" w:rsidTr="00401168">
        <w:trPr>
          <w:trHeight w:val="109"/>
        </w:trPr>
        <w:tc>
          <w:tcPr>
            <w:tcW w:w="1794" w:type="dxa"/>
          </w:tcPr>
          <w:p w14:paraId="173B4021" w14:textId="77777777" w:rsidR="009B311D" w:rsidRPr="00982E7B" w:rsidRDefault="009B311D">
            <w:pPr>
              <w:pStyle w:val="TableofAuthorities"/>
            </w:pPr>
            <w:r w:rsidRPr="00982E7B">
              <w:t>Scale (providers)</w:t>
            </w:r>
          </w:p>
        </w:tc>
        <w:tc>
          <w:tcPr>
            <w:tcW w:w="7266" w:type="dxa"/>
          </w:tcPr>
          <w:p w14:paraId="5717EA42" w14:textId="77777777" w:rsidR="009B311D" w:rsidRPr="00982E7B" w:rsidRDefault="009B311D">
            <w:pPr>
              <w:pStyle w:val="TableofAuthorities"/>
            </w:pPr>
            <w:r w:rsidRPr="00982E7B">
              <w:t>Refers to the number of facilities operated by a residential care provider or the number of services operated by a home care provider.</w:t>
            </w:r>
          </w:p>
        </w:tc>
      </w:tr>
      <w:tr w:rsidR="0029264B" w:rsidRPr="00DA76B8" w14:paraId="0E9AAE60" w14:textId="77777777" w:rsidTr="00401168">
        <w:trPr>
          <w:trHeight w:val="109"/>
        </w:trPr>
        <w:tc>
          <w:tcPr>
            <w:tcW w:w="1794" w:type="dxa"/>
          </w:tcPr>
          <w:p w14:paraId="625D9A9B" w14:textId="23AD7A2A" w:rsidR="0029264B" w:rsidRPr="00982E7B" w:rsidRDefault="0029264B">
            <w:pPr>
              <w:pStyle w:val="TableofAuthorities"/>
            </w:pPr>
            <w:r>
              <w:t>Services in home care</w:t>
            </w:r>
          </w:p>
        </w:tc>
        <w:tc>
          <w:tcPr>
            <w:tcW w:w="7266" w:type="dxa"/>
          </w:tcPr>
          <w:p w14:paraId="3C0107F2" w14:textId="2E433245" w:rsidR="0029264B" w:rsidRPr="00982E7B" w:rsidRDefault="0094350F">
            <w:pPr>
              <w:pStyle w:val="TableofAuthorities"/>
            </w:pPr>
            <w:r>
              <w:t>The number of services</w:t>
            </w:r>
            <w:r w:rsidR="00116013">
              <w:t xml:space="preserve"> in home care,</w:t>
            </w:r>
            <w:r>
              <w:t xml:space="preserve"> is</w:t>
            </w:r>
            <w:r w:rsidR="00116013">
              <w:t xml:space="preserve"> represented by</w:t>
            </w:r>
            <w:r>
              <w:t xml:space="preserve"> the number of Aged Care Planning Regions </w:t>
            </w:r>
            <w:r w:rsidR="00371DD3">
              <w:t>(ACPR)</w:t>
            </w:r>
            <w:r>
              <w:t xml:space="preserve"> providers have reported data for.</w:t>
            </w:r>
            <w:r w:rsidR="009E59D8">
              <w:t xml:space="preserve">  </w:t>
            </w:r>
          </w:p>
        </w:tc>
      </w:tr>
      <w:tr w:rsidR="009B311D" w:rsidRPr="00DA76B8" w14:paraId="12BF5D78" w14:textId="77777777" w:rsidTr="00401168">
        <w:trPr>
          <w:trHeight w:val="109"/>
        </w:trPr>
        <w:tc>
          <w:tcPr>
            <w:tcW w:w="1794" w:type="dxa"/>
          </w:tcPr>
          <w:p w14:paraId="74640B4F" w14:textId="77777777" w:rsidR="009B311D" w:rsidRPr="00982E7B" w:rsidRDefault="009B311D">
            <w:pPr>
              <w:pStyle w:val="TableofAuthorities"/>
            </w:pPr>
            <w:r w:rsidRPr="00982E7B">
              <w:t>Size (providers)</w:t>
            </w:r>
          </w:p>
        </w:tc>
        <w:tc>
          <w:tcPr>
            <w:tcW w:w="7266" w:type="dxa"/>
          </w:tcPr>
          <w:p w14:paraId="3D12BBE7" w14:textId="77777777" w:rsidR="009B311D" w:rsidRPr="00982E7B" w:rsidRDefault="009B311D">
            <w:pPr>
              <w:pStyle w:val="TableofAuthorities"/>
            </w:pPr>
            <w:r w:rsidRPr="00982E7B">
              <w:t>Refers to the number of beds operated by a single residential aged care facility.</w:t>
            </w:r>
          </w:p>
        </w:tc>
      </w:tr>
      <w:tr w:rsidR="00BB2473" w:rsidRPr="00DA76B8" w14:paraId="0762B224" w14:textId="77777777" w:rsidTr="00401168">
        <w:trPr>
          <w:trHeight w:val="109"/>
        </w:trPr>
        <w:tc>
          <w:tcPr>
            <w:tcW w:w="1794" w:type="dxa"/>
          </w:tcPr>
          <w:p w14:paraId="7B825302" w14:textId="705DE873" w:rsidR="00BB2473" w:rsidRPr="00982E7B" w:rsidRDefault="00993682">
            <w:pPr>
              <w:pStyle w:val="TableofAuthorities"/>
            </w:pPr>
            <w:r>
              <w:t>Support at Home (</w:t>
            </w:r>
            <w:proofErr w:type="spellStart"/>
            <w:r>
              <w:t>SaH</w:t>
            </w:r>
            <w:proofErr w:type="spellEnd"/>
            <w:r>
              <w:t>) Program</w:t>
            </w:r>
          </w:p>
        </w:tc>
        <w:tc>
          <w:tcPr>
            <w:tcW w:w="7266" w:type="dxa"/>
          </w:tcPr>
          <w:p w14:paraId="51B77DD2" w14:textId="071FE537" w:rsidR="00494CE2" w:rsidRPr="00494CE2" w:rsidRDefault="00152C21" w:rsidP="00494CE2">
            <w:pPr>
              <w:pStyle w:val="TableofAuthorities"/>
            </w:pPr>
            <w:r>
              <w:t xml:space="preserve">The new </w:t>
            </w:r>
            <w:proofErr w:type="spellStart"/>
            <w:r w:rsidR="000A4BD2">
              <w:t>SaH</w:t>
            </w:r>
            <w:proofErr w:type="spellEnd"/>
            <w:r w:rsidR="000A4BD2">
              <w:t xml:space="preserve"> program </w:t>
            </w:r>
            <w:r>
              <w:t>will provide a single</w:t>
            </w:r>
            <w:r w:rsidR="00494CE2">
              <w:t xml:space="preserve"> program for</w:t>
            </w:r>
            <w:r>
              <w:t xml:space="preserve"> in-home </w:t>
            </w:r>
            <w:r w:rsidR="00494CE2">
              <w:t>aged care, brin</w:t>
            </w:r>
            <w:r w:rsidR="0050431E">
              <w:t>g</w:t>
            </w:r>
            <w:r w:rsidR="00494CE2">
              <w:t xml:space="preserve">ing together some of the current programs. The new program will be introduced in 2 stages. </w:t>
            </w:r>
            <w:r w:rsidR="00494CE2" w:rsidRPr="00494CE2">
              <w:t>From 1 July</w:t>
            </w:r>
            <w:r w:rsidR="00AD2F46">
              <w:t xml:space="preserve"> 2025</w:t>
            </w:r>
            <w:r w:rsidR="00494CE2" w:rsidRPr="00494CE2">
              <w:t xml:space="preserve">, </w:t>
            </w:r>
            <w:proofErr w:type="spellStart"/>
            <w:r w:rsidR="00494CE2" w:rsidRPr="00494CE2">
              <w:t>SaH</w:t>
            </w:r>
            <w:proofErr w:type="spellEnd"/>
            <w:r w:rsidR="00494CE2" w:rsidRPr="00494CE2">
              <w:t xml:space="preserve"> will replace HCP and STRC Programme</w:t>
            </w:r>
            <w:r w:rsidR="00EE2DED">
              <w:t>. T</w:t>
            </w:r>
            <w:r w:rsidR="00494CE2" w:rsidRPr="00494CE2">
              <w:t>he CHSP will transition to the new program no earlier than July 2027.</w:t>
            </w:r>
          </w:p>
        </w:tc>
      </w:tr>
      <w:tr w:rsidR="009B311D" w:rsidRPr="00DA76B8" w14:paraId="6D20F43E" w14:textId="77777777" w:rsidTr="00401168">
        <w:trPr>
          <w:trHeight w:val="109"/>
        </w:trPr>
        <w:tc>
          <w:tcPr>
            <w:tcW w:w="1794" w:type="dxa"/>
          </w:tcPr>
          <w:p w14:paraId="5271822F" w14:textId="77777777" w:rsidR="009B311D" w:rsidRPr="00982E7B" w:rsidRDefault="009B311D">
            <w:pPr>
              <w:pStyle w:val="TableofAuthorities"/>
            </w:pPr>
            <w:r w:rsidRPr="00982E7B">
              <w:t>Supported residents</w:t>
            </w:r>
          </w:p>
        </w:tc>
        <w:tc>
          <w:tcPr>
            <w:tcW w:w="7266" w:type="dxa"/>
          </w:tcPr>
          <w:p w14:paraId="679C2AC0" w14:textId="77777777" w:rsidR="009B311D" w:rsidRPr="00982E7B" w:rsidRDefault="009B311D">
            <w:pPr>
              <w:pStyle w:val="TableofAuthorities"/>
            </w:pPr>
            <w:r w:rsidRPr="00982E7B">
              <w:t>Residents who have been assessed (based on a means test) as eligible for full Government assistance with their care and accommodation costs. Supported residents only pay a basic daily fee.</w:t>
            </w:r>
          </w:p>
        </w:tc>
      </w:tr>
      <w:tr w:rsidR="009B311D" w:rsidRPr="00DA76B8" w14:paraId="60C17DE8" w14:textId="77777777" w:rsidTr="00401168">
        <w:trPr>
          <w:trHeight w:val="214"/>
        </w:trPr>
        <w:tc>
          <w:tcPr>
            <w:tcW w:w="1794" w:type="dxa"/>
          </w:tcPr>
          <w:p w14:paraId="2446EF54" w14:textId="77777777" w:rsidR="009B311D" w:rsidRPr="00982E7B" w:rsidRDefault="009B311D">
            <w:pPr>
              <w:pStyle w:val="TableofAuthorities"/>
            </w:pPr>
            <w:r w:rsidRPr="00982E7B">
              <w:t>Survey of Aged Care Homes (SACH)</w:t>
            </w:r>
          </w:p>
        </w:tc>
        <w:tc>
          <w:tcPr>
            <w:tcW w:w="7266" w:type="dxa"/>
          </w:tcPr>
          <w:p w14:paraId="50582648" w14:textId="77777777" w:rsidR="009B311D" w:rsidRPr="00982E7B" w:rsidRDefault="009B311D">
            <w:pPr>
              <w:pStyle w:val="TableofAuthorities"/>
            </w:pPr>
            <w:r w:rsidRPr="00982E7B">
              <w:t>Each year SACH seeks information on accommodation payments and planned and actual building activity during the previous financial year for each operating residential aged care service.</w:t>
            </w:r>
          </w:p>
        </w:tc>
      </w:tr>
      <w:tr w:rsidR="009B311D" w:rsidRPr="00DA76B8" w14:paraId="50967DD2" w14:textId="77777777" w:rsidTr="00EF3D8C">
        <w:trPr>
          <w:trHeight w:val="1282"/>
        </w:trPr>
        <w:tc>
          <w:tcPr>
            <w:tcW w:w="1794" w:type="dxa"/>
          </w:tcPr>
          <w:p w14:paraId="7A0820BE" w14:textId="77777777" w:rsidR="009B311D" w:rsidRPr="00982E7B" w:rsidRDefault="009B311D">
            <w:pPr>
              <w:pStyle w:val="TableofAuthorities"/>
            </w:pPr>
            <w:r w:rsidRPr="00982E7B">
              <w:t>Target provision ratio</w:t>
            </w:r>
          </w:p>
        </w:tc>
        <w:tc>
          <w:tcPr>
            <w:tcW w:w="7266" w:type="dxa"/>
          </w:tcPr>
          <w:p w14:paraId="24DD15B5" w14:textId="77777777" w:rsidR="009B311D" w:rsidRPr="00982E7B" w:rsidRDefault="009B311D" w:rsidP="00EF3D8C">
            <w:pPr>
              <w:pStyle w:val="TableofAuthorities"/>
              <w:spacing w:after="0"/>
            </w:pPr>
            <w:r w:rsidRPr="00982E7B">
              <w:t>The Australian Government target of subsidised operational residential care places and allocated home care packages. These targets are based on the number of persons for every 1,000 people aged 70 years or over. The population-based provision formula ensures that the supply of services increases in line with the ageing of the population.</w:t>
            </w:r>
          </w:p>
        </w:tc>
      </w:tr>
      <w:tr w:rsidR="009B311D" w:rsidRPr="00DA76B8" w14:paraId="2AB4B2B5" w14:textId="77777777" w:rsidTr="00401168">
        <w:trPr>
          <w:trHeight w:val="109"/>
        </w:trPr>
        <w:tc>
          <w:tcPr>
            <w:tcW w:w="1794" w:type="dxa"/>
          </w:tcPr>
          <w:p w14:paraId="3865BC8D" w14:textId="77777777" w:rsidR="009B311D" w:rsidRPr="00EA6AC9" w:rsidRDefault="009B311D">
            <w:pPr>
              <w:pStyle w:val="TableofAuthorities"/>
            </w:pPr>
            <w:r w:rsidRPr="00EA6AC9">
              <w:t>Transition care</w:t>
            </w:r>
          </w:p>
        </w:tc>
        <w:tc>
          <w:tcPr>
            <w:tcW w:w="7266" w:type="dxa"/>
          </w:tcPr>
          <w:p w14:paraId="31FF5034" w14:textId="77777777" w:rsidR="009B311D" w:rsidRPr="00EA6AC9" w:rsidRDefault="009B311D">
            <w:pPr>
              <w:pStyle w:val="TableofAuthorities"/>
            </w:pPr>
            <w:r w:rsidRPr="00EA6AC9">
              <w:t>For those requiring time-limited, goal-oriented and therapy-focused packages of services after a hospital stay.</w:t>
            </w:r>
          </w:p>
        </w:tc>
      </w:tr>
      <w:tr w:rsidR="009B311D" w:rsidRPr="00DA76B8" w14:paraId="39FB65EE" w14:textId="77777777" w:rsidTr="00401168">
        <w:trPr>
          <w:trHeight w:val="1410"/>
        </w:trPr>
        <w:tc>
          <w:tcPr>
            <w:tcW w:w="1794" w:type="dxa"/>
          </w:tcPr>
          <w:p w14:paraId="71389F18" w14:textId="77777777" w:rsidR="009B311D" w:rsidRPr="00EA6AC9" w:rsidRDefault="009B311D">
            <w:pPr>
              <w:pStyle w:val="TableofAuthorities"/>
            </w:pPr>
            <w:r w:rsidRPr="00EA6AC9">
              <w:t>Viability supplement</w:t>
            </w:r>
          </w:p>
        </w:tc>
        <w:tc>
          <w:tcPr>
            <w:tcW w:w="7266" w:type="dxa"/>
          </w:tcPr>
          <w:p w14:paraId="243C57A7" w14:textId="6DA924A0" w:rsidR="009B311D" w:rsidRPr="00EA6AC9" w:rsidRDefault="009B311D">
            <w:pPr>
              <w:pStyle w:val="TableofAuthorities"/>
            </w:pPr>
            <w:r w:rsidRPr="00EA6AC9">
              <w:t xml:space="preserve">The supplement aims to improve the financial position of smaller, rural and remote aged care services that incur additional costs due to their location and are constrained in their ability to realise economies of scale due to smaller numbers of care recipients. The viability supplement also provides additional funding for residential care providers who specialise in services to First Nations Australians, or people who are homeless, or who are at risk of becoming homeless, in recognition of the </w:t>
            </w:r>
            <w:r w:rsidR="00824048" w:rsidRPr="00EA6AC9">
              <w:t>often</w:t>
            </w:r>
            <w:r w:rsidR="00824048">
              <w:t>-</w:t>
            </w:r>
            <w:r w:rsidRPr="00EA6AC9">
              <w:t>higher costs associated with providing specialised care.</w:t>
            </w:r>
          </w:p>
        </w:tc>
      </w:tr>
    </w:tbl>
    <w:p w14:paraId="007E8750" w14:textId="4ACAA231" w:rsidR="00401168" w:rsidRDefault="00401168" w:rsidP="00706D0A">
      <w:r>
        <w:br w:type="page"/>
      </w:r>
    </w:p>
    <w:p w14:paraId="1621496C" w14:textId="7B8D2A45" w:rsidR="00401168" w:rsidRDefault="00401168" w:rsidP="009A7517">
      <w:pPr>
        <w:pStyle w:val="Heading1"/>
      </w:pPr>
      <w:bookmarkStart w:id="244" w:name="_Toc173428616"/>
      <w:r w:rsidRPr="00400313">
        <w:t>Charts, tables and figures index</w:t>
      </w:r>
      <w:bookmarkEnd w:id="244"/>
    </w:p>
    <w:p w14:paraId="160A714E" w14:textId="77777777" w:rsidR="00401168" w:rsidRPr="009F4CA9" w:rsidRDefault="00401168" w:rsidP="00525FE2">
      <w:pPr>
        <w:rPr>
          <w:bCs w:val="0"/>
          <w:szCs w:val="28"/>
        </w:rPr>
      </w:pPr>
      <w:r w:rsidRPr="00525FE2">
        <w:rPr>
          <w:b/>
          <w:bCs w:val="0"/>
          <w:sz w:val="28"/>
          <w:szCs w:val="28"/>
        </w:rPr>
        <w:t>Tables</w:t>
      </w:r>
    </w:p>
    <w:p w14:paraId="5178613B" w14:textId="04C32C72" w:rsidR="00C93174" w:rsidRDefault="00401168">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r>
        <w:fldChar w:fldCharType="begin"/>
      </w:r>
      <w:r>
        <w:instrText xml:space="preserve"> TOC \h \z \c "Table" </w:instrText>
      </w:r>
      <w:r>
        <w:fldChar w:fldCharType="separate"/>
      </w:r>
      <w:hyperlink w:anchor="_Toc173428872" w:history="1">
        <w:r w:rsidR="00C93174" w:rsidRPr="001D6BFC">
          <w:rPr>
            <w:rStyle w:val="Hyperlink"/>
            <w:noProof/>
          </w:rPr>
          <w:t>Table 1.1: Home Care Recipients in a package at 30 June 2019 to June 2023</w:t>
        </w:r>
        <w:r w:rsidR="00C93174">
          <w:rPr>
            <w:noProof/>
            <w:webHidden/>
          </w:rPr>
          <w:tab/>
        </w:r>
        <w:r w:rsidR="00C93174">
          <w:rPr>
            <w:noProof/>
            <w:webHidden/>
          </w:rPr>
          <w:fldChar w:fldCharType="begin"/>
        </w:r>
        <w:r w:rsidR="00C93174">
          <w:rPr>
            <w:noProof/>
            <w:webHidden/>
          </w:rPr>
          <w:instrText xml:space="preserve"> PAGEREF _Toc173428872 \h </w:instrText>
        </w:r>
        <w:r w:rsidR="00C93174">
          <w:rPr>
            <w:noProof/>
            <w:webHidden/>
          </w:rPr>
        </w:r>
        <w:r w:rsidR="00C93174">
          <w:rPr>
            <w:noProof/>
            <w:webHidden/>
          </w:rPr>
          <w:fldChar w:fldCharType="separate"/>
        </w:r>
        <w:r w:rsidR="001377BE">
          <w:rPr>
            <w:noProof/>
            <w:webHidden/>
          </w:rPr>
          <w:t>22</w:t>
        </w:r>
        <w:r w:rsidR="00C93174">
          <w:rPr>
            <w:noProof/>
            <w:webHidden/>
          </w:rPr>
          <w:fldChar w:fldCharType="end"/>
        </w:r>
      </w:hyperlink>
    </w:p>
    <w:p w14:paraId="1236FA30" w14:textId="076A878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3" w:history="1">
        <w:r w:rsidR="00C93174" w:rsidRPr="001D6BFC">
          <w:rPr>
            <w:rStyle w:val="Hyperlink"/>
            <w:noProof/>
          </w:rPr>
          <w:t>Table 1.2: Number of home care providers and number of recipients, at 30 June 2023</w:t>
        </w:r>
        <w:r w:rsidR="00C93174">
          <w:rPr>
            <w:noProof/>
            <w:webHidden/>
          </w:rPr>
          <w:tab/>
        </w:r>
        <w:r w:rsidR="00C93174">
          <w:rPr>
            <w:noProof/>
            <w:webHidden/>
          </w:rPr>
          <w:fldChar w:fldCharType="begin"/>
        </w:r>
        <w:r w:rsidR="00C93174">
          <w:rPr>
            <w:noProof/>
            <w:webHidden/>
          </w:rPr>
          <w:instrText xml:space="preserve"> PAGEREF _Toc173428873 \h </w:instrText>
        </w:r>
        <w:r w:rsidR="00C93174">
          <w:rPr>
            <w:noProof/>
            <w:webHidden/>
          </w:rPr>
        </w:r>
        <w:r w:rsidR="00C93174">
          <w:rPr>
            <w:noProof/>
            <w:webHidden/>
          </w:rPr>
          <w:fldChar w:fldCharType="separate"/>
        </w:r>
        <w:r w:rsidR="001377BE">
          <w:rPr>
            <w:noProof/>
            <w:webHidden/>
          </w:rPr>
          <w:t>25</w:t>
        </w:r>
        <w:r w:rsidR="00C93174">
          <w:rPr>
            <w:noProof/>
            <w:webHidden/>
          </w:rPr>
          <w:fldChar w:fldCharType="end"/>
        </w:r>
      </w:hyperlink>
    </w:p>
    <w:p w14:paraId="6228D089" w14:textId="059B6FF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4" w:history="1">
        <w:r w:rsidR="00C93174" w:rsidRPr="001D6BFC">
          <w:rPr>
            <w:rStyle w:val="Hyperlink"/>
            <w:noProof/>
          </w:rPr>
          <w:t>Table 1.3: Summary of financial performance of home care providers, 2022-23</w:t>
        </w:r>
        <w:r w:rsidR="00C93174">
          <w:rPr>
            <w:noProof/>
            <w:webHidden/>
          </w:rPr>
          <w:tab/>
        </w:r>
        <w:r w:rsidR="00C93174">
          <w:rPr>
            <w:noProof/>
            <w:webHidden/>
          </w:rPr>
          <w:fldChar w:fldCharType="begin"/>
        </w:r>
        <w:r w:rsidR="00C93174">
          <w:rPr>
            <w:noProof/>
            <w:webHidden/>
          </w:rPr>
          <w:instrText xml:space="preserve"> PAGEREF _Toc173428874 \h </w:instrText>
        </w:r>
        <w:r w:rsidR="00C93174">
          <w:rPr>
            <w:noProof/>
            <w:webHidden/>
          </w:rPr>
        </w:r>
        <w:r w:rsidR="00C93174">
          <w:rPr>
            <w:noProof/>
            <w:webHidden/>
          </w:rPr>
          <w:fldChar w:fldCharType="separate"/>
        </w:r>
        <w:r w:rsidR="001377BE">
          <w:rPr>
            <w:noProof/>
            <w:webHidden/>
          </w:rPr>
          <w:t>28</w:t>
        </w:r>
        <w:r w:rsidR="00C93174">
          <w:rPr>
            <w:noProof/>
            <w:webHidden/>
          </w:rPr>
          <w:fldChar w:fldCharType="end"/>
        </w:r>
      </w:hyperlink>
    </w:p>
    <w:p w14:paraId="52D51473" w14:textId="562326B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5" w:history="1">
        <w:r w:rsidR="00C93174" w:rsidRPr="001D6BFC">
          <w:rPr>
            <w:rStyle w:val="Hyperlink"/>
            <w:noProof/>
          </w:rPr>
          <w:t>Table 1.4: Summary of income and expense statement per care recipient per day, 2018-19 to 2022-23</w:t>
        </w:r>
        <w:r w:rsidR="00C93174">
          <w:rPr>
            <w:noProof/>
            <w:webHidden/>
          </w:rPr>
          <w:tab/>
        </w:r>
        <w:r w:rsidR="00C93174">
          <w:rPr>
            <w:noProof/>
            <w:webHidden/>
          </w:rPr>
          <w:fldChar w:fldCharType="begin"/>
        </w:r>
        <w:r w:rsidR="00C93174">
          <w:rPr>
            <w:noProof/>
            <w:webHidden/>
          </w:rPr>
          <w:instrText xml:space="preserve"> PAGEREF _Toc173428875 \h </w:instrText>
        </w:r>
        <w:r w:rsidR="00C93174">
          <w:rPr>
            <w:noProof/>
            <w:webHidden/>
          </w:rPr>
        </w:r>
        <w:r w:rsidR="00C93174">
          <w:rPr>
            <w:noProof/>
            <w:webHidden/>
          </w:rPr>
          <w:fldChar w:fldCharType="separate"/>
        </w:r>
        <w:r w:rsidR="001377BE">
          <w:rPr>
            <w:noProof/>
            <w:webHidden/>
          </w:rPr>
          <w:t>30</w:t>
        </w:r>
        <w:r w:rsidR="00C93174">
          <w:rPr>
            <w:noProof/>
            <w:webHidden/>
          </w:rPr>
          <w:fldChar w:fldCharType="end"/>
        </w:r>
      </w:hyperlink>
    </w:p>
    <w:p w14:paraId="537E6335" w14:textId="015873C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6" w:history="1">
        <w:r w:rsidR="00C93174" w:rsidRPr="001D6BFC">
          <w:rPr>
            <w:rStyle w:val="Hyperlink"/>
            <w:noProof/>
          </w:rPr>
          <w:t>Table 1.5: Home care revenue per care recipient per day, by ownership type, location and scale, 2022-23</w:t>
        </w:r>
        <w:r w:rsidR="00C93174">
          <w:rPr>
            <w:noProof/>
            <w:webHidden/>
          </w:rPr>
          <w:tab/>
        </w:r>
        <w:r w:rsidR="00C93174">
          <w:rPr>
            <w:noProof/>
            <w:webHidden/>
          </w:rPr>
          <w:fldChar w:fldCharType="begin"/>
        </w:r>
        <w:r w:rsidR="00C93174">
          <w:rPr>
            <w:noProof/>
            <w:webHidden/>
          </w:rPr>
          <w:instrText xml:space="preserve"> PAGEREF _Toc173428876 \h </w:instrText>
        </w:r>
        <w:r w:rsidR="00C93174">
          <w:rPr>
            <w:noProof/>
            <w:webHidden/>
          </w:rPr>
        </w:r>
        <w:r w:rsidR="00C93174">
          <w:rPr>
            <w:noProof/>
            <w:webHidden/>
          </w:rPr>
          <w:fldChar w:fldCharType="separate"/>
        </w:r>
        <w:r w:rsidR="001377BE">
          <w:rPr>
            <w:noProof/>
            <w:webHidden/>
          </w:rPr>
          <w:t>32</w:t>
        </w:r>
        <w:r w:rsidR="00C93174">
          <w:rPr>
            <w:noProof/>
            <w:webHidden/>
          </w:rPr>
          <w:fldChar w:fldCharType="end"/>
        </w:r>
      </w:hyperlink>
    </w:p>
    <w:p w14:paraId="32B0C385" w14:textId="13B9AB63"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7" w:history="1">
        <w:r w:rsidR="00C93174" w:rsidRPr="001D6BFC">
          <w:rPr>
            <w:rStyle w:val="Hyperlink"/>
            <w:noProof/>
          </w:rPr>
          <w:t>Table 1.6: Home care expenditure per recipient per day, by ownership type, location and scale, 2022-23</w:t>
        </w:r>
        <w:r w:rsidR="00C93174">
          <w:rPr>
            <w:noProof/>
            <w:webHidden/>
          </w:rPr>
          <w:tab/>
        </w:r>
        <w:r w:rsidR="00C93174">
          <w:rPr>
            <w:noProof/>
            <w:webHidden/>
          </w:rPr>
          <w:fldChar w:fldCharType="begin"/>
        </w:r>
        <w:r w:rsidR="00C93174">
          <w:rPr>
            <w:noProof/>
            <w:webHidden/>
          </w:rPr>
          <w:instrText xml:space="preserve"> PAGEREF _Toc173428877 \h </w:instrText>
        </w:r>
        <w:r w:rsidR="00C93174">
          <w:rPr>
            <w:noProof/>
            <w:webHidden/>
          </w:rPr>
        </w:r>
        <w:r w:rsidR="00C93174">
          <w:rPr>
            <w:noProof/>
            <w:webHidden/>
          </w:rPr>
          <w:fldChar w:fldCharType="separate"/>
        </w:r>
        <w:r w:rsidR="001377BE">
          <w:rPr>
            <w:noProof/>
            <w:webHidden/>
          </w:rPr>
          <w:t>33</w:t>
        </w:r>
        <w:r w:rsidR="00C93174">
          <w:rPr>
            <w:noProof/>
            <w:webHidden/>
          </w:rPr>
          <w:fldChar w:fldCharType="end"/>
        </w:r>
      </w:hyperlink>
    </w:p>
    <w:p w14:paraId="424981EF" w14:textId="2E52B60B"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8" w:history="1">
        <w:r w:rsidR="00C93174" w:rsidRPr="001D6BFC">
          <w:rPr>
            <w:rStyle w:val="Hyperlink"/>
            <w:noProof/>
          </w:rPr>
          <w:t>Table 2.1: Number of residential aged care residents, 30 June 2019 to  30 June 2023</w:t>
        </w:r>
        <w:r w:rsidR="00C93174">
          <w:rPr>
            <w:noProof/>
            <w:webHidden/>
          </w:rPr>
          <w:tab/>
        </w:r>
        <w:r w:rsidR="00C93174">
          <w:rPr>
            <w:noProof/>
            <w:webHidden/>
          </w:rPr>
          <w:fldChar w:fldCharType="begin"/>
        </w:r>
        <w:r w:rsidR="00C93174">
          <w:rPr>
            <w:noProof/>
            <w:webHidden/>
          </w:rPr>
          <w:instrText xml:space="preserve"> PAGEREF _Toc173428878 \h </w:instrText>
        </w:r>
        <w:r w:rsidR="00C93174">
          <w:rPr>
            <w:noProof/>
            <w:webHidden/>
          </w:rPr>
        </w:r>
        <w:r w:rsidR="00C93174">
          <w:rPr>
            <w:noProof/>
            <w:webHidden/>
          </w:rPr>
          <w:fldChar w:fldCharType="separate"/>
        </w:r>
        <w:r w:rsidR="001377BE">
          <w:rPr>
            <w:noProof/>
            <w:webHidden/>
          </w:rPr>
          <w:t>44</w:t>
        </w:r>
        <w:r w:rsidR="00C93174">
          <w:rPr>
            <w:noProof/>
            <w:webHidden/>
          </w:rPr>
          <w:fldChar w:fldCharType="end"/>
        </w:r>
      </w:hyperlink>
    </w:p>
    <w:p w14:paraId="190A85A5" w14:textId="4FE788E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79" w:history="1">
        <w:r w:rsidR="00C93174" w:rsidRPr="001D6BFC">
          <w:rPr>
            <w:rStyle w:val="Hyperlink"/>
            <w:noProof/>
          </w:rPr>
          <w:t>Table 2.2: Number of providers, facilities, places and residents in residential care, by ownership, location and scale, 30 June 2023</w:t>
        </w:r>
        <w:r w:rsidR="00C93174">
          <w:rPr>
            <w:noProof/>
            <w:webHidden/>
          </w:rPr>
          <w:tab/>
        </w:r>
        <w:r w:rsidR="00C93174">
          <w:rPr>
            <w:noProof/>
            <w:webHidden/>
          </w:rPr>
          <w:fldChar w:fldCharType="begin"/>
        </w:r>
        <w:r w:rsidR="00C93174">
          <w:rPr>
            <w:noProof/>
            <w:webHidden/>
          </w:rPr>
          <w:instrText xml:space="preserve"> PAGEREF _Toc173428879 \h </w:instrText>
        </w:r>
        <w:r w:rsidR="00C93174">
          <w:rPr>
            <w:noProof/>
            <w:webHidden/>
          </w:rPr>
        </w:r>
        <w:r w:rsidR="00C93174">
          <w:rPr>
            <w:noProof/>
            <w:webHidden/>
          </w:rPr>
          <w:fldChar w:fldCharType="separate"/>
        </w:r>
        <w:r w:rsidR="001377BE">
          <w:rPr>
            <w:noProof/>
            <w:webHidden/>
          </w:rPr>
          <w:t>53</w:t>
        </w:r>
        <w:r w:rsidR="00C93174">
          <w:rPr>
            <w:noProof/>
            <w:webHidden/>
          </w:rPr>
          <w:fldChar w:fldCharType="end"/>
        </w:r>
      </w:hyperlink>
    </w:p>
    <w:p w14:paraId="43B5B9EC" w14:textId="4883F641"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0" w:history="1">
        <w:r w:rsidR="00C93174" w:rsidRPr="001D6BFC">
          <w:rPr>
            <w:rStyle w:val="Hyperlink"/>
            <w:noProof/>
          </w:rPr>
          <w:t>Table 2.3: Occupancy rates, by organisation type, 2018-19 to 2022-23</w:t>
        </w:r>
        <w:r w:rsidR="00C93174">
          <w:rPr>
            <w:noProof/>
            <w:webHidden/>
          </w:rPr>
          <w:tab/>
        </w:r>
        <w:r w:rsidR="00C93174">
          <w:rPr>
            <w:noProof/>
            <w:webHidden/>
          </w:rPr>
          <w:fldChar w:fldCharType="begin"/>
        </w:r>
        <w:r w:rsidR="00C93174">
          <w:rPr>
            <w:noProof/>
            <w:webHidden/>
          </w:rPr>
          <w:instrText xml:space="preserve"> PAGEREF _Toc173428880 \h </w:instrText>
        </w:r>
        <w:r w:rsidR="00C93174">
          <w:rPr>
            <w:noProof/>
            <w:webHidden/>
          </w:rPr>
        </w:r>
        <w:r w:rsidR="00C93174">
          <w:rPr>
            <w:noProof/>
            <w:webHidden/>
          </w:rPr>
          <w:fldChar w:fldCharType="separate"/>
        </w:r>
        <w:r w:rsidR="001377BE">
          <w:rPr>
            <w:noProof/>
            <w:webHidden/>
          </w:rPr>
          <w:t>54</w:t>
        </w:r>
        <w:r w:rsidR="00C93174">
          <w:rPr>
            <w:noProof/>
            <w:webHidden/>
          </w:rPr>
          <w:fldChar w:fldCharType="end"/>
        </w:r>
      </w:hyperlink>
    </w:p>
    <w:p w14:paraId="2DAA684E" w14:textId="33DA561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1" w:history="1">
        <w:r w:rsidR="00C93174" w:rsidRPr="001D6BFC">
          <w:rPr>
            <w:rStyle w:val="Hyperlink"/>
            <w:noProof/>
          </w:rPr>
          <w:t>Table 2.4: Occupancy in residential care, by state and territory, 2018-19 to 2022-23</w:t>
        </w:r>
        <w:r w:rsidR="00C93174">
          <w:rPr>
            <w:noProof/>
            <w:webHidden/>
          </w:rPr>
          <w:tab/>
        </w:r>
        <w:r w:rsidR="00C93174">
          <w:rPr>
            <w:noProof/>
            <w:webHidden/>
          </w:rPr>
          <w:fldChar w:fldCharType="begin"/>
        </w:r>
        <w:r w:rsidR="00C93174">
          <w:rPr>
            <w:noProof/>
            <w:webHidden/>
          </w:rPr>
          <w:instrText xml:space="preserve"> PAGEREF _Toc173428881 \h </w:instrText>
        </w:r>
        <w:r w:rsidR="00C93174">
          <w:rPr>
            <w:noProof/>
            <w:webHidden/>
          </w:rPr>
        </w:r>
        <w:r w:rsidR="00C93174">
          <w:rPr>
            <w:noProof/>
            <w:webHidden/>
          </w:rPr>
          <w:fldChar w:fldCharType="separate"/>
        </w:r>
        <w:r w:rsidR="001377BE">
          <w:rPr>
            <w:noProof/>
            <w:webHidden/>
          </w:rPr>
          <w:t>55</w:t>
        </w:r>
        <w:r w:rsidR="00C93174">
          <w:rPr>
            <w:noProof/>
            <w:webHidden/>
          </w:rPr>
          <w:fldChar w:fldCharType="end"/>
        </w:r>
      </w:hyperlink>
    </w:p>
    <w:p w14:paraId="7D703C71" w14:textId="40E4B028"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2" w:history="1">
        <w:r w:rsidR="00C93174" w:rsidRPr="001D6BFC">
          <w:rPr>
            <w:rStyle w:val="Hyperlink"/>
            <w:noProof/>
          </w:rPr>
          <w:t>Table 2.5: Occupancy in residential care, by location, 2018-19 to 2022-23</w:t>
        </w:r>
        <w:r w:rsidR="00C93174">
          <w:rPr>
            <w:noProof/>
            <w:webHidden/>
          </w:rPr>
          <w:tab/>
        </w:r>
        <w:r w:rsidR="00C93174">
          <w:rPr>
            <w:noProof/>
            <w:webHidden/>
          </w:rPr>
          <w:fldChar w:fldCharType="begin"/>
        </w:r>
        <w:r w:rsidR="00C93174">
          <w:rPr>
            <w:noProof/>
            <w:webHidden/>
          </w:rPr>
          <w:instrText xml:space="preserve"> PAGEREF _Toc173428882 \h </w:instrText>
        </w:r>
        <w:r w:rsidR="00C93174">
          <w:rPr>
            <w:noProof/>
            <w:webHidden/>
          </w:rPr>
        </w:r>
        <w:r w:rsidR="00C93174">
          <w:rPr>
            <w:noProof/>
            <w:webHidden/>
          </w:rPr>
          <w:fldChar w:fldCharType="separate"/>
        </w:r>
        <w:r w:rsidR="001377BE">
          <w:rPr>
            <w:noProof/>
            <w:webHidden/>
          </w:rPr>
          <w:t>55</w:t>
        </w:r>
        <w:r w:rsidR="00C93174">
          <w:rPr>
            <w:noProof/>
            <w:webHidden/>
          </w:rPr>
          <w:fldChar w:fldCharType="end"/>
        </w:r>
      </w:hyperlink>
    </w:p>
    <w:p w14:paraId="55CBBF86" w14:textId="55C9BE7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3" w:history="1">
        <w:r w:rsidR="00C93174" w:rsidRPr="001D6BFC">
          <w:rPr>
            <w:rStyle w:val="Hyperlink"/>
            <w:noProof/>
          </w:rPr>
          <w:t>Table 3.1: Summary of financial performance of residential care providers, 2018-19 to 2022-23</w:t>
        </w:r>
        <w:r w:rsidR="00C93174">
          <w:rPr>
            <w:noProof/>
            <w:webHidden/>
          </w:rPr>
          <w:tab/>
        </w:r>
        <w:r w:rsidR="00C93174">
          <w:rPr>
            <w:noProof/>
            <w:webHidden/>
          </w:rPr>
          <w:fldChar w:fldCharType="begin"/>
        </w:r>
        <w:r w:rsidR="00C93174">
          <w:rPr>
            <w:noProof/>
            <w:webHidden/>
          </w:rPr>
          <w:instrText xml:space="preserve"> PAGEREF _Toc173428883 \h </w:instrText>
        </w:r>
        <w:r w:rsidR="00C93174">
          <w:rPr>
            <w:noProof/>
            <w:webHidden/>
          </w:rPr>
        </w:r>
        <w:r w:rsidR="00C93174">
          <w:rPr>
            <w:noProof/>
            <w:webHidden/>
          </w:rPr>
          <w:fldChar w:fldCharType="separate"/>
        </w:r>
        <w:r w:rsidR="001377BE">
          <w:rPr>
            <w:noProof/>
            <w:webHidden/>
          </w:rPr>
          <w:t>61</w:t>
        </w:r>
        <w:r w:rsidR="00C93174">
          <w:rPr>
            <w:noProof/>
            <w:webHidden/>
          </w:rPr>
          <w:fldChar w:fldCharType="end"/>
        </w:r>
      </w:hyperlink>
    </w:p>
    <w:p w14:paraId="047F56EB" w14:textId="0B52507B"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4" w:history="1">
        <w:r w:rsidR="00C93174" w:rsidRPr="001D6BFC">
          <w:rPr>
            <w:rStyle w:val="Hyperlink"/>
            <w:noProof/>
          </w:rPr>
          <w:t>Table 3.2: Summary of financial performance of residential care providers, by ownership, location and scale, 2022-23</w:t>
        </w:r>
        <w:r w:rsidR="00C93174">
          <w:rPr>
            <w:noProof/>
            <w:webHidden/>
          </w:rPr>
          <w:tab/>
        </w:r>
        <w:r w:rsidR="00C93174">
          <w:rPr>
            <w:noProof/>
            <w:webHidden/>
          </w:rPr>
          <w:fldChar w:fldCharType="begin"/>
        </w:r>
        <w:r w:rsidR="00C93174">
          <w:rPr>
            <w:noProof/>
            <w:webHidden/>
          </w:rPr>
          <w:instrText xml:space="preserve"> PAGEREF _Toc173428884 \h </w:instrText>
        </w:r>
        <w:r w:rsidR="00C93174">
          <w:rPr>
            <w:noProof/>
            <w:webHidden/>
          </w:rPr>
        </w:r>
        <w:r w:rsidR="00C93174">
          <w:rPr>
            <w:noProof/>
            <w:webHidden/>
          </w:rPr>
          <w:fldChar w:fldCharType="separate"/>
        </w:r>
        <w:r w:rsidR="001377BE">
          <w:rPr>
            <w:noProof/>
            <w:webHidden/>
          </w:rPr>
          <w:t>62</w:t>
        </w:r>
        <w:r w:rsidR="00C93174">
          <w:rPr>
            <w:noProof/>
            <w:webHidden/>
          </w:rPr>
          <w:fldChar w:fldCharType="end"/>
        </w:r>
      </w:hyperlink>
    </w:p>
    <w:p w14:paraId="243623AE" w14:textId="700A7EF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5" w:history="1">
        <w:r w:rsidR="00C93174" w:rsidRPr="001D6BFC">
          <w:rPr>
            <w:rStyle w:val="Hyperlink"/>
            <w:noProof/>
          </w:rPr>
          <w:t>Table 3.3: Summary of income and expense statement per resident per day, by ownership, 2022-23</w:t>
        </w:r>
        <w:r w:rsidR="00C93174">
          <w:rPr>
            <w:noProof/>
            <w:webHidden/>
          </w:rPr>
          <w:tab/>
        </w:r>
        <w:r w:rsidR="00C93174">
          <w:rPr>
            <w:noProof/>
            <w:webHidden/>
          </w:rPr>
          <w:fldChar w:fldCharType="begin"/>
        </w:r>
        <w:r w:rsidR="00C93174">
          <w:rPr>
            <w:noProof/>
            <w:webHidden/>
          </w:rPr>
          <w:instrText xml:space="preserve"> PAGEREF _Toc173428885 \h </w:instrText>
        </w:r>
        <w:r w:rsidR="00C93174">
          <w:rPr>
            <w:noProof/>
            <w:webHidden/>
          </w:rPr>
        </w:r>
        <w:r w:rsidR="00C93174">
          <w:rPr>
            <w:noProof/>
            <w:webHidden/>
          </w:rPr>
          <w:fldChar w:fldCharType="separate"/>
        </w:r>
        <w:r w:rsidR="001377BE">
          <w:rPr>
            <w:noProof/>
            <w:webHidden/>
          </w:rPr>
          <w:t>66</w:t>
        </w:r>
        <w:r w:rsidR="00C93174">
          <w:rPr>
            <w:noProof/>
            <w:webHidden/>
          </w:rPr>
          <w:fldChar w:fldCharType="end"/>
        </w:r>
      </w:hyperlink>
    </w:p>
    <w:p w14:paraId="4C03876D" w14:textId="7A2E72E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6" w:history="1">
        <w:r w:rsidR="00C93174" w:rsidRPr="001D6BFC">
          <w:rPr>
            <w:rStyle w:val="Hyperlink"/>
            <w:noProof/>
          </w:rPr>
          <w:t>Table 3.4: Revenue sources for residential care providers, by care, accommodation, living and ‘other’, 2020-21 to 2022-23 ($m)</w:t>
        </w:r>
        <w:r w:rsidR="00C93174">
          <w:rPr>
            <w:noProof/>
            <w:webHidden/>
          </w:rPr>
          <w:tab/>
        </w:r>
        <w:r w:rsidR="00C93174">
          <w:rPr>
            <w:noProof/>
            <w:webHidden/>
          </w:rPr>
          <w:fldChar w:fldCharType="begin"/>
        </w:r>
        <w:r w:rsidR="00C93174">
          <w:rPr>
            <w:noProof/>
            <w:webHidden/>
          </w:rPr>
          <w:instrText xml:space="preserve"> PAGEREF _Toc173428886 \h </w:instrText>
        </w:r>
        <w:r w:rsidR="00C93174">
          <w:rPr>
            <w:noProof/>
            <w:webHidden/>
          </w:rPr>
        </w:r>
        <w:r w:rsidR="00C93174">
          <w:rPr>
            <w:noProof/>
            <w:webHidden/>
          </w:rPr>
          <w:fldChar w:fldCharType="separate"/>
        </w:r>
        <w:r w:rsidR="001377BE">
          <w:rPr>
            <w:noProof/>
            <w:webHidden/>
          </w:rPr>
          <w:t>68</w:t>
        </w:r>
        <w:r w:rsidR="00C93174">
          <w:rPr>
            <w:noProof/>
            <w:webHidden/>
          </w:rPr>
          <w:fldChar w:fldCharType="end"/>
        </w:r>
      </w:hyperlink>
    </w:p>
    <w:p w14:paraId="3E6F49CC" w14:textId="7FE77F1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7" w:history="1">
        <w:r w:rsidR="00C93174" w:rsidRPr="001D6BFC">
          <w:rPr>
            <w:rStyle w:val="Hyperlink"/>
            <w:noProof/>
          </w:rPr>
          <w:t>Table 3.5: Additional service fee revenue between 2020-21 and 2022-23 ($m)</w:t>
        </w:r>
        <w:r w:rsidR="00C93174">
          <w:rPr>
            <w:noProof/>
            <w:webHidden/>
          </w:rPr>
          <w:tab/>
        </w:r>
        <w:r w:rsidR="00C93174">
          <w:rPr>
            <w:noProof/>
            <w:webHidden/>
          </w:rPr>
          <w:fldChar w:fldCharType="begin"/>
        </w:r>
        <w:r w:rsidR="00C93174">
          <w:rPr>
            <w:noProof/>
            <w:webHidden/>
          </w:rPr>
          <w:instrText xml:space="preserve"> PAGEREF _Toc173428887 \h </w:instrText>
        </w:r>
        <w:r w:rsidR="00C93174">
          <w:rPr>
            <w:noProof/>
            <w:webHidden/>
          </w:rPr>
        </w:r>
        <w:r w:rsidR="00C93174">
          <w:rPr>
            <w:noProof/>
            <w:webHidden/>
          </w:rPr>
          <w:fldChar w:fldCharType="separate"/>
        </w:r>
        <w:r w:rsidR="001377BE">
          <w:rPr>
            <w:noProof/>
            <w:webHidden/>
          </w:rPr>
          <w:t>70</w:t>
        </w:r>
        <w:r w:rsidR="00C93174">
          <w:rPr>
            <w:noProof/>
            <w:webHidden/>
          </w:rPr>
          <w:fldChar w:fldCharType="end"/>
        </w:r>
      </w:hyperlink>
    </w:p>
    <w:p w14:paraId="4E6EF1D9" w14:textId="66B2C2E3"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8" w:history="1">
        <w:r w:rsidR="00C93174" w:rsidRPr="001D6BFC">
          <w:rPr>
            <w:rStyle w:val="Hyperlink"/>
            <w:noProof/>
          </w:rPr>
          <w:t>Table 3.6: Breakdown of providers by how much of their residential aged care revenue they received from additional services fees in 2022-23</w:t>
        </w:r>
        <w:r w:rsidR="00C93174">
          <w:rPr>
            <w:noProof/>
            <w:webHidden/>
          </w:rPr>
          <w:tab/>
        </w:r>
        <w:r w:rsidR="00C93174">
          <w:rPr>
            <w:noProof/>
            <w:webHidden/>
          </w:rPr>
          <w:fldChar w:fldCharType="begin"/>
        </w:r>
        <w:r w:rsidR="00C93174">
          <w:rPr>
            <w:noProof/>
            <w:webHidden/>
          </w:rPr>
          <w:instrText xml:space="preserve"> PAGEREF _Toc173428888 \h </w:instrText>
        </w:r>
        <w:r w:rsidR="00C93174">
          <w:rPr>
            <w:noProof/>
            <w:webHidden/>
          </w:rPr>
        </w:r>
        <w:r w:rsidR="00C93174">
          <w:rPr>
            <w:noProof/>
            <w:webHidden/>
          </w:rPr>
          <w:fldChar w:fldCharType="separate"/>
        </w:r>
        <w:r w:rsidR="001377BE">
          <w:rPr>
            <w:noProof/>
            <w:webHidden/>
          </w:rPr>
          <w:t>71</w:t>
        </w:r>
        <w:r w:rsidR="00C93174">
          <w:rPr>
            <w:noProof/>
            <w:webHidden/>
          </w:rPr>
          <w:fldChar w:fldCharType="end"/>
        </w:r>
      </w:hyperlink>
    </w:p>
    <w:p w14:paraId="1140EA67" w14:textId="4D1152B1"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89" w:history="1">
        <w:r w:rsidR="00C93174" w:rsidRPr="001D6BFC">
          <w:rPr>
            <w:rStyle w:val="Hyperlink"/>
            <w:noProof/>
          </w:rPr>
          <w:t>Table 3.7: Revenue sources for residential care providers, Australian Government, resident and ‘other’, 2020-21 to 2022-23 ($m)</w:t>
        </w:r>
        <w:r w:rsidR="00C93174">
          <w:rPr>
            <w:noProof/>
            <w:webHidden/>
          </w:rPr>
          <w:tab/>
        </w:r>
        <w:r w:rsidR="00C93174">
          <w:rPr>
            <w:noProof/>
            <w:webHidden/>
          </w:rPr>
          <w:fldChar w:fldCharType="begin"/>
        </w:r>
        <w:r w:rsidR="00C93174">
          <w:rPr>
            <w:noProof/>
            <w:webHidden/>
          </w:rPr>
          <w:instrText xml:space="preserve"> PAGEREF _Toc173428889 \h </w:instrText>
        </w:r>
        <w:r w:rsidR="00C93174">
          <w:rPr>
            <w:noProof/>
            <w:webHidden/>
          </w:rPr>
        </w:r>
        <w:r w:rsidR="00C93174">
          <w:rPr>
            <w:noProof/>
            <w:webHidden/>
          </w:rPr>
          <w:fldChar w:fldCharType="separate"/>
        </w:r>
        <w:r w:rsidR="001377BE">
          <w:rPr>
            <w:noProof/>
            <w:webHidden/>
          </w:rPr>
          <w:t>71</w:t>
        </w:r>
        <w:r w:rsidR="00C93174">
          <w:rPr>
            <w:noProof/>
            <w:webHidden/>
          </w:rPr>
          <w:fldChar w:fldCharType="end"/>
        </w:r>
      </w:hyperlink>
    </w:p>
    <w:p w14:paraId="026D195C" w14:textId="4CB1E281"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0" w:history="1">
        <w:r w:rsidR="00C93174" w:rsidRPr="001D6BFC">
          <w:rPr>
            <w:rStyle w:val="Hyperlink"/>
            <w:noProof/>
          </w:rPr>
          <w:t>Table 3.8: Residential care provider revenue sources per resident per day, 2020-21 to 2022-23</w:t>
        </w:r>
        <w:r w:rsidR="00C93174">
          <w:rPr>
            <w:noProof/>
            <w:webHidden/>
          </w:rPr>
          <w:tab/>
        </w:r>
        <w:r w:rsidR="00C93174">
          <w:rPr>
            <w:noProof/>
            <w:webHidden/>
          </w:rPr>
          <w:fldChar w:fldCharType="begin"/>
        </w:r>
        <w:r w:rsidR="00C93174">
          <w:rPr>
            <w:noProof/>
            <w:webHidden/>
          </w:rPr>
          <w:instrText xml:space="preserve"> PAGEREF _Toc173428890 \h </w:instrText>
        </w:r>
        <w:r w:rsidR="00C93174">
          <w:rPr>
            <w:noProof/>
            <w:webHidden/>
          </w:rPr>
        </w:r>
        <w:r w:rsidR="00C93174">
          <w:rPr>
            <w:noProof/>
            <w:webHidden/>
          </w:rPr>
          <w:fldChar w:fldCharType="separate"/>
        </w:r>
        <w:r w:rsidR="001377BE">
          <w:rPr>
            <w:noProof/>
            <w:webHidden/>
          </w:rPr>
          <w:t>72</w:t>
        </w:r>
        <w:r w:rsidR="00C93174">
          <w:rPr>
            <w:noProof/>
            <w:webHidden/>
          </w:rPr>
          <w:fldChar w:fldCharType="end"/>
        </w:r>
      </w:hyperlink>
    </w:p>
    <w:p w14:paraId="2E728AC8" w14:textId="6922112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1" w:history="1">
        <w:r w:rsidR="00C93174" w:rsidRPr="001D6BFC">
          <w:rPr>
            <w:rStyle w:val="Hyperlink"/>
            <w:noProof/>
          </w:rPr>
          <w:t>Table 3.9: Summary of expenses, residential care providers, 2020-21 to 2022-23</w:t>
        </w:r>
        <w:r w:rsidR="00C93174">
          <w:rPr>
            <w:noProof/>
            <w:webHidden/>
          </w:rPr>
          <w:tab/>
        </w:r>
        <w:r w:rsidR="00C93174">
          <w:rPr>
            <w:noProof/>
            <w:webHidden/>
          </w:rPr>
          <w:fldChar w:fldCharType="begin"/>
        </w:r>
        <w:r w:rsidR="00C93174">
          <w:rPr>
            <w:noProof/>
            <w:webHidden/>
          </w:rPr>
          <w:instrText xml:space="preserve"> PAGEREF _Toc173428891 \h </w:instrText>
        </w:r>
        <w:r w:rsidR="00C93174">
          <w:rPr>
            <w:noProof/>
            <w:webHidden/>
          </w:rPr>
        </w:r>
        <w:r w:rsidR="00C93174">
          <w:rPr>
            <w:noProof/>
            <w:webHidden/>
          </w:rPr>
          <w:fldChar w:fldCharType="separate"/>
        </w:r>
        <w:r w:rsidR="001377BE">
          <w:rPr>
            <w:noProof/>
            <w:webHidden/>
          </w:rPr>
          <w:t>75</w:t>
        </w:r>
        <w:r w:rsidR="00C93174">
          <w:rPr>
            <w:noProof/>
            <w:webHidden/>
          </w:rPr>
          <w:fldChar w:fldCharType="end"/>
        </w:r>
      </w:hyperlink>
    </w:p>
    <w:p w14:paraId="7B42E283" w14:textId="3FE85C3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2" w:history="1">
        <w:r w:rsidR="00C93174" w:rsidRPr="001D6BFC">
          <w:rPr>
            <w:rStyle w:val="Hyperlink"/>
            <w:noProof/>
          </w:rPr>
          <w:t>Table 3.10: Summary of residential care provider expenses, per resident per day, 2018-19 to 2022-23</w:t>
        </w:r>
        <w:r w:rsidR="00C93174">
          <w:rPr>
            <w:noProof/>
            <w:webHidden/>
          </w:rPr>
          <w:tab/>
        </w:r>
        <w:r w:rsidR="00C93174">
          <w:rPr>
            <w:noProof/>
            <w:webHidden/>
          </w:rPr>
          <w:fldChar w:fldCharType="begin"/>
        </w:r>
        <w:r w:rsidR="00C93174">
          <w:rPr>
            <w:noProof/>
            <w:webHidden/>
          </w:rPr>
          <w:instrText xml:space="preserve"> PAGEREF _Toc173428892 \h </w:instrText>
        </w:r>
        <w:r w:rsidR="00C93174">
          <w:rPr>
            <w:noProof/>
            <w:webHidden/>
          </w:rPr>
        </w:r>
        <w:r w:rsidR="00C93174">
          <w:rPr>
            <w:noProof/>
            <w:webHidden/>
          </w:rPr>
          <w:fldChar w:fldCharType="separate"/>
        </w:r>
        <w:r w:rsidR="001377BE">
          <w:rPr>
            <w:noProof/>
            <w:webHidden/>
          </w:rPr>
          <w:t>76</w:t>
        </w:r>
        <w:r w:rsidR="00C93174">
          <w:rPr>
            <w:noProof/>
            <w:webHidden/>
          </w:rPr>
          <w:fldChar w:fldCharType="end"/>
        </w:r>
      </w:hyperlink>
    </w:p>
    <w:p w14:paraId="4FF8B3D9" w14:textId="1672ED23"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3" w:history="1">
        <w:r w:rsidR="00C93174" w:rsidRPr="001D6BFC">
          <w:rPr>
            <w:rStyle w:val="Hyperlink"/>
            <w:noProof/>
          </w:rPr>
          <w:t>Table 3.11: Breakdown of residential care provider expenses, 2020-21 to 2022-23 ($m)</w:t>
        </w:r>
        <w:r w:rsidR="00C93174">
          <w:rPr>
            <w:noProof/>
            <w:webHidden/>
          </w:rPr>
          <w:tab/>
        </w:r>
        <w:r w:rsidR="00C93174">
          <w:rPr>
            <w:noProof/>
            <w:webHidden/>
          </w:rPr>
          <w:fldChar w:fldCharType="begin"/>
        </w:r>
        <w:r w:rsidR="00C93174">
          <w:rPr>
            <w:noProof/>
            <w:webHidden/>
          </w:rPr>
          <w:instrText xml:space="preserve"> PAGEREF _Toc173428893 \h </w:instrText>
        </w:r>
        <w:r w:rsidR="00C93174">
          <w:rPr>
            <w:noProof/>
            <w:webHidden/>
          </w:rPr>
        </w:r>
        <w:r w:rsidR="00C93174">
          <w:rPr>
            <w:noProof/>
            <w:webHidden/>
          </w:rPr>
          <w:fldChar w:fldCharType="separate"/>
        </w:r>
        <w:r w:rsidR="001377BE">
          <w:rPr>
            <w:noProof/>
            <w:webHidden/>
          </w:rPr>
          <w:t>77</w:t>
        </w:r>
        <w:r w:rsidR="00C93174">
          <w:rPr>
            <w:noProof/>
            <w:webHidden/>
          </w:rPr>
          <w:fldChar w:fldCharType="end"/>
        </w:r>
      </w:hyperlink>
    </w:p>
    <w:p w14:paraId="13187A34" w14:textId="6697AA0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4" w:history="1">
        <w:r w:rsidR="00C93174" w:rsidRPr="001D6BFC">
          <w:rPr>
            <w:rStyle w:val="Hyperlink"/>
            <w:noProof/>
          </w:rPr>
          <w:t>Table 4.1: Balance sheet of residential care providers, 2018-19 to 2022-23</w:t>
        </w:r>
        <w:r w:rsidR="00C93174">
          <w:rPr>
            <w:noProof/>
            <w:webHidden/>
          </w:rPr>
          <w:tab/>
        </w:r>
        <w:r w:rsidR="00C93174">
          <w:rPr>
            <w:noProof/>
            <w:webHidden/>
          </w:rPr>
          <w:fldChar w:fldCharType="begin"/>
        </w:r>
        <w:r w:rsidR="00C93174">
          <w:rPr>
            <w:noProof/>
            <w:webHidden/>
          </w:rPr>
          <w:instrText xml:space="preserve"> PAGEREF _Toc173428894 \h </w:instrText>
        </w:r>
        <w:r w:rsidR="00C93174">
          <w:rPr>
            <w:noProof/>
            <w:webHidden/>
          </w:rPr>
        </w:r>
        <w:r w:rsidR="00C93174">
          <w:rPr>
            <w:noProof/>
            <w:webHidden/>
          </w:rPr>
          <w:fldChar w:fldCharType="separate"/>
        </w:r>
        <w:r w:rsidR="001377BE">
          <w:rPr>
            <w:noProof/>
            <w:webHidden/>
          </w:rPr>
          <w:t>91</w:t>
        </w:r>
        <w:r w:rsidR="00C93174">
          <w:rPr>
            <w:noProof/>
            <w:webHidden/>
          </w:rPr>
          <w:fldChar w:fldCharType="end"/>
        </w:r>
      </w:hyperlink>
    </w:p>
    <w:p w14:paraId="2D14E5B9" w14:textId="56BAF91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5" w:history="1">
        <w:r w:rsidR="00C93174" w:rsidRPr="001D6BFC">
          <w:rPr>
            <w:rStyle w:val="Hyperlink"/>
            <w:noProof/>
          </w:rPr>
          <w:t>Table 4.2: Balance sheet, by ownership type, at 30 June 2023 ($m)</w:t>
        </w:r>
        <w:r w:rsidR="00C93174">
          <w:rPr>
            <w:noProof/>
            <w:webHidden/>
          </w:rPr>
          <w:tab/>
        </w:r>
        <w:r w:rsidR="00C93174">
          <w:rPr>
            <w:noProof/>
            <w:webHidden/>
          </w:rPr>
          <w:fldChar w:fldCharType="begin"/>
        </w:r>
        <w:r w:rsidR="00C93174">
          <w:rPr>
            <w:noProof/>
            <w:webHidden/>
          </w:rPr>
          <w:instrText xml:space="preserve"> PAGEREF _Toc173428895 \h </w:instrText>
        </w:r>
        <w:r w:rsidR="00C93174">
          <w:rPr>
            <w:noProof/>
            <w:webHidden/>
          </w:rPr>
        </w:r>
        <w:r w:rsidR="00C93174">
          <w:rPr>
            <w:noProof/>
            <w:webHidden/>
          </w:rPr>
          <w:fldChar w:fldCharType="separate"/>
        </w:r>
        <w:r w:rsidR="001377BE">
          <w:rPr>
            <w:noProof/>
            <w:webHidden/>
          </w:rPr>
          <w:t>92</w:t>
        </w:r>
        <w:r w:rsidR="00C93174">
          <w:rPr>
            <w:noProof/>
            <w:webHidden/>
          </w:rPr>
          <w:fldChar w:fldCharType="end"/>
        </w:r>
      </w:hyperlink>
    </w:p>
    <w:p w14:paraId="15BDB2F7" w14:textId="77212A7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6" w:history="1">
        <w:r w:rsidR="00C93174" w:rsidRPr="001D6BFC">
          <w:rPr>
            <w:rStyle w:val="Hyperlink"/>
            <w:noProof/>
          </w:rPr>
          <w:t>Table 4.3: Disaggregated balance sheet by provider ownership type, at 30 June 2023 ($m)</w:t>
        </w:r>
        <w:r w:rsidR="00C93174">
          <w:rPr>
            <w:noProof/>
            <w:webHidden/>
          </w:rPr>
          <w:tab/>
        </w:r>
        <w:r w:rsidR="00C93174">
          <w:rPr>
            <w:noProof/>
            <w:webHidden/>
          </w:rPr>
          <w:fldChar w:fldCharType="begin"/>
        </w:r>
        <w:r w:rsidR="00C93174">
          <w:rPr>
            <w:noProof/>
            <w:webHidden/>
          </w:rPr>
          <w:instrText xml:space="preserve"> PAGEREF _Toc173428896 \h </w:instrText>
        </w:r>
        <w:r w:rsidR="00C93174">
          <w:rPr>
            <w:noProof/>
            <w:webHidden/>
          </w:rPr>
        </w:r>
        <w:r w:rsidR="00C93174">
          <w:rPr>
            <w:noProof/>
            <w:webHidden/>
          </w:rPr>
          <w:fldChar w:fldCharType="separate"/>
        </w:r>
        <w:r w:rsidR="001377BE">
          <w:rPr>
            <w:noProof/>
            <w:webHidden/>
          </w:rPr>
          <w:t>93</w:t>
        </w:r>
        <w:r w:rsidR="00C93174">
          <w:rPr>
            <w:noProof/>
            <w:webHidden/>
          </w:rPr>
          <w:fldChar w:fldCharType="end"/>
        </w:r>
      </w:hyperlink>
    </w:p>
    <w:p w14:paraId="29876F85" w14:textId="04291C6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7" w:history="1">
        <w:r w:rsidR="00C93174" w:rsidRPr="001D6BFC">
          <w:rPr>
            <w:rStyle w:val="Hyperlink"/>
            <w:noProof/>
          </w:rPr>
          <w:t>Table 4.4: Average value of RADs held by providers, 2018-19 to 2022-23</w:t>
        </w:r>
        <w:r w:rsidR="00C93174">
          <w:rPr>
            <w:noProof/>
            <w:webHidden/>
          </w:rPr>
          <w:tab/>
        </w:r>
        <w:r w:rsidR="00C93174">
          <w:rPr>
            <w:noProof/>
            <w:webHidden/>
          </w:rPr>
          <w:fldChar w:fldCharType="begin"/>
        </w:r>
        <w:r w:rsidR="00C93174">
          <w:rPr>
            <w:noProof/>
            <w:webHidden/>
          </w:rPr>
          <w:instrText xml:space="preserve"> PAGEREF _Toc173428897 \h </w:instrText>
        </w:r>
        <w:r w:rsidR="00C93174">
          <w:rPr>
            <w:noProof/>
            <w:webHidden/>
          </w:rPr>
        </w:r>
        <w:r w:rsidR="00C93174">
          <w:rPr>
            <w:noProof/>
            <w:webHidden/>
          </w:rPr>
          <w:fldChar w:fldCharType="separate"/>
        </w:r>
        <w:r w:rsidR="001377BE">
          <w:rPr>
            <w:noProof/>
            <w:webHidden/>
          </w:rPr>
          <w:t>96</w:t>
        </w:r>
        <w:r w:rsidR="00C93174">
          <w:rPr>
            <w:noProof/>
            <w:webHidden/>
          </w:rPr>
          <w:fldChar w:fldCharType="end"/>
        </w:r>
      </w:hyperlink>
    </w:p>
    <w:p w14:paraId="4BCE0739" w14:textId="479CB7CA"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8" w:history="1">
        <w:r w:rsidR="00C93174" w:rsidRPr="001D6BFC">
          <w:rPr>
            <w:rStyle w:val="Hyperlink"/>
            <w:noProof/>
          </w:rPr>
          <w:t>Table 5.1: Number of CHSP recipients, 2018-19 to 2022-23</w:t>
        </w:r>
        <w:r w:rsidR="00C93174">
          <w:rPr>
            <w:noProof/>
            <w:webHidden/>
          </w:rPr>
          <w:tab/>
        </w:r>
        <w:r w:rsidR="00C93174">
          <w:rPr>
            <w:noProof/>
            <w:webHidden/>
          </w:rPr>
          <w:fldChar w:fldCharType="begin"/>
        </w:r>
        <w:r w:rsidR="00C93174">
          <w:rPr>
            <w:noProof/>
            <w:webHidden/>
          </w:rPr>
          <w:instrText xml:space="preserve"> PAGEREF _Toc173428898 \h </w:instrText>
        </w:r>
        <w:r w:rsidR="00C93174">
          <w:rPr>
            <w:noProof/>
            <w:webHidden/>
          </w:rPr>
        </w:r>
        <w:r w:rsidR="00C93174">
          <w:rPr>
            <w:noProof/>
            <w:webHidden/>
          </w:rPr>
          <w:fldChar w:fldCharType="separate"/>
        </w:r>
        <w:r w:rsidR="001377BE">
          <w:rPr>
            <w:noProof/>
            <w:webHidden/>
          </w:rPr>
          <w:t>115</w:t>
        </w:r>
        <w:r w:rsidR="00C93174">
          <w:rPr>
            <w:noProof/>
            <w:webHidden/>
          </w:rPr>
          <w:fldChar w:fldCharType="end"/>
        </w:r>
      </w:hyperlink>
    </w:p>
    <w:p w14:paraId="39F8019B" w14:textId="53EE0BF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899" w:history="1">
        <w:r w:rsidR="00C93174" w:rsidRPr="001D6BFC">
          <w:rPr>
            <w:rStyle w:val="Hyperlink"/>
            <w:noProof/>
          </w:rPr>
          <w:t>Table 5.2: CHSP expenditure by service type 2020-21 to 2022-23</w:t>
        </w:r>
        <w:r w:rsidR="00C93174">
          <w:rPr>
            <w:noProof/>
            <w:webHidden/>
          </w:rPr>
          <w:tab/>
        </w:r>
        <w:r w:rsidR="00C93174">
          <w:rPr>
            <w:noProof/>
            <w:webHidden/>
          </w:rPr>
          <w:fldChar w:fldCharType="begin"/>
        </w:r>
        <w:r w:rsidR="00C93174">
          <w:rPr>
            <w:noProof/>
            <w:webHidden/>
          </w:rPr>
          <w:instrText xml:space="preserve"> PAGEREF _Toc173428899 \h </w:instrText>
        </w:r>
        <w:r w:rsidR="00C93174">
          <w:rPr>
            <w:noProof/>
            <w:webHidden/>
          </w:rPr>
        </w:r>
        <w:r w:rsidR="00C93174">
          <w:rPr>
            <w:noProof/>
            <w:webHidden/>
          </w:rPr>
          <w:fldChar w:fldCharType="separate"/>
        </w:r>
        <w:r w:rsidR="001377BE">
          <w:rPr>
            <w:noProof/>
            <w:webHidden/>
          </w:rPr>
          <w:t>118</w:t>
        </w:r>
        <w:r w:rsidR="00C93174">
          <w:rPr>
            <w:noProof/>
            <w:webHidden/>
          </w:rPr>
          <w:fldChar w:fldCharType="end"/>
        </w:r>
      </w:hyperlink>
    </w:p>
    <w:p w14:paraId="5AE1CDF1" w14:textId="7A62605C" w:rsidR="00401168" w:rsidRPr="009F4CA9" w:rsidRDefault="00401168" w:rsidP="00525FE2">
      <w:pPr>
        <w:rPr>
          <w:bCs w:val="0"/>
          <w:szCs w:val="28"/>
        </w:rPr>
      </w:pPr>
      <w:r>
        <w:fldChar w:fldCharType="end"/>
      </w:r>
      <w:r w:rsidRPr="00525FE2">
        <w:rPr>
          <w:b/>
          <w:bCs w:val="0"/>
          <w:sz w:val="28"/>
          <w:szCs w:val="28"/>
        </w:rPr>
        <w:t>Charts</w:t>
      </w:r>
    </w:p>
    <w:p w14:paraId="1B34A9B2" w14:textId="67B30847" w:rsidR="00C93174" w:rsidRDefault="00401168">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r>
        <w:fldChar w:fldCharType="begin"/>
      </w:r>
      <w:r>
        <w:instrText xml:space="preserve"> TOC \h \z \c "Chart" </w:instrText>
      </w:r>
      <w:r>
        <w:fldChar w:fldCharType="separate"/>
      </w:r>
      <w:hyperlink w:anchor="_Toc173428900" w:history="1">
        <w:r w:rsidR="00C93174" w:rsidRPr="00E50023">
          <w:rPr>
            <w:rStyle w:val="Hyperlink"/>
            <w:noProof/>
          </w:rPr>
          <w:t>Chart 1.1: Median and average length of stay in home care, by year of exit, 2015-16 to 2022-23</w:t>
        </w:r>
        <w:r w:rsidR="00C93174">
          <w:rPr>
            <w:noProof/>
            <w:webHidden/>
          </w:rPr>
          <w:tab/>
        </w:r>
        <w:r w:rsidR="00C93174">
          <w:rPr>
            <w:noProof/>
            <w:webHidden/>
          </w:rPr>
          <w:fldChar w:fldCharType="begin"/>
        </w:r>
        <w:r w:rsidR="00C93174">
          <w:rPr>
            <w:noProof/>
            <w:webHidden/>
          </w:rPr>
          <w:instrText xml:space="preserve"> PAGEREF _Toc173428900 \h </w:instrText>
        </w:r>
        <w:r w:rsidR="00C93174">
          <w:rPr>
            <w:noProof/>
            <w:webHidden/>
          </w:rPr>
        </w:r>
        <w:r w:rsidR="00C93174">
          <w:rPr>
            <w:noProof/>
            <w:webHidden/>
          </w:rPr>
          <w:fldChar w:fldCharType="separate"/>
        </w:r>
        <w:r w:rsidR="001377BE">
          <w:rPr>
            <w:noProof/>
            <w:webHidden/>
          </w:rPr>
          <w:t>23</w:t>
        </w:r>
        <w:r w:rsidR="00C93174">
          <w:rPr>
            <w:noProof/>
            <w:webHidden/>
          </w:rPr>
          <w:fldChar w:fldCharType="end"/>
        </w:r>
      </w:hyperlink>
    </w:p>
    <w:p w14:paraId="4E5EC3F1" w14:textId="037A9E13"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1" w:history="1">
        <w:r w:rsidR="00C93174" w:rsidRPr="00E50023">
          <w:rPr>
            <w:rStyle w:val="Hyperlink"/>
            <w:noProof/>
          </w:rPr>
          <w:t>Chart 1.2: Cumulative proportion of home care recipients leaving home care during their first year by year of entry, 2018-19 to 2022-23</w:t>
        </w:r>
        <w:r w:rsidR="00C93174">
          <w:rPr>
            <w:noProof/>
            <w:webHidden/>
          </w:rPr>
          <w:tab/>
        </w:r>
        <w:r w:rsidR="00C93174">
          <w:rPr>
            <w:noProof/>
            <w:webHidden/>
          </w:rPr>
          <w:fldChar w:fldCharType="begin"/>
        </w:r>
        <w:r w:rsidR="00C93174">
          <w:rPr>
            <w:noProof/>
            <w:webHidden/>
          </w:rPr>
          <w:instrText xml:space="preserve"> PAGEREF _Toc173428901 \h </w:instrText>
        </w:r>
        <w:r w:rsidR="00C93174">
          <w:rPr>
            <w:noProof/>
            <w:webHidden/>
          </w:rPr>
        </w:r>
        <w:r w:rsidR="00C93174">
          <w:rPr>
            <w:noProof/>
            <w:webHidden/>
          </w:rPr>
          <w:fldChar w:fldCharType="separate"/>
        </w:r>
        <w:r w:rsidR="001377BE">
          <w:rPr>
            <w:noProof/>
            <w:webHidden/>
          </w:rPr>
          <w:t>24</w:t>
        </w:r>
        <w:r w:rsidR="00C93174">
          <w:rPr>
            <w:noProof/>
            <w:webHidden/>
          </w:rPr>
          <w:fldChar w:fldCharType="end"/>
        </w:r>
      </w:hyperlink>
    </w:p>
    <w:p w14:paraId="248FC9D2" w14:textId="61DA0BE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2" w:history="1">
        <w:r w:rsidR="00C93174" w:rsidRPr="00E50023">
          <w:rPr>
            <w:rStyle w:val="Hyperlink"/>
            <w:noProof/>
          </w:rPr>
          <w:t>Chart 1.3: Australian Government expenditure on home care, 2018-19 to 2022-23</w:t>
        </w:r>
        <w:r w:rsidR="00C93174">
          <w:rPr>
            <w:noProof/>
            <w:webHidden/>
          </w:rPr>
          <w:tab/>
        </w:r>
        <w:r w:rsidR="00C93174">
          <w:rPr>
            <w:noProof/>
            <w:webHidden/>
          </w:rPr>
          <w:fldChar w:fldCharType="begin"/>
        </w:r>
        <w:r w:rsidR="00C93174">
          <w:rPr>
            <w:noProof/>
            <w:webHidden/>
          </w:rPr>
          <w:instrText xml:space="preserve"> PAGEREF _Toc173428902 \h </w:instrText>
        </w:r>
        <w:r w:rsidR="00C93174">
          <w:rPr>
            <w:noProof/>
            <w:webHidden/>
          </w:rPr>
        </w:r>
        <w:r w:rsidR="00C93174">
          <w:rPr>
            <w:noProof/>
            <w:webHidden/>
          </w:rPr>
          <w:fldChar w:fldCharType="separate"/>
        </w:r>
        <w:r w:rsidR="001377BE">
          <w:rPr>
            <w:noProof/>
            <w:webHidden/>
          </w:rPr>
          <w:t>26</w:t>
        </w:r>
        <w:r w:rsidR="00C93174">
          <w:rPr>
            <w:noProof/>
            <w:webHidden/>
          </w:rPr>
          <w:fldChar w:fldCharType="end"/>
        </w:r>
      </w:hyperlink>
    </w:p>
    <w:p w14:paraId="3B3E4BE4" w14:textId="7DADD48B"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3" w:history="1">
        <w:r w:rsidR="00C93174" w:rsidRPr="00E50023">
          <w:rPr>
            <w:rStyle w:val="Hyperlink"/>
            <w:noProof/>
          </w:rPr>
          <w:t>Chart 1.4: Summary of financial performance of home care providers, per recipient per year, 2018-19 to 2022-23</w:t>
        </w:r>
        <w:r w:rsidR="00C93174">
          <w:rPr>
            <w:noProof/>
            <w:webHidden/>
          </w:rPr>
          <w:tab/>
        </w:r>
        <w:r w:rsidR="00C93174">
          <w:rPr>
            <w:noProof/>
            <w:webHidden/>
          </w:rPr>
          <w:fldChar w:fldCharType="begin"/>
        </w:r>
        <w:r w:rsidR="00C93174">
          <w:rPr>
            <w:noProof/>
            <w:webHidden/>
          </w:rPr>
          <w:instrText xml:space="preserve"> PAGEREF _Toc173428903 \h </w:instrText>
        </w:r>
        <w:r w:rsidR="00C93174">
          <w:rPr>
            <w:noProof/>
            <w:webHidden/>
          </w:rPr>
        </w:r>
        <w:r w:rsidR="00C93174">
          <w:rPr>
            <w:noProof/>
            <w:webHidden/>
          </w:rPr>
          <w:fldChar w:fldCharType="separate"/>
        </w:r>
        <w:r w:rsidR="001377BE">
          <w:rPr>
            <w:noProof/>
            <w:webHidden/>
          </w:rPr>
          <w:t>35</w:t>
        </w:r>
        <w:r w:rsidR="00C93174">
          <w:rPr>
            <w:noProof/>
            <w:webHidden/>
          </w:rPr>
          <w:fldChar w:fldCharType="end"/>
        </w:r>
      </w:hyperlink>
    </w:p>
    <w:p w14:paraId="5FF2320F" w14:textId="288D77E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4" w:history="1">
        <w:r w:rsidR="00C93174" w:rsidRPr="00E50023">
          <w:rPr>
            <w:rStyle w:val="Hyperlink"/>
            <w:noProof/>
          </w:rPr>
          <w:t>Chart 1.5: Home care average EBITDA per recipient per year, by quartile (number of providers in parentheses), 2019-20 to 2022-23</w:t>
        </w:r>
        <w:r w:rsidR="00C93174">
          <w:rPr>
            <w:noProof/>
            <w:webHidden/>
          </w:rPr>
          <w:tab/>
        </w:r>
        <w:r w:rsidR="00C93174">
          <w:rPr>
            <w:noProof/>
            <w:webHidden/>
          </w:rPr>
          <w:fldChar w:fldCharType="begin"/>
        </w:r>
        <w:r w:rsidR="00C93174">
          <w:rPr>
            <w:noProof/>
            <w:webHidden/>
          </w:rPr>
          <w:instrText xml:space="preserve"> PAGEREF _Toc173428904 \h </w:instrText>
        </w:r>
        <w:r w:rsidR="00C93174">
          <w:rPr>
            <w:noProof/>
            <w:webHidden/>
          </w:rPr>
        </w:r>
        <w:r w:rsidR="00C93174">
          <w:rPr>
            <w:noProof/>
            <w:webHidden/>
          </w:rPr>
          <w:fldChar w:fldCharType="separate"/>
        </w:r>
        <w:r w:rsidR="001377BE">
          <w:rPr>
            <w:noProof/>
            <w:webHidden/>
          </w:rPr>
          <w:t>36</w:t>
        </w:r>
        <w:r w:rsidR="00C93174">
          <w:rPr>
            <w:noProof/>
            <w:webHidden/>
          </w:rPr>
          <w:fldChar w:fldCharType="end"/>
        </w:r>
      </w:hyperlink>
    </w:p>
    <w:p w14:paraId="6977472F" w14:textId="446DEE68"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5" w:history="1">
        <w:r w:rsidR="00C93174" w:rsidRPr="00E50023">
          <w:rPr>
            <w:rStyle w:val="Hyperlink"/>
            <w:noProof/>
          </w:rPr>
          <w:t>Chart 1.6: Home care average EBITDA per recipient per year, by ownership type, 2018-19 to 2022-23</w:t>
        </w:r>
        <w:r w:rsidR="00C93174">
          <w:rPr>
            <w:noProof/>
            <w:webHidden/>
          </w:rPr>
          <w:tab/>
        </w:r>
        <w:r w:rsidR="00C93174">
          <w:rPr>
            <w:noProof/>
            <w:webHidden/>
          </w:rPr>
          <w:fldChar w:fldCharType="begin"/>
        </w:r>
        <w:r w:rsidR="00C93174">
          <w:rPr>
            <w:noProof/>
            <w:webHidden/>
          </w:rPr>
          <w:instrText xml:space="preserve"> PAGEREF _Toc173428905 \h </w:instrText>
        </w:r>
        <w:r w:rsidR="00C93174">
          <w:rPr>
            <w:noProof/>
            <w:webHidden/>
          </w:rPr>
        </w:r>
        <w:r w:rsidR="00C93174">
          <w:rPr>
            <w:noProof/>
            <w:webHidden/>
          </w:rPr>
          <w:fldChar w:fldCharType="separate"/>
        </w:r>
        <w:r w:rsidR="001377BE">
          <w:rPr>
            <w:noProof/>
            <w:webHidden/>
          </w:rPr>
          <w:t>37</w:t>
        </w:r>
        <w:r w:rsidR="00C93174">
          <w:rPr>
            <w:noProof/>
            <w:webHidden/>
          </w:rPr>
          <w:fldChar w:fldCharType="end"/>
        </w:r>
      </w:hyperlink>
    </w:p>
    <w:p w14:paraId="1FF2B8D5" w14:textId="2182FBB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6" w:history="1">
        <w:r w:rsidR="00C93174" w:rsidRPr="00E50023">
          <w:rPr>
            <w:rStyle w:val="Hyperlink"/>
            <w:noProof/>
          </w:rPr>
          <w:t>Chart 1.7: Home care average EBITDA per care recipient per year, by quartile and ownership type, 2022-23 (number of providers in parentheses)</w:t>
        </w:r>
        <w:r w:rsidR="00C93174">
          <w:rPr>
            <w:noProof/>
            <w:webHidden/>
          </w:rPr>
          <w:tab/>
        </w:r>
        <w:r w:rsidR="00C93174">
          <w:rPr>
            <w:noProof/>
            <w:webHidden/>
          </w:rPr>
          <w:fldChar w:fldCharType="begin"/>
        </w:r>
        <w:r w:rsidR="00C93174">
          <w:rPr>
            <w:noProof/>
            <w:webHidden/>
          </w:rPr>
          <w:instrText xml:space="preserve"> PAGEREF _Toc173428906 \h </w:instrText>
        </w:r>
        <w:r w:rsidR="00C93174">
          <w:rPr>
            <w:noProof/>
            <w:webHidden/>
          </w:rPr>
        </w:r>
        <w:r w:rsidR="00C93174">
          <w:rPr>
            <w:noProof/>
            <w:webHidden/>
          </w:rPr>
          <w:fldChar w:fldCharType="separate"/>
        </w:r>
        <w:r w:rsidR="001377BE">
          <w:rPr>
            <w:noProof/>
            <w:webHidden/>
          </w:rPr>
          <w:t>38</w:t>
        </w:r>
        <w:r w:rsidR="00C93174">
          <w:rPr>
            <w:noProof/>
            <w:webHidden/>
          </w:rPr>
          <w:fldChar w:fldCharType="end"/>
        </w:r>
      </w:hyperlink>
    </w:p>
    <w:p w14:paraId="3DA9864A" w14:textId="5A45176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7" w:history="1">
        <w:r w:rsidR="00C93174" w:rsidRPr="00E50023">
          <w:rPr>
            <w:rStyle w:val="Hyperlink"/>
            <w:noProof/>
          </w:rPr>
          <w:t>Chart 1.8: Home care average EBITDA per recipient, by provider location,  2018-19 to 2022-23</w:t>
        </w:r>
        <w:r w:rsidR="00C93174">
          <w:rPr>
            <w:noProof/>
            <w:webHidden/>
          </w:rPr>
          <w:tab/>
        </w:r>
        <w:r w:rsidR="00C93174">
          <w:rPr>
            <w:noProof/>
            <w:webHidden/>
          </w:rPr>
          <w:fldChar w:fldCharType="begin"/>
        </w:r>
        <w:r w:rsidR="00C93174">
          <w:rPr>
            <w:noProof/>
            <w:webHidden/>
          </w:rPr>
          <w:instrText xml:space="preserve"> PAGEREF _Toc173428907 \h </w:instrText>
        </w:r>
        <w:r w:rsidR="00C93174">
          <w:rPr>
            <w:noProof/>
            <w:webHidden/>
          </w:rPr>
        </w:r>
        <w:r w:rsidR="00C93174">
          <w:rPr>
            <w:noProof/>
            <w:webHidden/>
          </w:rPr>
          <w:fldChar w:fldCharType="separate"/>
        </w:r>
        <w:r w:rsidR="001377BE">
          <w:rPr>
            <w:noProof/>
            <w:webHidden/>
          </w:rPr>
          <w:t>39</w:t>
        </w:r>
        <w:r w:rsidR="00C93174">
          <w:rPr>
            <w:noProof/>
            <w:webHidden/>
          </w:rPr>
          <w:fldChar w:fldCharType="end"/>
        </w:r>
      </w:hyperlink>
    </w:p>
    <w:p w14:paraId="2B91A697" w14:textId="2375960B"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8" w:history="1">
        <w:r w:rsidR="00C93174" w:rsidRPr="00E50023">
          <w:rPr>
            <w:rStyle w:val="Hyperlink"/>
            <w:noProof/>
          </w:rPr>
          <w:t>Chart 1.9: Home care average EBITDA per recipient per year, by quartile and provider location, 2022-23 (number of providers in parentheses)</w:t>
        </w:r>
        <w:r w:rsidR="00C93174">
          <w:rPr>
            <w:noProof/>
            <w:webHidden/>
          </w:rPr>
          <w:tab/>
        </w:r>
        <w:r w:rsidR="00C93174">
          <w:rPr>
            <w:noProof/>
            <w:webHidden/>
          </w:rPr>
          <w:fldChar w:fldCharType="begin"/>
        </w:r>
        <w:r w:rsidR="00C93174">
          <w:rPr>
            <w:noProof/>
            <w:webHidden/>
          </w:rPr>
          <w:instrText xml:space="preserve"> PAGEREF _Toc173428908 \h </w:instrText>
        </w:r>
        <w:r w:rsidR="00C93174">
          <w:rPr>
            <w:noProof/>
            <w:webHidden/>
          </w:rPr>
        </w:r>
        <w:r w:rsidR="00C93174">
          <w:rPr>
            <w:noProof/>
            <w:webHidden/>
          </w:rPr>
          <w:fldChar w:fldCharType="separate"/>
        </w:r>
        <w:r w:rsidR="001377BE">
          <w:rPr>
            <w:noProof/>
            <w:webHidden/>
          </w:rPr>
          <w:t>40</w:t>
        </w:r>
        <w:r w:rsidR="00C93174">
          <w:rPr>
            <w:noProof/>
            <w:webHidden/>
          </w:rPr>
          <w:fldChar w:fldCharType="end"/>
        </w:r>
      </w:hyperlink>
    </w:p>
    <w:p w14:paraId="0DB0C34E" w14:textId="22A7629B"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09" w:history="1">
        <w:r w:rsidR="00C93174" w:rsidRPr="00E50023">
          <w:rPr>
            <w:rStyle w:val="Hyperlink"/>
            <w:noProof/>
          </w:rPr>
          <w:t>Chart 1.10: Home care average EBITDA per recipient per year, by provider scale, 2018-19 to 2022-23</w:t>
        </w:r>
        <w:r w:rsidR="00C93174">
          <w:rPr>
            <w:noProof/>
            <w:webHidden/>
          </w:rPr>
          <w:tab/>
        </w:r>
        <w:r w:rsidR="00C93174">
          <w:rPr>
            <w:noProof/>
            <w:webHidden/>
          </w:rPr>
          <w:fldChar w:fldCharType="begin"/>
        </w:r>
        <w:r w:rsidR="00C93174">
          <w:rPr>
            <w:noProof/>
            <w:webHidden/>
          </w:rPr>
          <w:instrText xml:space="preserve"> PAGEREF _Toc173428909 \h </w:instrText>
        </w:r>
        <w:r w:rsidR="00C93174">
          <w:rPr>
            <w:noProof/>
            <w:webHidden/>
          </w:rPr>
        </w:r>
        <w:r w:rsidR="00C93174">
          <w:rPr>
            <w:noProof/>
            <w:webHidden/>
          </w:rPr>
          <w:fldChar w:fldCharType="separate"/>
        </w:r>
        <w:r w:rsidR="001377BE">
          <w:rPr>
            <w:noProof/>
            <w:webHidden/>
          </w:rPr>
          <w:t>41</w:t>
        </w:r>
        <w:r w:rsidR="00C93174">
          <w:rPr>
            <w:noProof/>
            <w:webHidden/>
          </w:rPr>
          <w:fldChar w:fldCharType="end"/>
        </w:r>
      </w:hyperlink>
    </w:p>
    <w:p w14:paraId="51412FA6" w14:textId="332BFBB1"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0" w:history="1">
        <w:r w:rsidR="00C93174" w:rsidRPr="00E50023">
          <w:rPr>
            <w:rStyle w:val="Hyperlink"/>
            <w:noProof/>
          </w:rPr>
          <w:t>Chart 1.11: Home care average EBITDA per recipient per year, by quartile and provider scale (number of providers in parentheses), 2022-23</w:t>
        </w:r>
        <w:r w:rsidR="00C93174">
          <w:rPr>
            <w:noProof/>
            <w:webHidden/>
          </w:rPr>
          <w:tab/>
        </w:r>
        <w:r w:rsidR="00C93174">
          <w:rPr>
            <w:noProof/>
            <w:webHidden/>
          </w:rPr>
          <w:fldChar w:fldCharType="begin"/>
        </w:r>
        <w:r w:rsidR="00C93174">
          <w:rPr>
            <w:noProof/>
            <w:webHidden/>
          </w:rPr>
          <w:instrText xml:space="preserve"> PAGEREF _Toc173428910 \h </w:instrText>
        </w:r>
        <w:r w:rsidR="00C93174">
          <w:rPr>
            <w:noProof/>
            <w:webHidden/>
          </w:rPr>
        </w:r>
        <w:r w:rsidR="00C93174">
          <w:rPr>
            <w:noProof/>
            <w:webHidden/>
          </w:rPr>
          <w:fldChar w:fldCharType="separate"/>
        </w:r>
        <w:r w:rsidR="001377BE">
          <w:rPr>
            <w:noProof/>
            <w:webHidden/>
          </w:rPr>
          <w:t>42</w:t>
        </w:r>
        <w:r w:rsidR="00C93174">
          <w:rPr>
            <w:noProof/>
            <w:webHidden/>
          </w:rPr>
          <w:fldChar w:fldCharType="end"/>
        </w:r>
      </w:hyperlink>
    </w:p>
    <w:p w14:paraId="4CCDC281" w14:textId="3B65EA8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1" w:history="1">
        <w:r w:rsidR="00C93174" w:rsidRPr="00E50023">
          <w:rPr>
            <w:rStyle w:val="Hyperlink"/>
            <w:noProof/>
          </w:rPr>
          <w:t>Chart 2.1: Average care minutes per resident per day, by ownership type, 2022-23</w:t>
        </w:r>
        <w:r w:rsidR="00C93174">
          <w:rPr>
            <w:noProof/>
            <w:webHidden/>
          </w:rPr>
          <w:tab/>
        </w:r>
        <w:r w:rsidR="00C93174">
          <w:rPr>
            <w:noProof/>
            <w:webHidden/>
          </w:rPr>
          <w:fldChar w:fldCharType="begin"/>
        </w:r>
        <w:r w:rsidR="00C93174">
          <w:rPr>
            <w:noProof/>
            <w:webHidden/>
          </w:rPr>
          <w:instrText xml:space="preserve"> PAGEREF _Toc173428911 \h </w:instrText>
        </w:r>
        <w:r w:rsidR="00C93174">
          <w:rPr>
            <w:noProof/>
            <w:webHidden/>
          </w:rPr>
        </w:r>
        <w:r w:rsidR="00C93174">
          <w:rPr>
            <w:noProof/>
            <w:webHidden/>
          </w:rPr>
          <w:fldChar w:fldCharType="separate"/>
        </w:r>
        <w:r w:rsidR="001377BE">
          <w:rPr>
            <w:noProof/>
            <w:webHidden/>
          </w:rPr>
          <w:t>46</w:t>
        </w:r>
        <w:r w:rsidR="00C93174">
          <w:rPr>
            <w:noProof/>
            <w:webHidden/>
          </w:rPr>
          <w:fldChar w:fldCharType="end"/>
        </w:r>
      </w:hyperlink>
    </w:p>
    <w:p w14:paraId="0CABA87B" w14:textId="53D5461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2" w:history="1">
        <w:r w:rsidR="00C93174" w:rsidRPr="00E50023">
          <w:rPr>
            <w:rStyle w:val="Hyperlink"/>
            <w:noProof/>
          </w:rPr>
          <w:t>Chart 2.2: Proportion of residents entering permanent residential care after leaving home care, 2013-14 to 2022-23</w:t>
        </w:r>
        <w:r w:rsidR="00C93174">
          <w:rPr>
            <w:noProof/>
            <w:webHidden/>
          </w:rPr>
          <w:tab/>
        </w:r>
        <w:r w:rsidR="00C93174">
          <w:rPr>
            <w:noProof/>
            <w:webHidden/>
          </w:rPr>
          <w:fldChar w:fldCharType="begin"/>
        </w:r>
        <w:r w:rsidR="00C93174">
          <w:rPr>
            <w:noProof/>
            <w:webHidden/>
          </w:rPr>
          <w:instrText xml:space="preserve"> PAGEREF _Toc173428912 \h </w:instrText>
        </w:r>
        <w:r w:rsidR="00C93174">
          <w:rPr>
            <w:noProof/>
            <w:webHidden/>
          </w:rPr>
        </w:r>
        <w:r w:rsidR="00C93174">
          <w:rPr>
            <w:noProof/>
            <w:webHidden/>
          </w:rPr>
          <w:fldChar w:fldCharType="separate"/>
        </w:r>
        <w:r w:rsidR="001377BE">
          <w:rPr>
            <w:noProof/>
            <w:webHidden/>
          </w:rPr>
          <w:t>47</w:t>
        </w:r>
        <w:r w:rsidR="00C93174">
          <w:rPr>
            <w:noProof/>
            <w:webHidden/>
          </w:rPr>
          <w:fldChar w:fldCharType="end"/>
        </w:r>
      </w:hyperlink>
    </w:p>
    <w:p w14:paraId="306B3374" w14:textId="57B857E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3" w:history="1">
        <w:r w:rsidR="00C93174" w:rsidRPr="00E50023">
          <w:rPr>
            <w:rStyle w:val="Hyperlink"/>
            <w:noProof/>
          </w:rPr>
          <w:t>Chart 2.3: Average length of stay in residential care, by gender and year of entry, 2013-14 to 2022-23</w:t>
        </w:r>
        <w:r w:rsidR="00C93174">
          <w:rPr>
            <w:noProof/>
            <w:webHidden/>
          </w:rPr>
          <w:tab/>
        </w:r>
        <w:r w:rsidR="00C93174">
          <w:rPr>
            <w:noProof/>
            <w:webHidden/>
          </w:rPr>
          <w:fldChar w:fldCharType="begin"/>
        </w:r>
        <w:r w:rsidR="00C93174">
          <w:rPr>
            <w:noProof/>
            <w:webHidden/>
          </w:rPr>
          <w:instrText xml:space="preserve"> PAGEREF _Toc173428913 \h </w:instrText>
        </w:r>
        <w:r w:rsidR="00C93174">
          <w:rPr>
            <w:noProof/>
            <w:webHidden/>
          </w:rPr>
        </w:r>
        <w:r w:rsidR="00C93174">
          <w:rPr>
            <w:noProof/>
            <w:webHidden/>
          </w:rPr>
          <w:fldChar w:fldCharType="separate"/>
        </w:r>
        <w:r w:rsidR="001377BE">
          <w:rPr>
            <w:noProof/>
            <w:webHidden/>
          </w:rPr>
          <w:t>48</w:t>
        </w:r>
        <w:r w:rsidR="00C93174">
          <w:rPr>
            <w:noProof/>
            <w:webHidden/>
          </w:rPr>
          <w:fldChar w:fldCharType="end"/>
        </w:r>
      </w:hyperlink>
    </w:p>
    <w:p w14:paraId="1BA1A888" w14:textId="5BE8F9D2"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4" w:history="1">
        <w:r w:rsidR="00C93174" w:rsidRPr="00E50023">
          <w:rPr>
            <w:rStyle w:val="Hyperlink"/>
            <w:noProof/>
          </w:rPr>
          <w:t>Chart 2.4: Proportion of permanent residents that leave within 3, 6 or 12 months of first entry, 2012-13 to 2022-23</w:t>
        </w:r>
        <w:r w:rsidR="00C93174">
          <w:rPr>
            <w:noProof/>
            <w:webHidden/>
          </w:rPr>
          <w:tab/>
        </w:r>
        <w:r w:rsidR="00C93174">
          <w:rPr>
            <w:noProof/>
            <w:webHidden/>
          </w:rPr>
          <w:fldChar w:fldCharType="begin"/>
        </w:r>
        <w:r w:rsidR="00C93174">
          <w:rPr>
            <w:noProof/>
            <w:webHidden/>
          </w:rPr>
          <w:instrText xml:space="preserve"> PAGEREF _Toc173428914 \h </w:instrText>
        </w:r>
        <w:r w:rsidR="00C93174">
          <w:rPr>
            <w:noProof/>
            <w:webHidden/>
          </w:rPr>
        </w:r>
        <w:r w:rsidR="00C93174">
          <w:rPr>
            <w:noProof/>
            <w:webHidden/>
          </w:rPr>
          <w:fldChar w:fldCharType="separate"/>
        </w:r>
        <w:r w:rsidR="001377BE">
          <w:rPr>
            <w:noProof/>
            <w:webHidden/>
          </w:rPr>
          <w:t>49</w:t>
        </w:r>
        <w:r w:rsidR="00C93174">
          <w:rPr>
            <w:noProof/>
            <w:webHidden/>
          </w:rPr>
          <w:fldChar w:fldCharType="end"/>
        </w:r>
      </w:hyperlink>
    </w:p>
    <w:p w14:paraId="23CB3682" w14:textId="7F1DCE6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5" w:history="1">
        <w:r w:rsidR="00C93174" w:rsidRPr="00E50023">
          <w:rPr>
            <w:rStyle w:val="Hyperlink"/>
            <w:noProof/>
          </w:rPr>
          <w:t>Chart 2.5: Average length of stay (days) in residential respite care, 2018-19 to 2022-23</w:t>
        </w:r>
        <w:r w:rsidR="00C93174">
          <w:rPr>
            <w:noProof/>
            <w:webHidden/>
          </w:rPr>
          <w:tab/>
        </w:r>
        <w:r w:rsidR="00C93174">
          <w:rPr>
            <w:noProof/>
            <w:webHidden/>
          </w:rPr>
          <w:fldChar w:fldCharType="begin"/>
        </w:r>
        <w:r w:rsidR="00C93174">
          <w:rPr>
            <w:noProof/>
            <w:webHidden/>
          </w:rPr>
          <w:instrText xml:space="preserve"> PAGEREF _Toc173428915 \h </w:instrText>
        </w:r>
        <w:r w:rsidR="00C93174">
          <w:rPr>
            <w:noProof/>
            <w:webHidden/>
          </w:rPr>
        </w:r>
        <w:r w:rsidR="00C93174">
          <w:rPr>
            <w:noProof/>
            <w:webHidden/>
          </w:rPr>
          <w:fldChar w:fldCharType="separate"/>
        </w:r>
        <w:r w:rsidR="001377BE">
          <w:rPr>
            <w:noProof/>
            <w:webHidden/>
          </w:rPr>
          <w:t>50</w:t>
        </w:r>
        <w:r w:rsidR="00C93174">
          <w:rPr>
            <w:noProof/>
            <w:webHidden/>
          </w:rPr>
          <w:fldChar w:fldCharType="end"/>
        </w:r>
      </w:hyperlink>
    </w:p>
    <w:p w14:paraId="45F6EF8B" w14:textId="276287BA"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6" w:history="1">
        <w:r w:rsidR="00C93174" w:rsidRPr="00E50023">
          <w:rPr>
            <w:rStyle w:val="Hyperlink"/>
            <w:noProof/>
          </w:rPr>
          <w:t>Chart 2.6: Frequency of length of respite care stays, 2022-23</w:t>
        </w:r>
        <w:r w:rsidR="00C93174">
          <w:rPr>
            <w:noProof/>
            <w:webHidden/>
          </w:rPr>
          <w:tab/>
        </w:r>
        <w:r w:rsidR="00C93174">
          <w:rPr>
            <w:noProof/>
            <w:webHidden/>
          </w:rPr>
          <w:fldChar w:fldCharType="begin"/>
        </w:r>
        <w:r w:rsidR="00C93174">
          <w:rPr>
            <w:noProof/>
            <w:webHidden/>
          </w:rPr>
          <w:instrText xml:space="preserve"> PAGEREF _Toc173428916 \h </w:instrText>
        </w:r>
        <w:r w:rsidR="00C93174">
          <w:rPr>
            <w:noProof/>
            <w:webHidden/>
          </w:rPr>
        </w:r>
        <w:r w:rsidR="00C93174">
          <w:rPr>
            <w:noProof/>
            <w:webHidden/>
          </w:rPr>
          <w:fldChar w:fldCharType="separate"/>
        </w:r>
        <w:r w:rsidR="001377BE">
          <w:rPr>
            <w:noProof/>
            <w:webHidden/>
          </w:rPr>
          <w:t>51</w:t>
        </w:r>
        <w:r w:rsidR="00C93174">
          <w:rPr>
            <w:noProof/>
            <w:webHidden/>
          </w:rPr>
          <w:fldChar w:fldCharType="end"/>
        </w:r>
      </w:hyperlink>
    </w:p>
    <w:p w14:paraId="2D508AED" w14:textId="65457A42"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7" w:history="1">
        <w:r w:rsidR="00C93174" w:rsidRPr="00E50023">
          <w:rPr>
            <w:rStyle w:val="Hyperlink"/>
            <w:noProof/>
          </w:rPr>
          <w:t>Chart 2.7: Residential care achieved ratios, 2018-19 to 2022-23</w:t>
        </w:r>
        <w:r w:rsidR="00C93174">
          <w:rPr>
            <w:noProof/>
            <w:webHidden/>
          </w:rPr>
          <w:tab/>
        </w:r>
        <w:r w:rsidR="00C93174">
          <w:rPr>
            <w:noProof/>
            <w:webHidden/>
          </w:rPr>
          <w:fldChar w:fldCharType="begin"/>
        </w:r>
        <w:r w:rsidR="00C93174">
          <w:rPr>
            <w:noProof/>
            <w:webHidden/>
          </w:rPr>
          <w:instrText xml:space="preserve"> PAGEREF _Toc173428917 \h </w:instrText>
        </w:r>
        <w:r w:rsidR="00C93174">
          <w:rPr>
            <w:noProof/>
            <w:webHidden/>
          </w:rPr>
        </w:r>
        <w:r w:rsidR="00C93174">
          <w:rPr>
            <w:noProof/>
            <w:webHidden/>
          </w:rPr>
          <w:fldChar w:fldCharType="separate"/>
        </w:r>
        <w:r w:rsidR="001377BE">
          <w:rPr>
            <w:noProof/>
            <w:webHidden/>
          </w:rPr>
          <w:t>52</w:t>
        </w:r>
        <w:r w:rsidR="00C93174">
          <w:rPr>
            <w:noProof/>
            <w:webHidden/>
          </w:rPr>
          <w:fldChar w:fldCharType="end"/>
        </w:r>
      </w:hyperlink>
    </w:p>
    <w:p w14:paraId="05EE815D" w14:textId="28C7E35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8" w:history="1">
        <w:r w:rsidR="00C93174" w:rsidRPr="00E50023">
          <w:rPr>
            <w:rStyle w:val="Hyperlink"/>
            <w:noProof/>
          </w:rPr>
          <w:t>Chart 3.1: Proportions of provider revenue from the Australian Government, 2022-23 ($m)</w:t>
        </w:r>
        <w:r w:rsidR="00C93174">
          <w:rPr>
            <w:noProof/>
            <w:webHidden/>
          </w:rPr>
          <w:tab/>
        </w:r>
        <w:r w:rsidR="00C93174">
          <w:rPr>
            <w:noProof/>
            <w:webHidden/>
          </w:rPr>
          <w:fldChar w:fldCharType="begin"/>
        </w:r>
        <w:r w:rsidR="00C93174">
          <w:rPr>
            <w:noProof/>
            <w:webHidden/>
          </w:rPr>
          <w:instrText xml:space="preserve"> PAGEREF _Toc173428918 \h </w:instrText>
        </w:r>
        <w:r w:rsidR="00C93174">
          <w:rPr>
            <w:noProof/>
            <w:webHidden/>
          </w:rPr>
        </w:r>
        <w:r w:rsidR="00C93174">
          <w:rPr>
            <w:noProof/>
            <w:webHidden/>
          </w:rPr>
          <w:fldChar w:fldCharType="separate"/>
        </w:r>
        <w:r w:rsidR="001377BE">
          <w:rPr>
            <w:noProof/>
            <w:webHidden/>
          </w:rPr>
          <w:t>59</w:t>
        </w:r>
        <w:r w:rsidR="00C93174">
          <w:rPr>
            <w:noProof/>
            <w:webHidden/>
          </w:rPr>
          <w:fldChar w:fldCharType="end"/>
        </w:r>
      </w:hyperlink>
    </w:p>
    <w:p w14:paraId="29E58967" w14:textId="2E6680E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19" w:history="1">
        <w:r w:rsidR="00C93174" w:rsidRPr="00E50023">
          <w:rPr>
            <w:rStyle w:val="Hyperlink"/>
            <w:noProof/>
          </w:rPr>
          <w:t>Chart 3.2: Total residential respite care expenditure, 2018-19 to 2022-23 ($m)</w:t>
        </w:r>
        <w:r w:rsidR="00C93174">
          <w:rPr>
            <w:noProof/>
            <w:webHidden/>
          </w:rPr>
          <w:tab/>
        </w:r>
        <w:r w:rsidR="00C93174">
          <w:rPr>
            <w:noProof/>
            <w:webHidden/>
          </w:rPr>
          <w:fldChar w:fldCharType="begin"/>
        </w:r>
        <w:r w:rsidR="00C93174">
          <w:rPr>
            <w:noProof/>
            <w:webHidden/>
          </w:rPr>
          <w:instrText xml:space="preserve"> PAGEREF _Toc173428919 \h </w:instrText>
        </w:r>
        <w:r w:rsidR="00C93174">
          <w:rPr>
            <w:noProof/>
            <w:webHidden/>
          </w:rPr>
        </w:r>
        <w:r w:rsidR="00C93174">
          <w:rPr>
            <w:noProof/>
            <w:webHidden/>
          </w:rPr>
          <w:fldChar w:fldCharType="separate"/>
        </w:r>
        <w:r w:rsidR="001377BE">
          <w:rPr>
            <w:noProof/>
            <w:webHidden/>
          </w:rPr>
          <w:t>60</w:t>
        </w:r>
        <w:r w:rsidR="00C93174">
          <w:rPr>
            <w:noProof/>
            <w:webHidden/>
          </w:rPr>
          <w:fldChar w:fldCharType="end"/>
        </w:r>
      </w:hyperlink>
    </w:p>
    <w:p w14:paraId="65D50C3B" w14:textId="164B068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0" w:history="1">
        <w:r w:rsidR="00C93174" w:rsidRPr="00E50023">
          <w:rPr>
            <w:rStyle w:val="Hyperlink"/>
            <w:noProof/>
          </w:rPr>
          <w:t>Chart 3.3: Proportions of total residential care provider revenue, 2022-23 ($m)</w:t>
        </w:r>
        <w:r w:rsidR="00C93174">
          <w:rPr>
            <w:noProof/>
            <w:webHidden/>
          </w:rPr>
          <w:tab/>
        </w:r>
        <w:r w:rsidR="00C93174">
          <w:rPr>
            <w:noProof/>
            <w:webHidden/>
          </w:rPr>
          <w:fldChar w:fldCharType="begin"/>
        </w:r>
        <w:r w:rsidR="00C93174">
          <w:rPr>
            <w:noProof/>
            <w:webHidden/>
          </w:rPr>
          <w:instrText xml:space="preserve"> PAGEREF _Toc173428920 \h </w:instrText>
        </w:r>
        <w:r w:rsidR="00C93174">
          <w:rPr>
            <w:noProof/>
            <w:webHidden/>
          </w:rPr>
        </w:r>
        <w:r w:rsidR="00C93174">
          <w:rPr>
            <w:noProof/>
            <w:webHidden/>
          </w:rPr>
          <w:fldChar w:fldCharType="separate"/>
        </w:r>
        <w:r w:rsidR="001377BE">
          <w:rPr>
            <w:noProof/>
            <w:webHidden/>
          </w:rPr>
          <w:t>68</w:t>
        </w:r>
        <w:r w:rsidR="00C93174">
          <w:rPr>
            <w:noProof/>
            <w:webHidden/>
          </w:rPr>
          <w:fldChar w:fldCharType="end"/>
        </w:r>
      </w:hyperlink>
    </w:p>
    <w:p w14:paraId="39432F24" w14:textId="62A29E1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1" w:history="1">
        <w:r w:rsidR="00C93174" w:rsidRPr="00E50023">
          <w:rPr>
            <w:rStyle w:val="Hyperlink"/>
            <w:noProof/>
          </w:rPr>
          <w:t>Chart 3.4:  Proportions of residential care provider revenue from residents, 2022-23 ($m)</w:t>
        </w:r>
        <w:r w:rsidR="00C93174">
          <w:rPr>
            <w:noProof/>
            <w:webHidden/>
          </w:rPr>
          <w:tab/>
        </w:r>
        <w:r w:rsidR="00C93174">
          <w:rPr>
            <w:noProof/>
            <w:webHidden/>
          </w:rPr>
          <w:fldChar w:fldCharType="begin"/>
        </w:r>
        <w:r w:rsidR="00C93174">
          <w:rPr>
            <w:noProof/>
            <w:webHidden/>
          </w:rPr>
          <w:instrText xml:space="preserve"> PAGEREF _Toc173428921 \h </w:instrText>
        </w:r>
        <w:r w:rsidR="00C93174">
          <w:rPr>
            <w:noProof/>
            <w:webHidden/>
          </w:rPr>
        </w:r>
        <w:r w:rsidR="00C93174">
          <w:rPr>
            <w:noProof/>
            <w:webHidden/>
          </w:rPr>
          <w:fldChar w:fldCharType="separate"/>
        </w:r>
        <w:r w:rsidR="001377BE">
          <w:rPr>
            <w:noProof/>
            <w:webHidden/>
          </w:rPr>
          <w:t>70</w:t>
        </w:r>
        <w:r w:rsidR="00C93174">
          <w:rPr>
            <w:noProof/>
            <w:webHidden/>
          </w:rPr>
          <w:fldChar w:fldCharType="end"/>
        </w:r>
      </w:hyperlink>
    </w:p>
    <w:p w14:paraId="61744DA5" w14:textId="41E3289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2" w:history="1">
        <w:r w:rsidR="00C93174" w:rsidRPr="00E50023">
          <w:rPr>
            <w:rStyle w:val="Hyperlink"/>
            <w:noProof/>
          </w:rPr>
          <w:t>Chart 3.5: Total expenses, residential care providers, 2018-19 to 2022-23 ($b)</w:t>
        </w:r>
        <w:r w:rsidR="00C93174">
          <w:rPr>
            <w:noProof/>
            <w:webHidden/>
          </w:rPr>
          <w:tab/>
        </w:r>
        <w:r w:rsidR="00C93174">
          <w:rPr>
            <w:noProof/>
            <w:webHidden/>
          </w:rPr>
          <w:fldChar w:fldCharType="begin"/>
        </w:r>
        <w:r w:rsidR="00C93174">
          <w:rPr>
            <w:noProof/>
            <w:webHidden/>
          </w:rPr>
          <w:instrText xml:space="preserve"> PAGEREF _Toc173428922 \h </w:instrText>
        </w:r>
        <w:r w:rsidR="00C93174">
          <w:rPr>
            <w:noProof/>
            <w:webHidden/>
          </w:rPr>
        </w:r>
        <w:r w:rsidR="00C93174">
          <w:rPr>
            <w:noProof/>
            <w:webHidden/>
          </w:rPr>
          <w:fldChar w:fldCharType="separate"/>
        </w:r>
        <w:r w:rsidR="001377BE">
          <w:rPr>
            <w:noProof/>
            <w:webHidden/>
          </w:rPr>
          <w:t>74</w:t>
        </w:r>
        <w:r w:rsidR="00C93174">
          <w:rPr>
            <w:noProof/>
            <w:webHidden/>
          </w:rPr>
          <w:fldChar w:fldCharType="end"/>
        </w:r>
      </w:hyperlink>
    </w:p>
    <w:p w14:paraId="45D39D6A" w14:textId="5B2423D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3" w:history="1">
        <w:r w:rsidR="00C93174" w:rsidRPr="00E50023">
          <w:rPr>
            <w:rStyle w:val="Hyperlink"/>
            <w:noProof/>
          </w:rPr>
          <w:t>Chart 3.6: Proportion of residential care provider total expenses, 2022-23 ($m)</w:t>
        </w:r>
        <w:r w:rsidR="00C93174">
          <w:rPr>
            <w:noProof/>
            <w:webHidden/>
          </w:rPr>
          <w:tab/>
        </w:r>
        <w:r w:rsidR="00C93174">
          <w:rPr>
            <w:noProof/>
            <w:webHidden/>
          </w:rPr>
          <w:fldChar w:fldCharType="begin"/>
        </w:r>
        <w:r w:rsidR="00C93174">
          <w:rPr>
            <w:noProof/>
            <w:webHidden/>
          </w:rPr>
          <w:instrText xml:space="preserve"> PAGEREF _Toc173428923 \h </w:instrText>
        </w:r>
        <w:r w:rsidR="00C93174">
          <w:rPr>
            <w:noProof/>
            <w:webHidden/>
          </w:rPr>
        </w:r>
        <w:r w:rsidR="00C93174">
          <w:rPr>
            <w:noProof/>
            <w:webHidden/>
          </w:rPr>
          <w:fldChar w:fldCharType="separate"/>
        </w:r>
        <w:r w:rsidR="001377BE">
          <w:rPr>
            <w:noProof/>
            <w:webHidden/>
          </w:rPr>
          <w:t>76</w:t>
        </w:r>
        <w:r w:rsidR="00C93174">
          <w:rPr>
            <w:noProof/>
            <w:webHidden/>
          </w:rPr>
          <w:fldChar w:fldCharType="end"/>
        </w:r>
      </w:hyperlink>
    </w:p>
    <w:p w14:paraId="624AC99E" w14:textId="77D638A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4" w:history="1">
        <w:r w:rsidR="00C93174" w:rsidRPr="00E50023">
          <w:rPr>
            <w:rStyle w:val="Hyperlink"/>
            <w:noProof/>
          </w:rPr>
          <w:t>Chart 3.7: Residential care provider average EBITDA per resident per year, 2013-14 to 2022-23</w:t>
        </w:r>
        <w:r w:rsidR="00C93174">
          <w:rPr>
            <w:noProof/>
            <w:webHidden/>
          </w:rPr>
          <w:tab/>
        </w:r>
        <w:r w:rsidR="00C93174">
          <w:rPr>
            <w:noProof/>
            <w:webHidden/>
          </w:rPr>
          <w:fldChar w:fldCharType="begin"/>
        </w:r>
        <w:r w:rsidR="00C93174">
          <w:rPr>
            <w:noProof/>
            <w:webHidden/>
          </w:rPr>
          <w:instrText xml:space="preserve"> PAGEREF _Toc173428924 \h </w:instrText>
        </w:r>
        <w:r w:rsidR="00C93174">
          <w:rPr>
            <w:noProof/>
            <w:webHidden/>
          </w:rPr>
        </w:r>
        <w:r w:rsidR="00C93174">
          <w:rPr>
            <w:noProof/>
            <w:webHidden/>
          </w:rPr>
          <w:fldChar w:fldCharType="separate"/>
        </w:r>
        <w:r w:rsidR="001377BE">
          <w:rPr>
            <w:noProof/>
            <w:webHidden/>
          </w:rPr>
          <w:t>80</w:t>
        </w:r>
        <w:r w:rsidR="00C93174">
          <w:rPr>
            <w:noProof/>
            <w:webHidden/>
          </w:rPr>
          <w:fldChar w:fldCharType="end"/>
        </w:r>
      </w:hyperlink>
    </w:p>
    <w:p w14:paraId="6A2591A1" w14:textId="16B3955D"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5" w:history="1">
        <w:r w:rsidR="00C93174" w:rsidRPr="00E50023">
          <w:rPr>
            <w:rStyle w:val="Hyperlink"/>
            <w:noProof/>
          </w:rPr>
          <w:t>Chart 3.8: Residential care provider comparative EBITDA per resident per year, 2019-20 to 2022-23, by quartile</w:t>
        </w:r>
        <w:r w:rsidR="00C93174">
          <w:rPr>
            <w:noProof/>
            <w:webHidden/>
          </w:rPr>
          <w:tab/>
        </w:r>
        <w:r w:rsidR="00C93174">
          <w:rPr>
            <w:noProof/>
            <w:webHidden/>
          </w:rPr>
          <w:fldChar w:fldCharType="begin"/>
        </w:r>
        <w:r w:rsidR="00C93174">
          <w:rPr>
            <w:noProof/>
            <w:webHidden/>
          </w:rPr>
          <w:instrText xml:space="preserve"> PAGEREF _Toc173428925 \h </w:instrText>
        </w:r>
        <w:r w:rsidR="00C93174">
          <w:rPr>
            <w:noProof/>
            <w:webHidden/>
          </w:rPr>
        </w:r>
        <w:r w:rsidR="00C93174">
          <w:rPr>
            <w:noProof/>
            <w:webHidden/>
          </w:rPr>
          <w:fldChar w:fldCharType="separate"/>
        </w:r>
        <w:r w:rsidR="001377BE">
          <w:rPr>
            <w:noProof/>
            <w:webHidden/>
          </w:rPr>
          <w:t>81</w:t>
        </w:r>
        <w:r w:rsidR="00C93174">
          <w:rPr>
            <w:noProof/>
            <w:webHidden/>
          </w:rPr>
          <w:fldChar w:fldCharType="end"/>
        </w:r>
      </w:hyperlink>
    </w:p>
    <w:p w14:paraId="3E50C885" w14:textId="7B530BD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6" w:history="1">
        <w:r w:rsidR="00C93174" w:rsidRPr="00E50023">
          <w:rPr>
            <w:rStyle w:val="Hyperlink"/>
            <w:noProof/>
          </w:rPr>
          <w:t>Chart 3.9: Residential care provider EBITDA margin, by ownership, location and scale, 2021-22 to 2022-23</w:t>
        </w:r>
        <w:r w:rsidR="00C93174">
          <w:rPr>
            <w:noProof/>
            <w:webHidden/>
          </w:rPr>
          <w:tab/>
        </w:r>
        <w:r w:rsidR="00C93174">
          <w:rPr>
            <w:noProof/>
            <w:webHidden/>
          </w:rPr>
          <w:fldChar w:fldCharType="begin"/>
        </w:r>
        <w:r w:rsidR="00C93174">
          <w:rPr>
            <w:noProof/>
            <w:webHidden/>
          </w:rPr>
          <w:instrText xml:space="preserve"> PAGEREF _Toc173428926 \h </w:instrText>
        </w:r>
        <w:r w:rsidR="00C93174">
          <w:rPr>
            <w:noProof/>
            <w:webHidden/>
          </w:rPr>
        </w:r>
        <w:r w:rsidR="00C93174">
          <w:rPr>
            <w:noProof/>
            <w:webHidden/>
          </w:rPr>
          <w:fldChar w:fldCharType="separate"/>
        </w:r>
        <w:r w:rsidR="001377BE">
          <w:rPr>
            <w:noProof/>
            <w:webHidden/>
          </w:rPr>
          <w:t>82</w:t>
        </w:r>
        <w:r w:rsidR="00C93174">
          <w:rPr>
            <w:noProof/>
            <w:webHidden/>
          </w:rPr>
          <w:fldChar w:fldCharType="end"/>
        </w:r>
      </w:hyperlink>
    </w:p>
    <w:p w14:paraId="3C2979E6" w14:textId="3491866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7" w:history="1">
        <w:r w:rsidR="00C93174" w:rsidRPr="00E50023">
          <w:rPr>
            <w:rStyle w:val="Hyperlink"/>
            <w:noProof/>
          </w:rPr>
          <w:t>Chart 3.10: EBITDA per resident per year, by ownership type, 2019-20 to 2022-23</w:t>
        </w:r>
        <w:r w:rsidR="00C93174">
          <w:rPr>
            <w:noProof/>
            <w:webHidden/>
          </w:rPr>
          <w:tab/>
        </w:r>
        <w:r w:rsidR="00C93174">
          <w:rPr>
            <w:noProof/>
            <w:webHidden/>
          </w:rPr>
          <w:fldChar w:fldCharType="begin"/>
        </w:r>
        <w:r w:rsidR="00C93174">
          <w:rPr>
            <w:noProof/>
            <w:webHidden/>
          </w:rPr>
          <w:instrText xml:space="preserve"> PAGEREF _Toc173428927 \h </w:instrText>
        </w:r>
        <w:r w:rsidR="00C93174">
          <w:rPr>
            <w:noProof/>
            <w:webHidden/>
          </w:rPr>
        </w:r>
        <w:r w:rsidR="00C93174">
          <w:rPr>
            <w:noProof/>
            <w:webHidden/>
          </w:rPr>
          <w:fldChar w:fldCharType="separate"/>
        </w:r>
        <w:r w:rsidR="001377BE">
          <w:rPr>
            <w:noProof/>
            <w:webHidden/>
          </w:rPr>
          <w:t>83</w:t>
        </w:r>
        <w:r w:rsidR="00C93174">
          <w:rPr>
            <w:noProof/>
            <w:webHidden/>
          </w:rPr>
          <w:fldChar w:fldCharType="end"/>
        </w:r>
      </w:hyperlink>
    </w:p>
    <w:p w14:paraId="1E362F65" w14:textId="54473479"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8" w:history="1">
        <w:r w:rsidR="00C93174" w:rsidRPr="00E50023">
          <w:rPr>
            <w:rStyle w:val="Hyperlink"/>
            <w:noProof/>
          </w:rPr>
          <w:t>Chart 3.11: Residential care provider average EBITDA per resident per year, by quartile (number of providers in parentheses), by ownership type, 2022-23</w:t>
        </w:r>
        <w:r w:rsidR="00C93174">
          <w:rPr>
            <w:noProof/>
            <w:webHidden/>
          </w:rPr>
          <w:tab/>
        </w:r>
        <w:r w:rsidR="00C93174">
          <w:rPr>
            <w:noProof/>
            <w:webHidden/>
          </w:rPr>
          <w:fldChar w:fldCharType="begin"/>
        </w:r>
        <w:r w:rsidR="00C93174">
          <w:rPr>
            <w:noProof/>
            <w:webHidden/>
          </w:rPr>
          <w:instrText xml:space="preserve"> PAGEREF _Toc173428928 \h </w:instrText>
        </w:r>
        <w:r w:rsidR="00C93174">
          <w:rPr>
            <w:noProof/>
            <w:webHidden/>
          </w:rPr>
        </w:r>
        <w:r w:rsidR="00C93174">
          <w:rPr>
            <w:noProof/>
            <w:webHidden/>
          </w:rPr>
          <w:fldChar w:fldCharType="separate"/>
        </w:r>
        <w:r w:rsidR="001377BE">
          <w:rPr>
            <w:noProof/>
            <w:webHidden/>
          </w:rPr>
          <w:t>84</w:t>
        </w:r>
        <w:r w:rsidR="00C93174">
          <w:rPr>
            <w:noProof/>
            <w:webHidden/>
          </w:rPr>
          <w:fldChar w:fldCharType="end"/>
        </w:r>
      </w:hyperlink>
    </w:p>
    <w:p w14:paraId="1FC4EA12" w14:textId="1681D7BA"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29" w:history="1">
        <w:r w:rsidR="00C93174" w:rsidRPr="00E50023">
          <w:rPr>
            <w:rStyle w:val="Hyperlink"/>
            <w:noProof/>
          </w:rPr>
          <w:t>Chart 3.12: Residential care provider EBITDA per resident, by provider location, 2018-19 to 2022-23</w:t>
        </w:r>
        <w:r w:rsidR="00C93174">
          <w:rPr>
            <w:noProof/>
            <w:webHidden/>
          </w:rPr>
          <w:tab/>
        </w:r>
        <w:r w:rsidR="00C93174">
          <w:rPr>
            <w:noProof/>
            <w:webHidden/>
          </w:rPr>
          <w:fldChar w:fldCharType="begin"/>
        </w:r>
        <w:r w:rsidR="00C93174">
          <w:rPr>
            <w:noProof/>
            <w:webHidden/>
          </w:rPr>
          <w:instrText xml:space="preserve"> PAGEREF _Toc173428929 \h </w:instrText>
        </w:r>
        <w:r w:rsidR="00C93174">
          <w:rPr>
            <w:noProof/>
            <w:webHidden/>
          </w:rPr>
        </w:r>
        <w:r w:rsidR="00C93174">
          <w:rPr>
            <w:noProof/>
            <w:webHidden/>
          </w:rPr>
          <w:fldChar w:fldCharType="separate"/>
        </w:r>
        <w:r w:rsidR="001377BE">
          <w:rPr>
            <w:noProof/>
            <w:webHidden/>
          </w:rPr>
          <w:t>85</w:t>
        </w:r>
        <w:r w:rsidR="00C93174">
          <w:rPr>
            <w:noProof/>
            <w:webHidden/>
          </w:rPr>
          <w:fldChar w:fldCharType="end"/>
        </w:r>
      </w:hyperlink>
    </w:p>
    <w:p w14:paraId="605466BD" w14:textId="6FA3F00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0" w:history="1">
        <w:r w:rsidR="00C93174" w:rsidRPr="00E50023">
          <w:rPr>
            <w:rStyle w:val="Hyperlink"/>
            <w:noProof/>
          </w:rPr>
          <w:t>Chart 3.13: Residential care provider average EBITDA per resident per year, by quartile (number of providers in parentheses), by location, 2022-23</w:t>
        </w:r>
        <w:r w:rsidR="00C93174">
          <w:rPr>
            <w:noProof/>
            <w:webHidden/>
          </w:rPr>
          <w:tab/>
        </w:r>
        <w:r w:rsidR="00C93174">
          <w:rPr>
            <w:noProof/>
            <w:webHidden/>
          </w:rPr>
          <w:fldChar w:fldCharType="begin"/>
        </w:r>
        <w:r w:rsidR="00C93174">
          <w:rPr>
            <w:noProof/>
            <w:webHidden/>
          </w:rPr>
          <w:instrText xml:space="preserve"> PAGEREF _Toc173428930 \h </w:instrText>
        </w:r>
        <w:r w:rsidR="00C93174">
          <w:rPr>
            <w:noProof/>
            <w:webHidden/>
          </w:rPr>
        </w:r>
        <w:r w:rsidR="00C93174">
          <w:rPr>
            <w:noProof/>
            <w:webHidden/>
          </w:rPr>
          <w:fldChar w:fldCharType="separate"/>
        </w:r>
        <w:r w:rsidR="001377BE">
          <w:rPr>
            <w:noProof/>
            <w:webHidden/>
          </w:rPr>
          <w:t>86</w:t>
        </w:r>
        <w:r w:rsidR="00C93174">
          <w:rPr>
            <w:noProof/>
            <w:webHidden/>
          </w:rPr>
          <w:fldChar w:fldCharType="end"/>
        </w:r>
      </w:hyperlink>
    </w:p>
    <w:p w14:paraId="20F65553" w14:textId="377CB81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1" w:history="1">
        <w:r w:rsidR="00C93174" w:rsidRPr="00E50023">
          <w:rPr>
            <w:rStyle w:val="Hyperlink"/>
            <w:noProof/>
          </w:rPr>
          <w:t>Chart 3.14: Residential care provider average EBITDA per resident per year, by quartile (number of providers in parentheses), by provider scale, 2022-23</w:t>
        </w:r>
        <w:r w:rsidR="00C93174">
          <w:rPr>
            <w:noProof/>
            <w:webHidden/>
          </w:rPr>
          <w:tab/>
        </w:r>
        <w:r w:rsidR="00C93174">
          <w:rPr>
            <w:noProof/>
            <w:webHidden/>
          </w:rPr>
          <w:fldChar w:fldCharType="begin"/>
        </w:r>
        <w:r w:rsidR="00C93174">
          <w:rPr>
            <w:noProof/>
            <w:webHidden/>
          </w:rPr>
          <w:instrText xml:space="preserve"> PAGEREF _Toc173428931 \h </w:instrText>
        </w:r>
        <w:r w:rsidR="00C93174">
          <w:rPr>
            <w:noProof/>
            <w:webHidden/>
          </w:rPr>
        </w:r>
        <w:r w:rsidR="00C93174">
          <w:rPr>
            <w:noProof/>
            <w:webHidden/>
          </w:rPr>
          <w:fldChar w:fldCharType="separate"/>
        </w:r>
        <w:r w:rsidR="001377BE">
          <w:rPr>
            <w:noProof/>
            <w:webHidden/>
          </w:rPr>
          <w:t>87</w:t>
        </w:r>
        <w:r w:rsidR="00C93174">
          <w:rPr>
            <w:noProof/>
            <w:webHidden/>
          </w:rPr>
          <w:fldChar w:fldCharType="end"/>
        </w:r>
      </w:hyperlink>
    </w:p>
    <w:p w14:paraId="253423E0" w14:textId="74D3E01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2" w:history="1">
        <w:r w:rsidR="00C93174" w:rsidRPr="00E50023">
          <w:rPr>
            <w:rStyle w:val="Hyperlink"/>
            <w:noProof/>
          </w:rPr>
          <w:t>Chart 3.15: Residential care provider EBITDA per resident per year, by provider scale (number of providers in parentheses), 2019-20 to 2022-23</w:t>
        </w:r>
        <w:r w:rsidR="00C93174">
          <w:rPr>
            <w:noProof/>
            <w:webHidden/>
          </w:rPr>
          <w:tab/>
        </w:r>
        <w:r w:rsidR="00C93174">
          <w:rPr>
            <w:noProof/>
            <w:webHidden/>
          </w:rPr>
          <w:fldChar w:fldCharType="begin"/>
        </w:r>
        <w:r w:rsidR="00C93174">
          <w:rPr>
            <w:noProof/>
            <w:webHidden/>
          </w:rPr>
          <w:instrText xml:space="preserve"> PAGEREF _Toc173428932 \h </w:instrText>
        </w:r>
        <w:r w:rsidR="00C93174">
          <w:rPr>
            <w:noProof/>
            <w:webHidden/>
          </w:rPr>
        </w:r>
        <w:r w:rsidR="00C93174">
          <w:rPr>
            <w:noProof/>
            <w:webHidden/>
          </w:rPr>
          <w:fldChar w:fldCharType="separate"/>
        </w:r>
        <w:r w:rsidR="001377BE">
          <w:rPr>
            <w:noProof/>
            <w:webHidden/>
          </w:rPr>
          <w:t>88</w:t>
        </w:r>
        <w:r w:rsidR="00C93174">
          <w:rPr>
            <w:noProof/>
            <w:webHidden/>
          </w:rPr>
          <w:fldChar w:fldCharType="end"/>
        </w:r>
      </w:hyperlink>
    </w:p>
    <w:p w14:paraId="5C51103B" w14:textId="19E76949"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3" w:history="1">
        <w:r w:rsidR="00C93174" w:rsidRPr="00E50023">
          <w:rPr>
            <w:rStyle w:val="Hyperlink"/>
            <w:noProof/>
          </w:rPr>
          <w:t>Chart 4.1: Residential care provider liability types as a proportion of total assets, 2018-19 to 2022-23</w:t>
        </w:r>
        <w:r w:rsidR="00C93174">
          <w:rPr>
            <w:noProof/>
            <w:webHidden/>
          </w:rPr>
          <w:tab/>
        </w:r>
        <w:r w:rsidR="00C93174">
          <w:rPr>
            <w:noProof/>
            <w:webHidden/>
          </w:rPr>
          <w:fldChar w:fldCharType="begin"/>
        </w:r>
        <w:r w:rsidR="00C93174">
          <w:rPr>
            <w:noProof/>
            <w:webHidden/>
          </w:rPr>
          <w:instrText xml:space="preserve"> PAGEREF _Toc173428933 \h </w:instrText>
        </w:r>
        <w:r w:rsidR="00C93174">
          <w:rPr>
            <w:noProof/>
            <w:webHidden/>
          </w:rPr>
        </w:r>
        <w:r w:rsidR="00C93174">
          <w:rPr>
            <w:noProof/>
            <w:webHidden/>
          </w:rPr>
          <w:fldChar w:fldCharType="separate"/>
        </w:r>
        <w:r w:rsidR="001377BE">
          <w:rPr>
            <w:noProof/>
            <w:webHidden/>
          </w:rPr>
          <w:t>95</w:t>
        </w:r>
        <w:r w:rsidR="00C93174">
          <w:rPr>
            <w:noProof/>
            <w:webHidden/>
          </w:rPr>
          <w:fldChar w:fldCharType="end"/>
        </w:r>
      </w:hyperlink>
    </w:p>
    <w:p w14:paraId="2CE888B1" w14:textId="7F64BFF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4" w:history="1">
        <w:r w:rsidR="00C93174" w:rsidRPr="00E50023">
          <w:rPr>
            <w:rStyle w:val="Hyperlink"/>
            <w:noProof/>
          </w:rPr>
          <w:t>Chart 4.2: Liabilities and net worth as a proportion of total assets, by ownership type, 2020-21 to 2022-23</w:t>
        </w:r>
        <w:r w:rsidR="00C93174">
          <w:rPr>
            <w:noProof/>
            <w:webHidden/>
          </w:rPr>
          <w:tab/>
        </w:r>
        <w:r w:rsidR="00C93174">
          <w:rPr>
            <w:noProof/>
            <w:webHidden/>
          </w:rPr>
          <w:fldChar w:fldCharType="begin"/>
        </w:r>
        <w:r w:rsidR="00C93174">
          <w:rPr>
            <w:noProof/>
            <w:webHidden/>
          </w:rPr>
          <w:instrText xml:space="preserve"> PAGEREF _Toc173428934 \h </w:instrText>
        </w:r>
        <w:r w:rsidR="00C93174">
          <w:rPr>
            <w:noProof/>
            <w:webHidden/>
          </w:rPr>
        </w:r>
        <w:r w:rsidR="00C93174">
          <w:rPr>
            <w:noProof/>
            <w:webHidden/>
          </w:rPr>
          <w:fldChar w:fldCharType="separate"/>
        </w:r>
        <w:r w:rsidR="001377BE">
          <w:rPr>
            <w:noProof/>
            <w:webHidden/>
          </w:rPr>
          <w:t>96</w:t>
        </w:r>
        <w:r w:rsidR="00C93174">
          <w:rPr>
            <w:noProof/>
            <w:webHidden/>
          </w:rPr>
          <w:fldChar w:fldCharType="end"/>
        </w:r>
      </w:hyperlink>
    </w:p>
    <w:p w14:paraId="6FD0BF4C" w14:textId="27988C7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5" w:history="1">
        <w:r w:rsidR="00C93174" w:rsidRPr="00E50023">
          <w:rPr>
            <w:rStyle w:val="Hyperlink"/>
            <w:noProof/>
          </w:rPr>
          <w:t>Chart 4.3: Total value and total number of accommodation deposits held, 2014-15 to 2022-23</w:t>
        </w:r>
        <w:r w:rsidR="00C93174">
          <w:rPr>
            <w:noProof/>
            <w:webHidden/>
          </w:rPr>
          <w:tab/>
        </w:r>
        <w:r w:rsidR="00C93174">
          <w:rPr>
            <w:noProof/>
            <w:webHidden/>
          </w:rPr>
          <w:fldChar w:fldCharType="begin"/>
        </w:r>
        <w:r w:rsidR="00C93174">
          <w:rPr>
            <w:noProof/>
            <w:webHidden/>
          </w:rPr>
          <w:instrText xml:space="preserve"> PAGEREF _Toc173428935 \h </w:instrText>
        </w:r>
        <w:r w:rsidR="00C93174">
          <w:rPr>
            <w:noProof/>
            <w:webHidden/>
          </w:rPr>
        </w:r>
        <w:r w:rsidR="00C93174">
          <w:rPr>
            <w:noProof/>
            <w:webHidden/>
          </w:rPr>
          <w:fldChar w:fldCharType="separate"/>
        </w:r>
        <w:r w:rsidR="001377BE">
          <w:rPr>
            <w:noProof/>
            <w:webHidden/>
          </w:rPr>
          <w:t>97</w:t>
        </w:r>
        <w:r w:rsidR="00C93174">
          <w:rPr>
            <w:noProof/>
            <w:webHidden/>
          </w:rPr>
          <w:fldChar w:fldCharType="end"/>
        </w:r>
      </w:hyperlink>
    </w:p>
    <w:p w14:paraId="3647AE03" w14:textId="529575FA"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6" w:history="1">
        <w:r w:rsidR="00C93174" w:rsidRPr="00E50023">
          <w:rPr>
            <w:rStyle w:val="Hyperlink"/>
            <w:noProof/>
          </w:rPr>
          <w:t>Chart 4.4: Resident method of accommodation payment, 2018-19 to 2022-23</w:t>
        </w:r>
        <w:r w:rsidR="00C93174">
          <w:rPr>
            <w:noProof/>
            <w:webHidden/>
          </w:rPr>
          <w:tab/>
        </w:r>
        <w:r w:rsidR="00C93174">
          <w:rPr>
            <w:noProof/>
            <w:webHidden/>
          </w:rPr>
          <w:fldChar w:fldCharType="begin"/>
        </w:r>
        <w:r w:rsidR="00C93174">
          <w:rPr>
            <w:noProof/>
            <w:webHidden/>
          </w:rPr>
          <w:instrText xml:space="preserve"> PAGEREF _Toc173428936 \h </w:instrText>
        </w:r>
        <w:r w:rsidR="00C93174">
          <w:rPr>
            <w:noProof/>
            <w:webHidden/>
          </w:rPr>
        </w:r>
        <w:r w:rsidR="00C93174">
          <w:rPr>
            <w:noProof/>
            <w:webHidden/>
          </w:rPr>
          <w:fldChar w:fldCharType="separate"/>
        </w:r>
        <w:r w:rsidR="001377BE">
          <w:rPr>
            <w:noProof/>
            <w:webHidden/>
          </w:rPr>
          <w:t>98</w:t>
        </w:r>
        <w:r w:rsidR="00C93174">
          <w:rPr>
            <w:noProof/>
            <w:webHidden/>
          </w:rPr>
          <w:fldChar w:fldCharType="end"/>
        </w:r>
      </w:hyperlink>
    </w:p>
    <w:p w14:paraId="76EB760A" w14:textId="70A4D3E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7" w:history="1">
        <w:r w:rsidR="00C93174" w:rsidRPr="00E50023">
          <w:rPr>
            <w:rStyle w:val="Hyperlink"/>
            <w:noProof/>
          </w:rPr>
          <w:t>Chart 4.5: Resident choice of payment method, by ownership type, 2018-19 to 2022-23</w:t>
        </w:r>
        <w:r w:rsidR="00C93174">
          <w:rPr>
            <w:noProof/>
            <w:webHidden/>
          </w:rPr>
          <w:tab/>
        </w:r>
        <w:r w:rsidR="00C93174">
          <w:rPr>
            <w:noProof/>
            <w:webHidden/>
          </w:rPr>
          <w:fldChar w:fldCharType="begin"/>
        </w:r>
        <w:r w:rsidR="00C93174">
          <w:rPr>
            <w:noProof/>
            <w:webHidden/>
          </w:rPr>
          <w:instrText xml:space="preserve"> PAGEREF _Toc173428937 \h </w:instrText>
        </w:r>
        <w:r w:rsidR="00C93174">
          <w:rPr>
            <w:noProof/>
            <w:webHidden/>
          </w:rPr>
        </w:r>
        <w:r w:rsidR="00C93174">
          <w:rPr>
            <w:noProof/>
            <w:webHidden/>
          </w:rPr>
          <w:fldChar w:fldCharType="separate"/>
        </w:r>
        <w:r w:rsidR="001377BE">
          <w:rPr>
            <w:noProof/>
            <w:webHidden/>
          </w:rPr>
          <w:t>99</w:t>
        </w:r>
        <w:r w:rsidR="00C93174">
          <w:rPr>
            <w:noProof/>
            <w:webHidden/>
          </w:rPr>
          <w:fldChar w:fldCharType="end"/>
        </w:r>
      </w:hyperlink>
    </w:p>
    <w:p w14:paraId="421C4C61" w14:textId="43045B4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8" w:history="1">
        <w:r w:rsidR="00C93174" w:rsidRPr="00E50023">
          <w:rPr>
            <w:rStyle w:val="Hyperlink"/>
            <w:noProof/>
          </w:rPr>
          <w:t>Chart 4.6: Resident choice of payment method, by location, 2018-19 to 2022-23</w:t>
        </w:r>
        <w:r w:rsidR="00C93174">
          <w:rPr>
            <w:noProof/>
            <w:webHidden/>
          </w:rPr>
          <w:tab/>
        </w:r>
        <w:r w:rsidR="00C93174">
          <w:rPr>
            <w:noProof/>
            <w:webHidden/>
          </w:rPr>
          <w:fldChar w:fldCharType="begin"/>
        </w:r>
        <w:r w:rsidR="00C93174">
          <w:rPr>
            <w:noProof/>
            <w:webHidden/>
          </w:rPr>
          <w:instrText xml:space="preserve"> PAGEREF _Toc173428938 \h </w:instrText>
        </w:r>
        <w:r w:rsidR="00C93174">
          <w:rPr>
            <w:noProof/>
            <w:webHidden/>
          </w:rPr>
        </w:r>
        <w:r w:rsidR="00C93174">
          <w:rPr>
            <w:noProof/>
            <w:webHidden/>
          </w:rPr>
          <w:fldChar w:fldCharType="separate"/>
        </w:r>
        <w:r w:rsidR="001377BE">
          <w:rPr>
            <w:noProof/>
            <w:webHidden/>
          </w:rPr>
          <w:t>100</w:t>
        </w:r>
        <w:r w:rsidR="00C93174">
          <w:rPr>
            <w:noProof/>
            <w:webHidden/>
          </w:rPr>
          <w:fldChar w:fldCharType="end"/>
        </w:r>
      </w:hyperlink>
    </w:p>
    <w:p w14:paraId="52AAEAB2" w14:textId="4455C35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39" w:history="1">
        <w:r w:rsidR="00C93174" w:rsidRPr="00E50023">
          <w:rPr>
            <w:rStyle w:val="Hyperlink"/>
            <w:noProof/>
          </w:rPr>
          <w:t>Chart 4.7: Resident choice of payment method, by partially supported and non-supported residents, 2018-19 to 2022-23</w:t>
        </w:r>
        <w:r w:rsidR="00C93174">
          <w:rPr>
            <w:noProof/>
            <w:webHidden/>
          </w:rPr>
          <w:tab/>
        </w:r>
        <w:r w:rsidR="00C93174">
          <w:rPr>
            <w:noProof/>
            <w:webHidden/>
          </w:rPr>
          <w:fldChar w:fldCharType="begin"/>
        </w:r>
        <w:r w:rsidR="00C93174">
          <w:rPr>
            <w:noProof/>
            <w:webHidden/>
          </w:rPr>
          <w:instrText xml:space="preserve"> PAGEREF _Toc173428939 \h </w:instrText>
        </w:r>
        <w:r w:rsidR="00C93174">
          <w:rPr>
            <w:noProof/>
            <w:webHidden/>
          </w:rPr>
        </w:r>
        <w:r w:rsidR="00C93174">
          <w:rPr>
            <w:noProof/>
            <w:webHidden/>
          </w:rPr>
          <w:fldChar w:fldCharType="separate"/>
        </w:r>
        <w:r w:rsidR="001377BE">
          <w:rPr>
            <w:noProof/>
            <w:webHidden/>
          </w:rPr>
          <w:t>101</w:t>
        </w:r>
        <w:r w:rsidR="00C93174">
          <w:rPr>
            <w:noProof/>
            <w:webHidden/>
          </w:rPr>
          <w:fldChar w:fldCharType="end"/>
        </w:r>
      </w:hyperlink>
    </w:p>
    <w:p w14:paraId="01FA971E" w14:textId="1AFDE94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0" w:history="1">
        <w:r w:rsidR="00C93174" w:rsidRPr="00E50023">
          <w:rPr>
            <w:rStyle w:val="Hyperlink"/>
            <w:noProof/>
          </w:rPr>
          <w:t>Chart 4.8: Average agreed and published accommodation prices (lump sum equivalent), by ownership type, 2016-17 to 2022-23</w:t>
        </w:r>
        <w:r w:rsidR="00C93174">
          <w:rPr>
            <w:noProof/>
            <w:webHidden/>
          </w:rPr>
          <w:tab/>
        </w:r>
        <w:r w:rsidR="00C93174">
          <w:rPr>
            <w:noProof/>
            <w:webHidden/>
          </w:rPr>
          <w:fldChar w:fldCharType="begin"/>
        </w:r>
        <w:r w:rsidR="00C93174">
          <w:rPr>
            <w:noProof/>
            <w:webHidden/>
          </w:rPr>
          <w:instrText xml:space="preserve"> PAGEREF _Toc173428940 \h </w:instrText>
        </w:r>
        <w:r w:rsidR="00C93174">
          <w:rPr>
            <w:noProof/>
            <w:webHidden/>
          </w:rPr>
        </w:r>
        <w:r w:rsidR="00C93174">
          <w:rPr>
            <w:noProof/>
            <w:webHidden/>
          </w:rPr>
          <w:fldChar w:fldCharType="separate"/>
        </w:r>
        <w:r w:rsidR="001377BE">
          <w:rPr>
            <w:noProof/>
            <w:webHidden/>
          </w:rPr>
          <w:t>102</w:t>
        </w:r>
        <w:r w:rsidR="00C93174">
          <w:rPr>
            <w:noProof/>
            <w:webHidden/>
          </w:rPr>
          <w:fldChar w:fldCharType="end"/>
        </w:r>
      </w:hyperlink>
    </w:p>
    <w:p w14:paraId="05841552" w14:textId="038FEA2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1" w:history="1">
        <w:r w:rsidR="00C93174" w:rsidRPr="00E50023">
          <w:rPr>
            <w:rStyle w:val="Hyperlink"/>
            <w:noProof/>
          </w:rPr>
          <w:t>Chart 4.9: Average agreed and published accommodation prices (lump sum equivalent), by location, 2016-17 to 2022-23</w:t>
        </w:r>
        <w:r w:rsidR="00C93174">
          <w:rPr>
            <w:noProof/>
            <w:webHidden/>
          </w:rPr>
          <w:tab/>
        </w:r>
        <w:r w:rsidR="00C93174">
          <w:rPr>
            <w:noProof/>
            <w:webHidden/>
          </w:rPr>
          <w:fldChar w:fldCharType="begin"/>
        </w:r>
        <w:r w:rsidR="00C93174">
          <w:rPr>
            <w:noProof/>
            <w:webHidden/>
          </w:rPr>
          <w:instrText xml:space="preserve"> PAGEREF _Toc173428941 \h </w:instrText>
        </w:r>
        <w:r w:rsidR="00C93174">
          <w:rPr>
            <w:noProof/>
            <w:webHidden/>
          </w:rPr>
        </w:r>
        <w:r w:rsidR="00C93174">
          <w:rPr>
            <w:noProof/>
            <w:webHidden/>
          </w:rPr>
          <w:fldChar w:fldCharType="separate"/>
        </w:r>
        <w:r w:rsidR="001377BE">
          <w:rPr>
            <w:noProof/>
            <w:webHidden/>
          </w:rPr>
          <w:t>103</w:t>
        </w:r>
        <w:r w:rsidR="00C93174">
          <w:rPr>
            <w:noProof/>
            <w:webHidden/>
          </w:rPr>
          <w:fldChar w:fldCharType="end"/>
        </w:r>
      </w:hyperlink>
    </w:p>
    <w:p w14:paraId="37329FD7" w14:textId="03A9D739"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2" w:history="1">
        <w:r w:rsidR="00C93174" w:rsidRPr="00E50023">
          <w:rPr>
            <w:rStyle w:val="Hyperlink"/>
            <w:noProof/>
          </w:rPr>
          <w:t>Chart 4.10: EBITDA to total assets, by ownership type, 2018-19 to 2022-23</w:t>
        </w:r>
        <w:r w:rsidR="00C93174">
          <w:rPr>
            <w:noProof/>
            <w:webHidden/>
          </w:rPr>
          <w:tab/>
        </w:r>
        <w:r w:rsidR="00C93174">
          <w:rPr>
            <w:noProof/>
            <w:webHidden/>
          </w:rPr>
          <w:fldChar w:fldCharType="begin"/>
        </w:r>
        <w:r w:rsidR="00C93174">
          <w:rPr>
            <w:noProof/>
            <w:webHidden/>
          </w:rPr>
          <w:instrText xml:space="preserve"> PAGEREF _Toc173428942 \h </w:instrText>
        </w:r>
        <w:r w:rsidR="00C93174">
          <w:rPr>
            <w:noProof/>
            <w:webHidden/>
          </w:rPr>
        </w:r>
        <w:r w:rsidR="00C93174">
          <w:rPr>
            <w:noProof/>
            <w:webHidden/>
          </w:rPr>
          <w:fldChar w:fldCharType="separate"/>
        </w:r>
        <w:r w:rsidR="001377BE">
          <w:rPr>
            <w:noProof/>
            <w:webHidden/>
          </w:rPr>
          <w:t>104</w:t>
        </w:r>
        <w:r w:rsidR="00C93174">
          <w:rPr>
            <w:noProof/>
            <w:webHidden/>
          </w:rPr>
          <w:fldChar w:fldCharType="end"/>
        </w:r>
      </w:hyperlink>
    </w:p>
    <w:p w14:paraId="2C2ADCA7" w14:textId="461431BF"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3" w:history="1">
        <w:r w:rsidR="00C93174" w:rsidRPr="00E50023">
          <w:rPr>
            <w:rStyle w:val="Hyperlink"/>
            <w:noProof/>
          </w:rPr>
          <w:t>Chart 4.11: Current ratio, by ownership type, 2018-19 to 2022-23</w:t>
        </w:r>
        <w:r w:rsidR="00C93174">
          <w:rPr>
            <w:noProof/>
            <w:webHidden/>
          </w:rPr>
          <w:tab/>
        </w:r>
        <w:r w:rsidR="00C93174">
          <w:rPr>
            <w:noProof/>
            <w:webHidden/>
          </w:rPr>
          <w:fldChar w:fldCharType="begin"/>
        </w:r>
        <w:r w:rsidR="00C93174">
          <w:rPr>
            <w:noProof/>
            <w:webHidden/>
          </w:rPr>
          <w:instrText xml:space="preserve"> PAGEREF _Toc173428943 \h </w:instrText>
        </w:r>
        <w:r w:rsidR="00C93174">
          <w:rPr>
            <w:noProof/>
            <w:webHidden/>
          </w:rPr>
        </w:r>
        <w:r w:rsidR="00C93174">
          <w:rPr>
            <w:noProof/>
            <w:webHidden/>
          </w:rPr>
          <w:fldChar w:fldCharType="separate"/>
        </w:r>
        <w:r w:rsidR="001377BE">
          <w:rPr>
            <w:noProof/>
            <w:webHidden/>
          </w:rPr>
          <w:t>105</w:t>
        </w:r>
        <w:r w:rsidR="00C93174">
          <w:rPr>
            <w:noProof/>
            <w:webHidden/>
          </w:rPr>
          <w:fldChar w:fldCharType="end"/>
        </w:r>
      </w:hyperlink>
    </w:p>
    <w:p w14:paraId="035FD042" w14:textId="1E12B18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4" w:history="1">
        <w:r w:rsidR="00C93174" w:rsidRPr="00E50023">
          <w:rPr>
            <w:rStyle w:val="Hyperlink"/>
            <w:noProof/>
          </w:rPr>
          <w:t>Chart 4.12: Equity to total assets, by ownership type, 2018-19 to 2022-23</w:t>
        </w:r>
        <w:r w:rsidR="00C93174">
          <w:rPr>
            <w:noProof/>
            <w:webHidden/>
          </w:rPr>
          <w:tab/>
        </w:r>
        <w:r w:rsidR="00C93174">
          <w:rPr>
            <w:noProof/>
            <w:webHidden/>
          </w:rPr>
          <w:fldChar w:fldCharType="begin"/>
        </w:r>
        <w:r w:rsidR="00C93174">
          <w:rPr>
            <w:noProof/>
            <w:webHidden/>
          </w:rPr>
          <w:instrText xml:space="preserve"> PAGEREF _Toc173428944 \h </w:instrText>
        </w:r>
        <w:r w:rsidR="00C93174">
          <w:rPr>
            <w:noProof/>
            <w:webHidden/>
          </w:rPr>
        </w:r>
        <w:r w:rsidR="00C93174">
          <w:rPr>
            <w:noProof/>
            <w:webHidden/>
          </w:rPr>
          <w:fldChar w:fldCharType="separate"/>
        </w:r>
        <w:r w:rsidR="001377BE">
          <w:rPr>
            <w:noProof/>
            <w:webHidden/>
          </w:rPr>
          <w:t>106</w:t>
        </w:r>
        <w:r w:rsidR="00C93174">
          <w:rPr>
            <w:noProof/>
            <w:webHidden/>
          </w:rPr>
          <w:fldChar w:fldCharType="end"/>
        </w:r>
      </w:hyperlink>
    </w:p>
    <w:p w14:paraId="0DC5226F" w14:textId="49E9098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5" w:history="1">
        <w:r w:rsidR="00C93174" w:rsidRPr="00E50023">
          <w:rPr>
            <w:rStyle w:val="Hyperlink"/>
            <w:noProof/>
          </w:rPr>
          <w:t>Chart 4.13: Average debt ratio, by ownership type, 2018-19 to 2022-23</w:t>
        </w:r>
        <w:r w:rsidR="00C93174">
          <w:rPr>
            <w:noProof/>
            <w:webHidden/>
          </w:rPr>
          <w:tab/>
        </w:r>
        <w:r w:rsidR="00C93174">
          <w:rPr>
            <w:noProof/>
            <w:webHidden/>
          </w:rPr>
          <w:fldChar w:fldCharType="begin"/>
        </w:r>
        <w:r w:rsidR="00C93174">
          <w:rPr>
            <w:noProof/>
            <w:webHidden/>
          </w:rPr>
          <w:instrText xml:space="preserve"> PAGEREF _Toc173428945 \h </w:instrText>
        </w:r>
        <w:r w:rsidR="00C93174">
          <w:rPr>
            <w:noProof/>
            <w:webHidden/>
          </w:rPr>
        </w:r>
        <w:r w:rsidR="00C93174">
          <w:rPr>
            <w:noProof/>
            <w:webHidden/>
          </w:rPr>
          <w:fldChar w:fldCharType="separate"/>
        </w:r>
        <w:r w:rsidR="001377BE">
          <w:rPr>
            <w:noProof/>
            <w:webHidden/>
          </w:rPr>
          <w:t>107</w:t>
        </w:r>
        <w:r w:rsidR="00C93174">
          <w:rPr>
            <w:noProof/>
            <w:webHidden/>
          </w:rPr>
          <w:fldChar w:fldCharType="end"/>
        </w:r>
      </w:hyperlink>
    </w:p>
    <w:p w14:paraId="5EC6C77A" w14:textId="1996FF4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6" w:history="1">
        <w:r w:rsidR="00C93174" w:rsidRPr="00E50023">
          <w:rPr>
            <w:rStyle w:val="Hyperlink"/>
            <w:noProof/>
          </w:rPr>
          <w:t>Chart 4.14: Net assets, by ownership type, 2018-19 to 2022-23</w:t>
        </w:r>
        <w:r w:rsidR="00C93174">
          <w:rPr>
            <w:noProof/>
            <w:webHidden/>
          </w:rPr>
          <w:tab/>
        </w:r>
        <w:r w:rsidR="00C93174">
          <w:rPr>
            <w:noProof/>
            <w:webHidden/>
          </w:rPr>
          <w:fldChar w:fldCharType="begin"/>
        </w:r>
        <w:r w:rsidR="00C93174">
          <w:rPr>
            <w:noProof/>
            <w:webHidden/>
          </w:rPr>
          <w:instrText xml:space="preserve"> PAGEREF _Toc173428946 \h </w:instrText>
        </w:r>
        <w:r w:rsidR="00C93174">
          <w:rPr>
            <w:noProof/>
            <w:webHidden/>
          </w:rPr>
        </w:r>
        <w:r w:rsidR="00C93174">
          <w:rPr>
            <w:noProof/>
            <w:webHidden/>
          </w:rPr>
          <w:fldChar w:fldCharType="separate"/>
        </w:r>
        <w:r w:rsidR="001377BE">
          <w:rPr>
            <w:noProof/>
            <w:webHidden/>
          </w:rPr>
          <w:t>108</w:t>
        </w:r>
        <w:r w:rsidR="00C93174">
          <w:rPr>
            <w:noProof/>
            <w:webHidden/>
          </w:rPr>
          <w:fldChar w:fldCharType="end"/>
        </w:r>
      </w:hyperlink>
    </w:p>
    <w:p w14:paraId="0ADF7448" w14:textId="2A6CC8A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7" w:history="1">
        <w:r w:rsidR="00C93174" w:rsidRPr="00E50023">
          <w:rPr>
            <w:rStyle w:val="Hyperlink"/>
            <w:noProof/>
          </w:rPr>
          <w:t>Chart 4.15: Cash held as percentage of accommodation deposit balances, by ownership type, 2020-21 to 2022-23</w:t>
        </w:r>
        <w:r w:rsidR="00C93174">
          <w:rPr>
            <w:noProof/>
            <w:webHidden/>
          </w:rPr>
          <w:tab/>
        </w:r>
        <w:r w:rsidR="00C93174">
          <w:rPr>
            <w:noProof/>
            <w:webHidden/>
          </w:rPr>
          <w:fldChar w:fldCharType="begin"/>
        </w:r>
        <w:r w:rsidR="00C93174">
          <w:rPr>
            <w:noProof/>
            <w:webHidden/>
          </w:rPr>
          <w:instrText xml:space="preserve"> PAGEREF _Toc173428947 \h </w:instrText>
        </w:r>
        <w:r w:rsidR="00C93174">
          <w:rPr>
            <w:noProof/>
            <w:webHidden/>
          </w:rPr>
        </w:r>
        <w:r w:rsidR="00C93174">
          <w:rPr>
            <w:noProof/>
            <w:webHidden/>
          </w:rPr>
          <w:fldChar w:fldCharType="separate"/>
        </w:r>
        <w:r w:rsidR="001377BE">
          <w:rPr>
            <w:noProof/>
            <w:webHidden/>
          </w:rPr>
          <w:t>109</w:t>
        </w:r>
        <w:r w:rsidR="00C93174">
          <w:rPr>
            <w:noProof/>
            <w:webHidden/>
          </w:rPr>
          <w:fldChar w:fldCharType="end"/>
        </w:r>
      </w:hyperlink>
    </w:p>
    <w:p w14:paraId="397CA348" w14:textId="45FB442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8" w:history="1">
        <w:r w:rsidR="00C93174" w:rsidRPr="00E50023">
          <w:rPr>
            <w:rStyle w:val="Hyperlink"/>
            <w:noProof/>
          </w:rPr>
          <w:t>Chart 4.16: Total assets, net worth/equity and average accommodation deposit value per resident, by ownership type, 2021-22 and 2022-23</w:t>
        </w:r>
        <w:r w:rsidR="00C93174">
          <w:rPr>
            <w:noProof/>
            <w:webHidden/>
          </w:rPr>
          <w:tab/>
        </w:r>
        <w:r w:rsidR="00C93174">
          <w:rPr>
            <w:noProof/>
            <w:webHidden/>
          </w:rPr>
          <w:fldChar w:fldCharType="begin"/>
        </w:r>
        <w:r w:rsidR="00C93174">
          <w:rPr>
            <w:noProof/>
            <w:webHidden/>
          </w:rPr>
          <w:instrText xml:space="preserve"> PAGEREF _Toc173428948 \h </w:instrText>
        </w:r>
        <w:r w:rsidR="00C93174">
          <w:rPr>
            <w:noProof/>
            <w:webHidden/>
          </w:rPr>
        </w:r>
        <w:r w:rsidR="00C93174">
          <w:rPr>
            <w:noProof/>
            <w:webHidden/>
          </w:rPr>
          <w:fldChar w:fldCharType="separate"/>
        </w:r>
        <w:r w:rsidR="001377BE">
          <w:rPr>
            <w:noProof/>
            <w:webHidden/>
          </w:rPr>
          <w:t>110</w:t>
        </w:r>
        <w:r w:rsidR="00C93174">
          <w:rPr>
            <w:noProof/>
            <w:webHidden/>
          </w:rPr>
          <w:fldChar w:fldCharType="end"/>
        </w:r>
      </w:hyperlink>
    </w:p>
    <w:p w14:paraId="7D90D2AD" w14:textId="59F33FD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49" w:history="1">
        <w:r w:rsidR="00C93174" w:rsidRPr="00E50023">
          <w:rPr>
            <w:rStyle w:val="Hyperlink"/>
            <w:noProof/>
          </w:rPr>
          <w:t>Chart 4.17: Residential care building activity (completed or in-progress), 2018-19 to 2022-23</w:t>
        </w:r>
        <w:r w:rsidR="00C93174">
          <w:rPr>
            <w:noProof/>
            <w:webHidden/>
          </w:rPr>
          <w:tab/>
        </w:r>
        <w:r w:rsidR="00C93174">
          <w:rPr>
            <w:noProof/>
            <w:webHidden/>
          </w:rPr>
          <w:fldChar w:fldCharType="begin"/>
        </w:r>
        <w:r w:rsidR="00C93174">
          <w:rPr>
            <w:noProof/>
            <w:webHidden/>
          </w:rPr>
          <w:instrText xml:space="preserve"> PAGEREF _Toc173428949 \h </w:instrText>
        </w:r>
        <w:r w:rsidR="00C93174">
          <w:rPr>
            <w:noProof/>
            <w:webHidden/>
          </w:rPr>
        </w:r>
        <w:r w:rsidR="00C93174">
          <w:rPr>
            <w:noProof/>
            <w:webHidden/>
          </w:rPr>
          <w:fldChar w:fldCharType="separate"/>
        </w:r>
        <w:r w:rsidR="001377BE">
          <w:rPr>
            <w:noProof/>
            <w:webHidden/>
          </w:rPr>
          <w:t>111</w:t>
        </w:r>
        <w:r w:rsidR="00C93174">
          <w:rPr>
            <w:noProof/>
            <w:webHidden/>
          </w:rPr>
          <w:fldChar w:fldCharType="end"/>
        </w:r>
      </w:hyperlink>
    </w:p>
    <w:p w14:paraId="37EF28AA" w14:textId="52EBA27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0" w:history="1">
        <w:r w:rsidR="00C93174" w:rsidRPr="00E50023">
          <w:rPr>
            <w:rStyle w:val="Hyperlink"/>
            <w:noProof/>
          </w:rPr>
          <w:t>Chart 4.18: Proportion of facilities planning to either upgrade or rebuild, 2018-19 to 2022-23</w:t>
        </w:r>
        <w:r w:rsidR="00C93174">
          <w:rPr>
            <w:noProof/>
            <w:webHidden/>
          </w:rPr>
          <w:tab/>
        </w:r>
        <w:r w:rsidR="00C93174">
          <w:rPr>
            <w:noProof/>
            <w:webHidden/>
          </w:rPr>
          <w:fldChar w:fldCharType="begin"/>
        </w:r>
        <w:r w:rsidR="00C93174">
          <w:rPr>
            <w:noProof/>
            <w:webHidden/>
          </w:rPr>
          <w:instrText xml:space="preserve"> PAGEREF _Toc173428950 \h </w:instrText>
        </w:r>
        <w:r w:rsidR="00C93174">
          <w:rPr>
            <w:noProof/>
            <w:webHidden/>
          </w:rPr>
        </w:r>
        <w:r w:rsidR="00C93174">
          <w:rPr>
            <w:noProof/>
            <w:webHidden/>
          </w:rPr>
          <w:fldChar w:fldCharType="separate"/>
        </w:r>
        <w:r w:rsidR="001377BE">
          <w:rPr>
            <w:noProof/>
            <w:webHidden/>
          </w:rPr>
          <w:t>112</w:t>
        </w:r>
        <w:r w:rsidR="00C93174">
          <w:rPr>
            <w:noProof/>
            <w:webHidden/>
          </w:rPr>
          <w:fldChar w:fldCharType="end"/>
        </w:r>
      </w:hyperlink>
    </w:p>
    <w:p w14:paraId="6CF7D84C" w14:textId="1127EB84"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1" w:history="1">
        <w:r w:rsidR="00C93174" w:rsidRPr="00E50023">
          <w:rPr>
            <w:rStyle w:val="Hyperlink"/>
            <w:noProof/>
          </w:rPr>
          <w:t>Chart 4.19: Number of building approvals, by value of building work, 2018-19 to 2022-23</w:t>
        </w:r>
        <w:r w:rsidR="00C93174">
          <w:rPr>
            <w:noProof/>
            <w:webHidden/>
          </w:rPr>
          <w:tab/>
        </w:r>
        <w:r w:rsidR="00C93174">
          <w:rPr>
            <w:noProof/>
            <w:webHidden/>
          </w:rPr>
          <w:fldChar w:fldCharType="begin"/>
        </w:r>
        <w:r w:rsidR="00C93174">
          <w:rPr>
            <w:noProof/>
            <w:webHidden/>
          </w:rPr>
          <w:instrText xml:space="preserve"> PAGEREF _Toc173428951 \h </w:instrText>
        </w:r>
        <w:r w:rsidR="00C93174">
          <w:rPr>
            <w:noProof/>
            <w:webHidden/>
          </w:rPr>
        </w:r>
        <w:r w:rsidR="00C93174">
          <w:rPr>
            <w:noProof/>
            <w:webHidden/>
          </w:rPr>
          <w:fldChar w:fldCharType="separate"/>
        </w:r>
        <w:r w:rsidR="001377BE">
          <w:rPr>
            <w:noProof/>
            <w:webHidden/>
          </w:rPr>
          <w:t>113</w:t>
        </w:r>
        <w:r w:rsidR="00C93174">
          <w:rPr>
            <w:noProof/>
            <w:webHidden/>
          </w:rPr>
          <w:fldChar w:fldCharType="end"/>
        </w:r>
      </w:hyperlink>
    </w:p>
    <w:p w14:paraId="7B31D3F1" w14:textId="10FF1D3C"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2" w:history="1">
        <w:r w:rsidR="00C93174" w:rsidRPr="00E50023">
          <w:rPr>
            <w:rStyle w:val="Hyperlink"/>
            <w:noProof/>
          </w:rPr>
          <w:t>Chart 5.1: Providers of CHSP, by ownership type, 2018-19 to 2022-23</w:t>
        </w:r>
        <w:r w:rsidR="00C93174">
          <w:rPr>
            <w:noProof/>
            <w:webHidden/>
          </w:rPr>
          <w:tab/>
        </w:r>
        <w:r w:rsidR="00C93174">
          <w:rPr>
            <w:noProof/>
            <w:webHidden/>
          </w:rPr>
          <w:fldChar w:fldCharType="begin"/>
        </w:r>
        <w:r w:rsidR="00C93174">
          <w:rPr>
            <w:noProof/>
            <w:webHidden/>
          </w:rPr>
          <w:instrText xml:space="preserve"> PAGEREF _Toc173428952 \h </w:instrText>
        </w:r>
        <w:r w:rsidR="00C93174">
          <w:rPr>
            <w:noProof/>
            <w:webHidden/>
          </w:rPr>
        </w:r>
        <w:r w:rsidR="00C93174">
          <w:rPr>
            <w:noProof/>
            <w:webHidden/>
          </w:rPr>
          <w:fldChar w:fldCharType="separate"/>
        </w:r>
        <w:r w:rsidR="001377BE">
          <w:rPr>
            <w:noProof/>
            <w:webHidden/>
          </w:rPr>
          <w:t>116</w:t>
        </w:r>
        <w:r w:rsidR="00C93174">
          <w:rPr>
            <w:noProof/>
            <w:webHidden/>
          </w:rPr>
          <w:fldChar w:fldCharType="end"/>
        </w:r>
      </w:hyperlink>
    </w:p>
    <w:p w14:paraId="419CB9F7" w14:textId="0056C5B0"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3" w:history="1">
        <w:r w:rsidR="00C93174" w:rsidRPr="00E50023">
          <w:rPr>
            <w:rStyle w:val="Hyperlink"/>
            <w:noProof/>
          </w:rPr>
          <w:t>Chart 5.2: Australian Government expenditure and budgeted expenditure for service delivery of CHSP, 2019-20 to 2024-25</w:t>
        </w:r>
        <w:r w:rsidR="00C93174">
          <w:rPr>
            <w:noProof/>
            <w:webHidden/>
          </w:rPr>
          <w:tab/>
        </w:r>
        <w:r w:rsidR="00C93174">
          <w:rPr>
            <w:noProof/>
            <w:webHidden/>
          </w:rPr>
          <w:fldChar w:fldCharType="begin"/>
        </w:r>
        <w:r w:rsidR="00C93174">
          <w:rPr>
            <w:noProof/>
            <w:webHidden/>
          </w:rPr>
          <w:instrText xml:space="preserve"> PAGEREF _Toc173428953 \h </w:instrText>
        </w:r>
        <w:r w:rsidR="00C93174">
          <w:rPr>
            <w:noProof/>
            <w:webHidden/>
          </w:rPr>
        </w:r>
        <w:r w:rsidR="00C93174">
          <w:rPr>
            <w:noProof/>
            <w:webHidden/>
          </w:rPr>
          <w:fldChar w:fldCharType="separate"/>
        </w:r>
        <w:r w:rsidR="001377BE">
          <w:rPr>
            <w:noProof/>
            <w:webHidden/>
          </w:rPr>
          <w:t>117</w:t>
        </w:r>
        <w:r w:rsidR="00C93174">
          <w:rPr>
            <w:noProof/>
            <w:webHidden/>
          </w:rPr>
          <w:fldChar w:fldCharType="end"/>
        </w:r>
      </w:hyperlink>
    </w:p>
    <w:p w14:paraId="3497047C" w14:textId="14EE79F5"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4" w:history="1">
        <w:r w:rsidR="00C93174" w:rsidRPr="00E50023">
          <w:rPr>
            <w:rStyle w:val="Hyperlink"/>
            <w:noProof/>
          </w:rPr>
          <w:t>Chart 6.1: Number of people aged 70 years and over, by 5 year age cohort, 2023 to 2043</w:t>
        </w:r>
        <w:r w:rsidR="00C93174">
          <w:rPr>
            <w:noProof/>
            <w:webHidden/>
          </w:rPr>
          <w:tab/>
        </w:r>
        <w:r w:rsidR="00C93174">
          <w:rPr>
            <w:noProof/>
            <w:webHidden/>
          </w:rPr>
          <w:fldChar w:fldCharType="begin"/>
        </w:r>
        <w:r w:rsidR="00C93174">
          <w:rPr>
            <w:noProof/>
            <w:webHidden/>
          </w:rPr>
          <w:instrText xml:space="preserve"> PAGEREF _Toc173428954 \h </w:instrText>
        </w:r>
        <w:r w:rsidR="00C93174">
          <w:rPr>
            <w:noProof/>
            <w:webHidden/>
          </w:rPr>
        </w:r>
        <w:r w:rsidR="00C93174">
          <w:rPr>
            <w:noProof/>
            <w:webHidden/>
          </w:rPr>
          <w:fldChar w:fldCharType="separate"/>
        </w:r>
        <w:r w:rsidR="001377BE">
          <w:rPr>
            <w:noProof/>
            <w:webHidden/>
          </w:rPr>
          <w:t>121</w:t>
        </w:r>
        <w:r w:rsidR="00C93174">
          <w:rPr>
            <w:noProof/>
            <w:webHidden/>
          </w:rPr>
          <w:fldChar w:fldCharType="end"/>
        </w:r>
      </w:hyperlink>
    </w:p>
    <w:p w14:paraId="2093D507" w14:textId="1A859F2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5" w:history="1">
        <w:r w:rsidR="00C93174" w:rsidRPr="00E50023">
          <w:rPr>
            <w:rStyle w:val="Hyperlink"/>
            <w:noProof/>
          </w:rPr>
          <w:t>Chart 6.2: Proportion of the 70 years and over age group aged 85 and over, 2023 to 2043</w:t>
        </w:r>
        <w:r w:rsidR="00C93174">
          <w:rPr>
            <w:noProof/>
            <w:webHidden/>
          </w:rPr>
          <w:tab/>
        </w:r>
        <w:r w:rsidR="00C93174">
          <w:rPr>
            <w:noProof/>
            <w:webHidden/>
          </w:rPr>
          <w:fldChar w:fldCharType="begin"/>
        </w:r>
        <w:r w:rsidR="00C93174">
          <w:rPr>
            <w:noProof/>
            <w:webHidden/>
          </w:rPr>
          <w:instrText xml:space="preserve"> PAGEREF _Toc173428955 \h </w:instrText>
        </w:r>
        <w:r w:rsidR="00C93174">
          <w:rPr>
            <w:noProof/>
            <w:webHidden/>
          </w:rPr>
        </w:r>
        <w:r w:rsidR="00C93174">
          <w:rPr>
            <w:noProof/>
            <w:webHidden/>
          </w:rPr>
          <w:fldChar w:fldCharType="separate"/>
        </w:r>
        <w:r w:rsidR="001377BE">
          <w:rPr>
            <w:noProof/>
            <w:webHidden/>
          </w:rPr>
          <w:t>122</w:t>
        </w:r>
        <w:r w:rsidR="00C93174">
          <w:rPr>
            <w:noProof/>
            <w:webHidden/>
          </w:rPr>
          <w:fldChar w:fldCharType="end"/>
        </w:r>
      </w:hyperlink>
    </w:p>
    <w:p w14:paraId="6260280F" w14:textId="458CE9C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6" w:history="1">
        <w:r w:rsidR="00C93174" w:rsidRPr="00E50023">
          <w:rPr>
            <w:rStyle w:val="Hyperlink"/>
            <w:noProof/>
          </w:rPr>
          <w:t>Chart 6.3: Proportion of females of each age using residential care and home care, 30 June 2023</w:t>
        </w:r>
        <w:r w:rsidR="00C93174">
          <w:rPr>
            <w:noProof/>
            <w:webHidden/>
          </w:rPr>
          <w:tab/>
        </w:r>
        <w:r w:rsidR="00C93174">
          <w:rPr>
            <w:noProof/>
            <w:webHidden/>
          </w:rPr>
          <w:fldChar w:fldCharType="begin"/>
        </w:r>
        <w:r w:rsidR="00C93174">
          <w:rPr>
            <w:noProof/>
            <w:webHidden/>
          </w:rPr>
          <w:instrText xml:space="preserve"> PAGEREF _Toc173428956 \h </w:instrText>
        </w:r>
        <w:r w:rsidR="00C93174">
          <w:rPr>
            <w:noProof/>
            <w:webHidden/>
          </w:rPr>
        </w:r>
        <w:r w:rsidR="00C93174">
          <w:rPr>
            <w:noProof/>
            <w:webHidden/>
          </w:rPr>
          <w:fldChar w:fldCharType="separate"/>
        </w:r>
        <w:r w:rsidR="001377BE">
          <w:rPr>
            <w:noProof/>
            <w:webHidden/>
          </w:rPr>
          <w:t>123</w:t>
        </w:r>
        <w:r w:rsidR="00C93174">
          <w:rPr>
            <w:noProof/>
            <w:webHidden/>
          </w:rPr>
          <w:fldChar w:fldCharType="end"/>
        </w:r>
      </w:hyperlink>
    </w:p>
    <w:p w14:paraId="1DEDC256" w14:textId="495ADBAE"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7" w:history="1">
        <w:r w:rsidR="00C93174" w:rsidRPr="00E50023">
          <w:rPr>
            <w:rStyle w:val="Hyperlink"/>
            <w:noProof/>
          </w:rPr>
          <w:t>Chart 6.4: Proportion of males of each age using residential care and home care, 30 June 2023</w:t>
        </w:r>
        <w:r w:rsidR="00C93174">
          <w:rPr>
            <w:noProof/>
            <w:webHidden/>
          </w:rPr>
          <w:tab/>
        </w:r>
        <w:r w:rsidR="00C93174">
          <w:rPr>
            <w:noProof/>
            <w:webHidden/>
          </w:rPr>
          <w:fldChar w:fldCharType="begin"/>
        </w:r>
        <w:r w:rsidR="00C93174">
          <w:rPr>
            <w:noProof/>
            <w:webHidden/>
          </w:rPr>
          <w:instrText xml:space="preserve"> PAGEREF _Toc173428957 \h </w:instrText>
        </w:r>
        <w:r w:rsidR="00C93174">
          <w:rPr>
            <w:noProof/>
            <w:webHidden/>
          </w:rPr>
        </w:r>
        <w:r w:rsidR="00C93174">
          <w:rPr>
            <w:noProof/>
            <w:webHidden/>
          </w:rPr>
          <w:fldChar w:fldCharType="separate"/>
        </w:r>
        <w:r w:rsidR="001377BE">
          <w:rPr>
            <w:noProof/>
            <w:webHidden/>
          </w:rPr>
          <w:t>124</w:t>
        </w:r>
        <w:r w:rsidR="00C93174">
          <w:rPr>
            <w:noProof/>
            <w:webHidden/>
          </w:rPr>
          <w:fldChar w:fldCharType="end"/>
        </w:r>
      </w:hyperlink>
    </w:p>
    <w:p w14:paraId="45450C86" w14:textId="4F9119F7"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8" w:history="1">
        <w:r w:rsidR="00C93174" w:rsidRPr="00E50023">
          <w:rPr>
            <w:rStyle w:val="Hyperlink"/>
            <w:noProof/>
          </w:rPr>
          <w:t>Chart 6.5: Utilisation of residential care and home care, 70 to 99 year olds, by gender, 2003 to 2023 (Please take note of the vertical axis percentage scale changes for each of the charts. The changes have been made to make the data more readable).</w:t>
        </w:r>
        <w:r w:rsidR="00C93174">
          <w:rPr>
            <w:noProof/>
            <w:webHidden/>
          </w:rPr>
          <w:tab/>
        </w:r>
        <w:r w:rsidR="00C93174">
          <w:rPr>
            <w:noProof/>
            <w:webHidden/>
          </w:rPr>
          <w:fldChar w:fldCharType="begin"/>
        </w:r>
        <w:r w:rsidR="00C93174">
          <w:rPr>
            <w:noProof/>
            <w:webHidden/>
          </w:rPr>
          <w:instrText xml:space="preserve"> PAGEREF _Toc173428958 \h </w:instrText>
        </w:r>
        <w:r w:rsidR="00C93174">
          <w:rPr>
            <w:noProof/>
            <w:webHidden/>
          </w:rPr>
        </w:r>
        <w:r w:rsidR="00C93174">
          <w:rPr>
            <w:noProof/>
            <w:webHidden/>
          </w:rPr>
          <w:fldChar w:fldCharType="separate"/>
        </w:r>
        <w:r w:rsidR="001377BE">
          <w:rPr>
            <w:noProof/>
            <w:webHidden/>
          </w:rPr>
          <w:t>125</w:t>
        </w:r>
        <w:r w:rsidR="00C93174">
          <w:rPr>
            <w:noProof/>
            <w:webHidden/>
          </w:rPr>
          <w:fldChar w:fldCharType="end"/>
        </w:r>
      </w:hyperlink>
    </w:p>
    <w:p w14:paraId="04FE3BC3" w14:textId="2213A0DA"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59" w:history="1">
        <w:r w:rsidR="00C93174" w:rsidRPr="00E50023">
          <w:rPr>
            <w:rStyle w:val="Hyperlink"/>
            <w:noProof/>
          </w:rPr>
          <w:t>Chart 6.6: Projected demand for residential care places, 2023 to 2043</w:t>
        </w:r>
        <w:r w:rsidR="00C93174">
          <w:rPr>
            <w:noProof/>
            <w:webHidden/>
          </w:rPr>
          <w:tab/>
        </w:r>
        <w:r w:rsidR="00C93174">
          <w:rPr>
            <w:noProof/>
            <w:webHidden/>
          </w:rPr>
          <w:fldChar w:fldCharType="begin"/>
        </w:r>
        <w:r w:rsidR="00C93174">
          <w:rPr>
            <w:noProof/>
            <w:webHidden/>
          </w:rPr>
          <w:instrText xml:space="preserve"> PAGEREF _Toc173428959 \h </w:instrText>
        </w:r>
        <w:r w:rsidR="00C93174">
          <w:rPr>
            <w:noProof/>
            <w:webHidden/>
          </w:rPr>
        </w:r>
        <w:r w:rsidR="00C93174">
          <w:rPr>
            <w:noProof/>
            <w:webHidden/>
          </w:rPr>
          <w:fldChar w:fldCharType="separate"/>
        </w:r>
        <w:r w:rsidR="001377BE">
          <w:rPr>
            <w:noProof/>
            <w:webHidden/>
          </w:rPr>
          <w:t>127</w:t>
        </w:r>
        <w:r w:rsidR="00C93174">
          <w:rPr>
            <w:noProof/>
            <w:webHidden/>
          </w:rPr>
          <w:fldChar w:fldCharType="end"/>
        </w:r>
      </w:hyperlink>
    </w:p>
    <w:p w14:paraId="28475B78" w14:textId="579101F6"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60" w:history="1">
        <w:r w:rsidR="00C93174" w:rsidRPr="00E50023">
          <w:rPr>
            <w:rStyle w:val="Hyperlink"/>
            <w:noProof/>
          </w:rPr>
          <w:t>Chart 6.7: Projected demand for in home aged care, 2023 to 2043</w:t>
        </w:r>
        <w:r w:rsidR="00C93174">
          <w:rPr>
            <w:noProof/>
            <w:webHidden/>
          </w:rPr>
          <w:tab/>
        </w:r>
        <w:r w:rsidR="00C93174">
          <w:rPr>
            <w:noProof/>
            <w:webHidden/>
          </w:rPr>
          <w:fldChar w:fldCharType="begin"/>
        </w:r>
        <w:r w:rsidR="00C93174">
          <w:rPr>
            <w:noProof/>
            <w:webHidden/>
          </w:rPr>
          <w:instrText xml:space="preserve"> PAGEREF _Toc173428960 \h </w:instrText>
        </w:r>
        <w:r w:rsidR="00C93174">
          <w:rPr>
            <w:noProof/>
            <w:webHidden/>
          </w:rPr>
        </w:r>
        <w:r w:rsidR="00C93174">
          <w:rPr>
            <w:noProof/>
            <w:webHidden/>
          </w:rPr>
          <w:fldChar w:fldCharType="separate"/>
        </w:r>
        <w:r w:rsidR="001377BE">
          <w:rPr>
            <w:noProof/>
            <w:webHidden/>
          </w:rPr>
          <w:t>128</w:t>
        </w:r>
        <w:r w:rsidR="00C93174">
          <w:rPr>
            <w:noProof/>
            <w:webHidden/>
          </w:rPr>
          <w:fldChar w:fldCharType="end"/>
        </w:r>
      </w:hyperlink>
    </w:p>
    <w:p w14:paraId="5EB13816" w14:textId="548CC3D7" w:rsidR="00401168" w:rsidRDefault="00401168" w:rsidP="00706D0A">
      <w:r>
        <w:fldChar w:fldCharType="end"/>
      </w:r>
    </w:p>
    <w:p w14:paraId="4FC17D88" w14:textId="77777777" w:rsidR="00401168" w:rsidRPr="009F4CA9" w:rsidRDefault="00401168" w:rsidP="00525FE2">
      <w:pPr>
        <w:rPr>
          <w:bCs w:val="0"/>
          <w:szCs w:val="28"/>
        </w:rPr>
      </w:pPr>
      <w:r w:rsidRPr="00525FE2">
        <w:rPr>
          <w:b/>
          <w:bCs w:val="0"/>
          <w:sz w:val="28"/>
          <w:szCs w:val="28"/>
        </w:rPr>
        <w:t xml:space="preserve">Figures </w:t>
      </w:r>
    </w:p>
    <w:p w14:paraId="6A57DB7F" w14:textId="6E2C6129" w:rsidR="00C93174" w:rsidRDefault="00401168">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r>
        <w:fldChar w:fldCharType="begin"/>
      </w:r>
      <w:r>
        <w:instrText xml:space="preserve"> TOC \h \z \c "Figure" </w:instrText>
      </w:r>
      <w:r>
        <w:fldChar w:fldCharType="separate"/>
      </w:r>
      <w:hyperlink w:anchor="_Toc173428961" w:history="1">
        <w:r w:rsidR="00C93174" w:rsidRPr="00F57AF4">
          <w:rPr>
            <w:rStyle w:val="Hyperlink"/>
            <w:noProof/>
          </w:rPr>
          <w:t>Figure 3.1: Operational funding types for residential care services</w:t>
        </w:r>
        <w:r w:rsidR="00C93174">
          <w:rPr>
            <w:noProof/>
            <w:webHidden/>
          </w:rPr>
          <w:tab/>
        </w:r>
        <w:r w:rsidR="00C93174">
          <w:rPr>
            <w:noProof/>
            <w:webHidden/>
          </w:rPr>
          <w:fldChar w:fldCharType="begin"/>
        </w:r>
        <w:r w:rsidR="00C93174">
          <w:rPr>
            <w:noProof/>
            <w:webHidden/>
          </w:rPr>
          <w:instrText xml:space="preserve"> PAGEREF _Toc173428961 \h </w:instrText>
        </w:r>
        <w:r w:rsidR="00C93174">
          <w:rPr>
            <w:noProof/>
            <w:webHidden/>
          </w:rPr>
        </w:r>
        <w:r w:rsidR="00C93174">
          <w:rPr>
            <w:noProof/>
            <w:webHidden/>
          </w:rPr>
          <w:fldChar w:fldCharType="separate"/>
        </w:r>
        <w:r w:rsidR="001377BE">
          <w:rPr>
            <w:noProof/>
            <w:webHidden/>
          </w:rPr>
          <w:t>58</w:t>
        </w:r>
        <w:r w:rsidR="00C93174">
          <w:rPr>
            <w:noProof/>
            <w:webHidden/>
          </w:rPr>
          <w:fldChar w:fldCharType="end"/>
        </w:r>
      </w:hyperlink>
    </w:p>
    <w:p w14:paraId="478C838F" w14:textId="69D043A8" w:rsidR="00C93174" w:rsidRDefault="00902212">
      <w:pPr>
        <w:pStyle w:val="TableofFigures"/>
        <w:tabs>
          <w:tab w:val="right" w:leader="dot" w:pos="9060"/>
        </w:tabs>
        <w:rPr>
          <w:rFonts w:asciiTheme="minorHAnsi" w:eastAsiaTheme="minorEastAsia" w:hAnsiTheme="minorHAnsi" w:cstheme="minorBidi"/>
          <w:bCs w:val="0"/>
          <w:noProof/>
          <w:color w:val="auto"/>
          <w:kern w:val="2"/>
          <w:sz w:val="22"/>
          <w:szCs w:val="22"/>
          <w:lang w:eastAsia="en-AU"/>
          <w14:ligatures w14:val="standardContextual"/>
        </w:rPr>
      </w:pPr>
      <w:hyperlink w:anchor="_Toc173428962" w:history="1">
        <w:r w:rsidR="00C93174" w:rsidRPr="00F57AF4">
          <w:rPr>
            <w:rStyle w:val="Hyperlink"/>
            <w:noProof/>
          </w:rPr>
          <w:t xml:space="preserve">Figure 3.2: Summary of financial performance, income and expense category comparison, per resident per day, all providers, 2022-23 </w:t>
        </w:r>
        <w:r w:rsidR="00C93174">
          <w:rPr>
            <w:noProof/>
            <w:webHidden/>
          </w:rPr>
          <w:tab/>
        </w:r>
        <w:r w:rsidR="00C93174">
          <w:rPr>
            <w:noProof/>
            <w:webHidden/>
          </w:rPr>
          <w:fldChar w:fldCharType="begin"/>
        </w:r>
        <w:r w:rsidR="00C93174">
          <w:rPr>
            <w:noProof/>
            <w:webHidden/>
          </w:rPr>
          <w:instrText xml:space="preserve"> PAGEREF _Toc173428962 \h </w:instrText>
        </w:r>
        <w:r w:rsidR="00C93174">
          <w:rPr>
            <w:noProof/>
            <w:webHidden/>
          </w:rPr>
        </w:r>
        <w:r w:rsidR="00C93174">
          <w:rPr>
            <w:noProof/>
            <w:webHidden/>
          </w:rPr>
          <w:fldChar w:fldCharType="separate"/>
        </w:r>
        <w:r w:rsidR="001377BE">
          <w:rPr>
            <w:noProof/>
            <w:webHidden/>
          </w:rPr>
          <w:t>65</w:t>
        </w:r>
        <w:r w:rsidR="00C93174">
          <w:rPr>
            <w:noProof/>
            <w:webHidden/>
          </w:rPr>
          <w:fldChar w:fldCharType="end"/>
        </w:r>
      </w:hyperlink>
    </w:p>
    <w:p w14:paraId="19107A03" w14:textId="749FD86B" w:rsidR="0046425D" w:rsidRDefault="00401168" w:rsidP="00706D0A">
      <w:pPr>
        <w:sectPr w:rsidR="0046425D" w:rsidSect="00B92B4E">
          <w:headerReference w:type="even" r:id="rId143"/>
          <w:headerReference w:type="default" r:id="rId144"/>
          <w:footerReference w:type="even" r:id="rId145"/>
          <w:footerReference w:type="default" r:id="rId146"/>
          <w:headerReference w:type="first" r:id="rId147"/>
          <w:pgSz w:w="11906" w:h="16838"/>
          <w:pgMar w:top="1701" w:right="1418" w:bottom="1418" w:left="1418" w:header="709" w:footer="709" w:gutter="0"/>
          <w:cols w:space="708"/>
          <w:docGrid w:linePitch="360"/>
        </w:sectPr>
      </w:pPr>
      <w:r>
        <w:fldChar w:fldCharType="end"/>
      </w:r>
    </w:p>
    <w:p w14:paraId="7D664BB4" w14:textId="6964089F" w:rsidR="00590338" w:rsidRPr="00053EB3" w:rsidRDefault="00590338" w:rsidP="00053EB3">
      <w:pPr>
        <w:rPr>
          <w:b/>
          <w:bCs w:val="0"/>
          <w:sz w:val="36"/>
          <w:szCs w:val="36"/>
        </w:rPr>
      </w:pPr>
      <w:r w:rsidRPr="00053EB3">
        <w:rPr>
          <w:b/>
          <w:bCs w:val="0"/>
          <w:sz w:val="36"/>
          <w:szCs w:val="36"/>
        </w:rPr>
        <w:t xml:space="preserve">Previous FRAACS and feedback </w:t>
      </w:r>
    </w:p>
    <w:p w14:paraId="20B60C89" w14:textId="31B059F7" w:rsidR="00ED02A6" w:rsidRDefault="00590338" w:rsidP="00706D0A">
      <w:pPr>
        <w:rPr>
          <w:rStyle w:val="Hyperlink"/>
        </w:rPr>
      </w:pPr>
      <w:r>
        <w:t>The</w:t>
      </w:r>
      <w:r w:rsidR="00B47AEE">
        <w:t xml:space="preserve"> previous</w:t>
      </w:r>
      <w:r>
        <w:t xml:space="preserve"> </w:t>
      </w:r>
      <w:hyperlink r:id="rId148" w:anchor="financial-report-on-the-australian-aged-care-sector" w:history="1">
        <w:r w:rsidR="00B47AEE" w:rsidRPr="008D6FCE">
          <w:rPr>
            <w:rStyle w:val="Hyperlink"/>
          </w:rPr>
          <w:t>FRAACS</w:t>
        </w:r>
      </w:hyperlink>
      <w:r>
        <w:t xml:space="preserve"> reports are available on the department’s website. The </w:t>
      </w:r>
      <w:r w:rsidR="00B47AEE">
        <w:t>FRAACS</w:t>
      </w:r>
      <w:r>
        <w:t xml:space="preserve"> will evolve over time, and the department is committed to working with the sector to inform future publications. Feedback is welcome and should be directed to </w:t>
      </w:r>
      <w:hyperlink r:id="rId149" w:history="1">
        <w:r w:rsidRPr="001B50F1">
          <w:rPr>
            <w:rStyle w:val="Hyperlink"/>
          </w:rPr>
          <w:t>agedcaremarket@health.gov.au</w:t>
        </w:r>
      </w:hyperlink>
    </w:p>
    <w:sectPr w:rsidR="00ED02A6" w:rsidSect="0081488F">
      <w:headerReference w:type="even" r:id="rId150"/>
      <w:headerReference w:type="default" r:id="rId151"/>
      <w:footerReference w:type="even" r:id="rId152"/>
      <w:footerReference w:type="default" r:id="rId153"/>
      <w:headerReference w:type="first" r:id="rId154"/>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D77A89" w14:textId="77777777" w:rsidR="00AF3EB9" w:rsidRDefault="00AF3EB9" w:rsidP="00706D0A">
      <w:r>
        <w:separator/>
      </w:r>
    </w:p>
    <w:p w14:paraId="0A84BE8D" w14:textId="77777777" w:rsidR="00AF3EB9" w:rsidRDefault="00AF3EB9" w:rsidP="00706D0A"/>
  </w:endnote>
  <w:endnote w:type="continuationSeparator" w:id="0">
    <w:p w14:paraId="022C2266" w14:textId="77777777" w:rsidR="00AF3EB9" w:rsidRDefault="00AF3EB9" w:rsidP="00706D0A">
      <w:r>
        <w:continuationSeparator/>
      </w:r>
    </w:p>
    <w:p w14:paraId="72305B40" w14:textId="77777777" w:rsidR="00AF3EB9" w:rsidRDefault="00AF3EB9" w:rsidP="00706D0A"/>
  </w:endnote>
  <w:endnote w:type="continuationNotice" w:id="1">
    <w:p w14:paraId="08770BC6" w14:textId="77777777" w:rsidR="00AF3EB9" w:rsidRDefault="00AF3EB9" w:rsidP="00706D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Minion Pro">
    <w:panose1 w:val="02040503050306020203"/>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Degular">
    <w:altName w:val="Cambria"/>
    <w:charset w:val="00"/>
    <w:family w:val="roman"/>
    <w:pitch w:val="variable"/>
  </w:font>
  <w:font w:name="Segoe UI">
    <w:panose1 w:val="020B0502040204020203"/>
    <w:charset w:val="00"/>
    <w:family w:val="swiss"/>
    <w:pitch w:val="variable"/>
    <w:sig w:usb0="E4002EFF" w:usb1="C000E47F" w:usb2="00000009" w:usb3="00000000" w:csb0="000001F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118F1" w14:textId="5BB395E3"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A818E9">
      <w:rPr>
        <w:sz w:val="21"/>
        <w:szCs w:val="21"/>
      </w:rPr>
      <w:t>Financial Report on the Australian Aged Care Sector 2022-23</w:t>
    </w:r>
    <w:r w:rsidRPr="009B5601">
      <w:rPr>
        <w:color w:val="1E1545" w:themeColor="text1"/>
        <w:sz w:val="21"/>
        <w:szCs w:val="21"/>
      </w:rPr>
      <w:t xml:space="preserve"> |</w:t>
    </w:r>
    <w:r w:rsidR="00377C6D">
      <w:rPr>
        <w:sz w:val="21"/>
        <w:szCs w:val="21"/>
      </w:rPr>
      <w:t xml:space="preserve"> </w:t>
    </w:r>
    <w:r w:rsidR="00B92B4E">
      <w:rPr>
        <w:sz w:val="21"/>
        <w:szCs w:val="21"/>
      </w:rPr>
      <w:t>Contents and introduction</w:t>
    </w:r>
    <w:r w:rsidR="00312715">
      <w:rPr>
        <w:sz w:val="21"/>
        <w:szCs w:val="21"/>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9015195"/>
      <w:docPartObj>
        <w:docPartGallery w:val="Page Numbers (Bottom of Page)"/>
        <w:docPartUnique/>
      </w:docPartObj>
    </w:sdtPr>
    <w:sdtEndPr>
      <w:rPr>
        <w:noProof/>
      </w:rPr>
    </w:sdtEndPr>
    <w:sdtContent>
      <w:p w14:paraId="4B47D7C3" w14:textId="77777777" w:rsidR="0023614F" w:rsidRDefault="0023614F"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Chapter 4 Residential care</w:t>
        </w:r>
        <w:r>
          <w:t xml:space="preserve"> </w:t>
        </w:r>
        <w:r>
          <w:fldChar w:fldCharType="begin"/>
        </w:r>
        <w:r>
          <w:instrText xml:space="preserve"> PAGE   \* MERGEFORMAT </w:instrText>
        </w:r>
        <w:r>
          <w:fldChar w:fldCharType="separate"/>
        </w:r>
        <w:r>
          <w:rPr>
            <w:noProof/>
          </w:rPr>
          <w:t>2</w:t>
        </w:r>
        <w:r>
          <w:rPr>
            <w:noProof/>
          </w:rPr>
          <w:fldChar w:fldCharType="end"/>
        </w:r>
      </w:p>
    </w:sdtContent>
  </w:sdt>
  <w:p w14:paraId="1E2D2CEF" w14:textId="77777777" w:rsidR="0023614F" w:rsidRDefault="0023614F">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4785138"/>
      <w:docPartObj>
        <w:docPartGallery w:val="Page Numbers (Bottom of Page)"/>
        <w:docPartUnique/>
      </w:docPartObj>
    </w:sdtPr>
    <w:sdtEndPr>
      <w:rPr>
        <w:noProof/>
      </w:rPr>
    </w:sdtEndPr>
    <w:sdtContent>
      <w:p w14:paraId="0C4048AC" w14:textId="5CA94AC0" w:rsidR="00B92B4E" w:rsidRDefault="00B92B4E"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Chapter 5 CHSP</w:t>
        </w:r>
        <w:r>
          <w:t xml:space="preserve"> </w:t>
        </w:r>
        <w:r>
          <w:fldChar w:fldCharType="begin"/>
        </w:r>
        <w:r>
          <w:instrText xml:space="preserve"> PAGE   \* MERGEFORMAT </w:instrText>
        </w:r>
        <w:r>
          <w:fldChar w:fldCharType="separate"/>
        </w:r>
        <w:r>
          <w:rPr>
            <w:noProof/>
          </w:rPr>
          <w:t>2</w:t>
        </w:r>
        <w:r>
          <w:rPr>
            <w:noProof/>
          </w:rPr>
          <w:fldChar w:fldCharType="end"/>
        </w:r>
      </w:p>
    </w:sdtContent>
  </w:sdt>
  <w:p w14:paraId="1930B8BE" w14:textId="77777777" w:rsidR="00B92B4E" w:rsidRDefault="00B92B4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68E87" w14:textId="699A52EF" w:rsidR="00B92B4E" w:rsidRPr="00386805" w:rsidRDefault="00B92B4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 2022-23</w:t>
    </w:r>
    <w:r w:rsidRPr="009B5601">
      <w:rPr>
        <w:color w:val="1E1545" w:themeColor="text1"/>
        <w:sz w:val="21"/>
        <w:szCs w:val="21"/>
      </w:rPr>
      <w:t xml:space="preserve"> |</w:t>
    </w:r>
    <w:r>
      <w:rPr>
        <w:sz w:val="21"/>
        <w:szCs w:val="21"/>
      </w:rPr>
      <w:t xml:space="preserve"> </w:t>
    </w:r>
    <w:r w:rsidR="00B41226">
      <w:rPr>
        <w:sz w:val="21"/>
        <w:szCs w:val="21"/>
      </w:rPr>
      <w:t>Appendices</w:t>
    </w:r>
    <w:r>
      <w:rPr>
        <w:sz w:val="21"/>
        <w:szCs w:val="21"/>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7361883"/>
      <w:docPartObj>
        <w:docPartGallery w:val="Page Numbers (Bottom of Page)"/>
        <w:docPartUnique/>
      </w:docPartObj>
    </w:sdtPr>
    <w:sdtEndPr>
      <w:rPr>
        <w:noProof/>
      </w:rPr>
    </w:sdtEndPr>
    <w:sdtContent>
      <w:p w14:paraId="76537EFE" w14:textId="34E05815" w:rsidR="00B92B4E" w:rsidRDefault="00B92B4E" w:rsidP="00377C6D">
        <w:pPr>
          <w:pStyle w:val="Footer"/>
        </w:pPr>
        <w:r>
          <w:rPr>
            <w:sz w:val="21"/>
            <w:szCs w:val="21"/>
          </w:rPr>
          <w:t>Financial Report on the Australian Aged Care Sector 2022-23</w:t>
        </w:r>
        <w:r w:rsidRPr="009B5601">
          <w:rPr>
            <w:color w:val="1E1545" w:themeColor="text1"/>
            <w:sz w:val="21"/>
            <w:szCs w:val="21"/>
          </w:rPr>
          <w:t xml:space="preserve"> | </w:t>
        </w:r>
        <w:r w:rsidR="00AA11F8">
          <w:rPr>
            <w:sz w:val="21"/>
            <w:szCs w:val="21"/>
          </w:rPr>
          <w:t xml:space="preserve">Future demand for aged care </w:t>
        </w:r>
        <w:r>
          <w:fldChar w:fldCharType="begin"/>
        </w:r>
        <w:r>
          <w:instrText xml:space="preserve"> PAGE   \* MERGEFORMAT </w:instrText>
        </w:r>
        <w:r>
          <w:fldChar w:fldCharType="separate"/>
        </w:r>
        <w:r>
          <w:rPr>
            <w:noProof/>
          </w:rPr>
          <w:t>2</w:t>
        </w:r>
        <w:r>
          <w:rPr>
            <w:noProof/>
          </w:rPr>
          <w:fldChar w:fldCharType="end"/>
        </w:r>
      </w:p>
    </w:sdtContent>
  </w:sdt>
  <w:p w14:paraId="7C3BC46A" w14:textId="77777777" w:rsidR="00B92B4E" w:rsidRDefault="00B92B4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3106180"/>
      <w:docPartObj>
        <w:docPartGallery w:val="Page Numbers (Bottom of Page)"/>
        <w:docPartUnique/>
      </w:docPartObj>
    </w:sdtPr>
    <w:sdtEndPr>
      <w:rPr>
        <w:noProof/>
      </w:rPr>
    </w:sdtEndPr>
    <w:sdtContent>
      <w:p w14:paraId="1A442DE1" w14:textId="77777777" w:rsidR="00AA11F8" w:rsidRDefault="00AA11F8"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 xml:space="preserve">Appendices </w:t>
        </w:r>
        <w:r>
          <w:fldChar w:fldCharType="begin"/>
        </w:r>
        <w:r>
          <w:instrText xml:space="preserve"> PAGE   \* MERGEFORMAT </w:instrText>
        </w:r>
        <w:r>
          <w:fldChar w:fldCharType="separate"/>
        </w:r>
        <w:r>
          <w:rPr>
            <w:noProof/>
          </w:rPr>
          <w:t>2</w:t>
        </w:r>
        <w:r>
          <w:rPr>
            <w:noProof/>
          </w:rPr>
          <w:fldChar w:fldCharType="end"/>
        </w:r>
      </w:p>
    </w:sdtContent>
  </w:sdt>
  <w:p w14:paraId="44A0C8C9" w14:textId="77777777" w:rsidR="00AA11F8" w:rsidRDefault="00AA11F8">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3E459" w14:textId="77777777" w:rsidR="00223B2B" w:rsidRPr="00386805" w:rsidRDefault="00223B2B"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 2022-23</w:t>
    </w:r>
    <w:r w:rsidRPr="009B5601">
      <w:rPr>
        <w:color w:val="1E1545" w:themeColor="text1"/>
        <w:sz w:val="21"/>
        <w:szCs w:val="21"/>
      </w:rPr>
      <w:t xml:space="preserve"> |</w:t>
    </w:r>
    <w:r>
      <w:rPr>
        <w:sz w:val="21"/>
        <w:szCs w:val="21"/>
      </w:rPr>
      <w:t xml:space="preserve"> Glossary and index</w:t>
    </w:r>
    <w:r>
      <w:rPr>
        <w:sz w:val="21"/>
        <w:szCs w:val="21"/>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8177014"/>
      <w:docPartObj>
        <w:docPartGallery w:val="Page Numbers (Bottom of Page)"/>
        <w:docPartUnique/>
      </w:docPartObj>
    </w:sdtPr>
    <w:sdtEndPr>
      <w:rPr>
        <w:noProof/>
      </w:rPr>
    </w:sdtEndPr>
    <w:sdtContent>
      <w:p w14:paraId="03FAD3BE" w14:textId="77777777" w:rsidR="00B92B4E" w:rsidRDefault="00B92B4E"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Glossary</w:t>
        </w:r>
        <w:r w:rsidR="000F1D57">
          <w:rPr>
            <w:sz w:val="21"/>
            <w:szCs w:val="21"/>
          </w:rPr>
          <w:t xml:space="preserve"> and index</w:t>
        </w:r>
        <w:r>
          <w:rPr>
            <w:sz w:val="21"/>
            <w:szCs w:val="21"/>
          </w:rPr>
          <w:t xml:space="preserve"> </w:t>
        </w:r>
        <w:r>
          <w:fldChar w:fldCharType="begin"/>
        </w:r>
        <w:r>
          <w:instrText xml:space="preserve"> PAGE   \* MERGEFORMAT </w:instrText>
        </w:r>
        <w:r>
          <w:fldChar w:fldCharType="separate"/>
        </w:r>
        <w:r>
          <w:rPr>
            <w:noProof/>
          </w:rPr>
          <w:t>2</w:t>
        </w:r>
        <w:r>
          <w:rPr>
            <w:noProof/>
          </w:rPr>
          <w:fldChar w:fldCharType="end"/>
        </w:r>
      </w:p>
    </w:sdtContent>
  </w:sdt>
  <w:p w14:paraId="4899D825" w14:textId="77777777" w:rsidR="00B92B4E" w:rsidRDefault="00B92B4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4B12B5B0" w14:textId="77777777" w:rsidTr="005D4A3F">
      <w:tc>
        <w:tcPr>
          <w:tcW w:w="704" w:type="dxa"/>
          <w:tcMar>
            <w:top w:w="113" w:type="dxa"/>
            <w:bottom w:w="113" w:type="dxa"/>
          </w:tcMar>
          <w:vAlign w:val="center"/>
        </w:tcPr>
        <w:p w14:paraId="09120E03" w14:textId="77777777" w:rsidR="00D0690C" w:rsidRDefault="00D0690C" w:rsidP="00706D0A">
          <w:r>
            <w:rPr>
              <w:noProof/>
            </w:rPr>
            <w:drawing>
              <wp:inline distT="0" distB="0" distL="0" distR="0" wp14:anchorId="63B82130" wp14:editId="29DE111F">
                <wp:extent cx="279400" cy="279400"/>
                <wp:effectExtent l="0" t="0" r="0" b="0"/>
                <wp:docPr id="3" name="Picture 3"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4B050A6" w14:textId="77777777" w:rsidR="00D0690C" w:rsidRPr="00D0690C" w:rsidRDefault="00D0690C" w:rsidP="00706D0A">
          <w:r>
            <w:t xml:space="preserve">Phone </w:t>
          </w:r>
          <w:r>
            <w:rPr>
              <w:b/>
            </w:rPr>
            <w:t xml:space="preserve">1800 200 422 </w:t>
          </w:r>
          <w:r>
            <w:rPr>
              <w:b/>
            </w:rPr>
            <w:br/>
          </w:r>
          <w:r>
            <w:t xml:space="preserve">(My Aged Care’s </w:t>
          </w:r>
          <w:proofErr w:type="spellStart"/>
          <w:r>
            <w:t>freecall</w:t>
          </w:r>
          <w:proofErr w:type="spellEnd"/>
          <w:r>
            <w:t xml:space="preserve"> phone line)</w:t>
          </w:r>
        </w:p>
      </w:tc>
    </w:tr>
    <w:tr w:rsidR="00D0690C" w14:paraId="4F958EF8" w14:textId="77777777" w:rsidTr="005D4A3F">
      <w:tc>
        <w:tcPr>
          <w:tcW w:w="704" w:type="dxa"/>
          <w:tcMar>
            <w:top w:w="113" w:type="dxa"/>
            <w:bottom w:w="113" w:type="dxa"/>
          </w:tcMar>
          <w:vAlign w:val="center"/>
        </w:tcPr>
        <w:p w14:paraId="27D1026C" w14:textId="77777777" w:rsidR="00D0690C" w:rsidRDefault="00D0690C" w:rsidP="00706D0A">
          <w:pPr>
            <w:rPr>
              <w:noProof/>
            </w:rPr>
          </w:pPr>
          <w:r>
            <w:rPr>
              <w:noProof/>
            </w:rPr>
            <w:drawing>
              <wp:inline distT="0" distB="0" distL="0" distR="0" wp14:anchorId="47438E34" wp14:editId="05B346B9">
                <wp:extent cx="279400" cy="279400"/>
                <wp:effectExtent l="0" t="0" r="0" b="0"/>
                <wp:docPr id="4" name="Picture 4"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856A8C7" w14:textId="77777777" w:rsidR="00D0690C" w:rsidRDefault="00D0690C" w:rsidP="00706D0A">
          <w:r>
            <w:t xml:space="preserve">Visit </w:t>
          </w:r>
          <w:r w:rsidRPr="00D0690C">
            <w:rPr>
              <w:b/>
            </w:rPr>
            <w:t>agedcareengagement.health.gov.au</w:t>
          </w:r>
        </w:p>
      </w:tc>
    </w:tr>
  </w:tbl>
  <w:p w14:paraId="379A8E2B" w14:textId="77777777" w:rsidR="005D4A3F" w:rsidRDefault="005D4A3F" w:rsidP="00706D0A">
    <w:r>
      <w:t xml:space="preserve">For translating and interpreting services, call </w:t>
    </w:r>
    <w:r w:rsidRPr="00312749">
      <w:rPr>
        <w:b/>
      </w:rPr>
      <w:t>131 450</w:t>
    </w:r>
    <w:r>
      <w:t xml:space="preserve"> and </w:t>
    </w:r>
    <w:r>
      <w:br/>
      <w:t xml:space="preserve">ask for My Aged Care on </w:t>
    </w:r>
    <w:r w:rsidRPr="00312749">
      <w:rPr>
        <w:b/>
      </w:rPr>
      <w:t>1800 200 422</w:t>
    </w:r>
    <w:r>
      <w:t>.</w:t>
    </w:r>
  </w:p>
  <w:p w14:paraId="3F4CEBCD" w14:textId="77777777" w:rsidR="00D0690C" w:rsidRPr="00D0690C" w:rsidRDefault="005D4A3F" w:rsidP="00706D0A">
    <w:r>
      <w:t xml:space="preserve">To use the National Relay Service, visit </w:t>
    </w:r>
    <w:r w:rsidRPr="00312749">
      <w:rPr>
        <w:b/>
      </w:rPr>
      <w:t>nrschat.nrscall.gov.au/</w:t>
    </w:r>
    <w:proofErr w:type="spellStart"/>
    <w:r w:rsidRPr="00312749">
      <w:rPr>
        <w:b/>
      </w:rPr>
      <w:t>nrs</w:t>
    </w:r>
    <w:proofErr w:type="spellEnd"/>
    <w:r>
      <w:t xml:space="preserve"> </w:t>
    </w:r>
    <w:r>
      <w:br/>
      <w:t xml:space="preserve">or call </w:t>
    </w:r>
    <w:r w:rsidRPr="00312749">
      <w:rPr>
        <w:b/>
      </w:rPr>
      <w:t>1800 555 660</w:t>
    </w:r>
    <w:r>
      <w:t>.</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55918416"/>
      <w:docPartObj>
        <w:docPartGallery w:val="Page Numbers (Bottom of Page)"/>
        <w:docPartUnique/>
      </w:docPartObj>
    </w:sdtPr>
    <w:sdtEndPr>
      <w:rPr>
        <w:noProof/>
      </w:rPr>
    </w:sdtEndPr>
    <w:sdtContent>
      <w:p w14:paraId="7BA92F87" w14:textId="77777777" w:rsidR="0046425D" w:rsidRDefault="0046425D" w:rsidP="00377C6D">
        <w:pPr>
          <w:pStyle w:val="Footer"/>
          <w:rPr>
            <w:sz w:val="21"/>
            <w:szCs w:val="21"/>
          </w:rPr>
        </w:pPr>
      </w:p>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46425D" w:rsidRPr="00D0690C" w14:paraId="57643A04" w14:textId="77777777">
          <w:tc>
            <w:tcPr>
              <w:tcW w:w="704" w:type="dxa"/>
              <w:tcMar>
                <w:top w:w="113" w:type="dxa"/>
                <w:bottom w:w="113" w:type="dxa"/>
              </w:tcMar>
              <w:vAlign w:val="center"/>
            </w:tcPr>
            <w:p w14:paraId="2491415C" w14:textId="77777777" w:rsidR="0046425D" w:rsidRDefault="0046425D" w:rsidP="00706D0A">
              <w:r>
                <w:rPr>
                  <w:noProof/>
                </w:rPr>
                <w:drawing>
                  <wp:inline distT="0" distB="0" distL="0" distR="0" wp14:anchorId="59CAEF8E" wp14:editId="5954F5C6">
                    <wp:extent cx="279400" cy="279400"/>
                    <wp:effectExtent l="0" t="0" r="0" b="0"/>
                    <wp:docPr id="449548283" name="Picture 449548283"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73852EE0" w14:textId="77777777" w:rsidR="0046425D" w:rsidRPr="00D0690C" w:rsidRDefault="0046425D" w:rsidP="00706D0A">
              <w:r>
                <w:t xml:space="preserve">Phone </w:t>
              </w:r>
              <w:r>
                <w:rPr>
                  <w:b/>
                </w:rPr>
                <w:t xml:space="preserve">1800 200 422 </w:t>
              </w:r>
              <w:r>
                <w:rPr>
                  <w:b/>
                </w:rPr>
                <w:br/>
              </w:r>
              <w:r>
                <w:t xml:space="preserve">(My Aged Care’s </w:t>
              </w:r>
              <w:proofErr w:type="spellStart"/>
              <w:r>
                <w:t>freecall</w:t>
              </w:r>
              <w:proofErr w:type="spellEnd"/>
              <w:r>
                <w:t xml:space="preserve"> phone line)</w:t>
              </w:r>
            </w:p>
          </w:tc>
        </w:tr>
        <w:tr w:rsidR="0046425D" w14:paraId="59A26092" w14:textId="77777777">
          <w:tc>
            <w:tcPr>
              <w:tcW w:w="704" w:type="dxa"/>
              <w:tcMar>
                <w:top w:w="113" w:type="dxa"/>
                <w:bottom w:w="113" w:type="dxa"/>
              </w:tcMar>
              <w:vAlign w:val="center"/>
            </w:tcPr>
            <w:p w14:paraId="3B1281FF" w14:textId="77777777" w:rsidR="0046425D" w:rsidRDefault="0046425D" w:rsidP="00706D0A">
              <w:pPr>
                <w:rPr>
                  <w:noProof/>
                </w:rPr>
              </w:pPr>
              <w:r>
                <w:rPr>
                  <w:noProof/>
                </w:rPr>
                <w:drawing>
                  <wp:inline distT="0" distB="0" distL="0" distR="0" wp14:anchorId="2B659468" wp14:editId="72FB2DB3">
                    <wp:extent cx="279400" cy="279400"/>
                    <wp:effectExtent l="0" t="0" r="0" b="0"/>
                    <wp:docPr id="1322519792" name="Picture 1322519792"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5011E59C" w14:textId="77777777" w:rsidR="0046425D" w:rsidRDefault="0046425D" w:rsidP="00706D0A">
              <w:r>
                <w:t xml:space="preserve">Visit </w:t>
              </w:r>
              <w:r w:rsidRPr="00D0690C">
                <w:rPr>
                  <w:b/>
                </w:rPr>
                <w:t>agedcareengagement.health.gov.au</w:t>
              </w:r>
            </w:p>
          </w:tc>
        </w:tr>
      </w:tbl>
      <w:p w14:paraId="455FA525" w14:textId="77777777" w:rsidR="0046425D" w:rsidRDefault="0046425D" w:rsidP="00706D0A">
        <w:r>
          <w:t xml:space="preserve">For translating and interpreting services, call </w:t>
        </w:r>
        <w:r w:rsidRPr="00312749">
          <w:rPr>
            <w:b/>
          </w:rPr>
          <w:t>131 450</w:t>
        </w:r>
        <w:r>
          <w:t xml:space="preserve"> and </w:t>
        </w:r>
        <w:r>
          <w:br/>
          <w:t xml:space="preserve">ask for My Aged Care on </w:t>
        </w:r>
        <w:r w:rsidRPr="00312749">
          <w:rPr>
            <w:b/>
          </w:rPr>
          <w:t>1800 200 422</w:t>
        </w:r>
        <w:r>
          <w:t>.</w:t>
        </w:r>
      </w:p>
      <w:p w14:paraId="014F49B2" w14:textId="77777777" w:rsidR="0046425D" w:rsidRPr="00D0690C" w:rsidRDefault="0046425D" w:rsidP="00706D0A">
        <w:r>
          <w:t xml:space="preserve">To use the National Relay Service, visit </w:t>
        </w:r>
        <w:r w:rsidRPr="00312749">
          <w:rPr>
            <w:b/>
          </w:rPr>
          <w:t>nrschat.nrscall.gov.au/</w:t>
        </w:r>
        <w:proofErr w:type="spellStart"/>
        <w:r w:rsidRPr="00312749">
          <w:rPr>
            <w:b/>
          </w:rPr>
          <w:t>nrs</w:t>
        </w:r>
        <w:proofErr w:type="spellEnd"/>
        <w:r>
          <w:t xml:space="preserve"> </w:t>
        </w:r>
        <w:r>
          <w:br/>
          <w:t xml:space="preserve">or call </w:t>
        </w:r>
        <w:r w:rsidRPr="00312749">
          <w:rPr>
            <w:b/>
          </w:rPr>
          <w:t>1800 555 660</w:t>
        </w:r>
        <w:r>
          <w:t>.</w:t>
        </w:r>
      </w:p>
      <w:p w14:paraId="50680354" w14:textId="77D68495" w:rsidR="0046425D" w:rsidRDefault="0046425D" w:rsidP="00377C6D">
        <w:pPr>
          <w:pStyle w:val="Footer"/>
        </w:pPr>
        <w:r>
          <w:rPr>
            <w:sz w:val="21"/>
            <w:szCs w:val="21"/>
          </w:rPr>
          <w:t xml:space="preserve"> </w:t>
        </w:r>
        <w:r>
          <w:fldChar w:fldCharType="begin"/>
        </w:r>
        <w:r>
          <w:instrText xml:space="preserve"> PAGE   \* MERGEFORMAT </w:instrText>
        </w:r>
        <w:r>
          <w:fldChar w:fldCharType="separate"/>
        </w:r>
        <w:r>
          <w:rPr>
            <w:noProof/>
          </w:rPr>
          <w:t>2</w:t>
        </w:r>
        <w:r>
          <w:rPr>
            <w:noProof/>
          </w:rPr>
          <w:fldChar w:fldCharType="end"/>
        </w:r>
      </w:p>
    </w:sdtContent>
  </w:sdt>
  <w:p w14:paraId="41549BBC" w14:textId="77777777" w:rsidR="0046425D" w:rsidRDefault="004642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8EE96F2" w14:paraId="2E2350F1" w14:textId="77777777" w:rsidTr="006A0CED">
      <w:trPr>
        <w:trHeight w:val="300"/>
      </w:trPr>
      <w:tc>
        <w:tcPr>
          <w:tcW w:w="3020" w:type="dxa"/>
        </w:tcPr>
        <w:p w14:paraId="09E53A92" w14:textId="535971E9" w:rsidR="58EE96F2" w:rsidRDefault="58EE96F2" w:rsidP="006A0CED">
          <w:pPr>
            <w:pStyle w:val="Header"/>
            <w:ind w:left="-115"/>
          </w:pPr>
        </w:p>
      </w:tc>
      <w:tc>
        <w:tcPr>
          <w:tcW w:w="3020" w:type="dxa"/>
        </w:tcPr>
        <w:p w14:paraId="2CF03B95" w14:textId="51BFB891" w:rsidR="58EE96F2" w:rsidRDefault="58EE96F2" w:rsidP="006A0CED">
          <w:pPr>
            <w:pStyle w:val="Header"/>
            <w:jc w:val="center"/>
          </w:pPr>
        </w:p>
      </w:tc>
      <w:tc>
        <w:tcPr>
          <w:tcW w:w="3020" w:type="dxa"/>
        </w:tcPr>
        <w:p w14:paraId="3756F1A7" w14:textId="723E92E0" w:rsidR="58EE96F2" w:rsidRDefault="58EE96F2" w:rsidP="006A0CED">
          <w:pPr>
            <w:pStyle w:val="Header"/>
            <w:ind w:right="-115"/>
            <w:jc w:val="right"/>
          </w:pPr>
        </w:p>
      </w:tc>
    </w:tr>
  </w:tbl>
  <w:p w14:paraId="48733BA2" w14:textId="54A262EF" w:rsidR="00A8069A" w:rsidRDefault="00A806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D04734" w14:textId="0670F875" w:rsidR="00627385" w:rsidRDefault="00627385" w:rsidP="00706D0A">
    <w:r w:rsidRPr="00627385">
      <w:t>agedcareengagement.health.gov.au</w:t>
    </w:r>
    <w:r>
      <w:tab/>
    </w:r>
    <w:r w:rsidR="00AA11F8">
      <w:t>August</w:t>
    </w:r>
    <w:r w:rsidR="00E07FCA">
      <w:t xml:space="preserve">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2803859"/>
      <w:docPartObj>
        <w:docPartGallery w:val="Page Numbers (Bottom of Page)"/>
        <w:docPartUnique/>
      </w:docPartObj>
    </w:sdtPr>
    <w:sdtEndPr>
      <w:rPr>
        <w:noProof/>
      </w:rPr>
    </w:sdtEndPr>
    <w:sdtContent>
      <w:p w14:paraId="23C06BE1" w14:textId="62959D62" w:rsidR="00647554" w:rsidRDefault="00647554" w:rsidP="00377C6D">
        <w:pPr>
          <w:pStyle w:val="Footer"/>
        </w:pPr>
        <w:r>
          <w:rPr>
            <w:sz w:val="21"/>
            <w:szCs w:val="21"/>
          </w:rPr>
          <w:t>Financial Report on the Australian Aged Care Sector 2022-23</w:t>
        </w:r>
        <w:r w:rsidRPr="009B5601">
          <w:rPr>
            <w:color w:val="1E1545" w:themeColor="text1"/>
            <w:sz w:val="21"/>
            <w:szCs w:val="21"/>
          </w:rPr>
          <w:t xml:space="preserve"> | </w:t>
        </w:r>
        <w:r w:rsidR="00670A52">
          <w:rPr>
            <w:sz w:val="21"/>
            <w:szCs w:val="21"/>
          </w:rPr>
          <w:t xml:space="preserve">Introduction &amp; report summary </w:t>
        </w:r>
        <w:r>
          <w:fldChar w:fldCharType="begin"/>
        </w:r>
        <w:r>
          <w:instrText xml:space="preserve"> PAGE   \* MERGEFORMAT </w:instrText>
        </w:r>
        <w:r>
          <w:fldChar w:fldCharType="separate"/>
        </w:r>
        <w:r>
          <w:rPr>
            <w:noProof/>
          </w:rPr>
          <w:t>2</w:t>
        </w:r>
        <w:r>
          <w:rPr>
            <w:noProof/>
          </w:rPr>
          <w:fldChar w:fldCharType="end"/>
        </w:r>
      </w:p>
    </w:sdtContent>
  </w:sdt>
  <w:p w14:paraId="56407BC7" w14:textId="74B375F0" w:rsidR="00A818E9" w:rsidRDefault="00A818E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899480"/>
      <w:docPartObj>
        <w:docPartGallery w:val="Page Numbers (Bottom of Page)"/>
        <w:docPartUnique/>
      </w:docPartObj>
    </w:sdtPr>
    <w:sdtEndPr>
      <w:rPr>
        <w:noProof/>
      </w:rPr>
    </w:sdtEndPr>
    <w:sdtContent>
      <w:p w14:paraId="3F7056F2" w14:textId="77777777" w:rsidR="00670A52" w:rsidRDefault="00670A52" w:rsidP="00377C6D">
        <w:pPr>
          <w:pStyle w:val="Footer"/>
        </w:pPr>
        <w:r>
          <w:rPr>
            <w:sz w:val="21"/>
            <w:szCs w:val="21"/>
          </w:rPr>
          <w:t>Financial Report on the Australian Aged Care Sector 2022-23</w:t>
        </w:r>
        <w:r w:rsidRPr="009B5601">
          <w:rPr>
            <w:color w:val="1E1545" w:themeColor="text1"/>
            <w:sz w:val="21"/>
            <w:szCs w:val="21"/>
          </w:rPr>
          <w:t xml:space="preserve"> | </w:t>
        </w:r>
        <w:r w:rsidR="00441803">
          <w:rPr>
            <w:sz w:val="21"/>
            <w:szCs w:val="21"/>
          </w:rPr>
          <w:t xml:space="preserve">Introduction </w:t>
        </w:r>
        <w:r>
          <w:fldChar w:fldCharType="begin"/>
        </w:r>
        <w:r>
          <w:instrText xml:space="preserve"> PAGE   \* MERGEFORMAT </w:instrText>
        </w:r>
        <w:r>
          <w:fldChar w:fldCharType="separate"/>
        </w:r>
        <w:r>
          <w:rPr>
            <w:noProof/>
          </w:rPr>
          <w:t>2</w:t>
        </w:r>
        <w:r>
          <w:rPr>
            <w:noProof/>
          </w:rPr>
          <w:fldChar w:fldCharType="end"/>
        </w:r>
      </w:p>
    </w:sdtContent>
  </w:sdt>
  <w:p w14:paraId="53C461E5" w14:textId="77777777" w:rsidR="00670A52" w:rsidRDefault="00670A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13777903"/>
      <w:docPartObj>
        <w:docPartGallery w:val="Page Numbers (Bottom of Page)"/>
        <w:docPartUnique/>
      </w:docPartObj>
    </w:sdtPr>
    <w:sdtEndPr>
      <w:rPr>
        <w:noProof/>
      </w:rPr>
    </w:sdtEndPr>
    <w:sdtContent>
      <w:p w14:paraId="12C552CD" w14:textId="77777777" w:rsidR="00441803" w:rsidRDefault="00441803"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 xml:space="preserve">Chapter 1 Home care </w:t>
        </w:r>
        <w:r>
          <w:fldChar w:fldCharType="begin"/>
        </w:r>
        <w:r>
          <w:instrText xml:space="preserve"> PAGE   \* MERGEFORMAT </w:instrText>
        </w:r>
        <w:r>
          <w:fldChar w:fldCharType="separate"/>
        </w:r>
        <w:r>
          <w:rPr>
            <w:noProof/>
          </w:rPr>
          <w:t>2</w:t>
        </w:r>
        <w:r>
          <w:rPr>
            <w:noProof/>
          </w:rPr>
          <w:fldChar w:fldCharType="end"/>
        </w:r>
      </w:p>
    </w:sdtContent>
  </w:sdt>
  <w:p w14:paraId="3706465C" w14:textId="77777777" w:rsidR="00441803" w:rsidRDefault="0044180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9F582" w14:textId="05103792" w:rsidR="00B92B4E" w:rsidRPr="00386805" w:rsidRDefault="00B92B4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 2022-23</w:t>
    </w:r>
    <w:r w:rsidRPr="009B5601">
      <w:rPr>
        <w:color w:val="1E1545" w:themeColor="text1"/>
        <w:sz w:val="21"/>
        <w:szCs w:val="21"/>
      </w:rPr>
      <w:t xml:space="preserve"> |</w:t>
    </w:r>
    <w:r>
      <w:rPr>
        <w:sz w:val="21"/>
        <w:szCs w:val="21"/>
      </w:rPr>
      <w:t xml:space="preserve"> Chapter </w:t>
    </w:r>
    <w:r w:rsidR="00A80EB7">
      <w:rPr>
        <w:sz w:val="21"/>
        <w:szCs w:val="21"/>
      </w:rPr>
      <w:t>2</w:t>
    </w:r>
    <w:r>
      <w:rPr>
        <w:sz w:val="21"/>
        <w:szCs w:val="21"/>
      </w:rPr>
      <w:t xml:space="preserve"> Residential care</w:t>
    </w:r>
    <w:r>
      <w:rPr>
        <w:sz w:val="21"/>
        <w:szCs w:val="21"/>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5568680"/>
      <w:docPartObj>
        <w:docPartGallery w:val="Page Numbers (Bottom of Page)"/>
        <w:docPartUnique/>
      </w:docPartObj>
    </w:sdtPr>
    <w:sdtEndPr>
      <w:rPr>
        <w:noProof/>
      </w:rPr>
    </w:sdtEndPr>
    <w:sdtContent>
      <w:p w14:paraId="25C627C3" w14:textId="2450729C" w:rsidR="00A80EB7" w:rsidRDefault="00A80EB7"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 xml:space="preserve">Chapter </w:t>
        </w:r>
        <w:r w:rsidR="00E77B82">
          <w:rPr>
            <w:sz w:val="21"/>
            <w:szCs w:val="21"/>
          </w:rPr>
          <w:t xml:space="preserve">2 Residential care </w:t>
        </w:r>
        <w:r>
          <w:fldChar w:fldCharType="begin"/>
        </w:r>
        <w:r>
          <w:instrText xml:space="preserve"> PAGE   \* MERGEFORMAT </w:instrText>
        </w:r>
        <w:r>
          <w:fldChar w:fldCharType="separate"/>
        </w:r>
        <w:r>
          <w:rPr>
            <w:noProof/>
          </w:rPr>
          <w:t>2</w:t>
        </w:r>
        <w:r>
          <w:rPr>
            <w:noProof/>
          </w:rPr>
          <w:fldChar w:fldCharType="end"/>
        </w:r>
      </w:p>
    </w:sdtContent>
  </w:sdt>
  <w:p w14:paraId="3DF01BD0" w14:textId="77777777" w:rsidR="00A80EB7" w:rsidRDefault="00A80EB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9289868"/>
      <w:docPartObj>
        <w:docPartGallery w:val="Page Numbers (Bottom of Page)"/>
        <w:docPartUnique/>
      </w:docPartObj>
    </w:sdtPr>
    <w:sdtEndPr>
      <w:rPr>
        <w:noProof/>
      </w:rPr>
    </w:sdtEndPr>
    <w:sdtContent>
      <w:p w14:paraId="0CD97905" w14:textId="1A61903C" w:rsidR="00B92B4E" w:rsidRDefault="00B92B4E" w:rsidP="00377C6D">
        <w:pPr>
          <w:pStyle w:val="Footer"/>
        </w:pPr>
        <w:r>
          <w:rPr>
            <w:sz w:val="21"/>
            <w:szCs w:val="21"/>
          </w:rPr>
          <w:t>Financial Report on the Australian Aged Care Sector 2022-23</w:t>
        </w:r>
        <w:r w:rsidRPr="009B5601">
          <w:rPr>
            <w:color w:val="1E1545" w:themeColor="text1"/>
            <w:sz w:val="21"/>
            <w:szCs w:val="21"/>
          </w:rPr>
          <w:t xml:space="preserve"> | </w:t>
        </w:r>
        <w:r>
          <w:rPr>
            <w:sz w:val="21"/>
            <w:szCs w:val="21"/>
          </w:rPr>
          <w:t xml:space="preserve">Chapter </w:t>
        </w:r>
        <w:r w:rsidR="0023614F">
          <w:rPr>
            <w:sz w:val="21"/>
            <w:szCs w:val="21"/>
          </w:rPr>
          <w:t>3</w:t>
        </w:r>
        <w:r>
          <w:rPr>
            <w:sz w:val="21"/>
            <w:szCs w:val="21"/>
          </w:rPr>
          <w:t xml:space="preserve"> Residential care</w:t>
        </w:r>
        <w:r>
          <w:t xml:space="preserve"> </w:t>
        </w:r>
        <w:r>
          <w:fldChar w:fldCharType="begin"/>
        </w:r>
        <w:r>
          <w:instrText xml:space="preserve"> PAGE   \* MERGEFORMAT </w:instrText>
        </w:r>
        <w:r>
          <w:fldChar w:fldCharType="separate"/>
        </w:r>
        <w:r>
          <w:rPr>
            <w:noProof/>
          </w:rPr>
          <w:t>2</w:t>
        </w:r>
        <w:r>
          <w:rPr>
            <w:noProof/>
          </w:rPr>
          <w:fldChar w:fldCharType="end"/>
        </w:r>
      </w:p>
    </w:sdtContent>
  </w:sdt>
  <w:p w14:paraId="0E047F86" w14:textId="77777777" w:rsidR="00B92B4E" w:rsidRDefault="00B92B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BD4763" w14:textId="77777777" w:rsidR="00AF3EB9" w:rsidRDefault="00AF3EB9" w:rsidP="00706D0A">
      <w:r>
        <w:separator/>
      </w:r>
    </w:p>
    <w:p w14:paraId="116897CE" w14:textId="77777777" w:rsidR="00AF3EB9" w:rsidRDefault="00AF3EB9" w:rsidP="00706D0A"/>
  </w:footnote>
  <w:footnote w:type="continuationSeparator" w:id="0">
    <w:p w14:paraId="7DB0E20A" w14:textId="77777777" w:rsidR="00AF3EB9" w:rsidRDefault="00AF3EB9" w:rsidP="00706D0A">
      <w:r>
        <w:continuationSeparator/>
      </w:r>
    </w:p>
    <w:p w14:paraId="05DCA407" w14:textId="77777777" w:rsidR="00AF3EB9" w:rsidRDefault="00AF3EB9" w:rsidP="00706D0A"/>
  </w:footnote>
  <w:footnote w:type="continuationNotice" w:id="1">
    <w:p w14:paraId="57B174E6" w14:textId="77777777" w:rsidR="00AF3EB9" w:rsidRDefault="00AF3EB9" w:rsidP="00706D0A"/>
  </w:footnote>
  <w:footnote w:id="2">
    <w:p w14:paraId="0A3B4F0B" w14:textId="725B0B24" w:rsidR="00A91697" w:rsidRPr="007E14DE" w:rsidRDefault="00A91697">
      <w:pPr>
        <w:pStyle w:val="FootnoteText"/>
        <w:rPr>
          <w:color w:val="1E1545" w:themeColor="text1"/>
        </w:rPr>
      </w:pPr>
      <w:r w:rsidRPr="007E14DE">
        <w:rPr>
          <w:rStyle w:val="FootnoteReference"/>
          <w:color w:val="1E1545" w:themeColor="text1"/>
        </w:rPr>
        <w:footnoteRef/>
      </w:r>
      <w:r w:rsidRPr="007E14DE">
        <w:rPr>
          <w:color w:val="1E1545" w:themeColor="text1"/>
        </w:rPr>
        <w:t xml:space="preserve"> </w:t>
      </w:r>
      <w:r w:rsidR="00372364" w:rsidRPr="007E14DE">
        <w:rPr>
          <w:color w:val="1E1545" w:themeColor="text1"/>
        </w:rPr>
        <w:t>This can exclude home care and residential aged care, where delivered under the National Aboriginal and Torres Strait Islander Flexible Aged Care (NATSIFAC) or Multi-Purpose Service (MPS) programs, as these programs have varied provider responsibilities and reporting arrangements. See the data sources and methodology section for more information.</w:t>
      </w:r>
    </w:p>
  </w:footnote>
  <w:footnote w:id="3">
    <w:p w14:paraId="2E5FFEA3" w14:textId="23232B67" w:rsidR="00A32BEC" w:rsidRDefault="00A32BEC">
      <w:pPr>
        <w:pStyle w:val="FootnoteText"/>
      </w:pPr>
      <w:r w:rsidRPr="007E14DE">
        <w:rPr>
          <w:rStyle w:val="FootnoteReference"/>
          <w:color w:val="1E1545" w:themeColor="text1"/>
        </w:rPr>
        <w:footnoteRef/>
      </w:r>
      <w:r w:rsidRPr="007E14DE">
        <w:rPr>
          <w:color w:val="1E1545" w:themeColor="text1"/>
        </w:rPr>
        <w:t xml:space="preserve"> </w:t>
      </w:r>
      <w:r w:rsidR="00383C11" w:rsidRPr="007E14DE">
        <w:rPr>
          <w:color w:val="1E1545" w:themeColor="text1"/>
        </w:rPr>
        <w:t>These figures will differ from the provider numbers reported in FRAACS 2022-23 report summary</w:t>
      </w:r>
      <w:r w:rsidR="00FD20B4" w:rsidRPr="007E14DE">
        <w:rPr>
          <w:color w:val="1E1545" w:themeColor="text1"/>
        </w:rPr>
        <w:t>. N</w:t>
      </w:r>
      <w:r w:rsidR="00AC1083" w:rsidRPr="007E14DE">
        <w:rPr>
          <w:color w:val="1E1545" w:themeColor="text1"/>
        </w:rPr>
        <w:t>ot all providers report in the ACFR</w:t>
      </w:r>
      <w:r w:rsidR="00FD20B4" w:rsidRPr="007E14DE">
        <w:rPr>
          <w:color w:val="1E1545" w:themeColor="text1"/>
        </w:rPr>
        <w:t xml:space="preserve"> and the data is taken across the financial year rather than at a point in time.</w:t>
      </w:r>
    </w:p>
  </w:footnote>
  <w:footnote w:id="4">
    <w:p w14:paraId="66AF6606" w14:textId="77777777" w:rsidR="00004873" w:rsidRPr="00D63A21" w:rsidRDefault="00004873" w:rsidP="00004873">
      <w:pPr>
        <w:pStyle w:val="FootnoteText"/>
        <w:rPr>
          <w:color w:val="1E1545" w:themeColor="text1"/>
        </w:rPr>
      </w:pPr>
      <w:r w:rsidRPr="00D63A21">
        <w:rPr>
          <w:rStyle w:val="FootnoteReference"/>
          <w:color w:val="1E1545" w:themeColor="text1"/>
        </w:rPr>
        <w:footnoteRef/>
      </w:r>
      <w:r w:rsidRPr="00D63A21">
        <w:rPr>
          <w:color w:val="1E1545" w:themeColor="text1"/>
        </w:rPr>
        <w:t xml:space="preserve"> The QFS uses information from the Quarterly Financial Report (QFR) which is shorter than the ACFR and doesn’t include any audited information, allowing the department to publish the QFS closer to the end of each quarterly reporting period. </w:t>
      </w:r>
    </w:p>
  </w:footnote>
  <w:footnote w:id="5">
    <w:p w14:paraId="7FDE2DB9" w14:textId="77777777" w:rsidR="000777EB" w:rsidRPr="002672E4" w:rsidRDefault="000777EB" w:rsidP="000777EB">
      <w:pPr>
        <w:pStyle w:val="FootnoteText"/>
        <w:rPr>
          <w:color w:val="1E1545" w:themeColor="text1"/>
        </w:rPr>
      </w:pPr>
      <w:r w:rsidRPr="002672E4">
        <w:rPr>
          <w:rStyle w:val="FootnoteReference"/>
          <w:color w:val="1E1545" w:themeColor="text1"/>
        </w:rPr>
        <w:footnoteRef/>
      </w:r>
      <w:r w:rsidRPr="002672E4">
        <w:rPr>
          <w:color w:val="1E1545" w:themeColor="text1"/>
        </w:rPr>
        <w:t xml:space="preserve"> Other types of respite care can be accessed through the CHSP or through a home care package.</w:t>
      </w:r>
    </w:p>
  </w:footnote>
  <w:footnote w:id="6">
    <w:p w14:paraId="098D0035" w14:textId="77777777" w:rsidR="000777EB" w:rsidRPr="002672E4" w:rsidRDefault="000777EB" w:rsidP="000777EB">
      <w:pPr>
        <w:pStyle w:val="FootnoteText"/>
        <w:rPr>
          <w:color w:val="1E1545" w:themeColor="text1"/>
        </w:rPr>
      </w:pPr>
      <w:r w:rsidRPr="002672E4">
        <w:rPr>
          <w:rStyle w:val="FootnoteReference"/>
          <w:color w:val="1E1545" w:themeColor="text1"/>
        </w:rPr>
        <w:footnoteRef/>
      </w:r>
      <w:r w:rsidRPr="002672E4">
        <w:rPr>
          <w:color w:val="1E1545" w:themeColor="text1"/>
        </w:rPr>
        <w:t xml:space="preserve"> A residential respite ‘stay’ refers to a single stay and is from when they enter to when they exit, no matter the duration.</w:t>
      </w:r>
    </w:p>
  </w:footnote>
  <w:footnote w:id="7">
    <w:p w14:paraId="014D973F" w14:textId="77777777" w:rsidR="000777EB" w:rsidRPr="00EB1707" w:rsidRDefault="000777EB" w:rsidP="000777EB">
      <w:pPr>
        <w:pStyle w:val="FootnoteText"/>
        <w:rPr>
          <w:color w:val="1E1545" w:themeColor="text1"/>
        </w:rPr>
      </w:pPr>
      <w:r w:rsidRPr="002672E4">
        <w:rPr>
          <w:rStyle w:val="FootnoteReference"/>
          <w:color w:val="1E1545" w:themeColor="text1"/>
        </w:rPr>
        <w:footnoteRef/>
      </w:r>
      <w:r w:rsidRPr="002672E4">
        <w:rPr>
          <w:color w:val="1E1545" w:themeColor="text1"/>
        </w:rPr>
        <w:t xml:space="preserve"> Note </w:t>
      </w:r>
      <w:r w:rsidRPr="00EB1707">
        <w:rPr>
          <w:color w:val="1E1545" w:themeColor="text1"/>
        </w:rPr>
        <w:t>this figure excludes recipients of home care packages who access residential respite care.</w:t>
      </w:r>
    </w:p>
  </w:footnote>
  <w:footnote w:id="8">
    <w:p w14:paraId="32276BED" w14:textId="2BB1D447" w:rsidR="00BA0E88" w:rsidRDefault="00BA0E88" w:rsidP="00BA0E88">
      <w:pPr>
        <w:pStyle w:val="FootnoteText"/>
      </w:pPr>
      <w:r>
        <w:rPr>
          <w:rStyle w:val="FootnoteReference"/>
        </w:rPr>
        <w:footnoteRef/>
      </w:r>
      <w:r>
        <w:t xml:space="preserve"> Note the total administration expenses in Figure 3.2 have not been apportioned across the care, hotel, accommodation and COVID-19 categories.</w:t>
      </w:r>
    </w:p>
    <w:p w14:paraId="3DE2D4B5" w14:textId="3B3E605E" w:rsidR="002904A6" w:rsidRDefault="002904A6" w:rsidP="00BA0E88">
      <w:pPr>
        <w:pStyle w:val="FootnoteText"/>
      </w:pPr>
    </w:p>
  </w:footnote>
  <w:footnote w:id="9">
    <w:p w14:paraId="4240196B" w14:textId="60FCECCF" w:rsidR="0056586C" w:rsidRPr="0056586C" w:rsidRDefault="0056586C">
      <w:pPr>
        <w:pStyle w:val="FootnoteText"/>
      </w:pPr>
      <w:r w:rsidRPr="0056586C">
        <w:rPr>
          <w:rStyle w:val="FootnoteReference"/>
        </w:rPr>
        <w:footnoteRef/>
      </w:r>
      <w:r w:rsidRPr="0056586C">
        <w:t xml:space="preserve"> Bed license amortisation expenses have been recategorised as non-recurrent expense in 2022-23. As a result, accommodation and non-recurrent income/expenses categories may not be directly comparable to prior year’s results.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D77374" w14:textId="7568D98A" w:rsidR="00550706" w:rsidRDefault="00550706">
    <w:pPr>
      <w:pStyle w:val="Header"/>
    </w:pPr>
  </w:p>
  <w:p w14:paraId="5913AEF2" w14:textId="77777777" w:rsidR="00B049A2" w:rsidRDefault="00B049A2"/>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A8AFBB" w14:textId="40138C66" w:rsidR="008206C0" w:rsidRDefault="008206C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CD1B9" w14:textId="48FDF3A7" w:rsidR="008206C0" w:rsidRDefault="008206C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FBB55" w14:textId="6285BF94" w:rsidR="008206C0" w:rsidRDefault="008206C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D0F051" w14:textId="3309B414" w:rsidR="008206C0" w:rsidRDefault="008206C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78D4F5" w14:textId="164E1FA9" w:rsidR="008206C0" w:rsidRDefault="008206C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FEBBE7" w14:textId="51793C43" w:rsidR="008206C0" w:rsidRDefault="008206C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E66AD8" w14:textId="706BE70A" w:rsidR="008206C0" w:rsidRDefault="008206C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99956A" w14:textId="768B6570" w:rsidR="008206C0" w:rsidRDefault="008206C0">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5941C" w14:textId="4E21594E" w:rsidR="008206C0" w:rsidRDefault="008206C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70516" w14:textId="370A84B7" w:rsidR="008206C0" w:rsidRDefault="008206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58EE96F2" w14:paraId="6DCE3D80" w14:textId="77777777" w:rsidTr="006A0CED">
      <w:trPr>
        <w:trHeight w:val="300"/>
      </w:trPr>
      <w:tc>
        <w:tcPr>
          <w:tcW w:w="3020" w:type="dxa"/>
        </w:tcPr>
        <w:p w14:paraId="406058B5" w14:textId="342C9333" w:rsidR="58EE96F2" w:rsidRDefault="58EE96F2" w:rsidP="006A0CED">
          <w:pPr>
            <w:pStyle w:val="Header"/>
            <w:ind w:left="-115"/>
          </w:pPr>
        </w:p>
      </w:tc>
      <w:tc>
        <w:tcPr>
          <w:tcW w:w="3020" w:type="dxa"/>
        </w:tcPr>
        <w:p w14:paraId="664FF2C2" w14:textId="73D9D14E" w:rsidR="58EE96F2" w:rsidRDefault="58EE96F2" w:rsidP="006A0CED">
          <w:pPr>
            <w:pStyle w:val="Header"/>
            <w:jc w:val="center"/>
          </w:pPr>
        </w:p>
      </w:tc>
      <w:tc>
        <w:tcPr>
          <w:tcW w:w="3020" w:type="dxa"/>
        </w:tcPr>
        <w:p w14:paraId="5D495E5C" w14:textId="0189EDB9" w:rsidR="58EE96F2" w:rsidRDefault="58EE96F2" w:rsidP="006A0CED">
          <w:pPr>
            <w:pStyle w:val="Header"/>
            <w:ind w:right="-115"/>
            <w:jc w:val="right"/>
          </w:pPr>
        </w:p>
      </w:tc>
    </w:tr>
  </w:tbl>
  <w:p w14:paraId="3D704D79" w14:textId="526E7B78" w:rsidR="00A8069A" w:rsidRDefault="00A8069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6D18E5" w14:textId="29923CF2" w:rsidR="008206C0" w:rsidRDefault="008206C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F7EDCC" w14:textId="5CBF6ECD" w:rsidR="008206C0" w:rsidRDefault="008206C0">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CD181D" w14:textId="1F815B6F" w:rsidR="008206C0" w:rsidRDefault="008206C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782C9" w14:textId="409D664C" w:rsidR="008206C0" w:rsidRDefault="008206C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6AEB88" w14:textId="6A38C8EF" w:rsidR="008206C0" w:rsidRDefault="008206C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CCB5A3" w14:textId="184750A6" w:rsidR="008206C0" w:rsidRDefault="008206C0">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246B08" w14:textId="02ED9FBD" w:rsidR="008206C0" w:rsidRDefault="008206C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B975A" w14:textId="716A5B8E" w:rsidR="008206C0" w:rsidRDefault="008206C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2BE3E4" w14:textId="6BB276CF" w:rsidR="008206C0" w:rsidRDefault="008206C0">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C3A4D" w14:textId="3884DA90" w:rsidR="008206C0" w:rsidRDefault="008206C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AF4381" w14:textId="71A3E067" w:rsidR="00751A23" w:rsidRDefault="00C83C83" w:rsidP="0023614F">
    <w:pPr>
      <w:pStyle w:val="Header"/>
      <w:ind w:firstLine="720"/>
    </w:pPr>
    <w:r>
      <w:rPr>
        <w:noProof/>
        <w:lang w:eastAsia="en-AU"/>
      </w:rPr>
      <w:drawing>
        <wp:anchor distT="0" distB="0" distL="114300" distR="114300" simplePos="0" relativeHeight="251658241" behindDoc="1" locked="0" layoutInCell="1" allowOverlap="1" wp14:anchorId="510E42C2" wp14:editId="35F94171">
          <wp:simplePos x="0" y="0"/>
          <wp:positionH relativeFrom="column">
            <wp:posOffset>-938530</wp:posOffset>
          </wp:positionH>
          <wp:positionV relativeFrom="paragraph">
            <wp:posOffset>-530225</wp:posOffset>
          </wp:positionV>
          <wp:extent cx="7666990" cy="5115560"/>
          <wp:effectExtent l="0" t="0" r="0" b="8890"/>
          <wp:wrapNone/>
          <wp:docPr id="1465481120" name="Picture 1465481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81120" name="Picture 146548112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6990" cy="5115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D62">
      <w:rPr>
        <w:noProof/>
        <w:lang w:eastAsia="en-AU"/>
      </w:rPr>
      <w:drawing>
        <wp:anchor distT="0" distB="0" distL="114300" distR="114300" simplePos="0" relativeHeight="251658242" behindDoc="1" locked="0" layoutInCell="1" allowOverlap="1" wp14:anchorId="31027DF0" wp14:editId="1CA30B67">
          <wp:simplePos x="0" y="0"/>
          <wp:positionH relativeFrom="page">
            <wp:posOffset>-11927</wp:posOffset>
          </wp:positionH>
          <wp:positionV relativeFrom="page">
            <wp:posOffset>7951</wp:posOffset>
          </wp:positionV>
          <wp:extent cx="7644232" cy="2664460"/>
          <wp:effectExtent l="0" t="0" r="0" b="0"/>
          <wp:wrapNone/>
          <wp:docPr id="1465481119" name="Picture 1465481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b="75272"/>
                  <a:stretch/>
                </pic:blipFill>
                <pic:spPr bwMode="auto">
                  <a:xfrm>
                    <a:off x="0" y="0"/>
                    <a:ext cx="7644232" cy="2664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5A30">
      <w:rPr>
        <w:noProof/>
        <w:lang w:eastAsia="en-AU"/>
      </w:rPr>
      <w:tab/>
    </w:r>
    <w:r w:rsidR="00627385">
      <w:rPr>
        <w:noProof/>
      </w:rPr>
      <mc:AlternateContent>
        <mc:Choice Requires="wps">
          <w:drawing>
            <wp:anchor distT="0" distB="0" distL="114300" distR="114300" simplePos="0" relativeHeight="251658240" behindDoc="1" locked="0" layoutInCell="1" allowOverlap="1" wp14:anchorId="286F6856" wp14:editId="2FB1595E">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B37F2B"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569DCD" w14:textId="7115C84F" w:rsidR="008206C0" w:rsidRDefault="008206C0">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01F70" w14:textId="2A753485" w:rsidR="00D0690C" w:rsidRDefault="00D0690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F084BA" w14:textId="6D6C9693" w:rsidR="008206C0" w:rsidRDefault="008206C0">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346DF" w14:textId="5BC1876C" w:rsidR="008206C0" w:rsidRDefault="008206C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77E932" w14:textId="15DE7A9F" w:rsidR="009B311D" w:rsidRDefault="009B311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CBA95" w14:textId="1312EAEC" w:rsidR="009B311D" w:rsidRDefault="009B311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BE99E" w14:textId="738379A4" w:rsidR="009B311D" w:rsidRDefault="009B311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DB84E1" w14:textId="286FC4F7" w:rsidR="008206C0" w:rsidRDefault="008206C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57DD4" w14:textId="62E411A5" w:rsidR="008206C0" w:rsidRDefault="008206C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B44558" w14:textId="57CB2C4F" w:rsidR="008206C0" w:rsidRDefault="008206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46B28504"/>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D3170"/>
    <w:multiLevelType w:val="hybridMultilevel"/>
    <w:tmpl w:val="F07EAC90"/>
    <w:lvl w:ilvl="0" w:tplc="0C09000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68A0F4D"/>
    <w:multiLevelType w:val="hybridMultilevel"/>
    <w:tmpl w:val="6C28D778"/>
    <w:lvl w:ilvl="0" w:tplc="7C5A1E04">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E4410C"/>
    <w:multiLevelType w:val="hybridMultilevel"/>
    <w:tmpl w:val="B3A66198"/>
    <w:styleLink w:val="Styl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407B55"/>
    <w:multiLevelType w:val="hybridMultilevel"/>
    <w:tmpl w:val="3C6445CC"/>
    <w:lvl w:ilvl="0" w:tplc="0C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28F347B"/>
    <w:multiLevelType w:val="multilevel"/>
    <w:tmpl w:val="253230CA"/>
    <w:lvl w:ilvl="0">
      <w:start w:val="1"/>
      <w:numFmt w:val="bullet"/>
      <w:pStyle w:val="ListBullet"/>
      <w:lvlText w:val=""/>
      <w:lvlJc w:val="left"/>
      <w:pPr>
        <w:tabs>
          <w:tab w:val="num" w:pos="720"/>
        </w:tabs>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3763F4F"/>
    <w:multiLevelType w:val="hybridMultilevel"/>
    <w:tmpl w:val="4B429DC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13D16FF1"/>
    <w:multiLevelType w:val="hybridMultilevel"/>
    <w:tmpl w:val="5E402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203D32"/>
    <w:multiLevelType w:val="hybridMultilevel"/>
    <w:tmpl w:val="319EC3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E502B1D"/>
    <w:multiLevelType w:val="hybridMultilevel"/>
    <w:tmpl w:val="5344DAA6"/>
    <w:lvl w:ilvl="0" w:tplc="0C09000F">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1" w15:restartNumberingAfterBreak="0">
    <w:nsid w:val="20865D84"/>
    <w:multiLevelType w:val="hybridMultilevel"/>
    <w:tmpl w:val="B3A66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4C2EA3"/>
    <w:multiLevelType w:val="hybridMultilevel"/>
    <w:tmpl w:val="44921A2E"/>
    <w:lvl w:ilvl="0" w:tplc="0C09001B">
      <w:start w:val="1"/>
      <w:numFmt w:val="lowerRoman"/>
      <w:lvlText w:val="%1."/>
      <w:lvlJc w:val="righ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3" w15:restartNumberingAfterBreak="0">
    <w:nsid w:val="27715C55"/>
    <w:multiLevelType w:val="hybridMultilevel"/>
    <w:tmpl w:val="F3CEE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A2387A"/>
    <w:multiLevelType w:val="hybridMultilevel"/>
    <w:tmpl w:val="BC4C3A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4052AA"/>
    <w:multiLevelType w:val="hybridMultilevel"/>
    <w:tmpl w:val="AFEC99D4"/>
    <w:lvl w:ilvl="0" w:tplc="B5B42E1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 w15:restartNumberingAfterBreak="0">
    <w:nsid w:val="36C71C6F"/>
    <w:multiLevelType w:val="multilevel"/>
    <w:tmpl w:val="AB9E5FF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bCs w:val="0"/>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39496328"/>
    <w:multiLevelType w:val="hybridMultilevel"/>
    <w:tmpl w:val="8DCA2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D1B69CD"/>
    <w:multiLevelType w:val="hybridMultilevel"/>
    <w:tmpl w:val="69ECED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E8700FF"/>
    <w:multiLevelType w:val="hybridMultilevel"/>
    <w:tmpl w:val="F768027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0D85605"/>
    <w:multiLevelType w:val="hybridMultilevel"/>
    <w:tmpl w:val="AE8EFC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9A69DE"/>
    <w:multiLevelType w:val="hybridMultilevel"/>
    <w:tmpl w:val="EFF4EEEA"/>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20D2C61"/>
    <w:multiLevelType w:val="hybridMultilevel"/>
    <w:tmpl w:val="9C4ECB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24043C6"/>
    <w:multiLevelType w:val="hybridMultilevel"/>
    <w:tmpl w:val="A8565E4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26" w15:restartNumberingAfterBreak="0">
    <w:nsid w:val="4DC40F01"/>
    <w:multiLevelType w:val="hybridMultilevel"/>
    <w:tmpl w:val="84EE42D2"/>
    <w:lvl w:ilvl="0" w:tplc="0C09001B">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A1458B3"/>
    <w:multiLevelType w:val="hybridMultilevel"/>
    <w:tmpl w:val="2DB25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1" w15:restartNumberingAfterBreak="0">
    <w:nsid w:val="6D077188"/>
    <w:multiLevelType w:val="hybridMultilevel"/>
    <w:tmpl w:val="7228FAC8"/>
    <w:lvl w:ilvl="0" w:tplc="9D540740">
      <w:start w:val="1"/>
      <w:numFmt w:val="lowerRoman"/>
      <w:pStyle w:val="Footnotetextlist"/>
      <w:lvlText w:val="%1."/>
      <w:lvlJc w:val="righ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1286C90"/>
    <w:multiLevelType w:val="hybridMultilevel"/>
    <w:tmpl w:val="AC6634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740943E4"/>
    <w:multiLevelType w:val="hybridMultilevel"/>
    <w:tmpl w:val="A02ADF50"/>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34" w15:restartNumberingAfterBreak="0">
    <w:nsid w:val="76E325CA"/>
    <w:multiLevelType w:val="hybridMultilevel"/>
    <w:tmpl w:val="A95EFA76"/>
    <w:lvl w:ilvl="0" w:tplc="0C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8BF15DC"/>
    <w:multiLevelType w:val="hybridMultilevel"/>
    <w:tmpl w:val="8DCA2448"/>
    <w:styleLink w:val="CurrentList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E391716"/>
    <w:multiLevelType w:val="hybridMultilevel"/>
    <w:tmpl w:val="7298BD70"/>
    <w:lvl w:ilvl="0" w:tplc="0C09000F">
      <w:start w:val="1"/>
      <w:numFmt w:val="decimal"/>
      <w:lvlText w:val="%1."/>
      <w:lvlJc w:val="left"/>
      <w:pPr>
        <w:ind w:left="1004" w:hanging="360"/>
      </w:pPr>
      <w:rPr>
        <w:rFonts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37" w15:restartNumberingAfterBreak="0">
    <w:nsid w:val="7EC51ABE"/>
    <w:multiLevelType w:val="hybridMultilevel"/>
    <w:tmpl w:val="78745604"/>
    <w:lvl w:ilvl="0" w:tplc="0C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01177899">
    <w:abstractNumId w:val="16"/>
  </w:num>
  <w:num w:numId="2" w16cid:durableId="107166259">
    <w:abstractNumId w:val="36"/>
  </w:num>
  <w:num w:numId="3" w16cid:durableId="1015962125">
    <w:abstractNumId w:val="27"/>
  </w:num>
  <w:num w:numId="4" w16cid:durableId="302390905">
    <w:abstractNumId w:val="30"/>
  </w:num>
  <w:num w:numId="5" w16cid:durableId="2010865131">
    <w:abstractNumId w:val="2"/>
  </w:num>
  <w:num w:numId="6" w16cid:durableId="1970549543">
    <w:abstractNumId w:val="25"/>
  </w:num>
  <w:num w:numId="7" w16cid:durableId="670259810">
    <w:abstractNumId w:val="28"/>
  </w:num>
  <w:num w:numId="8" w16cid:durableId="2110465896">
    <w:abstractNumId w:val="31"/>
    <w:lvlOverride w:ilvl="0">
      <w:startOverride w:val="1"/>
    </w:lvlOverride>
  </w:num>
  <w:num w:numId="9" w16cid:durableId="1015494422">
    <w:abstractNumId w:val="11"/>
  </w:num>
  <w:num w:numId="10" w16cid:durableId="29956811">
    <w:abstractNumId w:val="31"/>
    <w:lvlOverride w:ilvl="0">
      <w:startOverride w:val="1"/>
    </w:lvlOverride>
  </w:num>
  <w:num w:numId="11" w16cid:durableId="1717898127">
    <w:abstractNumId w:val="21"/>
  </w:num>
  <w:num w:numId="12" w16cid:durableId="331378203">
    <w:abstractNumId w:val="29"/>
  </w:num>
  <w:num w:numId="13" w16cid:durableId="1059935713">
    <w:abstractNumId w:val="14"/>
  </w:num>
  <w:num w:numId="14" w16cid:durableId="1130830402">
    <w:abstractNumId w:val="22"/>
  </w:num>
  <w:num w:numId="15" w16cid:durableId="1461191971">
    <w:abstractNumId w:val="3"/>
  </w:num>
  <w:num w:numId="16" w16cid:durableId="1079138894">
    <w:abstractNumId w:val="13"/>
  </w:num>
  <w:num w:numId="17" w16cid:durableId="2108887317">
    <w:abstractNumId w:val="9"/>
  </w:num>
  <w:num w:numId="18" w16cid:durableId="1513569420">
    <w:abstractNumId w:val="20"/>
  </w:num>
  <w:num w:numId="19" w16cid:durableId="1250238946">
    <w:abstractNumId w:val="26"/>
  </w:num>
  <w:num w:numId="20" w16cid:durableId="204415792">
    <w:abstractNumId w:val="6"/>
  </w:num>
  <w:num w:numId="21" w16cid:durableId="986251460">
    <w:abstractNumId w:val="23"/>
  </w:num>
  <w:num w:numId="22" w16cid:durableId="863403069">
    <w:abstractNumId w:val="15"/>
  </w:num>
  <w:num w:numId="23" w16cid:durableId="531379700">
    <w:abstractNumId w:val="18"/>
  </w:num>
  <w:num w:numId="24" w16cid:durableId="1197229633">
    <w:abstractNumId w:val="0"/>
  </w:num>
  <w:num w:numId="25" w16cid:durableId="749696201">
    <w:abstractNumId w:val="35"/>
  </w:num>
  <w:num w:numId="26" w16cid:durableId="348023818">
    <w:abstractNumId w:val="17"/>
  </w:num>
  <w:num w:numId="27" w16cid:durableId="191499517">
    <w:abstractNumId w:val="8"/>
  </w:num>
  <w:num w:numId="28" w16cid:durableId="1277567650">
    <w:abstractNumId w:val="4"/>
  </w:num>
  <w:num w:numId="29" w16cid:durableId="1356493564">
    <w:abstractNumId w:val="33"/>
  </w:num>
  <w:num w:numId="30" w16cid:durableId="1582788312">
    <w:abstractNumId w:val="7"/>
  </w:num>
  <w:num w:numId="31" w16cid:durableId="1200510650">
    <w:abstractNumId w:val="32"/>
  </w:num>
  <w:num w:numId="32" w16cid:durableId="1240167980">
    <w:abstractNumId w:val="17"/>
  </w:num>
  <w:num w:numId="33" w16cid:durableId="966158670">
    <w:abstractNumId w:val="17"/>
  </w:num>
  <w:num w:numId="34" w16cid:durableId="1562717386">
    <w:abstractNumId w:val="17"/>
  </w:num>
  <w:num w:numId="35" w16cid:durableId="1244533576">
    <w:abstractNumId w:val="5"/>
  </w:num>
  <w:num w:numId="36" w16cid:durableId="1521699821">
    <w:abstractNumId w:val="12"/>
  </w:num>
  <w:num w:numId="37" w16cid:durableId="41826545">
    <w:abstractNumId w:val="37"/>
  </w:num>
  <w:num w:numId="38" w16cid:durableId="1151868633">
    <w:abstractNumId w:val="31"/>
  </w:num>
  <w:num w:numId="39" w16cid:durableId="597443256">
    <w:abstractNumId w:val="1"/>
  </w:num>
  <w:num w:numId="40" w16cid:durableId="1437554253">
    <w:abstractNumId w:val="34"/>
  </w:num>
  <w:num w:numId="41" w16cid:durableId="93475128">
    <w:abstractNumId w:val="10"/>
  </w:num>
  <w:num w:numId="42" w16cid:durableId="539513544">
    <w:abstractNumId w:val="19"/>
  </w:num>
  <w:num w:numId="43" w16cid:durableId="2016226288">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attachedTemplate r:id="rId1"/>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characterSpacingControl w:val="doNotCompress"/>
  <w:savePreviewPicture/>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FCA"/>
    <w:rsid w:val="00000087"/>
    <w:rsid w:val="00000370"/>
    <w:rsid w:val="000004B2"/>
    <w:rsid w:val="000004EF"/>
    <w:rsid w:val="00000601"/>
    <w:rsid w:val="0000090D"/>
    <w:rsid w:val="000009A8"/>
    <w:rsid w:val="00000B18"/>
    <w:rsid w:val="00000CA8"/>
    <w:rsid w:val="00000E07"/>
    <w:rsid w:val="00000F2A"/>
    <w:rsid w:val="0000126A"/>
    <w:rsid w:val="000012C2"/>
    <w:rsid w:val="000013EB"/>
    <w:rsid w:val="00001441"/>
    <w:rsid w:val="000014ED"/>
    <w:rsid w:val="0000173E"/>
    <w:rsid w:val="000018F7"/>
    <w:rsid w:val="0000196A"/>
    <w:rsid w:val="00001B41"/>
    <w:rsid w:val="00001B5B"/>
    <w:rsid w:val="00001D26"/>
    <w:rsid w:val="00001E27"/>
    <w:rsid w:val="00001F41"/>
    <w:rsid w:val="00001FEE"/>
    <w:rsid w:val="000021BA"/>
    <w:rsid w:val="00002572"/>
    <w:rsid w:val="000027A6"/>
    <w:rsid w:val="0000282B"/>
    <w:rsid w:val="000028C0"/>
    <w:rsid w:val="000029F1"/>
    <w:rsid w:val="000029F7"/>
    <w:rsid w:val="00002A32"/>
    <w:rsid w:val="00002C64"/>
    <w:rsid w:val="00002CD4"/>
    <w:rsid w:val="0000306A"/>
    <w:rsid w:val="00003226"/>
    <w:rsid w:val="00003344"/>
    <w:rsid w:val="00003407"/>
    <w:rsid w:val="0000352D"/>
    <w:rsid w:val="00003608"/>
    <w:rsid w:val="00003743"/>
    <w:rsid w:val="00003C15"/>
    <w:rsid w:val="00004111"/>
    <w:rsid w:val="0000415E"/>
    <w:rsid w:val="00004281"/>
    <w:rsid w:val="000042AC"/>
    <w:rsid w:val="000042FD"/>
    <w:rsid w:val="0000435B"/>
    <w:rsid w:val="00004586"/>
    <w:rsid w:val="00004741"/>
    <w:rsid w:val="000047B4"/>
    <w:rsid w:val="00004873"/>
    <w:rsid w:val="000048EE"/>
    <w:rsid w:val="00004AAE"/>
    <w:rsid w:val="00004D94"/>
    <w:rsid w:val="000050D4"/>
    <w:rsid w:val="00005109"/>
    <w:rsid w:val="0000533A"/>
    <w:rsid w:val="00005712"/>
    <w:rsid w:val="0000586E"/>
    <w:rsid w:val="00005CA7"/>
    <w:rsid w:val="00005DEB"/>
    <w:rsid w:val="00005EF3"/>
    <w:rsid w:val="00006096"/>
    <w:rsid w:val="00006236"/>
    <w:rsid w:val="00006540"/>
    <w:rsid w:val="0000654B"/>
    <w:rsid w:val="00006676"/>
    <w:rsid w:val="00006714"/>
    <w:rsid w:val="000067BB"/>
    <w:rsid w:val="0000689B"/>
    <w:rsid w:val="00006D45"/>
    <w:rsid w:val="00006F35"/>
    <w:rsid w:val="00007041"/>
    <w:rsid w:val="00007167"/>
    <w:rsid w:val="000078AB"/>
    <w:rsid w:val="00007906"/>
    <w:rsid w:val="00007970"/>
    <w:rsid w:val="00007B52"/>
    <w:rsid w:val="00007FD8"/>
    <w:rsid w:val="0001002B"/>
    <w:rsid w:val="0001012B"/>
    <w:rsid w:val="00010559"/>
    <w:rsid w:val="00010700"/>
    <w:rsid w:val="000107D1"/>
    <w:rsid w:val="000109AB"/>
    <w:rsid w:val="00010F20"/>
    <w:rsid w:val="00010FCB"/>
    <w:rsid w:val="00011108"/>
    <w:rsid w:val="000112F5"/>
    <w:rsid w:val="00011373"/>
    <w:rsid w:val="0001145F"/>
    <w:rsid w:val="0001156D"/>
    <w:rsid w:val="00011572"/>
    <w:rsid w:val="000117F8"/>
    <w:rsid w:val="000119BF"/>
    <w:rsid w:val="000119C4"/>
    <w:rsid w:val="00011C7A"/>
    <w:rsid w:val="00011C96"/>
    <w:rsid w:val="00011DDC"/>
    <w:rsid w:val="000125BD"/>
    <w:rsid w:val="00012913"/>
    <w:rsid w:val="0001292B"/>
    <w:rsid w:val="00012A7C"/>
    <w:rsid w:val="00012BC3"/>
    <w:rsid w:val="00012C13"/>
    <w:rsid w:val="00012D69"/>
    <w:rsid w:val="00012D83"/>
    <w:rsid w:val="00012EB9"/>
    <w:rsid w:val="00012F1D"/>
    <w:rsid w:val="000130B5"/>
    <w:rsid w:val="0001345A"/>
    <w:rsid w:val="000136C0"/>
    <w:rsid w:val="0001383D"/>
    <w:rsid w:val="00013FE7"/>
    <w:rsid w:val="00014093"/>
    <w:rsid w:val="00014173"/>
    <w:rsid w:val="000141F6"/>
    <w:rsid w:val="0001453F"/>
    <w:rsid w:val="00014570"/>
    <w:rsid w:val="000148D3"/>
    <w:rsid w:val="00014AA3"/>
    <w:rsid w:val="00014AFE"/>
    <w:rsid w:val="00014FA9"/>
    <w:rsid w:val="00015190"/>
    <w:rsid w:val="00015372"/>
    <w:rsid w:val="000154D8"/>
    <w:rsid w:val="00015724"/>
    <w:rsid w:val="00015A29"/>
    <w:rsid w:val="00015A3B"/>
    <w:rsid w:val="00015D65"/>
    <w:rsid w:val="00015E02"/>
    <w:rsid w:val="00016364"/>
    <w:rsid w:val="0001641F"/>
    <w:rsid w:val="000164AB"/>
    <w:rsid w:val="00016751"/>
    <w:rsid w:val="00016F31"/>
    <w:rsid w:val="00016FDC"/>
    <w:rsid w:val="0001746C"/>
    <w:rsid w:val="000174A7"/>
    <w:rsid w:val="000174EE"/>
    <w:rsid w:val="0001756E"/>
    <w:rsid w:val="000178FF"/>
    <w:rsid w:val="00017AD7"/>
    <w:rsid w:val="00017C33"/>
    <w:rsid w:val="00017C63"/>
    <w:rsid w:val="00017E3A"/>
    <w:rsid w:val="0002013D"/>
    <w:rsid w:val="0002037C"/>
    <w:rsid w:val="00020A37"/>
    <w:rsid w:val="00020A38"/>
    <w:rsid w:val="00020DB8"/>
    <w:rsid w:val="00020DE5"/>
    <w:rsid w:val="00020F1D"/>
    <w:rsid w:val="00020F34"/>
    <w:rsid w:val="000217FD"/>
    <w:rsid w:val="000218B9"/>
    <w:rsid w:val="00021A92"/>
    <w:rsid w:val="00021B82"/>
    <w:rsid w:val="00021C40"/>
    <w:rsid w:val="000224A9"/>
    <w:rsid w:val="000224D2"/>
    <w:rsid w:val="00022AB1"/>
    <w:rsid w:val="00022C25"/>
    <w:rsid w:val="00022EC7"/>
    <w:rsid w:val="00023313"/>
    <w:rsid w:val="000233EF"/>
    <w:rsid w:val="0002358B"/>
    <w:rsid w:val="0002358E"/>
    <w:rsid w:val="000235EB"/>
    <w:rsid w:val="000239CF"/>
    <w:rsid w:val="00023AA5"/>
    <w:rsid w:val="00023B9C"/>
    <w:rsid w:val="00024159"/>
    <w:rsid w:val="0002446F"/>
    <w:rsid w:val="00024608"/>
    <w:rsid w:val="00024900"/>
    <w:rsid w:val="00024A1C"/>
    <w:rsid w:val="00024C48"/>
    <w:rsid w:val="00024C68"/>
    <w:rsid w:val="0002534A"/>
    <w:rsid w:val="00025400"/>
    <w:rsid w:val="000254A6"/>
    <w:rsid w:val="000258C8"/>
    <w:rsid w:val="00026002"/>
    <w:rsid w:val="000260BB"/>
    <w:rsid w:val="00026139"/>
    <w:rsid w:val="0002630C"/>
    <w:rsid w:val="000264DF"/>
    <w:rsid w:val="00026676"/>
    <w:rsid w:val="00026704"/>
    <w:rsid w:val="00026796"/>
    <w:rsid w:val="0002695F"/>
    <w:rsid w:val="00026963"/>
    <w:rsid w:val="0002698F"/>
    <w:rsid w:val="00026B79"/>
    <w:rsid w:val="00026E67"/>
    <w:rsid w:val="00026E9F"/>
    <w:rsid w:val="0002704D"/>
    <w:rsid w:val="00027071"/>
    <w:rsid w:val="000270A7"/>
    <w:rsid w:val="000271D1"/>
    <w:rsid w:val="00027471"/>
    <w:rsid w:val="000275F9"/>
    <w:rsid w:val="00027601"/>
    <w:rsid w:val="0002762B"/>
    <w:rsid w:val="0002770D"/>
    <w:rsid w:val="000278F3"/>
    <w:rsid w:val="00027AA9"/>
    <w:rsid w:val="00027ADA"/>
    <w:rsid w:val="00027BD8"/>
    <w:rsid w:val="00027F09"/>
    <w:rsid w:val="00027F73"/>
    <w:rsid w:val="00030022"/>
    <w:rsid w:val="00030241"/>
    <w:rsid w:val="00030382"/>
    <w:rsid w:val="000305C9"/>
    <w:rsid w:val="00030619"/>
    <w:rsid w:val="00030620"/>
    <w:rsid w:val="000307B7"/>
    <w:rsid w:val="000309A0"/>
    <w:rsid w:val="00030B69"/>
    <w:rsid w:val="00030CF4"/>
    <w:rsid w:val="00030DD5"/>
    <w:rsid w:val="00031057"/>
    <w:rsid w:val="00031112"/>
    <w:rsid w:val="000313A4"/>
    <w:rsid w:val="0003168C"/>
    <w:rsid w:val="000319BB"/>
    <w:rsid w:val="00031C16"/>
    <w:rsid w:val="00031DAC"/>
    <w:rsid w:val="00031E2D"/>
    <w:rsid w:val="0003216F"/>
    <w:rsid w:val="00032312"/>
    <w:rsid w:val="00032340"/>
    <w:rsid w:val="0003280B"/>
    <w:rsid w:val="00032827"/>
    <w:rsid w:val="00032913"/>
    <w:rsid w:val="00032928"/>
    <w:rsid w:val="00032C46"/>
    <w:rsid w:val="00032DFE"/>
    <w:rsid w:val="00032F08"/>
    <w:rsid w:val="00033228"/>
    <w:rsid w:val="00033321"/>
    <w:rsid w:val="000333A2"/>
    <w:rsid w:val="00033465"/>
    <w:rsid w:val="00033630"/>
    <w:rsid w:val="00033659"/>
    <w:rsid w:val="000338E5"/>
    <w:rsid w:val="00033A21"/>
    <w:rsid w:val="00033AF3"/>
    <w:rsid w:val="00033C06"/>
    <w:rsid w:val="00033E7C"/>
    <w:rsid w:val="00033ECC"/>
    <w:rsid w:val="00033F13"/>
    <w:rsid w:val="000340EB"/>
    <w:rsid w:val="00034118"/>
    <w:rsid w:val="0003422A"/>
    <w:rsid w:val="0003422F"/>
    <w:rsid w:val="00035508"/>
    <w:rsid w:val="000355A2"/>
    <w:rsid w:val="00035752"/>
    <w:rsid w:val="00035798"/>
    <w:rsid w:val="0003595B"/>
    <w:rsid w:val="000359CA"/>
    <w:rsid w:val="00035B9D"/>
    <w:rsid w:val="00035C3D"/>
    <w:rsid w:val="00035CC4"/>
    <w:rsid w:val="00035D8D"/>
    <w:rsid w:val="00035F15"/>
    <w:rsid w:val="000361F8"/>
    <w:rsid w:val="00036253"/>
    <w:rsid w:val="0003650D"/>
    <w:rsid w:val="00036582"/>
    <w:rsid w:val="0003677C"/>
    <w:rsid w:val="0003678B"/>
    <w:rsid w:val="0003683E"/>
    <w:rsid w:val="000368ED"/>
    <w:rsid w:val="00036AC4"/>
    <w:rsid w:val="00036BB6"/>
    <w:rsid w:val="00036CFA"/>
    <w:rsid w:val="00036D1B"/>
    <w:rsid w:val="000370AA"/>
    <w:rsid w:val="0003716E"/>
    <w:rsid w:val="0003731F"/>
    <w:rsid w:val="00037595"/>
    <w:rsid w:val="0003769E"/>
    <w:rsid w:val="0003796B"/>
    <w:rsid w:val="000379CF"/>
    <w:rsid w:val="00037B2D"/>
    <w:rsid w:val="00037C69"/>
    <w:rsid w:val="00037D19"/>
    <w:rsid w:val="00037E93"/>
    <w:rsid w:val="00037F52"/>
    <w:rsid w:val="0004003F"/>
    <w:rsid w:val="0004026A"/>
    <w:rsid w:val="000402FD"/>
    <w:rsid w:val="00040721"/>
    <w:rsid w:val="000408F8"/>
    <w:rsid w:val="00040A05"/>
    <w:rsid w:val="00040B94"/>
    <w:rsid w:val="00040E1B"/>
    <w:rsid w:val="00041307"/>
    <w:rsid w:val="00041613"/>
    <w:rsid w:val="00041C02"/>
    <w:rsid w:val="00041D14"/>
    <w:rsid w:val="00042927"/>
    <w:rsid w:val="00042939"/>
    <w:rsid w:val="00042D66"/>
    <w:rsid w:val="00042E92"/>
    <w:rsid w:val="00043027"/>
    <w:rsid w:val="00043396"/>
    <w:rsid w:val="0004341B"/>
    <w:rsid w:val="00043727"/>
    <w:rsid w:val="00043908"/>
    <w:rsid w:val="000439CA"/>
    <w:rsid w:val="00043AF6"/>
    <w:rsid w:val="00043D07"/>
    <w:rsid w:val="00043D82"/>
    <w:rsid w:val="00043E22"/>
    <w:rsid w:val="00044050"/>
    <w:rsid w:val="000445DF"/>
    <w:rsid w:val="0004499C"/>
    <w:rsid w:val="00044AF9"/>
    <w:rsid w:val="00044BCD"/>
    <w:rsid w:val="00044BDA"/>
    <w:rsid w:val="00044BFB"/>
    <w:rsid w:val="00044CBC"/>
    <w:rsid w:val="00044D94"/>
    <w:rsid w:val="00044E8C"/>
    <w:rsid w:val="00045322"/>
    <w:rsid w:val="00045438"/>
    <w:rsid w:val="00045472"/>
    <w:rsid w:val="000457C5"/>
    <w:rsid w:val="00045AF1"/>
    <w:rsid w:val="00045BCC"/>
    <w:rsid w:val="00045DAB"/>
    <w:rsid w:val="00045F33"/>
    <w:rsid w:val="00045F9C"/>
    <w:rsid w:val="00046018"/>
    <w:rsid w:val="0004604E"/>
    <w:rsid w:val="000460A1"/>
    <w:rsid w:val="00046276"/>
    <w:rsid w:val="00046563"/>
    <w:rsid w:val="0004656C"/>
    <w:rsid w:val="00046825"/>
    <w:rsid w:val="00046A77"/>
    <w:rsid w:val="00046B29"/>
    <w:rsid w:val="00046B48"/>
    <w:rsid w:val="00046E4C"/>
    <w:rsid w:val="00046EAD"/>
    <w:rsid w:val="00046FF0"/>
    <w:rsid w:val="000473A2"/>
    <w:rsid w:val="00047466"/>
    <w:rsid w:val="000475C0"/>
    <w:rsid w:val="000475D7"/>
    <w:rsid w:val="000477D7"/>
    <w:rsid w:val="000477E1"/>
    <w:rsid w:val="000477F8"/>
    <w:rsid w:val="00047973"/>
    <w:rsid w:val="00047EEC"/>
    <w:rsid w:val="00047FAE"/>
    <w:rsid w:val="00047FDE"/>
    <w:rsid w:val="00050176"/>
    <w:rsid w:val="00050188"/>
    <w:rsid w:val="00050199"/>
    <w:rsid w:val="00050432"/>
    <w:rsid w:val="000505D9"/>
    <w:rsid w:val="00050683"/>
    <w:rsid w:val="000508D1"/>
    <w:rsid w:val="000512C1"/>
    <w:rsid w:val="000512E3"/>
    <w:rsid w:val="00051329"/>
    <w:rsid w:val="0005133C"/>
    <w:rsid w:val="000513A2"/>
    <w:rsid w:val="00051552"/>
    <w:rsid w:val="000517BE"/>
    <w:rsid w:val="00051807"/>
    <w:rsid w:val="0005188F"/>
    <w:rsid w:val="00051D49"/>
    <w:rsid w:val="00051E96"/>
    <w:rsid w:val="00052084"/>
    <w:rsid w:val="00052778"/>
    <w:rsid w:val="000527E5"/>
    <w:rsid w:val="00052F87"/>
    <w:rsid w:val="00053027"/>
    <w:rsid w:val="0005312E"/>
    <w:rsid w:val="000534FA"/>
    <w:rsid w:val="00053579"/>
    <w:rsid w:val="0005365B"/>
    <w:rsid w:val="000539B4"/>
    <w:rsid w:val="00053A76"/>
    <w:rsid w:val="00053BB3"/>
    <w:rsid w:val="00053C06"/>
    <w:rsid w:val="00053DC9"/>
    <w:rsid w:val="00053DCB"/>
    <w:rsid w:val="00053EB3"/>
    <w:rsid w:val="00053FD0"/>
    <w:rsid w:val="0005400B"/>
    <w:rsid w:val="000542A9"/>
    <w:rsid w:val="00054343"/>
    <w:rsid w:val="00054368"/>
    <w:rsid w:val="000543FD"/>
    <w:rsid w:val="00054463"/>
    <w:rsid w:val="000544BB"/>
    <w:rsid w:val="0005452E"/>
    <w:rsid w:val="00054678"/>
    <w:rsid w:val="00054731"/>
    <w:rsid w:val="000549B5"/>
    <w:rsid w:val="00054CC9"/>
    <w:rsid w:val="00054D0D"/>
    <w:rsid w:val="00054D8C"/>
    <w:rsid w:val="00054D97"/>
    <w:rsid w:val="00054F68"/>
    <w:rsid w:val="00055575"/>
    <w:rsid w:val="00055897"/>
    <w:rsid w:val="000559A6"/>
    <w:rsid w:val="00055C1D"/>
    <w:rsid w:val="00055FAC"/>
    <w:rsid w:val="00056202"/>
    <w:rsid w:val="00056444"/>
    <w:rsid w:val="00056585"/>
    <w:rsid w:val="0005664E"/>
    <w:rsid w:val="00056799"/>
    <w:rsid w:val="0005694F"/>
    <w:rsid w:val="00056D04"/>
    <w:rsid w:val="0005717E"/>
    <w:rsid w:val="0005741E"/>
    <w:rsid w:val="0005751C"/>
    <w:rsid w:val="0005756E"/>
    <w:rsid w:val="000575DE"/>
    <w:rsid w:val="000600D2"/>
    <w:rsid w:val="000603E5"/>
    <w:rsid w:val="0006056F"/>
    <w:rsid w:val="00060AA5"/>
    <w:rsid w:val="00060AF6"/>
    <w:rsid w:val="00060B34"/>
    <w:rsid w:val="00060BFF"/>
    <w:rsid w:val="00060D04"/>
    <w:rsid w:val="00060DB2"/>
    <w:rsid w:val="00061458"/>
    <w:rsid w:val="00061604"/>
    <w:rsid w:val="00061676"/>
    <w:rsid w:val="0006177C"/>
    <w:rsid w:val="00061789"/>
    <w:rsid w:val="00061C3E"/>
    <w:rsid w:val="00061D28"/>
    <w:rsid w:val="00061D91"/>
    <w:rsid w:val="00061F64"/>
    <w:rsid w:val="00061F76"/>
    <w:rsid w:val="000620A1"/>
    <w:rsid w:val="000621B8"/>
    <w:rsid w:val="000622C7"/>
    <w:rsid w:val="00062422"/>
    <w:rsid w:val="0006267D"/>
    <w:rsid w:val="000626EF"/>
    <w:rsid w:val="00062B65"/>
    <w:rsid w:val="00062BB5"/>
    <w:rsid w:val="00062CB2"/>
    <w:rsid w:val="00062EBB"/>
    <w:rsid w:val="0006333D"/>
    <w:rsid w:val="00063655"/>
    <w:rsid w:val="00063694"/>
    <w:rsid w:val="00063881"/>
    <w:rsid w:val="000638DD"/>
    <w:rsid w:val="000638DE"/>
    <w:rsid w:val="00063921"/>
    <w:rsid w:val="00063F56"/>
    <w:rsid w:val="00063FEE"/>
    <w:rsid w:val="00063FF5"/>
    <w:rsid w:val="00064033"/>
    <w:rsid w:val="000643D2"/>
    <w:rsid w:val="000645FE"/>
    <w:rsid w:val="00064864"/>
    <w:rsid w:val="00064997"/>
    <w:rsid w:val="00064A2C"/>
    <w:rsid w:val="00064CAE"/>
    <w:rsid w:val="00064F76"/>
    <w:rsid w:val="0006502E"/>
    <w:rsid w:val="000651E6"/>
    <w:rsid w:val="00065672"/>
    <w:rsid w:val="0006596B"/>
    <w:rsid w:val="000659B2"/>
    <w:rsid w:val="00065D56"/>
    <w:rsid w:val="00065D5D"/>
    <w:rsid w:val="00065DD2"/>
    <w:rsid w:val="0006631F"/>
    <w:rsid w:val="00066334"/>
    <w:rsid w:val="00066366"/>
    <w:rsid w:val="00066390"/>
    <w:rsid w:val="000663F7"/>
    <w:rsid w:val="000664DD"/>
    <w:rsid w:val="00066799"/>
    <w:rsid w:val="00066F30"/>
    <w:rsid w:val="00067456"/>
    <w:rsid w:val="000674B6"/>
    <w:rsid w:val="000675D6"/>
    <w:rsid w:val="00067648"/>
    <w:rsid w:val="000677BA"/>
    <w:rsid w:val="00067C00"/>
    <w:rsid w:val="00067C49"/>
    <w:rsid w:val="00067E25"/>
    <w:rsid w:val="00067EBD"/>
    <w:rsid w:val="00067FE8"/>
    <w:rsid w:val="0007003D"/>
    <w:rsid w:val="00070166"/>
    <w:rsid w:val="000701FE"/>
    <w:rsid w:val="00070394"/>
    <w:rsid w:val="0007064A"/>
    <w:rsid w:val="00070650"/>
    <w:rsid w:val="00070745"/>
    <w:rsid w:val="00070B3D"/>
    <w:rsid w:val="00070E1C"/>
    <w:rsid w:val="00071246"/>
    <w:rsid w:val="00071506"/>
    <w:rsid w:val="0007154F"/>
    <w:rsid w:val="000715D3"/>
    <w:rsid w:val="00071B1A"/>
    <w:rsid w:val="00071B69"/>
    <w:rsid w:val="00071F02"/>
    <w:rsid w:val="000721D4"/>
    <w:rsid w:val="000721DF"/>
    <w:rsid w:val="000723FD"/>
    <w:rsid w:val="000726AD"/>
    <w:rsid w:val="00072A67"/>
    <w:rsid w:val="00072B1E"/>
    <w:rsid w:val="00072BE8"/>
    <w:rsid w:val="0007314C"/>
    <w:rsid w:val="00073168"/>
    <w:rsid w:val="000731AD"/>
    <w:rsid w:val="000735A6"/>
    <w:rsid w:val="0007362B"/>
    <w:rsid w:val="00073672"/>
    <w:rsid w:val="0007370C"/>
    <w:rsid w:val="000737DA"/>
    <w:rsid w:val="00073A60"/>
    <w:rsid w:val="00073AA8"/>
    <w:rsid w:val="00073DC3"/>
    <w:rsid w:val="0007406B"/>
    <w:rsid w:val="00074205"/>
    <w:rsid w:val="00074427"/>
    <w:rsid w:val="000747B4"/>
    <w:rsid w:val="000747BA"/>
    <w:rsid w:val="000748B8"/>
    <w:rsid w:val="000749AD"/>
    <w:rsid w:val="00074B8E"/>
    <w:rsid w:val="00074BF4"/>
    <w:rsid w:val="00074C54"/>
    <w:rsid w:val="000753FD"/>
    <w:rsid w:val="0007545E"/>
    <w:rsid w:val="0007571B"/>
    <w:rsid w:val="00076306"/>
    <w:rsid w:val="00076320"/>
    <w:rsid w:val="0007639B"/>
    <w:rsid w:val="000766D5"/>
    <w:rsid w:val="000768D5"/>
    <w:rsid w:val="00076CAF"/>
    <w:rsid w:val="00076EBE"/>
    <w:rsid w:val="00077023"/>
    <w:rsid w:val="00077191"/>
    <w:rsid w:val="000773CD"/>
    <w:rsid w:val="0007741A"/>
    <w:rsid w:val="00077440"/>
    <w:rsid w:val="00077500"/>
    <w:rsid w:val="000775C7"/>
    <w:rsid w:val="000777EB"/>
    <w:rsid w:val="000778AE"/>
    <w:rsid w:val="00077BF9"/>
    <w:rsid w:val="00080209"/>
    <w:rsid w:val="000803A5"/>
    <w:rsid w:val="00080722"/>
    <w:rsid w:val="00080CC5"/>
    <w:rsid w:val="00080E26"/>
    <w:rsid w:val="00081277"/>
    <w:rsid w:val="0008147C"/>
    <w:rsid w:val="000816A3"/>
    <w:rsid w:val="00081812"/>
    <w:rsid w:val="0008181A"/>
    <w:rsid w:val="00081825"/>
    <w:rsid w:val="000819D8"/>
    <w:rsid w:val="00081A39"/>
    <w:rsid w:val="00081AB1"/>
    <w:rsid w:val="00081EFA"/>
    <w:rsid w:val="00081F42"/>
    <w:rsid w:val="00081F4A"/>
    <w:rsid w:val="00081F7E"/>
    <w:rsid w:val="0008221D"/>
    <w:rsid w:val="0008230C"/>
    <w:rsid w:val="000824C9"/>
    <w:rsid w:val="000824F2"/>
    <w:rsid w:val="000828A4"/>
    <w:rsid w:val="00082AC5"/>
    <w:rsid w:val="00082B5B"/>
    <w:rsid w:val="00082B69"/>
    <w:rsid w:val="00082B7C"/>
    <w:rsid w:val="00082C03"/>
    <w:rsid w:val="00082D12"/>
    <w:rsid w:val="00082DD1"/>
    <w:rsid w:val="00082EF3"/>
    <w:rsid w:val="00082F6B"/>
    <w:rsid w:val="0008357D"/>
    <w:rsid w:val="000835F7"/>
    <w:rsid w:val="0008363B"/>
    <w:rsid w:val="00083740"/>
    <w:rsid w:val="00083BD6"/>
    <w:rsid w:val="00083C9D"/>
    <w:rsid w:val="00083FD3"/>
    <w:rsid w:val="0008420E"/>
    <w:rsid w:val="00084395"/>
    <w:rsid w:val="0008441A"/>
    <w:rsid w:val="00084882"/>
    <w:rsid w:val="00084967"/>
    <w:rsid w:val="00084A7C"/>
    <w:rsid w:val="00084AEC"/>
    <w:rsid w:val="00084DC9"/>
    <w:rsid w:val="00084F43"/>
    <w:rsid w:val="00084F54"/>
    <w:rsid w:val="0008500F"/>
    <w:rsid w:val="00085066"/>
    <w:rsid w:val="0008514E"/>
    <w:rsid w:val="0008519E"/>
    <w:rsid w:val="00085640"/>
    <w:rsid w:val="00085900"/>
    <w:rsid w:val="0008592F"/>
    <w:rsid w:val="00085A43"/>
    <w:rsid w:val="00086149"/>
    <w:rsid w:val="000861AD"/>
    <w:rsid w:val="00086843"/>
    <w:rsid w:val="000868CE"/>
    <w:rsid w:val="000868F4"/>
    <w:rsid w:val="00086AC1"/>
    <w:rsid w:val="00086C36"/>
    <w:rsid w:val="00087409"/>
    <w:rsid w:val="0008757B"/>
    <w:rsid w:val="0008784C"/>
    <w:rsid w:val="00087ED4"/>
    <w:rsid w:val="00087F16"/>
    <w:rsid w:val="000900BB"/>
    <w:rsid w:val="000900BF"/>
    <w:rsid w:val="00090316"/>
    <w:rsid w:val="00090729"/>
    <w:rsid w:val="00090B96"/>
    <w:rsid w:val="00090FD1"/>
    <w:rsid w:val="000911EE"/>
    <w:rsid w:val="00091489"/>
    <w:rsid w:val="00091664"/>
    <w:rsid w:val="000916A0"/>
    <w:rsid w:val="0009183A"/>
    <w:rsid w:val="00091BFF"/>
    <w:rsid w:val="00092108"/>
    <w:rsid w:val="00092341"/>
    <w:rsid w:val="0009288E"/>
    <w:rsid w:val="00092AFC"/>
    <w:rsid w:val="00092D86"/>
    <w:rsid w:val="000931BE"/>
    <w:rsid w:val="000933E0"/>
    <w:rsid w:val="0009348C"/>
    <w:rsid w:val="00093833"/>
    <w:rsid w:val="0009387E"/>
    <w:rsid w:val="00093981"/>
    <w:rsid w:val="00093B86"/>
    <w:rsid w:val="00093CD9"/>
    <w:rsid w:val="00093CFF"/>
    <w:rsid w:val="00093E72"/>
    <w:rsid w:val="00093F7D"/>
    <w:rsid w:val="00094131"/>
    <w:rsid w:val="000941CA"/>
    <w:rsid w:val="00094510"/>
    <w:rsid w:val="000945C2"/>
    <w:rsid w:val="000946BE"/>
    <w:rsid w:val="0009475A"/>
    <w:rsid w:val="00094A58"/>
    <w:rsid w:val="00094A5C"/>
    <w:rsid w:val="00094F89"/>
    <w:rsid w:val="00095298"/>
    <w:rsid w:val="00095651"/>
    <w:rsid w:val="000956E5"/>
    <w:rsid w:val="000957DA"/>
    <w:rsid w:val="00095942"/>
    <w:rsid w:val="00095DD2"/>
    <w:rsid w:val="00095FCE"/>
    <w:rsid w:val="0009620F"/>
    <w:rsid w:val="0009634C"/>
    <w:rsid w:val="00096865"/>
    <w:rsid w:val="000968B9"/>
    <w:rsid w:val="000968E7"/>
    <w:rsid w:val="000968FF"/>
    <w:rsid w:val="00096E16"/>
    <w:rsid w:val="000974D7"/>
    <w:rsid w:val="00097650"/>
    <w:rsid w:val="000978DB"/>
    <w:rsid w:val="00097C3D"/>
    <w:rsid w:val="00097C5E"/>
    <w:rsid w:val="00097C93"/>
    <w:rsid w:val="00097DC5"/>
    <w:rsid w:val="00097EA6"/>
    <w:rsid w:val="000A0066"/>
    <w:rsid w:val="000A008F"/>
    <w:rsid w:val="000A0415"/>
    <w:rsid w:val="000A0569"/>
    <w:rsid w:val="000A07B5"/>
    <w:rsid w:val="000A0EF4"/>
    <w:rsid w:val="000A0F4C"/>
    <w:rsid w:val="000A0F92"/>
    <w:rsid w:val="000A0FE5"/>
    <w:rsid w:val="000A197C"/>
    <w:rsid w:val="000A1E87"/>
    <w:rsid w:val="000A1EBD"/>
    <w:rsid w:val="000A1F43"/>
    <w:rsid w:val="000A20DD"/>
    <w:rsid w:val="000A2610"/>
    <w:rsid w:val="000A27E7"/>
    <w:rsid w:val="000A28C0"/>
    <w:rsid w:val="000A28D3"/>
    <w:rsid w:val="000A2D49"/>
    <w:rsid w:val="000A2E0B"/>
    <w:rsid w:val="000A2F26"/>
    <w:rsid w:val="000A30CB"/>
    <w:rsid w:val="000A3184"/>
    <w:rsid w:val="000A319C"/>
    <w:rsid w:val="000A32B2"/>
    <w:rsid w:val="000A3515"/>
    <w:rsid w:val="000A3709"/>
    <w:rsid w:val="000A37BC"/>
    <w:rsid w:val="000A3824"/>
    <w:rsid w:val="000A38B4"/>
    <w:rsid w:val="000A3A01"/>
    <w:rsid w:val="000A3A84"/>
    <w:rsid w:val="000A3E37"/>
    <w:rsid w:val="000A3ECF"/>
    <w:rsid w:val="000A41E0"/>
    <w:rsid w:val="000A4418"/>
    <w:rsid w:val="000A45DD"/>
    <w:rsid w:val="000A46AF"/>
    <w:rsid w:val="000A49B1"/>
    <w:rsid w:val="000A4B3E"/>
    <w:rsid w:val="000A4B68"/>
    <w:rsid w:val="000A4B98"/>
    <w:rsid w:val="000A4BD2"/>
    <w:rsid w:val="000A4EB5"/>
    <w:rsid w:val="000A4FD7"/>
    <w:rsid w:val="000A51C6"/>
    <w:rsid w:val="000A5205"/>
    <w:rsid w:val="000A5300"/>
    <w:rsid w:val="000A5499"/>
    <w:rsid w:val="000A5634"/>
    <w:rsid w:val="000A5A2A"/>
    <w:rsid w:val="000A5F48"/>
    <w:rsid w:val="000A5FD9"/>
    <w:rsid w:val="000A60E8"/>
    <w:rsid w:val="000A62D3"/>
    <w:rsid w:val="000A661D"/>
    <w:rsid w:val="000A6730"/>
    <w:rsid w:val="000A69D4"/>
    <w:rsid w:val="000A6C6B"/>
    <w:rsid w:val="000A6D7A"/>
    <w:rsid w:val="000A6E3A"/>
    <w:rsid w:val="000A6F2C"/>
    <w:rsid w:val="000A7106"/>
    <w:rsid w:val="000A7698"/>
    <w:rsid w:val="000A7785"/>
    <w:rsid w:val="000A7B2A"/>
    <w:rsid w:val="000A7CD2"/>
    <w:rsid w:val="000B0275"/>
    <w:rsid w:val="000B0288"/>
    <w:rsid w:val="000B05EC"/>
    <w:rsid w:val="000B067A"/>
    <w:rsid w:val="000B088D"/>
    <w:rsid w:val="000B0924"/>
    <w:rsid w:val="000B0984"/>
    <w:rsid w:val="000B0D29"/>
    <w:rsid w:val="000B0D52"/>
    <w:rsid w:val="000B0D88"/>
    <w:rsid w:val="000B1249"/>
    <w:rsid w:val="000B1271"/>
    <w:rsid w:val="000B146F"/>
    <w:rsid w:val="000B1540"/>
    <w:rsid w:val="000B1773"/>
    <w:rsid w:val="000B1A1E"/>
    <w:rsid w:val="000B1DA0"/>
    <w:rsid w:val="000B1E38"/>
    <w:rsid w:val="000B1F20"/>
    <w:rsid w:val="000B24DB"/>
    <w:rsid w:val="000B2534"/>
    <w:rsid w:val="000B25F7"/>
    <w:rsid w:val="000B26AE"/>
    <w:rsid w:val="000B27F4"/>
    <w:rsid w:val="000B2844"/>
    <w:rsid w:val="000B28D1"/>
    <w:rsid w:val="000B292F"/>
    <w:rsid w:val="000B2930"/>
    <w:rsid w:val="000B29A5"/>
    <w:rsid w:val="000B2B35"/>
    <w:rsid w:val="000B2BAC"/>
    <w:rsid w:val="000B2CFC"/>
    <w:rsid w:val="000B2F40"/>
    <w:rsid w:val="000B3212"/>
    <w:rsid w:val="000B325C"/>
    <w:rsid w:val="000B33FD"/>
    <w:rsid w:val="000B3404"/>
    <w:rsid w:val="000B3881"/>
    <w:rsid w:val="000B3C24"/>
    <w:rsid w:val="000B3ED6"/>
    <w:rsid w:val="000B3EEA"/>
    <w:rsid w:val="000B4270"/>
    <w:rsid w:val="000B4318"/>
    <w:rsid w:val="000B46A1"/>
    <w:rsid w:val="000B4A05"/>
    <w:rsid w:val="000B4ABA"/>
    <w:rsid w:val="000B4D47"/>
    <w:rsid w:val="000B4D9C"/>
    <w:rsid w:val="000B4EAE"/>
    <w:rsid w:val="000B4EC5"/>
    <w:rsid w:val="000B4EDE"/>
    <w:rsid w:val="000B4EEC"/>
    <w:rsid w:val="000B5148"/>
    <w:rsid w:val="000B519A"/>
    <w:rsid w:val="000B5818"/>
    <w:rsid w:val="000B58BE"/>
    <w:rsid w:val="000B5AA3"/>
    <w:rsid w:val="000B5D59"/>
    <w:rsid w:val="000B62A9"/>
    <w:rsid w:val="000B67EB"/>
    <w:rsid w:val="000B6938"/>
    <w:rsid w:val="000B6970"/>
    <w:rsid w:val="000B6E27"/>
    <w:rsid w:val="000B6EC3"/>
    <w:rsid w:val="000B718F"/>
    <w:rsid w:val="000B73B8"/>
    <w:rsid w:val="000B755F"/>
    <w:rsid w:val="000B7778"/>
    <w:rsid w:val="000B7806"/>
    <w:rsid w:val="000B79EC"/>
    <w:rsid w:val="000B7B66"/>
    <w:rsid w:val="000C00C8"/>
    <w:rsid w:val="000C05D2"/>
    <w:rsid w:val="000C0F4E"/>
    <w:rsid w:val="000C1637"/>
    <w:rsid w:val="000C169D"/>
    <w:rsid w:val="000C1743"/>
    <w:rsid w:val="000C1947"/>
    <w:rsid w:val="000C1B58"/>
    <w:rsid w:val="000C1D0C"/>
    <w:rsid w:val="000C1F1C"/>
    <w:rsid w:val="000C21B5"/>
    <w:rsid w:val="000C2794"/>
    <w:rsid w:val="000C289F"/>
    <w:rsid w:val="000C28AA"/>
    <w:rsid w:val="000C29C0"/>
    <w:rsid w:val="000C2A49"/>
    <w:rsid w:val="000C2B5E"/>
    <w:rsid w:val="000C2B88"/>
    <w:rsid w:val="000C2CC1"/>
    <w:rsid w:val="000C2EF7"/>
    <w:rsid w:val="000C2F50"/>
    <w:rsid w:val="000C3094"/>
    <w:rsid w:val="000C317E"/>
    <w:rsid w:val="000C31F2"/>
    <w:rsid w:val="000C3841"/>
    <w:rsid w:val="000C3B1C"/>
    <w:rsid w:val="000C3B34"/>
    <w:rsid w:val="000C3B69"/>
    <w:rsid w:val="000C3BA3"/>
    <w:rsid w:val="000C3EE4"/>
    <w:rsid w:val="000C3F2B"/>
    <w:rsid w:val="000C3F33"/>
    <w:rsid w:val="000C3F9E"/>
    <w:rsid w:val="000C4460"/>
    <w:rsid w:val="000C4475"/>
    <w:rsid w:val="000C461A"/>
    <w:rsid w:val="000C4847"/>
    <w:rsid w:val="000C494B"/>
    <w:rsid w:val="000C4967"/>
    <w:rsid w:val="000C4B16"/>
    <w:rsid w:val="000C4D06"/>
    <w:rsid w:val="000C4DCF"/>
    <w:rsid w:val="000C50C3"/>
    <w:rsid w:val="000C510A"/>
    <w:rsid w:val="000C5181"/>
    <w:rsid w:val="000C519A"/>
    <w:rsid w:val="000C52C8"/>
    <w:rsid w:val="000C5488"/>
    <w:rsid w:val="000C5766"/>
    <w:rsid w:val="000C5A6C"/>
    <w:rsid w:val="000C5DEB"/>
    <w:rsid w:val="000C5EB5"/>
    <w:rsid w:val="000C6045"/>
    <w:rsid w:val="000C606F"/>
    <w:rsid w:val="000C615F"/>
    <w:rsid w:val="000C616D"/>
    <w:rsid w:val="000C6413"/>
    <w:rsid w:val="000C6532"/>
    <w:rsid w:val="000C6CA7"/>
    <w:rsid w:val="000C6E84"/>
    <w:rsid w:val="000C6FD5"/>
    <w:rsid w:val="000C708F"/>
    <w:rsid w:val="000C7108"/>
    <w:rsid w:val="000C710B"/>
    <w:rsid w:val="000C72EB"/>
    <w:rsid w:val="000C7305"/>
    <w:rsid w:val="000C7461"/>
    <w:rsid w:val="000C749F"/>
    <w:rsid w:val="000C74C9"/>
    <w:rsid w:val="000C75A3"/>
    <w:rsid w:val="000C76EC"/>
    <w:rsid w:val="000C7ACA"/>
    <w:rsid w:val="000C7BC3"/>
    <w:rsid w:val="000C7DAC"/>
    <w:rsid w:val="000C7EFC"/>
    <w:rsid w:val="000D034A"/>
    <w:rsid w:val="000D03D9"/>
    <w:rsid w:val="000D06E9"/>
    <w:rsid w:val="000D07FA"/>
    <w:rsid w:val="000D0A22"/>
    <w:rsid w:val="000D0C1E"/>
    <w:rsid w:val="000D0C8A"/>
    <w:rsid w:val="000D0EE3"/>
    <w:rsid w:val="000D0F25"/>
    <w:rsid w:val="000D1107"/>
    <w:rsid w:val="000D19C4"/>
    <w:rsid w:val="000D1BC4"/>
    <w:rsid w:val="000D1F0B"/>
    <w:rsid w:val="000D20A0"/>
    <w:rsid w:val="000D20B2"/>
    <w:rsid w:val="000D215C"/>
    <w:rsid w:val="000D21F6"/>
    <w:rsid w:val="000D2428"/>
    <w:rsid w:val="000D2498"/>
    <w:rsid w:val="000D25D7"/>
    <w:rsid w:val="000D2816"/>
    <w:rsid w:val="000D2953"/>
    <w:rsid w:val="000D2D58"/>
    <w:rsid w:val="000D319C"/>
    <w:rsid w:val="000D33FB"/>
    <w:rsid w:val="000D34B4"/>
    <w:rsid w:val="000D3550"/>
    <w:rsid w:val="000D36BF"/>
    <w:rsid w:val="000D3908"/>
    <w:rsid w:val="000D3AA8"/>
    <w:rsid w:val="000D3D27"/>
    <w:rsid w:val="000D3F1E"/>
    <w:rsid w:val="000D3F47"/>
    <w:rsid w:val="000D424A"/>
    <w:rsid w:val="000D42AD"/>
    <w:rsid w:val="000D42C3"/>
    <w:rsid w:val="000D434C"/>
    <w:rsid w:val="000D438D"/>
    <w:rsid w:val="000D4390"/>
    <w:rsid w:val="000D4481"/>
    <w:rsid w:val="000D4500"/>
    <w:rsid w:val="000D47B7"/>
    <w:rsid w:val="000D48C5"/>
    <w:rsid w:val="000D4960"/>
    <w:rsid w:val="000D4C9D"/>
    <w:rsid w:val="000D4E54"/>
    <w:rsid w:val="000D53D4"/>
    <w:rsid w:val="000D54F3"/>
    <w:rsid w:val="000D56D0"/>
    <w:rsid w:val="000D5DAD"/>
    <w:rsid w:val="000D6193"/>
    <w:rsid w:val="000D63FA"/>
    <w:rsid w:val="000D690D"/>
    <w:rsid w:val="000D69BF"/>
    <w:rsid w:val="000D6AFC"/>
    <w:rsid w:val="000D70A8"/>
    <w:rsid w:val="000D70EF"/>
    <w:rsid w:val="000D71AE"/>
    <w:rsid w:val="000D72F8"/>
    <w:rsid w:val="000D73B1"/>
    <w:rsid w:val="000D75C9"/>
    <w:rsid w:val="000D75E5"/>
    <w:rsid w:val="000D7726"/>
    <w:rsid w:val="000D77EC"/>
    <w:rsid w:val="000D7940"/>
    <w:rsid w:val="000D7AEA"/>
    <w:rsid w:val="000D7C0C"/>
    <w:rsid w:val="000E01A9"/>
    <w:rsid w:val="000E03D9"/>
    <w:rsid w:val="000E08C9"/>
    <w:rsid w:val="000E08D6"/>
    <w:rsid w:val="000E0D95"/>
    <w:rsid w:val="000E0E35"/>
    <w:rsid w:val="000E1207"/>
    <w:rsid w:val="000E12C1"/>
    <w:rsid w:val="000E1313"/>
    <w:rsid w:val="000E1572"/>
    <w:rsid w:val="000E163E"/>
    <w:rsid w:val="000E1742"/>
    <w:rsid w:val="000E1840"/>
    <w:rsid w:val="000E18AF"/>
    <w:rsid w:val="000E1A06"/>
    <w:rsid w:val="000E1E1C"/>
    <w:rsid w:val="000E2398"/>
    <w:rsid w:val="000E240B"/>
    <w:rsid w:val="000E258D"/>
    <w:rsid w:val="000E266E"/>
    <w:rsid w:val="000E2705"/>
    <w:rsid w:val="000E27EE"/>
    <w:rsid w:val="000E2B73"/>
    <w:rsid w:val="000E2C66"/>
    <w:rsid w:val="000E2DFB"/>
    <w:rsid w:val="000E32DE"/>
    <w:rsid w:val="000E3387"/>
    <w:rsid w:val="000E365F"/>
    <w:rsid w:val="000E3858"/>
    <w:rsid w:val="000E3B50"/>
    <w:rsid w:val="000E3B90"/>
    <w:rsid w:val="000E3C29"/>
    <w:rsid w:val="000E3CAE"/>
    <w:rsid w:val="000E3EB2"/>
    <w:rsid w:val="000E434A"/>
    <w:rsid w:val="000E44E2"/>
    <w:rsid w:val="000E45AB"/>
    <w:rsid w:val="000E48A3"/>
    <w:rsid w:val="000E495A"/>
    <w:rsid w:val="000E4B26"/>
    <w:rsid w:val="000E4C1F"/>
    <w:rsid w:val="000E4D70"/>
    <w:rsid w:val="000E4E5B"/>
    <w:rsid w:val="000E510B"/>
    <w:rsid w:val="000E5135"/>
    <w:rsid w:val="000E5413"/>
    <w:rsid w:val="000E5574"/>
    <w:rsid w:val="000E59CA"/>
    <w:rsid w:val="000E59D7"/>
    <w:rsid w:val="000E5AFB"/>
    <w:rsid w:val="000E5C31"/>
    <w:rsid w:val="000E5EEF"/>
    <w:rsid w:val="000E6350"/>
    <w:rsid w:val="000E640E"/>
    <w:rsid w:val="000E6589"/>
    <w:rsid w:val="000E665A"/>
    <w:rsid w:val="000E67F1"/>
    <w:rsid w:val="000E6828"/>
    <w:rsid w:val="000E694C"/>
    <w:rsid w:val="000E6AFD"/>
    <w:rsid w:val="000E6C32"/>
    <w:rsid w:val="000E6D26"/>
    <w:rsid w:val="000E6DAA"/>
    <w:rsid w:val="000E6E21"/>
    <w:rsid w:val="000E6E7D"/>
    <w:rsid w:val="000E6F4E"/>
    <w:rsid w:val="000E6FA0"/>
    <w:rsid w:val="000E6FFC"/>
    <w:rsid w:val="000E709B"/>
    <w:rsid w:val="000E7475"/>
    <w:rsid w:val="000E74AA"/>
    <w:rsid w:val="000E76FD"/>
    <w:rsid w:val="000E7960"/>
    <w:rsid w:val="000E7AB8"/>
    <w:rsid w:val="000E7C41"/>
    <w:rsid w:val="000E7EC1"/>
    <w:rsid w:val="000E7F27"/>
    <w:rsid w:val="000E7FC8"/>
    <w:rsid w:val="000F012F"/>
    <w:rsid w:val="000F0136"/>
    <w:rsid w:val="000F0161"/>
    <w:rsid w:val="000F0270"/>
    <w:rsid w:val="000F02A8"/>
    <w:rsid w:val="000F02B2"/>
    <w:rsid w:val="000F0482"/>
    <w:rsid w:val="000F0595"/>
    <w:rsid w:val="000F0599"/>
    <w:rsid w:val="000F06FA"/>
    <w:rsid w:val="000F077B"/>
    <w:rsid w:val="000F0945"/>
    <w:rsid w:val="000F0A6D"/>
    <w:rsid w:val="000F0ADF"/>
    <w:rsid w:val="000F0B35"/>
    <w:rsid w:val="000F0BE4"/>
    <w:rsid w:val="000F0F4A"/>
    <w:rsid w:val="000F0F90"/>
    <w:rsid w:val="000F1001"/>
    <w:rsid w:val="000F10B0"/>
    <w:rsid w:val="000F123C"/>
    <w:rsid w:val="000F12DA"/>
    <w:rsid w:val="000F13DF"/>
    <w:rsid w:val="000F14FC"/>
    <w:rsid w:val="000F158B"/>
    <w:rsid w:val="000F167E"/>
    <w:rsid w:val="000F17FD"/>
    <w:rsid w:val="000F1855"/>
    <w:rsid w:val="000F1BC8"/>
    <w:rsid w:val="000F1C89"/>
    <w:rsid w:val="000F1CDF"/>
    <w:rsid w:val="000F1D57"/>
    <w:rsid w:val="000F1E63"/>
    <w:rsid w:val="000F2172"/>
    <w:rsid w:val="000F2681"/>
    <w:rsid w:val="000F294F"/>
    <w:rsid w:val="000F29A3"/>
    <w:rsid w:val="000F2BE6"/>
    <w:rsid w:val="000F2D44"/>
    <w:rsid w:val="000F2FED"/>
    <w:rsid w:val="000F3008"/>
    <w:rsid w:val="000F319B"/>
    <w:rsid w:val="000F33B3"/>
    <w:rsid w:val="000F33DC"/>
    <w:rsid w:val="000F34E6"/>
    <w:rsid w:val="000F3587"/>
    <w:rsid w:val="000F3BAB"/>
    <w:rsid w:val="000F3BEF"/>
    <w:rsid w:val="000F3FC4"/>
    <w:rsid w:val="000F3FF8"/>
    <w:rsid w:val="000F40EC"/>
    <w:rsid w:val="000F472D"/>
    <w:rsid w:val="000F4A61"/>
    <w:rsid w:val="000F4C1D"/>
    <w:rsid w:val="000F4C44"/>
    <w:rsid w:val="000F505B"/>
    <w:rsid w:val="000F50D6"/>
    <w:rsid w:val="000F52A8"/>
    <w:rsid w:val="000F58B4"/>
    <w:rsid w:val="000F58E2"/>
    <w:rsid w:val="000F59A9"/>
    <w:rsid w:val="000F5A57"/>
    <w:rsid w:val="000F5F18"/>
    <w:rsid w:val="000F6DF8"/>
    <w:rsid w:val="000F70D7"/>
    <w:rsid w:val="000F7204"/>
    <w:rsid w:val="000F72A8"/>
    <w:rsid w:val="000F72D6"/>
    <w:rsid w:val="000F741D"/>
    <w:rsid w:val="000F7789"/>
    <w:rsid w:val="000F786E"/>
    <w:rsid w:val="000F795C"/>
    <w:rsid w:val="000F79CE"/>
    <w:rsid w:val="000F7E65"/>
    <w:rsid w:val="000F7F99"/>
    <w:rsid w:val="001000E5"/>
    <w:rsid w:val="001002BC"/>
    <w:rsid w:val="0010076C"/>
    <w:rsid w:val="00100BA7"/>
    <w:rsid w:val="00100FF2"/>
    <w:rsid w:val="0010117B"/>
    <w:rsid w:val="00101181"/>
    <w:rsid w:val="0010135F"/>
    <w:rsid w:val="001013F0"/>
    <w:rsid w:val="00101599"/>
    <w:rsid w:val="001015B3"/>
    <w:rsid w:val="001017B8"/>
    <w:rsid w:val="0010192F"/>
    <w:rsid w:val="00101984"/>
    <w:rsid w:val="00101D10"/>
    <w:rsid w:val="001020B0"/>
    <w:rsid w:val="00102122"/>
    <w:rsid w:val="0010237D"/>
    <w:rsid w:val="00102571"/>
    <w:rsid w:val="001026BD"/>
    <w:rsid w:val="00102A4A"/>
    <w:rsid w:val="00102DF8"/>
    <w:rsid w:val="00102F92"/>
    <w:rsid w:val="0010318C"/>
    <w:rsid w:val="00103256"/>
    <w:rsid w:val="00103313"/>
    <w:rsid w:val="00103516"/>
    <w:rsid w:val="00103606"/>
    <w:rsid w:val="00103961"/>
    <w:rsid w:val="00103AF1"/>
    <w:rsid w:val="00103B86"/>
    <w:rsid w:val="00103DE5"/>
    <w:rsid w:val="00103E25"/>
    <w:rsid w:val="00103E72"/>
    <w:rsid w:val="00104323"/>
    <w:rsid w:val="001043D4"/>
    <w:rsid w:val="00104638"/>
    <w:rsid w:val="001048A8"/>
    <w:rsid w:val="00104C62"/>
    <w:rsid w:val="00104CA5"/>
    <w:rsid w:val="00104D03"/>
    <w:rsid w:val="00104D7A"/>
    <w:rsid w:val="00104E3E"/>
    <w:rsid w:val="0010505D"/>
    <w:rsid w:val="0010528C"/>
    <w:rsid w:val="00105425"/>
    <w:rsid w:val="00105544"/>
    <w:rsid w:val="001058AB"/>
    <w:rsid w:val="001059B4"/>
    <w:rsid w:val="00105A32"/>
    <w:rsid w:val="00105A53"/>
    <w:rsid w:val="00105ADC"/>
    <w:rsid w:val="00105B5B"/>
    <w:rsid w:val="00105BD6"/>
    <w:rsid w:val="00105DF7"/>
    <w:rsid w:val="00105DFD"/>
    <w:rsid w:val="00105EE7"/>
    <w:rsid w:val="00105EFE"/>
    <w:rsid w:val="001060B0"/>
    <w:rsid w:val="0010616D"/>
    <w:rsid w:val="0010657B"/>
    <w:rsid w:val="001066C3"/>
    <w:rsid w:val="0010682F"/>
    <w:rsid w:val="00106B34"/>
    <w:rsid w:val="00106C10"/>
    <w:rsid w:val="00106EA5"/>
    <w:rsid w:val="001070FA"/>
    <w:rsid w:val="00107209"/>
    <w:rsid w:val="001072F7"/>
    <w:rsid w:val="00107350"/>
    <w:rsid w:val="00107444"/>
    <w:rsid w:val="001074A8"/>
    <w:rsid w:val="001077CF"/>
    <w:rsid w:val="00107977"/>
    <w:rsid w:val="001079E2"/>
    <w:rsid w:val="00107DC6"/>
    <w:rsid w:val="0011026B"/>
    <w:rsid w:val="0011035B"/>
    <w:rsid w:val="00110478"/>
    <w:rsid w:val="001105C0"/>
    <w:rsid w:val="00110D6B"/>
    <w:rsid w:val="00110F39"/>
    <w:rsid w:val="0011121F"/>
    <w:rsid w:val="001114E0"/>
    <w:rsid w:val="001121CF"/>
    <w:rsid w:val="001122C1"/>
    <w:rsid w:val="00112520"/>
    <w:rsid w:val="0011258F"/>
    <w:rsid w:val="00112599"/>
    <w:rsid w:val="001126F0"/>
    <w:rsid w:val="00112808"/>
    <w:rsid w:val="00112969"/>
    <w:rsid w:val="00112A28"/>
    <w:rsid w:val="00112A57"/>
    <w:rsid w:val="00112EAD"/>
    <w:rsid w:val="00113013"/>
    <w:rsid w:val="00113051"/>
    <w:rsid w:val="0011328A"/>
    <w:rsid w:val="00113628"/>
    <w:rsid w:val="001139EF"/>
    <w:rsid w:val="00113B82"/>
    <w:rsid w:val="00113CF9"/>
    <w:rsid w:val="00113D60"/>
    <w:rsid w:val="00113DCE"/>
    <w:rsid w:val="00114010"/>
    <w:rsid w:val="001141D8"/>
    <w:rsid w:val="00114281"/>
    <w:rsid w:val="0011429C"/>
    <w:rsid w:val="001142E2"/>
    <w:rsid w:val="00114390"/>
    <w:rsid w:val="001144E5"/>
    <w:rsid w:val="00114603"/>
    <w:rsid w:val="00114672"/>
    <w:rsid w:val="00114676"/>
    <w:rsid w:val="00114B93"/>
    <w:rsid w:val="00114D1D"/>
    <w:rsid w:val="0011528A"/>
    <w:rsid w:val="001152CC"/>
    <w:rsid w:val="001152D7"/>
    <w:rsid w:val="00115315"/>
    <w:rsid w:val="0011571C"/>
    <w:rsid w:val="00115737"/>
    <w:rsid w:val="00115750"/>
    <w:rsid w:val="001158F5"/>
    <w:rsid w:val="00115906"/>
    <w:rsid w:val="00115A02"/>
    <w:rsid w:val="00115C39"/>
    <w:rsid w:val="00115CD1"/>
    <w:rsid w:val="00115D58"/>
    <w:rsid w:val="00116013"/>
    <w:rsid w:val="00116280"/>
    <w:rsid w:val="001163E6"/>
    <w:rsid w:val="00116878"/>
    <w:rsid w:val="00116961"/>
    <w:rsid w:val="00116989"/>
    <w:rsid w:val="00116B07"/>
    <w:rsid w:val="00116EB0"/>
    <w:rsid w:val="0011711B"/>
    <w:rsid w:val="001172D0"/>
    <w:rsid w:val="00117388"/>
    <w:rsid w:val="001174AD"/>
    <w:rsid w:val="00117506"/>
    <w:rsid w:val="00117788"/>
    <w:rsid w:val="00117D5A"/>
    <w:rsid w:val="00117D9F"/>
    <w:rsid w:val="00117F8A"/>
    <w:rsid w:val="00120360"/>
    <w:rsid w:val="00120448"/>
    <w:rsid w:val="00120861"/>
    <w:rsid w:val="001209CC"/>
    <w:rsid w:val="00120B30"/>
    <w:rsid w:val="00120B32"/>
    <w:rsid w:val="00120B38"/>
    <w:rsid w:val="00120BED"/>
    <w:rsid w:val="00120D1E"/>
    <w:rsid w:val="00120E2A"/>
    <w:rsid w:val="00120ED2"/>
    <w:rsid w:val="001212B0"/>
    <w:rsid w:val="00121499"/>
    <w:rsid w:val="00121905"/>
    <w:rsid w:val="00121B9B"/>
    <w:rsid w:val="00121D8C"/>
    <w:rsid w:val="00121E53"/>
    <w:rsid w:val="001223D4"/>
    <w:rsid w:val="0012254D"/>
    <w:rsid w:val="00122636"/>
    <w:rsid w:val="001226A9"/>
    <w:rsid w:val="00122928"/>
    <w:rsid w:val="0012299B"/>
    <w:rsid w:val="00122ADC"/>
    <w:rsid w:val="00123022"/>
    <w:rsid w:val="0012316B"/>
    <w:rsid w:val="00123249"/>
    <w:rsid w:val="00123532"/>
    <w:rsid w:val="00123612"/>
    <w:rsid w:val="001238D0"/>
    <w:rsid w:val="0012396E"/>
    <w:rsid w:val="00123E5A"/>
    <w:rsid w:val="00123F7C"/>
    <w:rsid w:val="0012415A"/>
    <w:rsid w:val="0012416D"/>
    <w:rsid w:val="001244EF"/>
    <w:rsid w:val="00124587"/>
    <w:rsid w:val="00124767"/>
    <w:rsid w:val="00124786"/>
    <w:rsid w:val="00124791"/>
    <w:rsid w:val="00124874"/>
    <w:rsid w:val="00124926"/>
    <w:rsid w:val="00124A36"/>
    <w:rsid w:val="00124ADD"/>
    <w:rsid w:val="00124DA4"/>
    <w:rsid w:val="00124F70"/>
    <w:rsid w:val="00124FE3"/>
    <w:rsid w:val="0012506C"/>
    <w:rsid w:val="0012546D"/>
    <w:rsid w:val="00125496"/>
    <w:rsid w:val="001254D8"/>
    <w:rsid w:val="001255BE"/>
    <w:rsid w:val="00125604"/>
    <w:rsid w:val="001256F5"/>
    <w:rsid w:val="001257F8"/>
    <w:rsid w:val="00125A8D"/>
    <w:rsid w:val="00125B05"/>
    <w:rsid w:val="00125C39"/>
    <w:rsid w:val="00125E3B"/>
    <w:rsid w:val="00125F85"/>
    <w:rsid w:val="00125FCD"/>
    <w:rsid w:val="001261CA"/>
    <w:rsid w:val="0012635B"/>
    <w:rsid w:val="00126656"/>
    <w:rsid w:val="001269F2"/>
    <w:rsid w:val="00127366"/>
    <w:rsid w:val="001274F7"/>
    <w:rsid w:val="00127530"/>
    <w:rsid w:val="00127B66"/>
    <w:rsid w:val="00127BF8"/>
    <w:rsid w:val="00127D77"/>
    <w:rsid w:val="00127D96"/>
    <w:rsid w:val="00127E41"/>
    <w:rsid w:val="0013001C"/>
    <w:rsid w:val="00130414"/>
    <w:rsid w:val="00130422"/>
    <w:rsid w:val="001305B9"/>
    <w:rsid w:val="00130801"/>
    <w:rsid w:val="00130835"/>
    <w:rsid w:val="0013088C"/>
    <w:rsid w:val="00130965"/>
    <w:rsid w:val="00130AB4"/>
    <w:rsid w:val="00130BF0"/>
    <w:rsid w:val="00130DA1"/>
    <w:rsid w:val="00130F59"/>
    <w:rsid w:val="00130F62"/>
    <w:rsid w:val="00130FA2"/>
    <w:rsid w:val="00130FFD"/>
    <w:rsid w:val="00131000"/>
    <w:rsid w:val="00131754"/>
    <w:rsid w:val="0013176B"/>
    <w:rsid w:val="00131826"/>
    <w:rsid w:val="0013197D"/>
    <w:rsid w:val="00131CC7"/>
    <w:rsid w:val="00131E16"/>
    <w:rsid w:val="001323F5"/>
    <w:rsid w:val="00132441"/>
    <w:rsid w:val="00132493"/>
    <w:rsid w:val="001328B4"/>
    <w:rsid w:val="001331DA"/>
    <w:rsid w:val="001332C7"/>
    <w:rsid w:val="00133340"/>
    <w:rsid w:val="001338C8"/>
    <w:rsid w:val="00133E08"/>
    <w:rsid w:val="00133E68"/>
    <w:rsid w:val="00133EC0"/>
    <w:rsid w:val="001342C8"/>
    <w:rsid w:val="00134616"/>
    <w:rsid w:val="00134B68"/>
    <w:rsid w:val="00134CA3"/>
    <w:rsid w:val="00134D69"/>
    <w:rsid w:val="00134EC4"/>
    <w:rsid w:val="001350B2"/>
    <w:rsid w:val="001351EC"/>
    <w:rsid w:val="001355A0"/>
    <w:rsid w:val="00135631"/>
    <w:rsid w:val="00135932"/>
    <w:rsid w:val="00135B80"/>
    <w:rsid w:val="00135D18"/>
    <w:rsid w:val="00135F8B"/>
    <w:rsid w:val="00135FEE"/>
    <w:rsid w:val="00136170"/>
    <w:rsid w:val="0013671E"/>
    <w:rsid w:val="0013675C"/>
    <w:rsid w:val="00136D0E"/>
    <w:rsid w:val="00136D7A"/>
    <w:rsid w:val="00136EDF"/>
    <w:rsid w:val="00136FE7"/>
    <w:rsid w:val="001376F0"/>
    <w:rsid w:val="00137744"/>
    <w:rsid w:val="001377BC"/>
    <w:rsid w:val="001377BE"/>
    <w:rsid w:val="00137820"/>
    <w:rsid w:val="0013799B"/>
    <w:rsid w:val="00137DA1"/>
    <w:rsid w:val="00137F83"/>
    <w:rsid w:val="00137F85"/>
    <w:rsid w:val="0014003A"/>
    <w:rsid w:val="0014044C"/>
    <w:rsid w:val="001409BF"/>
    <w:rsid w:val="00140A05"/>
    <w:rsid w:val="00140C21"/>
    <w:rsid w:val="00140EA8"/>
    <w:rsid w:val="00141246"/>
    <w:rsid w:val="00141367"/>
    <w:rsid w:val="001413DB"/>
    <w:rsid w:val="0014157A"/>
    <w:rsid w:val="00141692"/>
    <w:rsid w:val="001418BF"/>
    <w:rsid w:val="00141935"/>
    <w:rsid w:val="00141BF0"/>
    <w:rsid w:val="00141CE5"/>
    <w:rsid w:val="00141D7C"/>
    <w:rsid w:val="00141F98"/>
    <w:rsid w:val="00142165"/>
    <w:rsid w:val="0014217C"/>
    <w:rsid w:val="00142683"/>
    <w:rsid w:val="00142ABD"/>
    <w:rsid w:val="00142E00"/>
    <w:rsid w:val="00142F38"/>
    <w:rsid w:val="00142FBA"/>
    <w:rsid w:val="001431F1"/>
    <w:rsid w:val="00143256"/>
    <w:rsid w:val="0014334F"/>
    <w:rsid w:val="001433EF"/>
    <w:rsid w:val="0014376F"/>
    <w:rsid w:val="00143959"/>
    <w:rsid w:val="00143A11"/>
    <w:rsid w:val="00143B80"/>
    <w:rsid w:val="00143D87"/>
    <w:rsid w:val="00143FC4"/>
    <w:rsid w:val="00144198"/>
    <w:rsid w:val="0014422C"/>
    <w:rsid w:val="00144382"/>
    <w:rsid w:val="00144774"/>
    <w:rsid w:val="00144908"/>
    <w:rsid w:val="00144927"/>
    <w:rsid w:val="001449F4"/>
    <w:rsid w:val="00144A3B"/>
    <w:rsid w:val="00144B4E"/>
    <w:rsid w:val="00144FB0"/>
    <w:rsid w:val="00144FD4"/>
    <w:rsid w:val="0014538A"/>
    <w:rsid w:val="001453CD"/>
    <w:rsid w:val="00145700"/>
    <w:rsid w:val="00145C0A"/>
    <w:rsid w:val="00145CA9"/>
    <w:rsid w:val="00145F3F"/>
    <w:rsid w:val="0014601C"/>
    <w:rsid w:val="00146031"/>
    <w:rsid w:val="001460BE"/>
    <w:rsid w:val="0014611B"/>
    <w:rsid w:val="00146B04"/>
    <w:rsid w:val="00146D20"/>
    <w:rsid w:val="00146D3C"/>
    <w:rsid w:val="00146DD8"/>
    <w:rsid w:val="001476C1"/>
    <w:rsid w:val="0014778E"/>
    <w:rsid w:val="00147851"/>
    <w:rsid w:val="00147968"/>
    <w:rsid w:val="00147F2A"/>
    <w:rsid w:val="00147FF8"/>
    <w:rsid w:val="001501AA"/>
    <w:rsid w:val="00150210"/>
    <w:rsid w:val="00150548"/>
    <w:rsid w:val="00150782"/>
    <w:rsid w:val="00150D34"/>
    <w:rsid w:val="00150E06"/>
    <w:rsid w:val="00150EBC"/>
    <w:rsid w:val="0015133A"/>
    <w:rsid w:val="001513FE"/>
    <w:rsid w:val="0015170B"/>
    <w:rsid w:val="001517E9"/>
    <w:rsid w:val="001517EB"/>
    <w:rsid w:val="00151915"/>
    <w:rsid w:val="00151A9C"/>
    <w:rsid w:val="00151B37"/>
    <w:rsid w:val="00151CAC"/>
    <w:rsid w:val="00151F60"/>
    <w:rsid w:val="001520A5"/>
    <w:rsid w:val="001524B3"/>
    <w:rsid w:val="00152A28"/>
    <w:rsid w:val="00152C21"/>
    <w:rsid w:val="00152E2E"/>
    <w:rsid w:val="00152E7B"/>
    <w:rsid w:val="00152F41"/>
    <w:rsid w:val="0015350B"/>
    <w:rsid w:val="00153539"/>
    <w:rsid w:val="001535D2"/>
    <w:rsid w:val="00154131"/>
    <w:rsid w:val="00154217"/>
    <w:rsid w:val="00154380"/>
    <w:rsid w:val="001546EE"/>
    <w:rsid w:val="00154752"/>
    <w:rsid w:val="00154918"/>
    <w:rsid w:val="001551DC"/>
    <w:rsid w:val="001555EE"/>
    <w:rsid w:val="00155708"/>
    <w:rsid w:val="0015570C"/>
    <w:rsid w:val="00155764"/>
    <w:rsid w:val="00155776"/>
    <w:rsid w:val="00155799"/>
    <w:rsid w:val="001557BC"/>
    <w:rsid w:val="00155947"/>
    <w:rsid w:val="001559C3"/>
    <w:rsid w:val="00155B25"/>
    <w:rsid w:val="00155C73"/>
    <w:rsid w:val="0015609E"/>
    <w:rsid w:val="001560BC"/>
    <w:rsid w:val="00156188"/>
    <w:rsid w:val="0015644E"/>
    <w:rsid w:val="0015676E"/>
    <w:rsid w:val="001568BA"/>
    <w:rsid w:val="00156CA3"/>
    <w:rsid w:val="00156D70"/>
    <w:rsid w:val="001571C7"/>
    <w:rsid w:val="0015745E"/>
    <w:rsid w:val="00157624"/>
    <w:rsid w:val="00157636"/>
    <w:rsid w:val="0015774B"/>
    <w:rsid w:val="00157913"/>
    <w:rsid w:val="00157A0F"/>
    <w:rsid w:val="00157A5F"/>
    <w:rsid w:val="00157CD8"/>
    <w:rsid w:val="00157E41"/>
    <w:rsid w:val="00157E50"/>
    <w:rsid w:val="00157F60"/>
    <w:rsid w:val="00160105"/>
    <w:rsid w:val="001604BB"/>
    <w:rsid w:val="001604FE"/>
    <w:rsid w:val="00160CE6"/>
    <w:rsid w:val="00160F89"/>
    <w:rsid w:val="00160FF1"/>
    <w:rsid w:val="0016105A"/>
    <w:rsid w:val="00161094"/>
    <w:rsid w:val="00161150"/>
    <w:rsid w:val="00161294"/>
    <w:rsid w:val="001614F7"/>
    <w:rsid w:val="001617BC"/>
    <w:rsid w:val="00161A58"/>
    <w:rsid w:val="00161C59"/>
    <w:rsid w:val="00161D30"/>
    <w:rsid w:val="00161EAF"/>
    <w:rsid w:val="001623A6"/>
    <w:rsid w:val="00162552"/>
    <w:rsid w:val="0016279F"/>
    <w:rsid w:val="00162982"/>
    <w:rsid w:val="00162A81"/>
    <w:rsid w:val="00162B80"/>
    <w:rsid w:val="00162CDB"/>
    <w:rsid w:val="00162D4D"/>
    <w:rsid w:val="00162F7B"/>
    <w:rsid w:val="00163306"/>
    <w:rsid w:val="00163325"/>
    <w:rsid w:val="00163426"/>
    <w:rsid w:val="001636F1"/>
    <w:rsid w:val="001636FC"/>
    <w:rsid w:val="00163872"/>
    <w:rsid w:val="0016393F"/>
    <w:rsid w:val="00163BA5"/>
    <w:rsid w:val="00163BD5"/>
    <w:rsid w:val="00163E50"/>
    <w:rsid w:val="00163E8E"/>
    <w:rsid w:val="001640C3"/>
    <w:rsid w:val="00164178"/>
    <w:rsid w:val="00164262"/>
    <w:rsid w:val="00164357"/>
    <w:rsid w:val="00164381"/>
    <w:rsid w:val="00164755"/>
    <w:rsid w:val="00164CF6"/>
    <w:rsid w:val="00164D31"/>
    <w:rsid w:val="00164EFE"/>
    <w:rsid w:val="00164FE5"/>
    <w:rsid w:val="00165093"/>
    <w:rsid w:val="00165532"/>
    <w:rsid w:val="00165A09"/>
    <w:rsid w:val="00165AD8"/>
    <w:rsid w:val="00165CCB"/>
    <w:rsid w:val="00165D15"/>
    <w:rsid w:val="00165DE5"/>
    <w:rsid w:val="00166050"/>
    <w:rsid w:val="0016611E"/>
    <w:rsid w:val="0016612A"/>
    <w:rsid w:val="00166409"/>
    <w:rsid w:val="00166456"/>
    <w:rsid w:val="001665AF"/>
    <w:rsid w:val="001666E0"/>
    <w:rsid w:val="001667DC"/>
    <w:rsid w:val="001667DD"/>
    <w:rsid w:val="00166844"/>
    <w:rsid w:val="00166AAF"/>
    <w:rsid w:val="00166D4B"/>
    <w:rsid w:val="00166D8C"/>
    <w:rsid w:val="00166E30"/>
    <w:rsid w:val="00166F43"/>
    <w:rsid w:val="00167078"/>
    <w:rsid w:val="001671A7"/>
    <w:rsid w:val="0016732B"/>
    <w:rsid w:val="0016739D"/>
    <w:rsid w:val="001675C7"/>
    <w:rsid w:val="001676D0"/>
    <w:rsid w:val="001676E4"/>
    <w:rsid w:val="00167E98"/>
    <w:rsid w:val="00167ECA"/>
    <w:rsid w:val="001706E4"/>
    <w:rsid w:val="0017077A"/>
    <w:rsid w:val="00170841"/>
    <w:rsid w:val="00170B28"/>
    <w:rsid w:val="00170CCB"/>
    <w:rsid w:val="00170EC6"/>
    <w:rsid w:val="001711BC"/>
    <w:rsid w:val="00171285"/>
    <w:rsid w:val="00171A65"/>
    <w:rsid w:val="00171B36"/>
    <w:rsid w:val="00171B90"/>
    <w:rsid w:val="00171BEB"/>
    <w:rsid w:val="00171D70"/>
    <w:rsid w:val="00171F30"/>
    <w:rsid w:val="00171F31"/>
    <w:rsid w:val="00171F8B"/>
    <w:rsid w:val="001723E0"/>
    <w:rsid w:val="001723F4"/>
    <w:rsid w:val="001727E7"/>
    <w:rsid w:val="00172848"/>
    <w:rsid w:val="00172A55"/>
    <w:rsid w:val="00172B01"/>
    <w:rsid w:val="00172B4A"/>
    <w:rsid w:val="00173162"/>
    <w:rsid w:val="0017326D"/>
    <w:rsid w:val="00173711"/>
    <w:rsid w:val="00173D0D"/>
    <w:rsid w:val="00174053"/>
    <w:rsid w:val="0017417D"/>
    <w:rsid w:val="0017430E"/>
    <w:rsid w:val="00174342"/>
    <w:rsid w:val="001744AB"/>
    <w:rsid w:val="00174BD7"/>
    <w:rsid w:val="00174DDA"/>
    <w:rsid w:val="00174EB4"/>
    <w:rsid w:val="0017545A"/>
    <w:rsid w:val="0017573B"/>
    <w:rsid w:val="0017579B"/>
    <w:rsid w:val="001757BF"/>
    <w:rsid w:val="001757D8"/>
    <w:rsid w:val="001758B5"/>
    <w:rsid w:val="001758CD"/>
    <w:rsid w:val="00175A2D"/>
    <w:rsid w:val="00175B3D"/>
    <w:rsid w:val="00175CDB"/>
    <w:rsid w:val="00175D1A"/>
    <w:rsid w:val="00175E8B"/>
    <w:rsid w:val="00176004"/>
    <w:rsid w:val="001761B0"/>
    <w:rsid w:val="00176214"/>
    <w:rsid w:val="00176334"/>
    <w:rsid w:val="001765A8"/>
    <w:rsid w:val="00176619"/>
    <w:rsid w:val="0017665C"/>
    <w:rsid w:val="00176687"/>
    <w:rsid w:val="00176690"/>
    <w:rsid w:val="001768F3"/>
    <w:rsid w:val="00176D63"/>
    <w:rsid w:val="0017717F"/>
    <w:rsid w:val="00177373"/>
    <w:rsid w:val="0017742D"/>
    <w:rsid w:val="00177AD2"/>
    <w:rsid w:val="00177B5F"/>
    <w:rsid w:val="00177B89"/>
    <w:rsid w:val="0018019B"/>
    <w:rsid w:val="00180621"/>
    <w:rsid w:val="001808D9"/>
    <w:rsid w:val="0018093E"/>
    <w:rsid w:val="00180A24"/>
    <w:rsid w:val="00180A44"/>
    <w:rsid w:val="00180AAD"/>
    <w:rsid w:val="00180AF6"/>
    <w:rsid w:val="00180D2F"/>
    <w:rsid w:val="00180D44"/>
    <w:rsid w:val="00181081"/>
    <w:rsid w:val="0018143F"/>
    <w:rsid w:val="00181569"/>
    <w:rsid w:val="001815A8"/>
    <w:rsid w:val="0018170B"/>
    <w:rsid w:val="00181C34"/>
    <w:rsid w:val="00181CB4"/>
    <w:rsid w:val="00181D69"/>
    <w:rsid w:val="00181E55"/>
    <w:rsid w:val="00181F09"/>
    <w:rsid w:val="00181F46"/>
    <w:rsid w:val="00182162"/>
    <w:rsid w:val="0018246F"/>
    <w:rsid w:val="001825E6"/>
    <w:rsid w:val="00182BD8"/>
    <w:rsid w:val="00182BF8"/>
    <w:rsid w:val="00182D92"/>
    <w:rsid w:val="00182DD1"/>
    <w:rsid w:val="00182EDC"/>
    <w:rsid w:val="00182EE2"/>
    <w:rsid w:val="00183686"/>
    <w:rsid w:val="001838D7"/>
    <w:rsid w:val="00183CE2"/>
    <w:rsid w:val="00183E63"/>
    <w:rsid w:val="0018403F"/>
    <w:rsid w:val="001840FA"/>
    <w:rsid w:val="00184465"/>
    <w:rsid w:val="001844C2"/>
    <w:rsid w:val="0018451C"/>
    <w:rsid w:val="0018454E"/>
    <w:rsid w:val="001845AF"/>
    <w:rsid w:val="00184721"/>
    <w:rsid w:val="0018485F"/>
    <w:rsid w:val="001849E7"/>
    <w:rsid w:val="00184D7A"/>
    <w:rsid w:val="00184D87"/>
    <w:rsid w:val="00185167"/>
    <w:rsid w:val="00185323"/>
    <w:rsid w:val="001855B8"/>
    <w:rsid w:val="00185610"/>
    <w:rsid w:val="0018561C"/>
    <w:rsid w:val="001856F8"/>
    <w:rsid w:val="0018572E"/>
    <w:rsid w:val="0018587E"/>
    <w:rsid w:val="00185A20"/>
    <w:rsid w:val="00185D72"/>
    <w:rsid w:val="00185DBF"/>
    <w:rsid w:val="00185F31"/>
    <w:rsid w:val="00186130"/>
    <w:rsid w:val="00186248"/>
    <w:rsid w:val="00186293"/>
    <w:rsid w:val="001863CC"/>
    <w:rsid w:val="00186428"/>
    <w:rsid w:val="00186567"/>
    <w:rsid w:val="0018661B"/>
    <w:rsid w:val="0018691F"/>
    <w:rsid w:val="00186920"/>
    <w:rsid w:val="001869B3"/>
    <w:rsid w:val="00186CC2"/>
    <w:rsid w:val="00186F42"/>
    <w:rsid w:val="0018724F"/>
    <w:rsid w:val="001872E0"/>
    <w:rsid w:val="00187528"/>
    <w:rsid w:val="00187556"/>
    <w:rsid w:val="00187A7A"/>
    <w:rsid w:val="00187AD2"/>
    <w:rsid w:val="00187E88"/>
    <w:rsid w:val="00187E8E"/>
    <w:rsid w:val="00190079"/>
    <w:rsid w:val="00190190"/>
    <w:rsid w:val="0019024B"/>
    <w:rsid w:val="0019027E"/>
    <w:rsid w:val="0019047C"/>
    <w:rsid w:val="001905E5"/>
    <w:rsid w:val="0019082C"/>
    <w:rsid w:val="00190902"/>
    <w:rsid w:val="00190A96"/>
    <w:rsid w:val="00190BE6"/>
    <w:rsid w:val="00190CD0"/>
    <w:rsid w:val="00190F21"/>
    <w:rsid w:val="00190FCE"/>
    <w:rsid w:val="001912AB"/>
    <w:rsid w:val="00191368"/>
    <w:rsid w:val="001913E1"/>
    <w:rsid w:val="00191455"/>
    <w:rsid w:val="001914CD"/>
    <w:rsid w:val="001914EF"/>
    <w:rsid w:val="0019182E"/>
    <w:rsid w:val="00191C7E"/>
    <w:rsid w:val="00191D26"/>
    <w:rsid w:val="00191D65"/>
    <w:rsid w:val="00192007"/>
    <w:rsid w:val="00192219"/>
    <w:rsid w:val="001922C3"/>
    <w:rsid w:val="001923A8"/>
    <w:rsid w:val="00192434"/>
    <w:rsid w:val="00192966"/>
    <w:rsid w:val="00192A48"/>
    <w:rsid w:val="00192BC3"/>
    <w:rsid w:val="00192CDF"/>
    <w:rsid w:val="00192DEC"/>
    <w:rsid w:val="00192EA0"/>
    <w:rsid w:val="00192EE0"/>
    <w:rsid w:val="0019325A"/>
    <w:rsid w:val="001932DA"/>
    <w:rsid w:val="00193409"/>
    <w:rsid w:val="00193871"/>
    <w:rsid w:val="001939F1"/>
    <w:rsid w:val="00193B15"/>
    <w:rsid w:val="00193D73"/>
    <w:rsid w:val="00193EC1"/>
    <w:rsid w:val="001941B2"/>
    <w:rsid w:val="00194345"/>
    <w:rsid w:val="00194447"/>
    <w:rsid w:val="001945C3"/>
    <w:rsid w:val="001947D4"/>
    <w:rsid w:val="001949CC"/>
    <w:rsid w:val="00194D19"/>
    <w:rsid w:val="00194DD1"/>
    <w:rsid w:val="00194F60"/>
    <w:rsid w:val="001950ED"/>
    <w:rsid w:val="00195400"/>
    <w:rsid w:val="0019544E"/>
    <w:rsid w:val="001955DD"/>
    <w:rsid w:val="00195664"/>
    <w:rsid w:val="0019591F"/>
    <w:rsid w:val="00195C06"/>
    <w:rsid w:val="00195D1E"/>
    <w:rsid w:val="00195DE8"/>
    <w:rsid w:val="00196080"/>
    <w:rsid w:val="0019622E"/>
    <w:rsid w:val="001963B7"/>
    <w:rsid w:val="00196518"/>
    <w:rsid w:val="001965D2"/>
    <w:rsid w:val="001966A7"/>
    <w:rsid w:val="00196A0C"/>
    <w:rsid w:val="00196A1F"/>
    <w:rsid w:val="00196B9B"/>
    <w:rsid w:val="001970D1"/>
    <w:rsid w:val="00197575"/>
    <w:rsid w:val="00197650"/>
    <w:rsid w:val="00197756"/>
    <w:rsid w:val="00197860"/>
    <w:rsid w:val="001979DD"/>
    <w:rsid w:val="00197A85"/>
    <w:rsid w:val="001A02D8"/>
    <w:rsid w:val="001A06D8"/>
    <w:rsid w:val="001A084A"/>
    <w:rsid w:val="001A089B"/>
    <w:rsid w:val="001A08C9"/>
    <w:rsid w:val="001A09D3"/>
    <w:rsid w:val="001A0CFC"/>
    <w:rsid w:val="001A0D9F"/>
    <w:rsid w:val="001A0F71"/>
    <w:rsid w:val="001A10D9"/>
    <w:rsid w:val="001A1175"/>
    <w:rsid w:val="001A14DB"/>
    <w:rsid w:val="001A173A"/>
    <w:rsid w:val="001A17F3"/>
    <w:rsid w:val="001A197E"/>
    <w:rsid w:val="001A1C82"/>
    <w:rsid w:val="001A1DFE"/>
    <w:rsid w:val="001A1E04"/>
    <w:rsid w:val="001A1E9C"/>
    <w:rsid w:val="001A1EA7"/>
    <w:rsid w:val="001A2120"/>
    <w:rsid w:val="001A230B"/>
    <w:rsid w:val="001A23C4"/>
    <w:rsid w:val="001A25D5"/>
    <w:rsid w:val="001A26B5"/>
    <w:rsid w:val="001A28C6"/>
    <w:rsid w:val="001A2DB1"/>
    <w:rsid w:val="001A2DF1"/>
    <w:rsid w:val="001A2ECB"/>
    <w:rsid w:val="001A30E5"/>
    <w:rsid w:val="001A311C"/>
    <w:rsid w:val="001A319F"/>
    <w:rsid w:val="001A333C"/>
    <w:rsid w:val="001A3E8E"/>
    <w:rsid w:val="001A3FED"/>
    <w:rsid w:val="001A40C6"/>
    <w:rsid w:val="001A41E3"/>
    <w:rsid w:val="001A4350"/>
    <w:rsid w:val="001A4627"/>
    <w:rsid w:val="001A4782"/>
    <w:rsid w:val="001A4885"/>
    <w:rsid w:val="001A4979"/>
    <w:rsid w:val="001A4B72"/>
    <w:rsid w:val="001A4E1F"/>
    <w:rsid w:val="001A5086"/>
    <w:rsid w:val="001A547E"/>
    <w:rsid w:val="001A57ED"/>
    <w:rsid w:val="001A5817"/>
    <w:rsid w:val="001A596F"/>
    <w:rsid w:val="001A5AED"/>
    <w:rsid w:val="001A5B4E"/>
    <w:rsid w:val="001A5D33"/>
    <w:rsid w:val="001A5D9F"/>
    <w:rsid w:val="001A5DFC"/>
    <w:rsid w:val="001A5F80"/>
    <w:rsid w:val="001A63CF"/>
    <w:rsid w:val="001A63E0"/>
    <w:rsid w:val="001A6734"/>
    <w:rsid w:val="001A673A"/>
    <w:rsid w:val="001A6CC7"/>
    <w:rsid w:val="001A6CCC"/>
    <w:rsid w:val="001A6D67"/>
    <w:rsid w:val="001A6ED1"/>
    <w:rsid w:val="001A7232"/>
    <w:rsid w:val="001A7285"/>
    <w:rsid w:val="001A74B4"/>
    <w:rsid w:val="001A766E"/>
    <w:rsid w:val="001A7686"/>
    <w:rsid w:val="001A7B39"/>
    <w:rsid w:val="001A7BFB"/>
    <w:rsid w:val="001A7CEA"/>
    <w:rsid w:val="001A7D99"/>
    <w:rsid w:val="001A7E9D"/>
    <w:rsid w:val="001B0104"/>
    <w:rsid w:val="001B03BF"/>
    <w:rsid w:val="001B03D5"/>
    <w:rsid w:val="001B070C"/>
    <w:rsid w:val="001B081E"/>
    <w:rsid w:val="001B0A64"/>
    <w:rsid w:val="001B0BF5"/>
    <w:rsid w:val="001B107A"/>
    <w:rsid w:val="001B10C2"/>
    <w:rsid w:val="001B1185"/>
    <w:rsid w:val="001B14D0"/>
    <w:rsid w:val="001B15D3"/>
    <w:rsid w:val="001B1668"/>
    <w:rsid w:val="001B17E8"/>
    <w:rsid w:val="001B185D"/>
    <w:rsid w:val="001B1C43"/>
    <w:rsid w:val="001B1E23"/>
    <w:rsid w:val="001B21E5"/>
    <w:rsid w:val="001B239C"/>
    <w:rsid w:val="001B2621"/>
    <w:rsid w:val="001B27B9"/>
    <w:rsid w:val="001B28EE"/>
    <w:rsid w:val="001B291A"/>
    <w:rsid w:val="001B2B5C"/>
    <w:rsid w:val="001B2C2D"/>
    <w:rsid w:val="001B2EC7"/>
    <w:rsid w:val="001B2F31"/>
    <w:rsid w:val="001B3366"/>
    <w:rsid w:val="001B3443"/>
    <w:rsid w:val="001B35F4"/>
    <w:rsid w:val="001B36DA"/>
    <w:rsid w:val="001B379B"/>
    <w:rsid w:val="001B37B5"/>
    <w:rsid w:val="001B3992"/>
    <w:rsid w:val="001B3998"/>
    <w:rsid w:val="001B3A36"/>
    <w:rsid w:val="001B3C1E"/>
    <w:rsid w:val="001B40B0"/>
    <w:rsid w:val="001B40F9"/>
    <w:rsid w:val="001B4200"/>
    <w:rsid w:val="001B43A5"/>
    <w:rsid w:val="001B44F2"/>
    <w:rsid w:val="001B45F6"/>
    <w:rsid w:val="001B4957"/>
    <w:rsid w:val="001B49B7"/>
    <w:rsid w:val="001B49F0"/>
    <w:rsid w:val="001B4DB8"/>
    <w:rsid w:val="001B4F81"/>
    <w:rsid w:val="001B4FB8"/>
    <w:rsid w:val="001B4FCA"/>
    <w:rsid w:val="001B4FCD"/>
    <w:rsid w:val="001B50F1"/>
    <w:rsid w:val="001B516A"/>
    <w:rsid w:val="001B51DF"/>
    <w:rsid w:val="001B5454"/>
    <w:rsid w:val="001B5589"/>
    <w:rsid w:val="001B55B8"/>
    <w:rsid w:val="001B5A33"/>
    <w:rsid w:val="001B5AE4"/>
    <w:rsid w:val="001B5C0A"/>
    <w:rsid w:val="001B5CCF"/>
    <w:rsid w:val="001B5D65"/>
    <w:rsid w:val="001B5E43"/>
    <w:rsid w:val="001B5F11"/>
    <w:rsid w:val="001B5F8A"/>
    <w:rsid w:val="001B5FC7"/>
    <w:rsid w:val="001B60D0"/>
    <w:rsid w:val="001B6298"/>
    <w:rsid w:val="001B6439"/>
    <w:rsid w:val="001B661E"/>
    <w:rsid w:val="001B66B3"/>
    <w:rsid w:val="001B681F"/>
    <w:rsid w:val="001B6C21"/>
    <w:rsid w:val="001B6F92"/>
    <w:rsid w:val="001B6FAC"/>
    <w:rsid w:val="001B73B0"/>
    <w:rsid w:val="001B756F"/>
    <w:rsid w:val="001B7654"/>
    <w:rsid w:val="001B7AF6"/>
    <w:rsid w:val="001B7BF6"/>
    <w:rsid w:val="001B7CA6"/>
    <w:rsid w:val="001B7F0C"/>
    <w:rsid w:val="001C00BF"/>
    <w:rsid w:val="001C013D"/>
    <w:rsid w:val="001C021E"/>
    <w:rsid w:val="001C022E"/>
    <w:rsid w:val="001C023E"/>
    <w:rsid w:val="001C02F0"/>
    <w:rsid w:val="001C0326"/>
    <w:rsid w:val="001C03EF"/>
    <w:rsid w:val="001C07E0"/>
    <w:rsid w:val="001C0BFB"/>
    <w:rsid w:val="001C0D1D"/>
    <w:rsid w:val="001C1135"/>
    <w:rsid w:val="001C1219"/>
    <w:rsid w:val="001C15FB"/>
    <w:rsid w:val="001C175F"/>
    <w:rsid w:val="001C17EA"/>
    <w:rsid w:val="001C1859"/>
    <w:rsid w:val="001C188D"/>
    <w:rsid w:val="001C192F"/>
    <w:rsid w:val="001C19E4"/>
    <w:rsid w:val="001C1A78"/>
    <w:rsid w:val="001C1AF5"/>
    <w:rsid w:val="001C1B77"/>
    <w:rsid w:val="001C1B7A"/>
    <w:rsid w:val="001C1B9D"/>
    <w:rsid w:val="001C1CD0"/>
    <w:rsid w:val="001C2224"/>
    <w:rsid w:val="001C2425"/>
    <w:rsid w:val="001C24C0"/>
    <w:rsid w:val="001C27D3"/>
    <w:rsid w:val="001C28E0"/>
    <w:rsid w:val="001C2FD2"/>
    <w:rsid w:val="001C30C0"/>
    <w:rsid w:val="001C33F8"/>
    <w:rsid w:val="001C33FF"/>
    <w:rsid w:val="001C340B"/>
    <w:rsid w:val="001C3447"/>
    <w:rsid w:val="001C35FD"/>
    <w:rsid w:val="001C389A"/>
    <w:rsid w:val="001C3C26"/>
    <w:rsid w:val="001C3C29"/>
    <w:rsid w:val="001C3C42"/>
    <w:rsid w:val="001C3C96"/>
    <w:rsid w:val="001C3F3D"/>
    <w:rsid w:val="001C4275"/>
    <w:rsid w:val="001C428A"/>
    <w:rsid w:val="001C481C"/>
    <w:rsid w:val="001C487C"/>
    <w:rsid w:val="001C4A5F"/>
    <w:rsid w:val="001C4C60"/>
    <w:rsid w:val="001C4E3B"/>
    <w:rsid w:val="001C4E67"/>
    <w:rsid w:val="001C4F2A"/>
    <w:rsid w:val="001C51D1"/>
    <w:rsid w:val="001C5537"/>
    <w:rsid w:val="001C564B"/>
    <w:rsid w:val="001C599D"/>
    <w:rsid w:val="001C5BE5"/>
    <w:rsid w:val="001C5DC2"/>
    <w:rsid w:val="001C5ECD"/>
    <w:rsid w:val="001C5F6B"/>
    <w:rsid w:val="001C6232"/>
    <w:rsid w:val="001C62C3"/>
    <w:rsid w:val="001C62DC"/>
    <w:rsid w:val="001C6994"/>
    <w:rsid w:val="001C69AF"/>
    <w:rsid w:val="001C6AF4"/>
    <w:rsid w:val="001C6E5E"/>
    <w:rsid w:val="001C6E94"/>
    <w:rsid w:val="001C6FC8"/>
    <w:rsid w:val="001C702E"/>
    <w:rsid w:val="001C70AA"/>
    <w:rsid w:val="001C75CF"/>
    <w:rsid w:val="001C7A01"/>
    <w:rsid w:val="001C7A26"/>
    <w:rsid w:val="001C7B46"/>
    <w:rsid w:val="001C7C73"/>
    <w:rsid w:val="001C7DB5"/>
    <w:rsid w:val="001D005C"/>
    <w:rsid w:val="001D06EB"/>
    <w:rsid w:val="001D095D"/>
    <w:rsid w:val="001D0B62"/>
    <w:rsid w:val="001D0B79"/>
    <w:rsid w:val="001D0C02"/>
    <w:rsid w:val="001D0D18"/>
    <w:rsid w:val="001D0D66"/>
    <w:rsid w:val="001D12BB"/>
    <w:rsid w:val="001D1679"/>
    <w:rsid w:val="001D16D7"/>
    <w:rsid w:val="001D1737"/>
    <w:rsid w:val="001D2132"/>
    <w:rsid w:val="001D222C"/>
    <w:rsid w:val="001D2247"/>
    <w:rsid w:val="001D2248"/>
    <w:rsid w:val="001D228D"/>
    <w:rsid w:val="001D2358"/>
    <w:rsid w:val="001D2473"/>
    <w:rsid w:val="001D2492"/>
    <w:rsid w:val="001D29C2"/>
    <w:rsid w:val="001D2AFE"/>
    <w:rsid w:val="001D2CAF"/>
    <w:rsid w:val="001D2CB1"/>
    <w:rsid w:val="001D2D5A"/>
    <w:rsid w:val="001D2D87"/>
    <w:rsid w:val="001D2DB9"/>
    <w:rsid w:val="001D2E52"/>
    <w:rsid w:val="001D2EF6"/>
    <w:rsid w:val="001D2FD3"/>
    <w:rsid w:val="001D34A6"/>
    <w:rsid w:val="001D35BD"/>
    <w:rsid w:val="001D35FD"/>
    <w:rsid w:val="001D3803"/>
    <w:rsid w:val="001D3A5C"/>
    <w:rsid w:val="001D3BDB"/>
    <w:rsid w:val="001D3E45"/>
    <w:rsid w:val="001D3E9A"/>
    <w:rsid w:val="001D404B"/>
    <w:rsid w:val="001D4226"/>
    <w:rsid w:val="001D4488"/>
    <w:rsid w:val="001D477F"/>
    <w:rsid w:val="001D47CB"/>
    <w:rsid w:val="001D4838"/>
    <w:rsid w:val="001D4A35"/>
    <w:rsid w:val="001D4E6D"/>
    <w:rsid w:val="001D54F8"/>
    <w:rsid w:val="001D56B1"/>
    <w:rsid w:val="001D5AD7"/>
    <w:rsid w:val="001D5AE4"/>
    <w:rsid w:val="001D5EC0"/>
    <w:rsid w:val="001D60E1"/>
    <w:rsid w:val="001D646B"/>
    <w:rsid w:val="001D65FC"/>
    <w:rsid w:val="001D66DB"/>
    <w:rsid w:val="001D6857"/>
    <w:rsid w:val="001D6B84"/>
    <w:rsid w:val="001D6CFA"/>
    <w:rsid w:val="001D6E41"/>
    <w:rsid w:val="001D7119"/>
    <w:rsid w:val="001D7604"/>
    <w:rsid w:val="001D77E2"/>
    <w:rsid w:val="001D7869"/>
    <w:rsid w:val="001D7896"/>
    <w:rsid w:val="001D7AC6"/>
    <w:rsid w:val="001D7B08"/>
    <w:rsid w:val="001D7C1C"/>
    <w:rsid w:val="001D7C40"/>
    <w:rsid w:val="001D7E12"/>
    <w:rsid w:val="001E037E"/>
    <w:rsid w:val="001E04B9"/>
    <w:rsid w:val="001E04CC"/>
    <w:rsid w:val="001E051B"/>
    <w:rsid w:val="001E0774"/>
    <w:rsid w:val="001E079F"/>
    <w:rsid w:val="001E0850"/>
    <w:rsid w:val="001E0ADF"/>
    <w:rsid w:val="001E0C18"/>
    <w:rsid w:val="001E0D0E"/>
    <w:rsid w:val="001E134F"/>
    <w:rsid w:val="001E13DC"/>
    <w:rsid w:val="001E1898"/>
    <w:rsid w:val="001E1AEA"/>
    <w:rsid w:val="001E1DA6"/>
    <w:rsid w:val="001E1E35"/>
    <w:rsid w:val="001E1EC9"/>
    <w:rsid w:val="001E20AE"/>
    <w:rsid w:val="001E2395"/>
    <w:rsid w:val="001E2515"/>
    <w:rsid w:val="001E2735"/>
    <w:rsid w:val="001E284B"/>
    <w:rsid w:val="001E2869"/>
    <w:rsid w:val="001E2C99"/>
    <w:rsid w:val="001E312E"/>
    <w:rsid w:val="001E31EB"/>
    <w:rsid w:val="001E33D5"/>
    <w:rsid w:val="001E340B"/>
    <w:rsid w:val="001E3785"/>
    <w:rsid w:val="001E3908"/>
    <w:rsid w:val="001E3B9B"/>
    <w:rsid w:val="001E3CB2"/>
    <w:rsid w:val="001E3F5A"/>
    <w:rsid w:val="001E3F9A"/>
    <w:rsid w:val="001E3FBF"/>
    <w:rsid w:val="001E3FC3"/>
    <w:rsid w:val="001E43E9"/>
    <w:rsid w:val="001E44BC"/>
    <w:rsid w:val="001E4606"/>
    <w:rsid w:val="001E4B24"/>
    <w:rsid w:val="001E4FFE"/>
    <w:rsid w:val="001E5193"/>
    <w:rsid w:val="001E522C"/>
    <w:rsid w:val="001E5401"/>
    <w:rsid w:val="001E577B"/>
    <w:rsid w:val="001E57B3"/>
    <w:rsid w:val="001E5ACF"/>
    <w:rsid w:val="001E5C51"/>
    <w:rsid w:val="001E5DA5"/>
    <w:rsid w:val="001E5E85"/>
    <w:rsid w:val="001E60EA"/>
    <w:rsid w:val="001E61C9"/>
    <w:rsid w:val="001E62F5"/>
    <w:rsid w:val="001E6340"/>
    <w:rsid w:val="001E63D1"/>
    <w:rsid w:val="001E68A2"/>
    <w:rsid w:val="001E6A2E"/>
    <w:rsid w:val="001E6CB9"/>
    <w:rsid w:val="001E6E5D"/>
    <w:rsid w:val="001E75B2"/>
    <w:rsid w:val="001E7641"/>
    <w:rsid w:val="001E7A69"/>
    <w:rsid w:val="001E7ABF"/>
    <w:rsid w:val="001E7BCD"/>
    <w:rsid w:val="001E7C99"/>
    <w:rsid w:val="001E7D1B"/>
    <w:rsid w:val="001E7E41"/>
    <w:rsid w:val="001E7E4B"/>
    <w:rsid w:val="001F01DD"/>
    <w:rsid w:val="001F03F2"/>
    <w:rsid w:val="001F0616"/>
    <w:rsid w:val="001F0738"/>
    <w:rsid w:val="001F0A9F"/>
    <w:rsid w:val="001F0B18"/>
    <w:rsid w:val="001F0B8B"/>
    <w:rsid w:val="001F0F2D"/>
    <w:rsid w:val="001F0FEE"/>
    <w:rsid w:val="001F1049"/>
    <w:rsid w:val="001F1193"/>
    <w:rsid w:val="001F1264"/>
    <w:rsid w:val="001F12F9"/>
    <w:rsid w:val="001F1389"/>
    <w:rsid w:val="001F1894"/>
    <w:rsid w:val="001F18DE"/>
    <w:rsid w:val="001F18F6"/>
    <w:rsid w:val="001F1976"/>
    <w:rsid w:val="001F1A36"/>
    <w:rsid w:val="001F1CC3"/>
    <w:rsid w:val="001F1E0D"/>
    <w:rsid w:val="001F2095"/>
    <w:rsid w:val="001F2A00"/>
    <w:rsid w:val="001F2EE6"/>
    <w:rsid w:val="001F2F54"/>
    <w:rsid w:val="001F2F78"/>
    <w:rsid w:val="001F3082"/>
    <w:rsid w:val="001F311B"/>
    <w:rsid w:val="001F32A3"/>
    <w:rsid w:val="001F3505"/>
    <w:rsid w:val="001F36AD"/>
    <w:rsid w:val="001F36EE"/>
    <w:rsid w:val="001F3823"/>
    <w:rsid w:val="001F38BD"/>
    <w:rsid w:val="001F39B5"/>
    <w:rsid w:val="001F3CCD"/>
    <w:rsid w:val="001F4321"/>
    <w:rsid w:val="001F4366"/>
    <w:rsid w:val="001F43A2"/>
    <w:rsid w:val="001F45F1"/>
    <w:rsid w:val="001F4668"/>
    <w:rsid w:val="001F4748"/>
    <w:rsid w:val="001F5342"/>
    <w:rsid w:val="001F5552"/>
    <w:rsid w:val="001F5896"/>
    <w:rsid w:val="001F5C8A"/>
    <w:rsid w:val="001F5D6F"/>
    <w:rsid w:val="001F5D70"/>
    <w:rsid w:val="001F5EF2"/>
    <w:rsid w:val="001F62DF"/>
    <w:rsid w:val="001F64AC"/>
    <w:rsid w:val="001F65B1"/>
    <w:rsid w:val="001F65F2"/>
    <w:rsid w:val="001F66FA"/>
    <w:rsid w:val="001F6948"/>
    <w:rsid w:val="001F6B71"/>
    <w:rsid w:val="001F6C62"/>
    <w:rsid w:val="001F6C65"/>
    <w:rsid w:val="001F6DCA"/>
    <w:rsid w:val="001F6E84"/>
    <w:rsid w:val="001F713E"/>
    <w:rsid w:val="001F7684"/>
    <w:rsid w:val="001F77D1"/>
    <w:rsid w:val="001F7B10"/>
    <w:rsid w:val="001F7C7E"/>
    <w:rsid w:val="001F7ED5"/>
    <w:rsid w:val="001F7FA1"/>
    <w:rsid w:val="00200576"/>
    <w:rsid w:val="002006AC"/>
    <w:rsid w:val="002008CF"/>
    <w:rsid w:val="00200937"/>
    <w:rsid w:val="00200976"/>
    <w:rsid w:val="002013ED"/>
    <w:rsid w:val="0020142D"/>
    <w:rsid w:val="0020168A"/>
    <w:rsid w:val="00201831"/>
    <w:rsid w:val="002018B5"/>
    <w:rsid w:val="00201913"/>
    <w:rsid w:val="002019DB"/>
    <w:rsid w:val="00201FA8"/>
    <w:rsid w:val="00202230"/>
    <w:rsid w:val="00202234"/>
    <w:rsid w:val="00202320"/>
    <w:rsid w:val="0020249A"/>
    <w:rsid w:val="002024AF"/>
    <w:rsid w:val="00202514"/>
    <w:rsid w:val="002026CD"/>
    <w:rsid w:val="00203334"/>
    <w:rsid w:val="002033FC"/>
    <w:rsid w:val="0020365B"/>
    <w:rsid w:val="002038FE"/>
    <w:rsid w:val="00203AF7"/>
    <w:rsid w:val="00203B63"/>
    <w:rsid w:val="00203F66"/>
    <w:rsid w:val="00204216"/>
    <w:rsid w:val="002042C1"/>
    <w:rsid w:val="002043E0"/>
    <w:rsid w:val="00204428"/>
    <w:rsid w:val="00204475"/>
    <w:rsid w:val="002044BB"/>
    <w:rsid w:val="00204671"/>
    <w:rsid w:val="00204694"/>
    <w:rsid w:val="0020483A"/>
    <w:rsid w:val="00204A3A"/>
    <w:rsid w:val="00204AB4"/>
    <w:rsid w:val="00204B9A"/>
    <w:rsid w:val="00204CF8"/>
    <w:rsid w:val="00204D15"/>
    <w:rsid w:val="00204DA4"/>
    <w:rsid w:val="00205A6F"/>
    <w:rsid w:val="00205ABE"/>
    <w:rsid w:val="00205B05"/>
    <w:rsid w:val="00205C4C"/>
    <w:rsid w:val="00205D38"/>
    <w:rsid w:val="00205D52"/>
    <w:rsid w:val="00205DB1"/>
    <w:rsid w:val="00205FDB"/>
    <w:rsid w:val="00205FFB"/>
    <w:rsid w:val="00206146"/>
    <w:rsid w:val="00206161"/>
    <w:rsid w:val="002062C1"/>
    <w:rsid w:val="00206307"/>
    <w:rsid w:val="002063AB"/>
    <w:rsid w:val="00206538"/>
    <w:rsid w:val="0020657D"/>
    <w:rsid w:val="00206602"/>
    <w:rsid w:val="00206A36"/>
    <w:rsid w:val="00206BC1"/>
    <w:rsid w:val="00206CDF"/>
    <w:rsid w:val="00206E8F"/>
    <w:rsid w:val="00206F1B"/>
    <w:rsid w:val="00206F49"/>
    <w:rsid w:val="002070BA"/>
    <w:rsid w:val="002070F1"/>
    <w:rsid w:val="00207522"/>
    <w:rsid w:val="0020764A"/>
    <w:rsid w:val="0020771C"/>
    <w:rsid w:val="00207962"/>
    <w:rsid w:val="00207AAF"/>
    <w:rsid w:val="00207BA9"/>
    <w:rsid w:val="00207BB7"/>
    <w:rsid w:val="00207BD9"/>
    <w:rsid w:val="00207CB3"/>
    <w:rsid w:val="00207E5D"/>
    <w:rsid w:val="00207EB6"/>
    <w:rsid w:val="00207EDB"/>
    <w:rsid w:val="00207F52"/>
    <w:rsid w:val="00207F58"/>
    <w:rsid w:val="00210118"/>
    <w:rsid w:val="0021026B"/>
    <w:rsid w:val="0021026E"/>
    <w:rsid w:val="00210368"/>
    <w:rsid w:val="00210429"/>
    <w:rsid w:val="002104C9"/>
    <w:rsid w:val="002106E1"/>
    <w:rsid w:val="0021074E"/>
    <w:rsid w:val="00210776"/>
    <w:rsid w:val="002107E7"/>
    <w:rsid w:val="00210AAE"/>
    <w:rsid w:val="00210B09"/>
    <w:rsid w:val="00210C9E"/>
    <w:rsid w:val="00210D07"/>
    <w:rsid w:val="00210F97"/>
    <w:rsid w:val="00210FD8"/>
    <w:rsid w:val="0021100A"/>
    <w:rsid w:val="002110B5"/>
    <w:rsid w:val="0021123F"/>
    <w:rsid w:val="00211840"/>
    <w:rsid w:val="00211B05"/>
    <w:rsid w:val="00211E12"/>
    <w:rsid w:val="00212120"/>
    <w:rsid w:val="002121FD"/>
    <w:rsid w:val="00212573"/>
    <w:rsid w:val="002127EE"/>
    <w:rsid w:val="002128A6"/>
    <w:rsid w:val="00212F47"/>
    <w:rsid w:val="00212FCA"/>
    <w:rsid w:val="00212FD0"/>
    <w:rsid w:val="002131F4"/>
    <w:rsid w:val="0021334F"/>
    <w:rsid w:val="0021338D"/>
    <w:rsid w:val="002135F6"/>
    <w:rsid w:val="00213635"/>
    <w:rsid w:val="00213BF0"/>
    <w:rsid w:val="00213D02"/>
    <w:rsid w:val="00213D98"/>
    <w:rsid w:val="00213FA9"/>
    <w:rsid w:val="0021403D"/>
    <w:rsid w:val="0021403F"/>
    <w:rsid w:val="002141A8"/>
    <w:rsid w:val="00214218"/>
    <w:rsid w:val="002142C9"/>
    <w:rsid w:val="002142E4"/>
    <w:rsid w:val="00214331"/>
    <w:rsid w:val="00214390"/>
    <w:rsid w:val="0021444B"/>
    <w:rsid w:val="002144DE"/>
    <w:rsid w:val="00214990"/>
    <w:rsid w:val="00214AE0"/>
    <w:rsid w:val="002155F2"/>
    <w:rsid w:val="00215804"/>
    <w:rsid w:val="0021586B"/>
    <w:rsid w:val="002158BC"/>
    <w:rsid w:val="002159ED"/>
    <w:rsid w:val="00215C39"/>
    <w:rsid w:val="00215D8E"/>
    <w:rsid w:val="00216191"/>
    <w:rsid w:val="00216349"/>
    <w:rsid w:val="00216405"/>
    <w:rsid w:val="002164A4"/>
    <w:rsid w:val="002165AD"/>
    <w:rsid w:val="002166CA"/>
    <w:rsid w:val="0021690C"/>
    <w:rsid w:val="00216D68"/>
    <w:rsid w:val="002171B2"/>
    <w:rsid w:val="0021764B"/>
    <w:rsid w:val="00217884"/>
    <w:rsid w:val="0021788D"/>
    <w:rsid w:val="00217A84"/>
    <w:rsid w:val="00217C8E"/>
    <w:rsid w:val="00220017"/>
    <w:rsid w:val="002200E6"/>
    <w:rsid w:val="002200F9"/>
    <w:rsid w:val="0022055B"/>
    <w:rsid w:val="0022089E"/>
    <w:rsid w:val="002208D9"/>
    <w:rsid w:val="002208FE"/>
    <w:rsid w:val="00220AF5"/>
    <w:rsid w:val="00220B01"/>
    <w:rsid w:val="00220E5F"/>
    <w:rsid w:val="00220EAA"/>
    <w:rsid w:val="00220EB1"/>
    <w:rsid w:val="00220EDB"/>
    <w:rsid w:val="00220EFC"/>
    <w:rsid w:val="00220F5A"/>
    <w:rsid w:val="00221073"/>
    <w:rsid w:val="002212B5"/>
    <w:rsid w:val="002212EC"/>
    <w:rsid w:val="00221376"/>
    <w:rsid w:val="002213BE"/>
    <w:rsid w:val="002213C5"/>
    <w:rsid w:val="00221498"/>
    <w:rsid w:val="002217A1"/>
    <w:rsid w:val="0022182E"/>
    <w:rsid w:val="002224D7"/>
    <w:rsid w:val="00222671"/>
    <w:rsid w:val="0022271E"/>
    <w:rsid w:val="002229F4"/>
    <w:rsid w:val="00222AA4"/>
    <w:rsid w:val="00222CBB"/>
    <w:rsid w:val="00222D89"/>
    <w:rsid w:val="00222DB5"/>
    <w:rsid w:val="00222DC1"/>
    <w:rsid w:val="00222DFC"/>
    <w:rsid w:val="00222F82"/>
    <w:rsid w:val="00222F87"/>
    <w:rsid w:val="0022314C"/>
    <w:rsid w:val="00223457"/>
    <w:rsid w:val="002235C4"/>
    <w:rsid w:val="00223667"/>
    <w:rsid w:val="00223B1C"/>
    <w:rsid w:val="00223B2B"/>
    <w:rsid w:val="00223BB2"/>
    <w:rsid w:val="00223C6C"/>
    <w:rsid w:val="00223C7D"/>
    <w:rsid w:val="00223C94"/>
    <w:rsid w:val="00223DDC"/>
    <w:rsid w:val="0022400E"/>
    <w:rsid w:val="0022418E"/>
    <w:rsid w:val="002241EA"/>
    <w:rsid w:val="002242C1"/>
    <w:rsid w:val="00224BEA"/>
    <w:rsid w:val="00224CF0"/>
    <w:rsid w:val="00224E2C"/>
    <w:rsid w:val="00225055"/>
    <w:rsid w:val="00225074"/>
    <w:rsid w:val="002253B4"/>
    <w:rsid w:val="00225439"/>
    <w:rsid w:val="002256B4"/>
    <w:rsid w:val="00225D71"/>
    <w:rsid w:val="00225D83"/>
    <w:rsid w:val="00225D95"/>
    <w:rsid w:val="00225F45"/>
    <w:rsid w:val="0022602A"/>
    <w:rsid w:val="00226253"/>
    <w:rsid w:val="002262D9"/>
    <w:rsid w:val="00226668"/>
    <w:rsid w:val="00226981"/>
    <w:rsid w:val="00226A1A"/>
    <w:rsid w:val="00226A38"/>
    <w:rsid w:val="00226AB2"/>
    <w:rsid w:val="00226B0D"/>
    <w:rsid w:val="00226BF9"/>
    <w:rsid w:val="00226DC4"/>
    <w:rsid w:val="0022704B"/>
    <w:rsid w:val="00227279"/>
    <w:rsid w:val="00227456"/>
    <w:rsid w:val="00227686"/>
    <w:rsid w:val="0022768A"/>
    <w:rsid w:val="00227697"/>
    <w:rsid w:val="002276D9"/>
    <w:rsid w:val="002277A6"/>
    <w:rsid w:val="00227EE0"/>
    <w:rsid w:val="00227F40"/>
    <w:rsid w:val="00227F47"/>
    <w:rsid w:val="00227F71"/>
    <w:rsid w:val="002301DC"/>
    <w:rsid w:val="002307B3"/>
    <w:rsid w:val="0023085B"/>
    <w:rsid w:val="002308D0"/>
    <w:rsid w:val="0023096E"/>
    <w:rsid w:val="00230C87"/>
    <w:rsid w:val="0023102C"/>
    <w:rsid w:val="00231064"/>
    <w:rsid w:val="00231169"/>
    <w:rsid w:val="002311BB"/>
    <w:rsid w:val="00231C59"/>
    <w:rsid w:val="00231E7F"/>
    <w:rsid w:val="00231F4B"/>
    <w:rsid w:val="002321C1"/>
    <w:rsid w:val="002323DE"/>
    <w:rsid w:val="00232665"/>
    <w:rsid w:val="00232A2B"/>
    <w:rsid w:val="00232E0F"/>
    <w:rsid w:val="00232E1F"/>
    <w:rsid w:val="00232F7F"/>
    <w:rsid w:val="00232FAA"/>
    <w:rsid w:val="00233292"/>
    <w:rsid w:val="002332ED"/>
    <w:rsid w:val="002333E6"/>
    <w:rsid w:val="00233456"/>
    <w:rsid w:val="0023350B"/>
    <w:rsid w:val="00233809"/>
    <w:rsid w:val="00233A33"/>
    <w:rsid w:val="00233B66"/>
    <w:rsid w:val="00233BD2"/>
    <w:rsid w:val="00233C4A"/>
    <w:rsid w:val="00233C5E"/>
    <w:rsid w:val="00233F97"/>
    <w:rsid w:val="002341B0"/>
    <w:rsid w:val="00234329"/>
    <w:rsid w:val="0023496C"/>
    <w:rsid w:val="002349AC"/>
    <w:rsid w:val="00234A98"/>
    <w:rsid w:val="00234C7D"/>
    <w:rsid w:val="00234DE2"/>
    <w:rsid w:val="0023508B"/>
    <w:rsid w:val="0023518E"/>
    <w:rsid w:val="002355F9"/>
    <w:rsid w:val="00235659"/>
    <w:rsid w:val="0023568B"/>
    <w:rsid w:val="002357DA"/>
    <w:rsid w:val="0023614F"/>
    <w:rsid w:val="00236214"/>
    <w:rsid w:val="00236263"/>
    <w:rsid w:val="002365C3"/>
    <w:rsid w:val="00236B20"/>
    <w:rsid w:val="00236CD1"/>
    <w:rsid w:val="00236D89"/>
    <w:rsid w:val="00237126"/>
    <w:rsid w:val="00237159"/>
    <w:rsid w:val="002372B2"/>
    <w:rsid w:val="002374D4"/>
    <w:rsid w:val="002375A8"/>
    <w:rsid w:val="00237D1B"/>
    <w:rsid w:val="00240046"/>
    <w:rsid w:val="00240272"/>
    <w:rsid w:val="0024028F"/>
    <w:rsid w:val="00240798"/>
    <w:rsid w:val="002408C9"/>
    <w:rsid w:val="00240DF0"/>
    <w:rsid w:val="002412AD"/>
    <w:rsid w:val="002413CE"/>
    <w:rsid w:val="00241418"/>
    <w:rsid w:val="002414A1"/>
    <w:rsid w:val="002416BC"/>
    <w:rsid w:val="00241707"/>
    <w:rsid w:val="00241A41"/>
    <w:rsid w:val="00241E19"/>
    <w:rsid w:val="00241E89"/>
    <w:rsid w:val="0024233F"/>
    <w:rsid w:val="002426D7"/>
    <w:rsid w:val="00242AE0"/>
    <w:rsid w:val="0024342D"/>
    <w:rsid w:val="002434DD"/>
    <w:rsid w:val="0024398D"/>
    <w:rsid w:val="002439D4"/>
    <w:rsid w:val="00243D59"/>
    <w:rsid w:val="002444B7"/>
    <w:rsid w:val="00244850"/>
    <w:rsid w:val="00244862"/>
    <w:rsid w:val="00244ECA"/>
    <w:rsid w:val="00244EE3"/>
    <w:rsid w:val="00244F1A"/>
    <w:rsid w:val="00245101"/>
    <w:rsid w:val="002452AD"/>
    <w:rsid w:val="00245742"/>
    <w:rsid w:val="00245929"/>
    <w:rsid w:val="0024594F"/>
    <w:rsid w:val="00245D3F"/>
    <w:rsid w:val="00245DA8"/>
    <w:rsid w:val="00245DFB"/>
    <w:rsid w:val="002461CB"/>
    <w:rsid w:val="002461CD"/>
    <w:rsid w:val="0024622D"/>
    <w:rsid w:val="00246528"/>
    <w:rsid w:val="002465E7"/>
    <w:rsid w:val="00246696"/>
    <w:rsid w:val="00246A3D"/>
    <w:rsid w:val="00246C79"/>
    <w:rsid w:val="00246C9C"/>
    <w:rsid w:val="002471C5"/>
    <w:rsid w:val="00247724"/>
    <w:rsid w:val="0024797F"/>
    <w:rsid w:val="0024798E"/>
    <w:rsid w:val="002479F4"/>
    <w:rsid w:val="00247A15"/>
    <w:rsid w:val="00247AA0"/>
    <w:rsid w:val="00247AB4"/>
    <w:rsid w:val="00247B6F"/>
    <w:rsid w:val="00247F56"/>
    <w:rsid w:val="002503FA"/>
    <w:rsid w:val="00250420"/>
    <w:rsid w:val="0025043F"/>
    <w:rsid w:val="0025072C"/>
    <w:rsid w:val="00250734"/>
    <w:rsid w:val="00250A7D"/>
    <w:rsid w:val="00250EB9"/>
    <w:rsid w:val="00250FB3"/>
    <w:rsid w:val="0025119E"/>
    <w:rsid w:val="00251269"/>
    <w:rsid w:val="00251280"/>
    <w:rsid w:val="00251313"/>
    <w:rsid w:val="00251445"/>
    <w:rsid w:val="0025153B"/>
    <w:rsid w:val="002515A7"/>
    <w:rsid w:val="0025160B"/>
    <w:rsid w:val="002517CC"/>
    <w:rsid w:val="00251856"/>
    <w:rsid w:val="00251B3E"/>
    <w:rsid w:val="00251D8C"/>
    <w:rsid w:val="0025231E"/>
    <w:rsid w:val="0025235B"/>
    <w:rsid w:val="00252480"/>
    <w:rsid w:val="0025249D"/>
    <w:rsid w:val="00252AE7"/>
    <w:rsid w:val="00252CDF"/>
    <w:rsid w:val="00252FB3"/>
    <w:rsid w:val="0025312A"/>
    <w:rsid w:val="002532C5"/>
    <w:rsid w:val="00253405"/>
    <w:rsid w:val="0025344B"/>
    <w:rsid w:val="002535C0"/>
    <w:rsid w:val="00253691"/>
    <w:rsid w:val="002536EB"/>
    <w:rsid w:val="00253791"/>
    <w:rsid w:val="00253A86"/>
    <w:rsid w:val="00253E0A"/>
    <w:rsid w:val="00254126"/>
    <w:rsid w:val="00254333"/>
    <w:rsid w:val="002548AE"/>
    <w:rsid w:val="00254C6C"/>
    <w:rsid w:val="00254EED"/>
    <w:rsid w:val="00255055"/>
    <w:rsid w:val="002551C7"/>
    <w:rsid w:val="0025521E"/>
    <w:rsid w:val="00255599"/>
    <w:rsid w:val="00255AED"/>
    <w:rsid w:val="00256269"/>
    <w:rsid w:val="002566EC"/>
    <w:rsid w:val="002567E4"/>
    <w:rsid w:val="00256A35"/>
    <w:rsid w:val="00256FA1"/>
    <w:rsid w:val="00257019"/>
    <w:rsid w:val="002571ED"/>
    <w:rsid w:val="002572A0"/>
    <w:rsid w:val="00257673"/>
    <w:rsid w:val="00257715"/>
    <w:rsid w:val="0025772F"/>
    <w:rsid w:val="002578D9"/>
    <w:rsid w:val="0025791E"/>
    <w:rsid w:val="0025797F"/>
    <w:rsid w:val="002579FE"/>
    <w:rsid w:val="00257A0A"/>
    <w:rsid w:val="00257A1C"/>
    <w:rsid w:val="00257BF8"/>
    <w:rsid w:val="00257CF2"/>
    <w:rsid w:val="00260049"/>
    <w:rsid w:val="00260160"/>
    <w:rsid w:val="00260272"/>
    <w:rsid w:val="002602CC"/>
    <w:rsid w:val="0026044F"/>
    <w:rsid w:val="00260918"/>
    <w:rsid w:val="00260C3F"/>
    <w:rsid w:val="00260D8D"/>
    <w:rsid w:val="00260EC6"/>
    <w:rsid w:val="00261272"/>
    <w:rsid w:val="0026129C"/>
    <w:rsid w:val="0026138C"/>
    <w:rsid w:val="00261487"/>
    <w:rsid w:val="0026156C"/>
    <w:rsid w:val="002616E7"/>
    <w:rsid w:val="00261854"/>
    <w:rsid w:val="0026187F"/>
    <w:rsid w:val="00261A8F"/>
    <w:rsid w:val="00261B2D"/>
    <w:rsid w:val="00261BB4"/>
    <w:rsid w:val="00261EA2"/>
    <w:rsid w:val="00261F4B"/>
    <w:rsid w:val="00262137"/>
    <w:rsid w:val="0026213E"/>
    <w:rsid w:val="0026225F"/>
    <w:rsid w:val="002622D7"/>
    <w:rsid w:val="002623BB"/>
    <w:rsid w:val="00262691"/>
    <w:rsid w:val="00262B81"/>
    <w:rsid w:val="00262D46"/>
    <w:rsid w:val="00262D62"/>
    <w:rsid w:val="00262EA2"/>
    <w:rsid w:val="002630B4"/>
    <w:rsid w:val="0026311C"/>
    <w:rsid w:val="00263389"/>
    <w:rsid w:val="00263541"/>
    <w:rsid w:val="002637B4"/>
    <w:rsid w:val="00263983"/>
    <w:rsid w:val="00263A94"/>
    <w:rsid w:val="00263AF9"/>
    <w:rsid w:val="00263B77"/>
    <w:rsid w:val="00263FD6"/>
    <w:rsid w:val="00264241"/>
    <w:rsid w:val="0026429E"/>
    <w:rsid w:val="002643DC"/>
    <w:rsid w:val="0026442E"/>
    <w:rsid w:val="00264511"/>
    <w:rsid w:val="00264645"/>
    <w:rsid w:val="002646BF"/>
    <w:rsid w:val="00264740"/>
    <w:rsid w:val="00264852"/>
    <w:rsid w:val="00264E71"/>
    <w:rsid w:val="00265076"/>
    <w:rsid w:val="00265209"/>
    <w:rsid w:val="00265257"/>
    <w:rsid w:val="002653C9"/>
    <w:rsid w:val="00265673"/>
    <w:rsid w:val="00265939"/>
    <w:rsid w:val="00265A25"/>
    <w:rsid w:val="00265A30"/>
    <w:rsid w:val="00265B21"/>
    <w:rsid w:val="00265B7F"/>
    <w:rsid w:val="00265BB8"/>
    <w:rsid w:val="00265CA2"/>
    <w:rsid w:val="00265E81"/>
    <w:rsid w:val="00266231"/>
    <w:rsid w:val="00266335"/>
    <w:rsid w:val="00266380"/>
    <w:rsid w:val="0026658C"/>
    <w:rsid w:val="0026668C"/>
    <w:rsid w:val="002666D9"/>
    <w:rsid w:val="00266848"/>
    <w:rsid w:val="002668D8"/>
    <w:rsid w:val="0026691A"/>
    <w:rsid w:val="00266977"/>
    <w:rsid w:val="00266AC1"/>
    <w:rsid w:val="00266D9B"/>
    <w:rsid w:val="00266DCE"/>
    <w:rsid w:val="00266E31"/>
    <w:rsid w:val="00266F32"/>
    <w:rsid w:val="00267124"/>
    <w:rsid w:val="0026741B"/>
    <w:rsid w:val="002678D7"/>
    <w:rsid w:val="0026792B"/>
    <w:rsid w:val="00267C8C"/>
    <w:rsid w:val="00267D0F"/>
    <w:rsid w:val="00267FAA"/>
    <w:rsid w:val="00267FD0"/>
    <w:rsid w:val="00267FD9"/>
    <w:rsid w:val="00270158"/>
    <w:rsid w:val="002701AD"/>
    <w:rsid w:val="002704EF"/>
    <w:rsid w:val="0027055F"/>
    <w:rsid w:val="0027075B"/>
    <w:rsid w:val="0027085B"/>
    <w:rsid w:val="0027096B"/>
    <w:rsid w:val="00270AEF"/>
    <w:rsid w:val="00270CF0"/>
    <w:rsid w:val="00270D4C"/>
    <w:rsid w:val="00270D5B"/>
    <w:rsid w:val="00270DAE"/>
    <w:rsid w:val="00270FAD"/>
    <w:rsid w:val="002710AF"/>
    <w:rsid w:val="00271268"/>
    <w:rsid w:val="0027138B"/>
    <w:rsid w:val="0027178C"/>
    <w:rsid w:val="00271907"/>
    <w:rsid w:val="00271935"/>
    <w:rsid w:val="002719FA"/>
    <w:rsid w:val="00271AFA"/>
    <w:rsid w:val="00271CBC"/>
    <w:rsid w:val="00271E74"/>
    <w:rsid w:val="00271EE8"/>
    <w:rsid w:val="00271F5B"/>
    <w:rsid w:val="002720DE"/>
    <w:rsid w:val="002723C4"/>
    <w:rsid w:val="002724EA"/>
    <w:rsid w:val="002724FF"/>
    <w:rsid w:val="002725CF"/>
    <w:rsid w:val="00272668"/>
    <w:rsid w:val="002727C3"/>
    <w:rsid w:val="00272820"/>
    <w:rsid w:val="002728FE"/>
    <w:rsid w:val="00272917"/>
    <w:rsid w:val="00272929"/>
    <w:rsid w:val="00272A33"/>
    <w:rsid w:val="00272B5E"/>
    <w:rsid w:val="00272BD8"/>
    <w:rsid w:val="00272D5C"/>
    <w:rsid w:val="00272E62"/>
    <w:rsid w:val="00273150"/>
    <w:rsid w:val="0027330B"/>
    <w:rsid w:val="00273464"/>
    <w:rsid w:val="00273588"/>
    <w:rsid w:val="00273B1A"/>
    <w:rsid w:val="00273B93"/>
    <w:rsid w:val="00273E43"/>
    <w:rsid w:val="00273E8E"/>
    <w:rsid w:val="002740A4"/>
    <w:rsid w:val="0027412F"/>
    <w:rsid w:val="002748A8"/>
    <w:rsid w:val="00274B05"/>
    <w:rsid w:val="00274BDC"/>
    <w:rsid w:val="002750EA"/>
    <w:rsid w:val="00275173"/>
    <w:rsid w:val="00275220"/>
    <w:rsid w:val="0027526D"/>
    <w:rsid w:val="00275301"/>
    <w:rsid w:val="00275481"/>
    <w:rsid w:val="0027569B"/>
    <w:rsid w:val="00275B69"/>
    <w:rsid w:val="00275BE1"/>
    <w:rsid w:val="00275C19"/>
    <w:rsid w:val="00275F7E"/>
    <w:rsid w:val="0027611C"/>
    <w:rsid w:val="0027617B"/>
    <w:rsid w:val="0027657B"/>
    <w:rsid w:val="002765E9"/>
    <w:rsid w:val="00276672"/>
    <w:rsid w:val="002767BA"/>
    <w:rsid w:val="002767C6"/>
    <w:rsid w:val="002768F9"/>
    <w:rsid w:val="00276BA3"/>
    <w:rsid w:val="00276D5B"/>
    <w:rsid w:val="002770E7"/>
    <w:rsid w:val="002774BD"/>
    <w:rsid w:val="00277A22"/>
    <w:rsid w:val="00277CE2"/>
    <w:rsid w:val="00277D2C"/>
    <w:rsid w:val="002803AD"/>
    <w:rsid w:val="0028047C"/>
    <w:rsid w:val="00280944"/>
    <w:rsid w:val="00280A42"/>
    <w:rsid w:val="00280C6B"/>
    <w:rsid w:val="00280D97"/>
    <w:rsid w:val="00280EAF"/>
    <w:rsid w:val="0028102F"/>
    <w:rsid w:val="0028115A"/>
    <w:rsid w:val="0028116A"/>
    <w:rsid w:val="002811BE"/>
    <w:rsid w:val="0028141A"/>
    <w:rsid w:val="00281576"/>
    <w:rsid w:val="002816D6"/>
    <w:rsid w:val="002819C0"/>
    <w:rsid w:val="00281C3A"/>
    <w:rsid w:val="00281D9B"/>
    <w:rsid w:val="00281EE4"/>
    <w:rsid w:val="00282052"/>
    <w:rsid w:val="002820BC"/>
    <w:rsid w:val="00282256"/>
    <w:rsid w:val="00282279"/>
    <w:rsid w:val="0028233F"/>
    <w:rsid w:val="002826B0"/>
    <w:rsid w:val="002826BC"/>
    <w:rsid w:val="00282737"/>
    <w:rsid w:val="0028273C"/>
    <w:rsid w:val="00282860"/>
    <w:rsid w:val="00282DD8"/>
    <w:rsid w:val="00283221"/>
    <w:rsid w:val="002832FE"/>
    <w:rsid w:val="0028368D"/>
    <w:rsid w:val="002836F5"/>
    <w:rsid w:val="00283759"/>
    <w:rsid w:val="0028377C"/>
    <w:rsid w:val="002837F2"/>
    <w:rsid w:val="002837FF"/>
    <w:rsid w:val="0028380D"/>
    <w:rsid w:val="00283B19"/>
    <w:rsid w:val="00283EBF"/>
    <w:rsid w:val="00283EC7"/>
    <w:rsid w:val="00283F1C"/>
    <w:rsid w:val="002840E8"/>
    <w:rsid w:val="0028440F"/>
    <w:rsid w:val="002846B5"/>
    <w:rsid w:val="00284743"/>
    <w:rsid w:val="00284B00"/>
    <w:rsid w:val="00284B3A"/>
    <w:rsid w:val="00284C82"/>
    <w:rsid w:val="00284D07"/>
    <w:rsid w:val="00284E88"/>
    <w:rsid w:val="00284F08"/>
    <w:rsid w:val="00284F69"/>
    <w:rsid w:val="0028519E"/>
    <w:rsid w:val="00285217"/>
    <w:rsid w:val="00285238"/>
    <w:rsid w:val="002852CC"/>
    <w:rsid w:val="002854DE"/>
    <w:rsid w:val="002856A5"/>
    <w:rsid w:val="002857B6"/>
    <w:rsid w:val="00285935"/>
    <w:rsid w:val="00285ADF"/>
    <w:rsid w:val="00285D35"/>
    <w:rsid w:val="00285D7E"/>
    <w:rsid w:val="00285E62"/>
    <w:rsid w:val="00285EF8"/>
    <w:rsid w:val="00285F44"/>
    <w:rsid w:val="002860B2"/>
    <w:rsid w:val="002867B0"/>
    <w:rsid w:val="002867CF"/>
    <w:rsid w:val="002868C9"/>
    <w:rsid w:val="00286F3F"/>
    <w:rsid w:val="002872A9"/>
    <w:rsid w:val="002872ED"/>
    <w:rsid w:val="002874E0"/>
    <w:rsid w:val="00287568"/>
    <w:rsid w:val="002876E9"/>
    <w:rsid w:val="002876FF"/>
    <w:rsid w:val="00287898"/>
    <w:rsid w:val="0028796F"/>
    <w:rsid w:val="00287A7B"/>
    <w:rsid w:val="00287B05"/>
    <w:rsid w:val="00287B0D"/>
    <w:rsid w:val="00287B18"/>
    <w:rsid w:val="00287C45"/>
    <w:rsid w:val="00287F05"/>
    <w:rsid w:val="002900AA"/>
    <w:rsid w:val="002900B0"/>
    <w:rsid w:val="002904A6"/>
    <w:rsid w:val="002905C2"/>
    <w:rsid w:val="00290972"/>
    <w:rsid w:val="002909A8"/>
    <w:rsid w:val="00290A31"/>
    <w:rsid w:val="00290A82"/>
    <w:rsid w:val="00290B21"/>
    <w:rsid w:val="00290C88"/>
    <w:rsid w:val="00290DE6"/>
    <w:rsid w:val="00290EDF"/>
    <w:rsid w:val="00291122"/>
    <w:rsid w:val="002913B2"/>
    <w:rsid w:val="0029145F"/>
    <w:rsid w:val="00291510"/>
    <w:rsid w:val="0029158F"/>
    <w:rsid w:val="0029161D"/>
    <w:rsid w:val="00291AA6"/>
    <w:rsid w:val="00291AE6"/>
    <w:rsid w:val="00291E57"/>
    <w:rsid w:val="00291FB6"/>
    <w:rsid w:val="0029211E"/>
    <w:rsid w:val="002921F7"/>
    <w:rsid w:val="0029243E"/>
    <w:rsid w:val="0029264B"/>
    <w:rsid w:val="00292830"/>
    <w:rsid w:val="002928E1"/>
    <w:rsid w:val="00292A41"/>
    <w:rsid w:val="00292D46"/>
    <w:rsid w:val="00292D5A"/>
    <w:rsid w:val="00292FAF"/>
    <w:rsid w:val="00293137"/>
    <w:rsid w:val="0029375B"/>
    <w:rsid w:val="002939AB"/>
    <w:rsid w:val="00293A10"/>
    <w:rsid w:val="00293BBD"/>
    <w:rsid w:val="00293BFC"/>
    <w:rsid w:val="00293EA4"/>
    <w:rsid w:val="00294265"/>
    <w:rsid w:val="002943A3"/>
    <w:rsid w:val="00294483"/>
    <w:rsid w:val="00294853"/>
    <w:rsid w:val="00294979"/>
    <w:rsid w:val="00294990"/>
    <w:rsid w:val="00294D1C"/>
    <w:rsid w:val="00294DFD"/>
    <w:rsid w:val="002952D6"/>
    <w:rsid w:val="0029538E"/>
    <w:rsid w:val="002957D6"/>
    <w:rsid w:val="002957EB"/>
    <w:rsid w:val="00295A92"/>
    <w:rsid w:val="00295AF2"/>
    <w:rsid w:val="00295C29"/>
    <w:rsid w:val="00295C91"/>
    <w:rsid w:val="00295DD0"/>
    <w:rsid w:val="002960DD"/>
    <w:rsid w:val="0029618C"/>
    <w:rsid w:val="00296266"/>
    <w:rsid w:val="00296309"/>
    <w:rsid w:val="00296408"/>
    <w:rsid w:val="002964A2"/>
    <w:rsid w:val="002965A2"/>
    <w:rsid w:val="002965F9"/>
    <w:rsid w:val="002969F6"/>
    <w:rsid w:val="00296B99"/>
    <w:rsid w:val="00297151"/>
    <w:rsid w:val="0029717D"/>
    <w:rsid w:val="0029721F"/>
    <w:rsid w:val="0029727B"/>
    <w:rsid w:val="002973FD"/>
    <w:rsid w:val="0029768E"/>
    <w:rsid w:val="00297A41"/>
    <w:rsid w:val="00297C54"/>
    <w:rsid w:val="00297C65"/>
    <w:rsid w:val="00297D23"/>
    <w:rsid w:val="00297FCF"/>
    <w:rsid w:val="00297FE2"/>
    <w:rsid w:val="002A0165"/>
    <w:rsid w:val="002A0246"/>
    <w:rsid w:val="002A0431"/>
    <w:rsid w:val="002A0910"/>
    <w:rsid w:val="002A09C2"/>
    <w:rsid w:val="002A0D68"/>
    <w:rsid w:val="002A0F58"/>
    <w:rsid w:val="002A13C3"/>
    <w:rsid w:val="002A1C51"/>
    <w:rsid w:val="002A1DBD"/>
    <w:rsid w:val="002A1E82"/>
    <w:rsid w:val="002A2145"/>
    <w:rsid w:val="002A2291"/>
    <w:rsid w:val="002A22E0"/>
    <w:rsid w:val="002A237A"/>
    <w:rsid w:val="002A25D9"/>
    <w:rsid w:val="002A271D"/>
    <w:rsid w:val="002A2844"/>
    <w:rsid w:val="002A28CC"/>
    <w:rsid w:val="002A2A1B"/>
    <w:rsid w:val="002A30EA"/>
    <w:rsid w:val="002A331A"/>
    <w:rsid w:val="002A3400"/>
    <w:rsid w:val="002A3855"/>
    <w:rsid w:val="002A3A9A"/>
    <w:rsid w:val="002A3C7D"/>
    <w:rsid w:val="002A3E1B"/>
    <w:rsid w:val="002A402F"/>
    <w:rsid w:val="002A4070"/>
    <w:rsid w:val="002A4131"/>
    <w:rsid w:val="002A41C7"/>
    <w:rsid w:val="002A421D"/>
    <w:rsid w:val="002A43AB"/>
    <w:rsid w:val="002A44D9"/>
    <w:rsid w:val="002A4738"/>
    <w:rsid w:val="002A4742"/>
    <w:rsid w:val="002A49C5"/>
    <w:rsid w:val="002A49CC"/>
    <w:rsid w:val="002A4A59"/>
    <w:rsid w:val="002A4B6F"/>
    <w:rsid w:val="002A4B77"/>
    <w:rsid w:val="002A4C15"/>
    <w:rsid w:val="002A4E7B"/>
    <w:rsid w:val="002A53FA"/>
    <w:rsid w:val="002A58D0"/>
    <w:rsid w:val="002A58FC"/>
    <w:rsid w:val="002A5A58"/>
    <w:rsid w:val="002A5E0B"/>
    <w:rsid w:val="002A5FE0"/>
    <w:rsid w:val="002A613B"/>
    <w:rsid w:val="002A62A8"/>
    <w:rsid w:val="002A633C"/>
    <w:rsid w:val="002A6365"/>
    <w:rsid w:val="002A68F9"/>
    <w:rsid w:val="002A6908"/>
    <w:rsid w:val="002A70DC"/>
    <w:rsid w:val="002A70E1"/>
    <w:rsid w:val="002A70EE"/>
    <w:rsid w:val="002A7211"/>
    <w:rsid w:val="002A72C5"/>
    <w:rsid w:val="002A75A7"/>
    <w:rsid w:val="002A781A"/>
    <w:rsid w:val="002B0305"/>
    <w:rsid w:val="002B068E"/>
    <w:rsid w:val="002B06FD"/>
    <w:rsid w:val="002B07F1"/>
    <w:rsid w:val="002B09E9"/>
    <w:rsid w:val="002B0E17"/>
    <w:rsid w:val="002B0E2C"/>
    <w:rsid w:val="002B112A"/>
    <w:rsid w:val="002B1268"/>
    <w:rsid w:val="002B12B4"/>
    <w:rsid w:val="002B139F"/>
    <w:rsid w:val="002B1618"/>
    <w:rsid w:val="002B1656"/>
    <w:rsid w:val="002B19C8"/>
    <w:rsid w:val="002B1BE6"/>
    <w:rsid w:val="002B1DA1"/>
    <w:rsid w:val="002B20E6"/>
    <w:rsid w:val="002B20EA"/>
    <w:rsid w:val="002B22F5"/>
    <w:rsid w:val="002B26D7"/>
    <w:rsid w:val="002B2ABF"/>
    <w:rsid w:val="002B2DE2"/>
    <w:rsid w:val="002B2FF4"/>
    <w:rsid w:val="002B2FF9"/>
    <w:rsid w:val="002B3181"/>
    <w:rsid w:val="002B33C7"/>
    <w:rsid w:val="002B34D1"/>
    <w:rsid w:val="002B3791"/>
    <w:rsid w:val="002B3A1B"/>
    <w:rsid w:val="002B3E3F"/>
    <w:rsid w:val="002B3FE7"/>
    <w:rsid w:val="002B42A3"/>
    <w:rsid w:val="002B4620"/>
    <w:rsid w:val="002B46B3"/>
    <w:rsid w:val="002B4882"/>
    <w:rsid w:val="002B48CC"/>
    <w:rsid w:val="002B4AF4"/>
    <w:rsid w:val="002B4B68"/>
    <w:rsid w:val="002B4BD7"/>
    <w:rsid w:val="002B4DFD"/>
    <w:rsid w:val="002B5270"/>
    <w:rsid w:val="002B53B5"/>
    <w:rsid w:val="002B540A"/>
    <w:rsid w:val="002B5430"/>
    <w:rsid w:val="002B54DD"/>
    <w:rsid w:val="002B568E"/>
    <w:rsid w:val="002B56C3"/>
    <w:rsid w:val="002B571A"/>
    <w:rsid w:val="002B574D"/>
    <w:rsid w:val="002B5A15"/>
    <w:rsid w:val="002B5C5A"/>
    <w:rsid w:val="002B5EA8"/>
    <w:rsid w:val="002B5EB2"/>
    <w:rsid w:val="002B5F06"/>
    <w:rsid w:val="002B60AE"/>
    <w:rsid w:val="002B63A6"/>
    <w:rsid w:val="002B63FD"/>
    <w:rsid w:val="002B64F3"/>
    <w:rsid w:val="002B6D0B"/>
    <w:rsid w:val="002B6D80"/>
    <w:rsid w:val="002B6E67"/>
    <w:rsid w:val="002B6EEE"/>
    <w:rsid w:val="002B6F94"/>
    <w:rsid w:val="002B702C"/>
    <w:rsid w:val="002B771E"/>
    <w:rsid w:val="002B78B2"/>
    <w:rsid w:val="002B7B76"/>
    <w:rsid w:val="002B7F09"/>
    <w:rsid w:val="002BD97B"/>
    <w:rsid w:val="002C02C9"/>
    <w:rsid w:val="002C0343"/>
    <w:rsid w:val="002C0459"/>
    <w:rsid w:val="002C076B"/>
    <w:rsid w:val="002C077D"/>
    <w:rsid w:val="002C08F5"/>
    <w:rsid w:val="002C0AB1"/>
    <w:rsid w:val="002C0CDD"/>
    <w:rsid w:val="002C0E51"/>
    <w:rsid w:val="002C0E62"/>
    <w:rsid w:val="002C1170"/>
    <w:rsid w:val="002C1372"/>
    <w:rsid w:val="002C147E"/>
    <w:rsid w:val="002C1532"/>
    <w:rsid w:val="002C16B9"/>
    <w:rsid w:val="002C1713"/>
    <w:rsid w:val="002C17A2"/>
    <w:rsid w:val="002C19C6"/>
    <w:rsid w:val="002C1ADA"/>
    <w:rsid w:val="002C1C4B"/>
    <w:rsid w:val="002C1DA3"/>
    <w:rsid w:val="002C1FDB"/>
    <w:rsid w:val="002C20B2"/>
    <w:rsid w:val="002C2125"/>
    <w:rsid w:val="002C2513"/>
    <w:rsid w:val="002C2530"/>
    <w:rsid w:val="002C25DB"/>
    <w:rsid w:val="002C2617"/>
    <w:rsid w:val="002C261F"/>
    <w:rsid w:val="002C266C"/>
    <w:rsid w:val="002C26EC"/>
    <w:rsid w:val="002C27BC"/>
    <w:rsid w:val="002C281D"/>
    <w:rsid w:val="002C29E0"/>
    <w:rsid w:val="002C2A0B"/>
    <w:rsid w:val="002C2A57"/>
    <w:rsid w:val="002C2B25"/>
    <w:rsid w:val="002C2D05"/>
    <w:rsid w:val="002C2DCF"/>
    <w:rsid w:val="002C2E08"/>
    <w:rsid w:val="002C2F1F"/>
    <w:rsid w:val="002C2F9B"/>
    <w:rsid w:val="002C31CA"/>
    <w:rsid w:val="002C349E"/>
    <w:rsid w:val="002C39D9"/>
    <w:rsid w:val="002C3ABE"/>
    <w:rsid w:val="002C3C36"/>
    <w:rsid w:val="002C3DA1"/>
    <w:rsid w:val="002C3ED1"/>
    <w:rsid w:val="002C3FFF"/>
    <w:rsid w:val="002C4763"/>
    <w:rsid w:val="002C49D9"/>
    <w:rsid w:val="002C4AD8"/>
    <w:rsid w:val="002C4B31"/>
    <w:rsid w:val="002C4C5B"/>
    <w:rsid w:val="002C4C9F"/>
    <w:rsid w:val="002C5047"/>
    <w:rsid w:val="002C5183"/>
    <w:rsid w:val="002C5190"/>
    <w:rsid w:val="002C5222"/>
    <w:rsid w:val="002C52A1"/>
    <w:rsid w:val="002C583B"/>
    <w:rsid w:val="002C5B62"/>
    <w:rsid w:val="002C5D18"/>
    <w:rsid w:val="002C61C6"/>
    <w:rsid w:val="002C61E2"/>
    <w:rsid w:val="002C6416"/>
    <w:rsid w:val="002C647C"/>
    <w:rsid w:val="002C6698"/>
    <w:rsid w:val="002C66C3"/>
    <w:rsid w:val="002C66CE"/>
    <w:rsid w:val="002C6926"/>
    <w:rsid w:val="002C6A1B"/>
    <w:rsid w:val="002C6AC6"/>
    <w:rsid w:val="002C6E2B"/>
    <w:rsid w:val="002C6E82"/>
    <w:rsid w:val="002C6F7A"/>
    <w:rsid w:val="002C7375"/>
    <w:rsid w:val="002C77EC"/>
    <w:rsid w:val="002C78DA"/>
    <w:rsid w:val="002C794B"/>
    <w:rsid w:val="002C79E5"/>
    <w:rsid w:val="002C7C71"/>
    <w:rsid w:val="002C7F0F"/>
    <w:rsid w:val="002C7FD8"/>
    <w:rsid w:val="002D00EE"/>
    <w:rsid w:val="002D01A7"/>
    <w:rsid w:val="002D028D"/>
    <w:rsid w:val="002D02C6"/>
    <w:rsid w:val="002D0376"/>
    <w:rsid w:val="002D05CA"/>
    <w:rsid w:val="002D0603"/>
    <w:rsid w:val="002D0755"/>
    <w:rsid w:val="002D0825"/>
    <w:rsid w:val="002D0DBE"/>
    <w:rsid w:val="002D140C"/>
    <w:rsid w:val="002D17E9"/>
    <w:rsid w:val="002D1874"/>
    <w:rsid w:val="002D1C78"/>
    <w:rsid w:val="002D2237"/>
    <w:rsid w:val="002D22E4"/>
    <w:rsid w:val="002D2457"/>
    <w:rsid w:val="002D246B"/>
    <w:rsid w:val="002D25DE"/>
    <w:rsid w:val="002D26F1"/>
    <w:rsid w:val="002D274B"/>
    <w:rsid w:val="002D27B6"/>
    <w:rsid w:val="002D2997"/>
    <w:rsid w:val="002D2B0E"/>
    <w:rsid w:val="002D2B9D"/>
    <w:rsid w:val="002D2DC4"/>
    <w:rsid w:val="002D2EC7"/>
    <w:rsid w:val="002D3140"/>
    <w:rsid w:val="002D31CF"/>
    <w:rsid w:val="002D3479"/>
    <w:rsid w:val="002D356B"/>
    <w:rsid w:val="002D36FB"/>
    <w:rsid w:val="002D370E"/>
    <w:rsid w:val="002D391F"/>
    <w:rsid w:val="002D3932"/>
    <w:rsid w:val="002D39A9"/>
    <w:rsid w:val="002D3D8A"/>
    <w:rsid w:val="002D3FB0"/>
    <w:rsid w:val="002D413D"/>
    <w:rsid w:val="002D41FB"/>
    <w:rsid w:val="002D41FD"/>
    <w:rsid w:val="002D421D"/>
    <w:rsid w:val="002D4264"/>
    <w:rsid w:val="002D42C0"/>
    <w:rsid w:val="002D439D"/>
    <w:rsid w:val="002D43A6"/>
    <w:rsid w:val="002D43DC"/>
    <w:rsid w:val="002D496F"/>
    <w:rsid w:val="002D49C0"/>
    <w:rsid w:val="002D4B1A"/>
    <w:rsid w:val="002D4C59"/>
    <w:rsid w:val="002D4C80"/>
    <w:rsid w:val="002D4D76"/>
    <w:rsid w:val="002D518C"/>
    <w:rsid w:val="002D51C4"/>
    <w:rsid w:val="002D5472"/>
    <w:rsid w:val="002D5932"/>
    <w:rsid w:val="002D5C92"/>
    <w:rsid w:val="002D5C94"/>
    <w:rsid w:val="002D60D5"/>
    <w:rsid w:val="002D6524"/>
    <w:rsid w:val="002D66A4"/>
    <w:rsid w:val="002D67E3"/>
    <w:rsid w:val="002D688C"/>
    <w:rsid w:val="002D6965"/>
    <w:rsid w:val="002D69B6"/>
    <w:rsid w:val="002D6AD2"/>
    <w:rsid w:val="002D6B06"/>
    <w:rsid w:val="002D6C89"/>
    <w:rsid w:val="002D6CB6"/>
    <w:rsid w:val="002D6CB9"/>
    <w:rsid w:val="002D6DA3"/>
    <w:rsid w:val="002D7053"/>
    <w:rsid w:val="002D7279"/>
    <w:rsid w:val="002D72F8"/>
    <w:rsid w:val="002D7958"/>
    <w:rsid w:val="002D7C1D"/>
    <w:rsid w:val="002D7EF9"/>
    <w:rsid w:val="002E01F4"/>
    <w:rsid w:val="002E035F"/>
    <w:rsid w:val="002E0713"/>
    <w:rsid w:val="002E073B"/>
    <w:rsid w:val="002E095A"/>
    <w:rsid w:val="002E0E68"/>
    <w:rsid w:val="002E0FF2"/>
    <w:rsid w:val="002E107F"/>
    <w:rsid w:val="002E1382"/>
    <w:rsid w:val="002E14AA"/>
    <w:rsid w:val="002E1507"/>
    <w:rsid w:val="002E157B"/>
    <w:rsid w:val="002E16DA"/>
    <w:rsid w:val="002E1A1D"/>
    <w:rsid w:val="002E1D18"/>
    <w:rsid w:val="002E1D9A"/>
    <w:rsid w:val="002E1DDB"/>
    <w:rsid w:val="002E205F"/>
    <w:rsid w:val="002E25FA"/>
    <w:rsid w:val="002E2B36"/>
    <w:rsid w:val="002E2D6D"/>
    <w:rsid w:val="002E2F50"/>
    <w:rsid w:val="002E307E"/>
    <w:rsid w:val="002E32A6"/>
    <w:rsid w:val="002E3485"/>
    <w:rsid w:val="002E34CC"/>
    <w:rsid w:val="002E360C"/>
    <w:rsid w:val="002E38D1"/>
    <w:rsid w:val="002E39E4"/>
    <w:rsid w:val="002E3AC1"/>
    <w:rsid w:val="002E3C1A"/>
    <w:rsid w:val="002E3C68"/>
    <w:rsid w:val="002E3D1C"/>
    <w:rsid w:val="002E3EDC"/>
    <w:rsid w:val="002E3EEB"/>
    <w:rsid w:val="002E4081"/>
    <w:rsid w:val="002E40F3"/>
    <w:rsid w:val="002E4186"/>
    <w:rsid w:val="002E4274"/>
    <w:rsid w:val="002E4339"/>
    <w:rsid w:val="002E462C"/>
    <w:rsid w:val="002E48E6"/>
    <w:rsid w:val="002E4A7F"/>
    <w:rsid w:val="002E4B4B"/>
    <w:rsid w:val="002E4CCE"/>
    <w:rsid w:val="002E4E1C"/>
    <w:rsid w:val="002E4F34"/>
    <w:rsid w:val="002E503A"/>
    <w:rsid w:val="002E5437"/>
    <w:rsid w:val="002E5548"/>
    <w:rsid w:val="002E5748"/>
    <w:rsid w:val="002E58B0"/>
    <w:rsid w:val="002E5B78"/>
    <w:rsid w:val="002E5D2B"/>
    <w:rsid w:val="002E5F83"/>
    <w:rsid w:val="002E6216"/>
    <w:rsid w:val="002E62B5"/>
    <w:rsid w:val="002E62EB"/>
    <w:rsid w:val="002E6360"/>
    <w:rsid w:val="002E65C2"/>
    <w:rsid w:val="002E670E"/>
    <w:rsid w:val="002E6BB6"/>
    <w:rsid w:val="002E6CBC"/>
    <w:rsid w:val="002E6FFA"/>
    <w:rsid w:val="002E6FFF"/>
    <w:rsid w:val="002E7271"/>
    <w:rsid w:val="002E728D"/>
    <w:rsid w:val="002E7A0F"/>
    <w:rsid w:val="002E7AB1"/>
    <w:rsid w:val="002E7B87"/>
    <w:rsid w:val="002F011B"/>
    <w:rsid w:val="002F01EF"/>
    <w:rsid w:val="002F0578"/>
    <w:rsid w:val="002F0588"/>
    <w:rsid w:val="002F0706"/>
    <w:rsid w:val="002F0878"/>
    <w:rsid w:val="002F0906"/>
    <w:rsid w:val="002F0A53"/>
    <w:rsid w:val="002F0B5A"/>
    <w:rsid w:val="002F0E40"/>
    <w:rsid w:val="002F0ED5"/>
    <w:rsid w:val="002F0FF2"/>
    <w:rsid w:val="002F1172"/>
    <w:rsid w:val="002F147E"/>
    <w:rsid w:val="002F1577"/>
    <w:rsid w:val="002F16AA"/>
    <w:rsid w:val="002F1963"/>
    <w:rsid w:val="002F1AB2"/>
    <w:rsid w:val="002F1B55"/>
    <w:rsid w:val="002F1B92"/>
    <w:rsid w:val="002F1C05"/>
    <w:rsid w:val="002F1EE6"/>
    <w:rsid w:val="002F2217"/>
    <w:rsid w:val="002F232E"/>
    <w:rsid w:val="002F2458"/>
    <w:rsid w:val="002F2479"/>
    <w:rsid w:val="002F24F2"/>
    <w:rsid w:val="002F277B"/>
    <w:rsid w:val="002F28D1"/>
    <w:rsid w:val="002F2C92"/>
    <w:rsid w:val="002F3018"/>
    <w:rsid w:val="002F3072"/>
    <w:rsid w:val="002F329E"/>
    <w:rsid w:val="002F35A0"/>
    <w:rsid w:val="002F37BF"/>
    <w:rsid w:val="002F3AE3"/>
    <w:rsid w:val="002F3C26"/>
    <w:rsid w:val="002F3E56"/>
    <w:rsid w:val="002F3EC7"/>
    <w:rsid w:val="002F3FF4"/>
    <w:rsid w:val="002F4C83"/>
    <w:rsid w:val="002F4D27"/>
    <w:rsid w:val="002F4E75"/>
    <w:rsid w:val="002F4F1A"/>
    <w:rsid w:val="002F554F"/>
    <w:rsid w:val="002F55A3"/>
    <w:rsid w:val="002F5606"/>
    <w:rsid w:val="002F5969"/>
    <w:rsid w:val="002F5B28"/>
    <w:rsid w:val="002F5CF8"/>
    <w:rsid w:val="002F5D20"/>
    <w:rsid w:val="002F5DC8"/>
    <w:rsid w:val="002F5DDE"/>
    <w:rsid w:val="002F5FFE"/>
    <w:rsid w:val="002F6400"/>
    <w:rsid w:val="002F64A6"/>
    <w:rsid w:val="002F653E"/>
    <w:rsid w:val="002F6682"/>
    <w:rsid w:val="002F6D41"/>
    <w:rsid w:val="002F6E11"/>
    <w:rsid w:val="002F764B"/>
    <w:rsid w:val="002F77F4"/>
    <w:rsid w:val="002F7BFE"/>
    <w:rsid w:val="002F7C4B"/>
    <w:rsid w:val="002F7D33"/>
    <w:rsid w:val="00300020"/>
    <w:rsid w:val="003000C0"/>
    <w:rsid w:val="00300362"/>
    <w:rsid w:val="0030036E"/>
    <w:rsid w:val="00300781"/>
    <w:rsid w:val="00300D45"/>
    <w:rsid w:val="00300DA8"/>
    <w:rsid w:val="003011A1"/>
    <w:rsid w:val="0030130C"/>
    <w:rsid w:val="003013AB"/>
    <w:rsid w:val="0030163A"/>
    <w:rsid w:val="00301BDE"/>
    <w:rsid w:val="00301C2A"/>
    <w:rsid w:val="00302434"/>
    <w:rsid w:val="00302A5D"/>
    <w:rsid w:val="00302C7C"/>
    <w:rsid w:val="00302EA2"/>
    <w:rsid w:val="00302FA7"/>
    <w:rsid w:val="0030311F"/>
    <w:rsid w:val="003031C3"/>
    <w:rsid w:val="00303343"/>
    <w:rsid w:val="00303734"/>
    <w:rsid w:val="00303B84"/>
    <w:rsid w:val="00303E5C"/>
    <w:rsid w:val="00303F2E"/>
    <w:rsid w:val="0030435A"/>
    <w:rsid w:val="0030442E"/>
    <w:rsid w:val="0030445B"/>
    <w:rsid w:val="0030462F"/>
    <w:rsid w:val="0030464B"/>
    <w:rsid w:val="00304684"/>
    <w:rsid w:val="00304866"/>
    <w:rsid w:val="00304A4E"/>
    <w:rsid w:val="00304B2E"/>
    <w:rsid w:val="00304C22"/>
    <w:rsid w:val="00304E16"/>
    <w:rsid w:val="003052AE"/>
    <w:rsid w:val="0030541E"/>
    <w:rsid w:val="00305494"/>
    <w:rsid w:val="00305674"/>
    <w:rsid w:val="003058A4"/>
    <w:rsid w:val="00305BCB"/>
    <w:rsid w:val="00305CCA"/>
    <w:rsid w:val="00305D9D"/>
    <w:rsid w:val="00305DE5"/>
    <w:rsid w:val="00305DF1"/>
    <w:rsid w:val="0030610E"/>
    <w:rsid w:val="003063E5"/>
    <w:rsid w:val="00306691"/>
    <w:rsid w:val="003069E6"/>
    <w:rsid w:val="00306ADE"/>
    <w:rsid w:val="00306AF3"/>
    <w:rsid w:val="00306C56"/>
    <w:rsid w:val="00306E23"/>
    <w:rsid w:val="00306F93"/>
    <w:rsid w:val="00306FFB"/>
    <w:rsid w:val="0030709D"/>
    <w:rsid w:val="003071AB"/>
    <w:rsid w:val="0030727D"/>
    <w:rsid w:val="00307410"/>
    <w:rsid w:val="00307530"/>
    <w:rsid w:val="0030774D"/>
    <w:rsid w:val="00307761"/>
    <w:rsid w:val="0030786C"/>
    <w:rsid w:val="003079B4"/>
    <w:rsid w:val="00307ACC"/>
    <w:rsid w:val="00307E92"/>
    <w:rsid w:val="00310025"/>
    <w:rsid w:val="003100CE"/>
    <w:rsid w:val="00310332"/>
    <w:rsid w:val="003106DE"/>
    <w:rsid w:val="00310B9D"/>
    <w:rsid w:val="00310FFF"/>
    <w:rsid w:val="003110E6"/>
    <w:rsid w:val="00311201"/>
    <w:rsid w:val="00311531"/>
    <w:rsid w:val="003118C2"/>
    <w:rsid w:val="00311D34"/>
    <w:rsid w:val="0031207D"/>
    <w:rsid w:val="003123BD"/>
    <w:rsid w:val="003124EF"/>
    <w:rsid w:val="003125BA"/>
    <w:rsid w:val="00312687"/>
    <w:rsid w:val="00312715"/>
    <w:rsid w:val="00312749"/>
    <w:rsid w:val="00312796"/>
    <w:rsid w:val="0031297F"/>
    <w:rsid w:val="00312DAB"/>
    <w:rsid w:val="00312F6E"/>
    <w:rsid w:val="00313141"/>
    <w:rsid w:val="003131E7"/>
    <w:rsid w:val="00313494"/>
    <w:rsid w:val="00313583"/>
    <w:rsid w:val="003136E3"/>
    <w:rsid w:val="0031377D"/>
    <w:rsid w:val="003138A6"/>
    <w:rsid w:val="00313BD8"/>
    <w:rsid w:val="00313F58"/>
    <w:rsid w:val="00313FAD"/>
    <w:rsid w:val="00313FCD"/>
    <w:rsid w:val="0031478C"/>
    <w:rsid w:val="0031478E"/>
    <w:rsid w:val="00314961"/>
    <w:rsid w:val="00314DF7"/>
    <w:rsid w:val="00315445"/>
    <w:rsid w:val="00315805"/>
    <w:rsid w:val="0031585B"/>
    <w:rsid w:val="0031588D"/>
    <w:rsid w:val="00315A83"/>
    <w:rsid w:val="00315C3A"/>
    <w:rsid w:val="00315D53"/>
    <w:rsid w:val="00315D86"/>
    <w:rsid w:val="003161A9"/>
    <w:rsid w:val="003161C0"/>
    <w:rsid w:val="0031621C"/>
    <w:rsid w:val="00316372"/>
    <w:rsid w:val="00316656"/>
    <w:rsid w:val="00316665"/>
    <w:rsid w:val="003166AF"/>
    <w:rsid w:val="00316B30"/>
    <w:rsid w:val="00316E01"/>
    <w:rsid w:val="00316E3B"/>
    <w:rsid w:val="00316EC0"/>
    <w:rsid w:val="00317072"/>
    <w:rsid w:val="003173FB"/>
    <w:rsid w:val="003174E9"/>
    <w:rsid w:val="00317528"/>
    <w:rsid w:val="003175D3"/>
    <w:rsid w:val="0031764A"/>
    <w:rsid w:val="00317A7E"/>
    <w:rsid w:val="00317DA9"/>
    <w:rsid w:val="00320014"/>
    <w:rsid w:val="0032064A"/>
    <w:rsid w:val="0032064C"/>
    <w:rsid w:val="0032068F"/>
    <w:rsid w:val="00320759"/>
    <w:rsid w:val="0032076F"/>
    <w:rsid w:val="003208FC"/>
    <w:rsid w:val="0032092F"/>
    <w:rsid w:val="00320B60"/>
    <w:rsid w:val="00320EB7"/>
    <w:rsid w:val="0032103A"/>
    <w:rsid w:val="00321251"/>
    <w:rsid w:val="00321B59"/>
    <w:rsid w:val="00321C12"/>
    <w:rsid w:val="00321E38"/>
    <w:rsid w:val="00321F37"/>
    <w:rsid w:val="00322204"/>
    <w:rsid w:val="0032231B"/>
    <w:rsid w:val="0032259D"/>
    <w:rsid w:val="003227D9"/>
    <w:rsid w:val="00322917"/>
    <w:rsid w:val="003229E9"/>
    <w:rsid w:val="00322A4A"/>
    <w:rsid w:val="00322BDD"/>
    <w:rsid w:val="00322E12"/>
    <w:rsid w:val="00322E1A"/>
    <w:rsid w:val="00322EB3"/>
    <w:rsid w:val="00322EBB"/>
    <w:rsid w:val="003233DE"/>
    <w:rsid w:val="00323AB6"/>
    <w:rsid w:val="003240D8"/>
    <w:rsid w:val="00324208"/>
    <w:rsid w:val="0032450E"/>
    <w:rsid w:val="0032466B"/>
    <w:rsid w:val="003247C8"/>
    <w:rsid w:val="00324C12"/>
    <w:rsid w:val="00324D5A"/>
    <w:rsid w:val="00324D91"/>
    <w:rsid w:val="0032518C"/>
    <w:rsid w:val="00325205"/>
    <w:rsid w:val="00325DB0"/>
    <w:rsid w:val="00325DE3"/>
    <w:rsid w:val="0032613A"/>
    <w:rsid w:val="003261EE"/>
    <w:rsid w:val="003263DD"/>
    <w:rsid w:val="00326518"/>
    <w:rsid w:val="003265B1"/>
    <w:rsid w:val="0032679E"/>
    <w:rsid w:val="00326886"/>
    <w:rsid w:val="00326987"/>
    <w:rsid w:val="00326A6F"/>
    <w:rsid w:val="00326CED"/>
    <w:rsid w:val="00326ECE"/>
    <w:rsid w:val="00327270"/>
    <w:rsid w:val="00327556"/>
    <w:rsid w:val="00327794"/>
    <w:rsid w:val="00327B00"/>
    <w:rsid w:val="00327B44"/>
    <w:rsid w:val="00327D22"/>
    <w:rsid w:val="00327DD1"/>
    <w:rsid w:val="003300C2"/>
    <w:rsid w:val="003300CC"/>
    <w:rsid w:val="003302F7"/>
    <w:rsid w:val="003304A7"/>
    <w:rsid w:val="00330BB9"/>
    <w:rsid w:val="00330BC4"/>
    <w:rsid w:val="00330D8A"/>
    <w:rsid w:val="00330F4C"/>
    <w:rsid w:val="0033108C"/>
    <w:rsid w:val="003310C1"/>
    <w:rsid w:val="003310E0"/>
    <w:rsid w:val="00331235"/>
    <w:rsid w:val="003319EE"/>
    <w:rsid w:val="00331D08"/>
    <w:rsid w:val="00331F52"/>
    <w:rsid w:val="003323C1"/>
    <w:rsid w:val="0033245E"/>
    <w:rsid w:val="0033274F"/>
    <w:rsid w:val="00332BD6"/>
    <w:rsid w:val="00332D4E"/>
    <w:rsid w:val="003330EB"/>
    <w:rsid w:val="00333453"/>
    <w:rsid w:val="00333464"/>
    <w:rsid w:val="0033349F"/>
    <w:rsid w:val="00333640"/>
    <w:rsid w:val="00333777"/>
    <w:rsid w:val="0033391F"/>
    <w:rsid w:val="00333971"/>
    <w:rsid w:val="00333976"/>
    <w:rsid w:val="003339BD"/>
    <w:rsid w:val="003339CE"/>
    <w:rsid w:val="00333B61"/>
    <w:rsid w:val="00333EC1"/>
    <w:rsid w:val="003340E1"/>
    <w:rsid w:val="003341BB"/>
    <w:rsid w:val="003343CB"/>
    <w:rsid w:val="003344CF"/>
    <w:rsid w:val="0033454D"/>
    <w:rsid w:val="00334624"/>
    <w:rsid w:val="0033488F"/>
    <w:rsid w:val="00334A96"/>
    <w:rsid w:val="00334C1E"/>
    <w:rsid w:val="00334C70"/>
    <w:rsid w:val="003353B0"/>
    <w:rsid w:val="00335500"/>
    <w:rsid w:val="003355FB"/>
    <w:rsid w:val="003355FC"/>
    <w:rsid w:val="003359BE"/>
    <w:rsid w:val="00335AED"/>
    <w:rsid w:val="00335F6D"/>
    <w:rsid w:val="00335FEF"/>
    <w:rsid w:val="0033649C"/>
    <w:rsid w:val="00336605"/>
    <w:rsid w:val="0033672A"/>
    <w:rsid w:val="00336902"/>
    <w:rsid w:val="00336B7A"/>
    <w:rsid w:val="00336C54"/>
    <w:rsid w:val="00336CA7"/>
    <w:rsid w:val="00336D14"/>
    <w:rsid w:val="00336FD8"/>
    <w:rsid w:val="0033716F"/>
    <w:rsid w:val="003376FA"/>
    <w:rsid w:val="0033794D"/>
    <w:rsid w:val="003379D8"/>
    <w:rsid w:val="00337DCF"/>
    <w:rsid w:val="00337E4C"/>
    <w:rsid w:val="00337F2B"/>
    <w:rsid w:val="00337F73"/>
    <w:rsid w:val="00337FB9"/>
    <w:rsid w:val="003403FF"/>
    <w:rsid w:val="00340589"/>
    <w:rsid w:val="003408DD"/>
    <w:rsid w:val="00340B47"/>
    <w:rsid w:val="00340C71"/>
    <w:rsid w:val="00341420"/>
    <w:rsid w:val="003415FD"/>
    <w:rsid w:val="003416AE"/>
    <w:rsid w:val="003416DF"/>
    <w:rsid w:val="003419A3"/>
    <w:rsid w:val="003419B8"/>
    <w:rsid w:val="00341CC2"/>
    <w:rsid w:val="0034202E"/>
    <w:rsid w:val="003424E6"/>
    <w:rsid w:val="00342777"/>
    <w:rsid w:val="00342917"/>
    <w:rsid w:val="003429F0"/>
    <w:rsid w:val="00342B95"/>
    <w:rsid w:val="00342BC6"/>
    <w:rsid w:val="00342C8C"/>
    <w:rsid w:val="00342CB7"/>
    <w:rsid w:val="00342D4C"/>
    <w:rsid w:val="00342DF1"/>
    <w:rsid w:val="00342DF2"/>
    <w:rsid w:val="00343283"/>
    <w:rsid w:val="003438A9"/>
    <w:rsid w:val="00343A50"/>
    <w:rsid w:val="00343C4D"/>
    <w:rsid w:val="00343F41"/>
    <w:rsid w:val="00344128"/>
    <w:rsid w:val="00344345"/>
    <w:rsid w:val="0034444B"/>
    <w:rsid w:val="00344630"/>
    <w:rsid w:val="003447DA"/>
    <w:rsid w:val="00344D86"/>
    <w:rsid w:val="0034515F"/>
    <w:rsid w:val="003451CD"/>
    <w:rsid w:val="003453CB"/>
    <w:rsid w:val="00345438"/>
    <w:rsid w:val="00345469"/>
    <w:rsid w:val="00345770"/>
    <w:rsid w:val="00345DEA"/>
    <w:rsid w:val="003460EF"/>
    <w:rsid w:val="003461ED"/>
    <w:rsid w:val="003462C1"/>
    <w:rsid w:val="003463FB"/>
    <w:rsid w:val="00346565"/>
    <w:rsid w:val="003465E2"/>
    <w:rsid w:val="0034661F"/>
    <w:rsid w:val="00346698"/>
    <w:rsid w:val="00346745"/>
    <w:rsid w:val="0034686C"/>
    <w:rsid w:val="00346C7A"/>
    <w:rsid w:val="00346D7C"/>
    <w:rsid w:val="00346DEF"/>
    <w:rsid w:val="00346E53"/>
    <w:rsid w:val="00346E7D"/>
    <w:rsid w:val="00347156"/>
    <w:rsid w:val="00347190"/>
    <w:rsid w:val="003474C1"/>
    <w:rsid w:val="003476C5"/>
    <w:rsid w:val="0034796C"/>
    <w:rsid w:val="00347CF9"/>
    <w:rsid w:val="00347EB3"/>
    <w:rsid w:val="0035041A"/>
    <w:rsid w:val="003505A4"/>
    <w:rsid w:val="00350905"/>
    <w:rsid w:val="0035097A"/>
    <w:rsid w:val="003509C0"/>
    <w:rsid w:val="00350AC9"/>
    <w:rsid w:val="00350C87"/>
    <w:rsid w:val="00350F98"/>
    <w:rsid w:val="003510E8"/>
    <w:rsid w:val="003513C3"/>
    <w:rsid w:val="00351465"/>
    <w:rsid w:val="0035163E"/>
    <w:rsid w:val="0035171D"/>
    <w:rsid w:val="00351A40"/>
    <w:rsid w:val="00351D7C"/>
    <w:rsid w:val="003520FB"/>
    <w:rsid w:val="00352290"/>
    <w:rsid w:val="00352483"/>
    <w:rsid w:val="003524C5"/>
    <w:rsid w:val="00352562"/>
    <w:rsid w:val="003527CC"/>
    <w:rsid w:val="003528E5"/>
    <w:rsid w:val="003529F0"/>
    <w:rsid w:val="00352ABA"/>
    <w:rsid w:val="00352B88"/>
    <w:rsid w:val="00352D47"/>
    <w:rsid w:val="00352E52"/>
    <w:rsid w:val="00352EF0"/>
    <w:rsid w:val="00352F15"/>
    <w:rsid w:val="00352F91"/>
    <w:rsid w:val="00353551"/>
    <w:rsid w:val="0035391A"/>
    <w:rsid w:val="0035394C"/>
    <w:rsid w:val="00353C1B"/>
    <w:rsid w:val="00353C9F"/>
    <w:rsid w:val="00353DA4"/>
    <w:rsid w:val="00353ED2"/>
    <w:rsid w:val="00353F8D"/>
    <w:rsid w:val="003540A4"/>
    <w:rsid w:val="003543ED"/>
    <w:rsid w:val="00354606"/>
    <w:rsid w:val="0035468E"/>
    <w:rsid w:val="00354722"/>
    <w:rsid w:val="003548B3"/>
    <w:rsid w:val="003548EB"/>
    <w:rsid w:val="00354998"/>
    <w:rsid w:val="00354ACA"/>
    <w:rsid w:val="00354C1A"/>
    <w:rsid w:val="00354D88"/>
    <w:rsid w:val="00354E29"/>
    <w:rsid w:val="00354FCF"/>
    <w:rsid w:val="00355151"/>
    <w:rsid w:val="00355B14"/>
    <w:rsid w:val="00355BFF"/>
    <w:rsid w:val="003560B6"/>
    <w:rsid w:val="003560FF"/>
    <w:rsid w:val="00356314"/>
    <w:rsid w:val="00356317"/>
    <w:rsid w:val="00356726"/>
    <w:rsid w:val="00356846"/>
    <w:rsid w:val="00356947"/>
    <w:rsid w:val="00356A69"/>
    <w:rsid w:val="00356B3F"/>
    <w:rsid w:val="00356BCB"/>
    <w:rsid w:val="00356F8D"/>
    <w:rsid w:val="00357085"/>
    <w:rsid w:val="00357154"/>
    <w:rsid w:val="00357267"/>
    <w:rsid w:val="00357303"/>
    <w:rsid w:val="00357309"/>
    <w:rsid w:val="0035755B"/>
    <w:rsid w:val="00357635"/>
    <w:rsid w:val="003576FE"/>
    <w:rsid w:val="00357995"/>
    <w:rsid w:val="003579FC"/>
    <w:rsid w:val="00357AB8"/>
    <w:rsid w:val="00357CA4"/>
    <w:rsid w:val="00357D7D"/>
    <w:rsid w:val="00357E58"/>
    <w:rsid w:val="0036005B"/>
    <w:rsid w:val="0036019B"/>
    <w:rsid w:val="003601EF"/>
    <w:rsid w:val="003601FB"/>
    <w:rsid w:val="0036028E"/>
    <w:rsid w:val="003603F5"/>
    <w:rsid w:val="00360639"/>
    <w:rsid w:val="00360654"/>
    <w:rsid w:val="0036097A"/>
    <w:rsid w:val="00360B19"/>
    <w:rsid w:val="00360D7C"/>
    <w:rsid w:val="00360E4E"/>
    <w:rsid w:val="00361473"/>
    <w:rsid w:val="003618C0"/>
    <w:rsid w:val="003619A0"/>
    <w:rsid w:val="00361AC5"/>
    <w:rsid w:val="00361B00"/>
    <w:rsid w:val="00361CF7"/>
    <w:rsid w:val="00361D67"/>
    <w:rsid w:val="00362325"/>
    <w:rsid w:val="0036248F"/>
    <w:rsid w:val="00362810"/>
    <w:rsid w:val="00362A8D"/>
    <w:rsid w:val="00362CE8"/>
    <w:rsid w:val="00362E6C"/>
    <w:rsid w:val="0036337B"/>
    <w:rsid w:val="003634A0"/>
    <w:rsid w:val="00363593"/>
    <w:rsid w:val="0036368C"/>
    <w:rsid w:val="0036372D"/>
    <w:rsid w:val="00363795"/>
    <w:rsid w:val="003638CF"/>
    <w:rsid w:val="003641D9"/>
    <w:rsid w:val="00364271"/>
    <w:rsid w:val="003642B1"/>
    <w:rsid w:val="003642D8"/>
    <w:rsid w:val="00364304"/>
    <w:rsid w:val="00364536"/>
    <w:rsid w:val="00364548"/>
    <w:rsid w:val="00364592"/>
    <w:rsid w:val="0036470F"/>
    <w:rsid w:val="00364AED"/>
    <w:rsid w:val="00364B42"/>
    <w:rsid w:val="00364CCF"/>
    <w:rsid w:val="00364D48"/>
    <w:rsid w:val="00364E17"/>
    <w:rsid w:val="00364E66"/>
    <w:rsid w:val="003650EB"/>
    <w:rsid w:val="003656E6"/>
    <w:rsid w:val="00365853"/>
    <w:rsid w:val="003658FD"/>
    <w:rsid w:val="0036595D"/>
    <w:rsid w:val="0036602B"/>
    <w:rsid w:val="00366660"/>
    <w:rsid w:val="003666E4"/>
    <w:rsid w:val="00366750"/>
    <w:rsid w:val="003669D0"/>
    <w:rsid w:val="00366CF8"/>
    <w:rsid w:val="00366D52"/>
    <w:rsid w:val="00367543"/>
    <w:rsid w:val="00367794"/>
    <w:rsid w:val="00367844"/>
    <w:rsid w:val="003679A5"/>
    <w:rsid w:val="00367C67"/>
    <w:rsid w:val="00367E28"/>
    <w:rsid w:val="00367FDE"/>
    <w:rsid w:val="00367FFD"/>
    <w:rsid w:val="0037015F"/>
    <w:rsid w:val="00370540"/>
    <w:rsid w:val="0037070D"/>
    <w:rsid w:val="0037098F"/>
    <w:rsid w:val="00370A00"/>
    <w:rsid w:val="00370AAA"/>
    <w:rsid w:val="00370BAB"/>
    <w:rsid w:val="00370DE3"/>
    <w:rsid w:val="00370FDE"/>
    <w:rsid w:val="003714DB"/>
    <w:rsid w:val="00371972"/>
    <w:rsid w:val="003719D1"/>
    <w:rsid w:val="00371A95"/>
    <w:rsid w:val="00371AB5"/>
    <w:rsid w:val="00371AD7"/>
    <w:rsid w:val="00371DD3"/>
    <w:rsid w:val="00371DF2"/>
    <w:rsid w:val="00371FC4"/>
    <w:rsid w:val="00371FCF"/>
    <w:rsid w:val="00372364"/>
    <w:rsid w:val="00372432"/>
    <w:rsid w:val="0037246B"/>
    <w:rsid w:val="003724B3"/>
    <w:rsid w:val="003727F3"/>
    <w:rsid w:val="003729F1"/>
    <w:rsid w:val="00372ACF"/>
    <w:rsid w:val="00372C28"/>
    <w:rsid w:val="00372C89"/>
    <w:rsid w:val="00372D2A"/>
    <w:rsid w:val="00372EAE"/>
    <w:rsid w:val="00372F4F"/>
    <w:rsid w:val="00373019"/>
    <w:rsid w:val="00373042"/>
    <w:rsid w:val="0037316D"/>
    <w:rsid w:val="003731F8"/>
    <w:rsid w:val="00373205"/>
    <w:rsid w:val="00373291"/>
    <w:rsid w:val="00373325"/>
    <w:rsid w:val="00373807"/>
    <w:rsid w:val="0037387C"/>
    <w:rsid w:val="003739A5"/>
    <w:rsid w:val="00373A65"/>
    <w:rsid w:val="00373CDF"/>
    <w:rsid w:val="00373DFA"/>
    <w:rsid w:val="00373E0F"/>
    <w:rsid w:val="00373E5E"/>
    <w:rsid w:val="00373EA4"/>
    <w:rsid w:val="00373EE1"/>
    <w:rsid w:val="00373F15"/>
    <w:rsid w:val="0037400D"/>
    <w:rsid w:val="00374177"/>
    <w:rsid w:val="0037425B"/>
    <w:rsid w:val="003742F0"/>
    <w:rsid w:val="00374495"/>
    <w:rsid w:val="003744A9"/>
    <w:rsid w:val="0037459F"/>
    <w:rsid w:val="00374793"/>
    <w:rsid w:val="00374816"/>
    <w:rsid w:val="00374B86"/>
    <w:rsid w:val="00374EE0"/>
    <w:rsid w:val="00374F7F"/>
    <w:rsid w:val="00375137"/>
    <w:rsid w:val="00375372"/>
    <w:rsid w:val="00375441"/>
    <w:rsid w:val="00375DE3"/>
    <w:rsid w:val="00375F77"/>
    <w:rsid w:val="0037623F"/>
    <w:rsid w:val="003762BE"/>
    <w:rsid w:val="003766AA"/>
    <w:rsid w:val="003766FA"/>
    <w:rsid w:val="003768AE"/>
    <w:rsid w:val="0037696A"/>
    <w:rsid w:val="00376D94"/>
    <w:rsid w:val="00376F03"/>
    <w:rsid w:val="0037743C"/>
    <w:rsid w:val="0037779A"/>
    <w:rsid w:val="00377A0E"/>
    <w:rsid w:val="00377A78"/>
    <w:rsid w:val="00377C6D"/>
    <w:rsid w:val="00380055"/>
    <w:rsid w:val="0038025F"/>
    <w:rsid w:val="00380395"/>
    <w:rsid w:val="003805AD"/>
    <w:rsid w:val="00380957"/>
    <w:rsid w:val="00380B69"/>
    <w:rsid w:val="00381114"/>
    <w:rsid w:val="00381455"/>
    <w:rsid w:val="00381806"/>
    <w:rsid w:val="003819E3"/>
    <w:rsid w:val="00381BBE"/>
    <w:rsid w:val="003824D6"/>
    <w:rsid w:val="003827EB"/>
    <w:rsid w:val="00382903"/>
    <w:rsid w:val="00382C35"/>
    <w:rsid w:val="00382D94"/>
    <w:rsid w:val="00383133"/>
    <w:rsid w:val="00383299"/>
    <w:rsid w:val="003834B0"/>
    <w:rsid w:val="003835AB"/>
    <w:rsid w:val="00383A02"/>
    <w:rsid w:val="00383C11"/>
    <w:rsid w:val="00383C42"/>
    <w:rsid w:val="00383CCB"/>
    <w:rsid w:val="00383CDB"/>
    <w:rsid w:val="00383CDC"/>
    <w:rsid w:val="00384027"/>
    <w:rsid w:val="003844C6"/>
    <w:rsid w:val="003846FF"/>
    <w:rsid w:val="00384989"/>
    <w:rsid w:val="00384D4A"/>
    <w:rsid w:val="00384DF4"/>
    <w:rsid w:val="003852FD"/>
    <w:rsid w:val="003857CD"/>
    <w:rsid w:val="00385AD4"/>
    <w:rsid w:val="00385C81"/>
    <w:rsid w:val="00385E1E"/>
    <w:rsid w:val="00385EE2"/>
    <w:rsid w:val="00386093"/>
    <w:rsid w:val="00386143"/>
    <w:rsid w:val="00386170"/>
    <w:rsid w:val="0038663F"/>
    <w:rsid w:val="00386769"/>
    <w:rsid w:val="00386805"/>
    <w:rsid w:val="0038691A"/>
    <w:rsid w:val="003869A1"/>
    <w:rsid w:val="00387050"/>
    <w:rsid w:val="00387364"/>
    <w:rsid w:val="003873E8"/>
    <w:rsid w:val="00387494"/>
    <w:rsid w:val="00387512"/>
    <w:rsid w:val="00387885"/>
    <w:rsid w:val="00387924"/>
    <w:rsid w:val="00387A28"/>
    <w:rsid w:val="00387DA4"/>
    <w:rsid w:val="00387ECE"/>
    <w:rsid w:val="00387EFD"/>
    <w:rsid w:val="00387F46"/>
    <w:rsid w:val="00387F61"/>
    <w:rsid w:val="00390029"/>
    <w:rsid w:val="00390071"/>
    <w:rsid w:val="00390362"/>
    <w:rsid w:val="00390472"/>
    <w:rsid w:val="003905AC"/>
    <w:rsid w:val="003908B5"/>
    <w:rsid w:val="00390B81"/>
    <w:rsid w:val="00390C8C"/>
    <w:rsid w:val="00391097"/>
    <w:rsid w:val="0039156A"/>
    <w:rsid w:val="00391593"/>
    <w:rsid w:val="00391651"/>
    <w:rsid w:val="00391D57"/>
    <w:rsid w:val="00391F91"/>
    <w:rsid w:val="003921AC"/>
    <w:rsid w:val="003925B6"/>
    <w:rsid w:val="00392686"/>
    <w:rsid w:val="00392B24"/>
    <w:rsid w:val="00392BAF"/>
    <w:rsid w:val="00392C5D"/>
    <w:rsid w:val="00392C79"/>
    <w:rsid w:val="00392C95"/>
    <w:rsid w:val="00392FB2"/>
    <w:rsid w:val="0039331E"/>
    <w:rsid w:val="003933CB"/>
    <w:rsid w:val="003935F6"/>
    <w:rsid w:val="00393847"/>
    <w:rsid w:val="0039384D"/>
    <w:rsid w:val="003938D9"/>
    <w:rsid w:val="00393B38"/>
    <w:rsid w:val="00394022"/>
    <w:rsid w:val="003940B7"/>
    <w:rsid w:val="00394105"/>
    <w:rsid w:val="00394379"/>
    <w:rsid w:val="0039438E"/>
    <w:rsid w:val="00394AEF"/>
    <w:rsid w:val="00394B03"/>
    <w:rsid w:val="00394FE5"/>
    <w:rsid w:val="00395400"/>
    <w:rsid w:val="0039549C"/>
    <w:rsid w:val="00395718"/>
    <w:rsid w:val="0039571B"/>
    <w:rsid w:val="00395923"/>
    <w:rsid w:val="003959D5"/>
    <w:rsid w:val="00395A66"/>
    <w:rsid w:val="00395B07"/>
    <w:rsid w:val="00395C23"/>
    <w:rsid w:val="00396234"/>
    <w:rsid w:val="0039623E"/>
    <w:rsid w:val="003963BC"/>
    <w:rsid w:val="00396716"/>
    <w:rsid w:val="003967C0"/>
    <w:rsid w:val="00396991"/>
    <w:rsid w:val="00396C5D"/>
    <w:rsid w:val="00396E1E"/>
    <w:rsid w:val="0039702F"/>
    <w:rsid w:val="003970F5"/>
    <w:rsid w:val="00397155"/>
    <w:rsid w:val="0039716B"/>
    <w:rsid w:val="0039745B"/>
    <w:rsid w:val="00397549"/>
    <w:rsid w:val="003976F3"/>
    <w:rsid w:val="00397930"/>
    <w:rsid w:val="00397A3E"/>
    <w:rsid w:val="00397A7E"/>
    <w:rsid w:val="003A00CF"/>
    <w:rsid w:val="003A0172"/>
    <w:rsid w:val="003A017B"/>
    <w:rsid w:val="003A04BF"/>
    <w:rsid w:val="003A06EB"/>
    <w:rsid w:val="003A0847"/>
    <w:rsid w:val="003A090D"/>
    <w:rsid w:val="003A0AC9"/>
    <w:rsid w:val="003A1051"/>
    <w:rsid w:val="003A110E"/>
    <w:rsid w:val="003A117D"/>
    <w:rsid w:val="003A127A"/>
    <w:rsid w:val="003A1686"/>
    <w:rsid w:val="003A179E"/>
    <w:rsid w:val="003A17CC"/>
    <w:rsid w:val="003A1AD2"/>
    <w:rsid w:val="003A1B9F"/>
    <w:rsid w:val="003A1E78"/>
    <w:rsid w:val="003A1EB4"/>
    <w:rsid w:val="003A207F"/>
    <w:rsid w:val="003A2190"/>
    <w:rsid w:val="003A24F2"/>
    <w:rsid w:val="003A25D7"/>
    <w:rsid w:val="003A2CCE"/>
    <w:rsid w:val="003A2D0E"/>
    <w:rsid w:val="003A2E4F"/>
    <w:rsid w:val="003A2F28"/>
    <w:rsid w:val="003A2F47"/>
    <w:rsid w:val="003A31A4"/>
    <w:rsid w:val="003A33D2"/>
    <w:rsid w:val="003A3899"/>
    <w:rsid w:val="003A38DA"/>
    <w:rsid w:val="003A390E"/>
    <w:rsid w:val="003A39EB"/>
    <w:rsid w:val="003A39EE"/>
    <w:rsid w:val="003A3FCE"/>
    <w:rsid w:val="003A4021"/>
    <w:rsid w:val="003A4202"/>
    <w:rsid w:val="003A4208"/>
    <w:rsid w:val="003A4264"/>
    <w:rsid w:val="003A4438"/>
    <w:rsid w:val="003A4623"/>
    <w:rsid w:val="003A48AA"/>
    <w:rsid w:val="003A4954"/>
    <w:rsid w:val="003A4965"/>
    <w:rsid w:val="003A4BBD"/>
    <w:rsid w:val="003A4BCD"/>
    <w:rsid w:val="003A4BD0"/>
    <w:rsid w:val="003A4E55"/>
    <w:rsid w:val="003A5013"/>
    <w:rsid w:val="003A5078"/>
    <w:rsid w:val="003A5121"/>
    <w:rsid w:val="003A5435"/>
    <w:rsid w:val="003A54CA"/>
    <w:rsid w:val="003A5507"/>
    <w:rsid w:val="003A58AB"/>
    <w:rsid w:val="003A5E67"/>
    <w:rsid w:val="003A5F7F"/>
    <w:rsid w:val="003A6086"/>
    <w:rsid w:val="003A62DD"/>
    <w:rsid w:val="003A6370"/>
    <w:rsid w:val="003A63D1"/>
    <w:rsid w:val="003A6790"/>
    <w:rsid w:val="003A683F"/>
    <w:rsid w:val="003A6A3D"/>
    <w:rsid w:val="003A6B47"/>
    <w:rsid w:val="003A6DCB"/>
    <w:rsid w:val="003A7073"/>
    <w:rsid w:val="003A70DE"/>
    <w:rsid w:val="003A7165"/>
    <w:rsid w:val="003A7196"/>
    <w:rsid w:val="003A7392"/>
    <w:rsid w:val="003A7534"/>
    <w:rsid w:val="003A7699"/>
    <w:rsid w:val="003A7748"/>
    <w:rsid w:val="003A775A"/>
    <w:rsid w:val="003A782E"/>
    <w:rsid w:val="003A78A9"/>
    <w:rsid w:val="003A7915"/>
    <w:rsid w:val="003A7961"/>
    <w:rsid w:val="003A7CDB"/>
    <w:rsid w:val="003A7D69"/>
    <w:rsid w:val="003A7DB8"/>
    <w:rsid w:val="003A7E50"/>
    <w:rsid w:val="003A7EB4"/>
    <w:rsid w:val="003A7EC5"/>
    <w:rsid w:val="003B00FD"/>
    <w:rsid w:val="003B01E0"/>
    <w:rsid w:val="003B02C7"/>
    <w:rsid w:val="003B0905"/>
    <w:rsid w:val="003B0CB4"/>
    <w:rsid w:val="003B0DAB"/>
    <w:rsid w:val="003B0DF1"/>
    <w:rsid w:val="003B0FD2"/>
    <w:rsid w:val="003B1273"/>
    <w:rsid w:val="003B1306"/>
    <w:rsid w:val="003B13A4"/>
    <w:rsid w:val="003B1978"/>
    <w:rsid w:val="003B1B00"/>
    <w:rsid w:val="003B1BD0"/>
    <w:rsid w:val="003B1D98"/>
    <w:rsid w:val="003B1ECB"/>
    <w:rsid w:val="003B1FCB"/>
    <w:rsid w:val="003B20DE"/>
    <w:rsid w:val="003B213A"/>
    <w:rsid w:val="003B227E"/>
    <w:rsid w:val="003B22AF"/>
    <w:rsid w:val="003B235D"/>
    <w:rsid w:val="003B256E"/>
    <w:rsid w:val="003B25AE"/>
    <w:rsid w:val="003B2816"/>
    <w:rsid w:val="003B2ABA"/>
    <w:rsid w:val="003B2C1A"/>
    <w:rsid w:val="003B31C8"/>
    <w:rsid w:val="003B32D4"/>
    <w:rsid w:val="003B33FA"/>
    <w:rsid w:val="003B341E"/>
    <w:rsid w:val="003B3759"/>
    <w:rsid w:val="003B3A93"/>
    <w:rsid w:val="003B4341"/>
    <w:rsid w:val="003B43AD"/>
    <w:rsid w:val="003B441C"/>
    <w:rsid w:val="003B472B"/>
    <w:rsid w:val="003B482C"/>
    <w:rsid w:val="003B4A11"/>
    <w:rsid w:val="003B4BE6"/>
    <w:rsid w:val="003B4CAF"/>
    <w:rsid w:val="003B4CD6"/>
    <w:rsid w:val="003B5046"/>
    <w:rsid w:val="003B53B3"/>
    <w:rsid w:val="003B5523"/>
    <w:rsid w:val="003B5673"/>
    <w:rsid w:val="003B58C3"/>
    <w:rsid w:val="003B58ED"/>
    <w:rsid w:val="003B5A8F"/>
    <w:rsid w:val="003B5DAD"/>
    <w:rsid w:val="003B60B8"/>
    <w:rsid w:val="003B6187"/>
    <w:rsid w:val="003B61BB"/>
    <w:rsid w:val="003B62FE"/>
    <w:rsid w:val="003B6869"/>
    <w:rsid w:val="003B6A16"/>
    <w:rsid w:val="003B6A7A"/>
    <w:rsid w:val="003B6B5A"/>
    <w:rsid w:val="003B6E05"/>
    <w:rsid w:val="003B7368"/>
    <w:rsid w:val="003B736A"/>
    <w:rsid w:val="003B7725"/>
    <w:rsid w:val="003B7C8E"/>
    <w:rsid w:val="003C008A"/>
    <w:rsid w:val="003C0B78"/>
    <w:rsid w:val="003C0CFC"/>
    <w:rsid w:val="003C0EFF"/>
    <w:rsid w:val="003C0FEC"/>
    <w:rsid w:val="003C10C5"/>
    <w:rsid w:val="003C1205"/>
    <w:rsid w:val="003C1296"/>
    <w:rsid w:val="003C1508"/>
    <w:rsid w:val="003C15B8"/>
    <w:rsid w:val="003C16FE"/>
    <w:rsid w:val="003C1A0D"/>
    <w:rsid w:val="003C1A4B"/>
    <w:rsid w:val="003C1ACF"/>
    <w:rsid w:val="003C1F62"/>
    <w:rsid w:val="003C2000"/>
    <w:rsid w:val="003C20F7"/>
    <w:rsid w:val="003C2164"/>
    <w:rsid w:val="003C220A"/>
    <w:rsid w:val="003C2590"/>
    <w:rsid w:val="003C2AC8"/>
    <w:rsid w:val="003C2C0B"/>
    <w:rsid w:val="003C2C6D"/>
    <w:rsid w:val="003C2E1D"/>
    <w:rsid w:val="003C2E21"/>
    <w:rsid w:val="003C2E80"/>
    <w:rsid w:val="003C3108"/>
    <w:rsid w:val="003C31D1"/>
    <w:rsid w:val="003C31DE"/>
    <w:rsid w:val="003C31E4"/>
    <w:rsid w:val="003C34B5"/>
    <w:rsid w:val="003C374A"/>
    <w:rsid w:val="003C3FF4"/>
    <w:rsid w:val="003C467E"/>
    <w:rsid w:val="003C46A6"/>
    <w:rsid w:val="003C48F1"/>
    <w:rsid w:val="003C4A05"/>
    <w:rsid w:val="003C4C85"/>
    <w:rsid w:val="003C4CB6"/>
    <w:rsid w:val="003C4FB2"/>
    <w:rsid w:val="003C4FD3"/>
    <w:rsid w:val="003C5118"/>
    <w:rsid w:val="003C520C"/>
    <w:rsid w:val="003C523E"/>
    <w:rsid w:val="003C5248"/>
    <w:rsid w:val="003C5254"/>
    <w:rsid w:val="003C563B"/>
    <w:rsid w:val="003C565F"/>
    <w:rsid w:val="003C573B"/>
    <w:rsid w:val="003C59BD"/>
    <w:rsid w:val="003C5A65"/>
    <w:rsid w:val="003C5E0F"/>
    <w:rsid w:val="003C5F65"/>
    <w:rsid w:val="003C5FE7"/>
    <w:rsid w:val="003C61C6"/>
    <w:rsid w:val="003C6210"/>
    <w:rsid w:val="003C6324"/>
    <w:rsid w:val="003C6476"/>
    <w:rsid w:val="003C6A3E"/>
    <w:rsid w:val="003C6C7A"/>
    <w:rsid w:val="003C6CB7"/>
    <w:rsid w:val="003C716E"/>
    <w:rsid w:val="003C73DB"/>
    <w:rsid w:val="003C73E6"/>
    <w:rsid w:val="003C765E"/>
    <w:rsid w:val="003C7CA4"/>
    <w:rsid w:val="003C7E00"/>
    <w:rsid w:val="003C7E86"/>
    <w:rsid w:val="003D0200"/>
    <w:rsid w:val="003D051C"/>
    <w:rsid w:val="003D0C9D"/>
    <w:rsid w:val="003D124D"/>
    <w:rsid w:val="003D1273"/>
    <w:rsid w:val="003D14D5"/>
    <w:rsid w:val="003D14EC"/>
    <w:rsid w:val="003D16FC"/>
    <w:rsid w:val="003D1781"/>
    <w:rsid w:val="003D17F9"/>
    <w:rsid w:val="003D18F4"/>
    <w:rsid w:val="003D18FA"/>
    <w:rsid w:val="003D1A11"/>
    <w:rsid w:val="003D1BD2"/>
    <w:rsid w:val="003D1D5A"/>
    <w:rsid w:val="003D216E"/>
    <w:rsid w:val="003D223C"/>
    <w:rsid w:val="003D22C9"/>
    <w:rsid w:val="003D2312"/>
    <w:rsid w:val="003D23D1"/>
    <w:rsid w:val="003D267C"/>
    <w:rsid w:val="003D27DE"/>
    <w:rsid w:val="003D2B77"/>
    <w:rsid w:val="003D2BBC"/>
    <w:rsid w:val="003D2D88"/>
    <w:rsid w:val="003D2E0E"/>
    <w:rsid w:val="003D2F71"/>
    <w:rsid w:val="003D35F3"/>
    <w:rsid w:val="003D3774"/>
    <w:rsid w:val="003D3B88"/>
    <w:rsid w:val="003D3BCA"/>
    <w:rsid w:val="003D3C9C"/>
    <w:rsid w:val="003D3D00"/>
    <w:rsid w:val="003D3DEF"/>
    <w:rsid w:val="003D3DF8"/>
    <w:rsid w:val="003D403F"/>
    <w:rsid w:val="003D41EA"/>
    <w:rsid w:val="003D427A"/>
    <w:rsid w:val="003D438A"/>
    <w:rsid w:val="003D43B8"/>
    <w:rsid w:val="003D446D"/>
    <w:rsid w:val="003D4850"/>
    <w:rsid w:val="003D4F9A"/>
    <w:rsid w:val="003D52FB"/>
    <w:rsid w:val="003D535A"/>
    <w:rsid w:val="003D54DE"/>
    <w:rsid w:val="003D5F43"/>
    <w:rsid w:val="003D6110"/>
    <w:rsid w:val="003D61D5"/>
    <w:rsid w:val="003D6528"/>
    <w:rsid w:val="003D69D1"/>
    <w:rsid w:val="003D6E2C"/>
    <w:rsid w:val="003D6E76"/>
    <w:rsid w:val="003D7123"/>
    <w:rsid w:val="003D7149"/>
    <w:rsid w:val="003D7223"/>
    <w:rsid w:val="003D7467"/>
    <w:rsid w:val="003D746A"/>
    <w:rsid w:val="003D7612"/>
    <w:rsid w:val="003D7665"/>
    <w:rsid w:val="003D77F3"/>
    <w:rsid w:val="003D797B"/>
    <w:rsid w:val="003D7A1E"/>
    <w:rsid w:val="003D7DDC"/>
    <w:rsid w:val="003E00FE"/>
    <w:rsid w:val="003E0198"/>
    <w:rsid w:val="003E01F2"/>
    <w:rsid w:val="003E0567"/>
    <w:rsid w:val="003E0649"/>
    <w:rsid w:val="003E06B6"/>
    <w:rsid w:val="003E0764"/>
    <w:rsid w:val="003E1105"/>
    <w:rsid w:val="003E115A"/>
    <w:rsid w:val="003E13C9"/>
    <w:rsid w:val="003E1911"/>
    <w:rsid w:val="003E1D68"/>
    <w:rsid w:val="003E1F26"/>
    <w:rsid w:val="003E1F3A"/>
    <w:rsid w:val="003E1FA7"/>
    <w:rsid w:val="003E20B1"/>
    <w:rsid w:val="003E212A"/>
    <w:rsid w:val="003E24BE"/>
    <w:rsid w:val="003E24C4"/>
    <w:rsid w:val="003E25BF"/>
    <w:rsid w:val="003E2620"/>
    <w:rsid w:val="003E269F"/>
    <w:rsid w:val="003E2777"/>
    <w:rsid w:val="003E28BE"/>
    <w:rsid w:val="003E2BAC"/>
    <w:rsid w:val="003E2BF2"/>
    <w:rsid w:val="003E2BFE"/>
    <w:rsid w:val="003E2D55"/>
    <w:rsid w:val="003E2DD3"/>
    <w:rsid w:val="003E2E21"/>
    <w:rsid w:val="003E2F2A"/>
    <w:rsid w:val="003E2F83"/>
    <w:rsid w:val="003E303C"/>
    <w:rsid w:val="003E30CA"/>
    <w:rsid w:val="003E3A77"/>
    <w:rsid w:val="003E3A97"/>
    <w:rsid w:val="003E3ADA"/>
    <w:rsid w:val="003E3AF9"/>
    <w:rsid w:val="003E3AFD"/>
    <w:rsid w:val="003E3C03"/>
    <w:rsid w:val="003E3D21"/>
    <w:rsid w:val="003E3E29"/>
    <w:rsid w:val="003E3F8F"/>
    <w:rsid w:val="003E40EC"/>
    <w:rsid w:val="003E4124"/>
    <w:rsid w:val="003E473D"/>
    <w:rsid w:val="003E4BB5"/>
    <w:rsid w:val="003E5023"/>
    <w:rsid w:val="003E5265"/>
    <w:rsid w:val="003E5460"/>
    <w:rsid w:val="003E5466"/>
    <w:rsid w:val="003E549B"/>
    <w:rsid w:val="003E560B"/>
    <w:rsid w:val="003E591B"/>
    <w:rsid w:val="003E5A3F"/>
    <w:rsid w:val="003E5ACF"/>
    <w:rsid w:val="003E5E27"/>
    <w:rsid w:val="003E608E"/>
    <w:rsid w:val="003E6381"/>
    <w:rsid w:val="003E66C6"/>
    <w:rsid w:val="003E6891"/>
    <w:rsid w:val="003E68B7"/>
    <w:rsid w:val="003E6A0C"/>
    <w:rsid w:val="003E6B4A"/>
    <w:rsid w:val="003E6BA0"/>
    <w:rsid w:val="003E6F62"/>
    <w:rsid w:val="003E7008"/>
    <w:rsid w:val="003E7396"/>
    <w:rsid w:val="003E7597"/>
    <w:rsid w:val="003E7744"/>
    <w:rsid w:val="003E77D0"/>
    <w:rsid w:val="003E77F2"/>
    <w:rsid w:val="003E78E0"/>
    <w:rsid w:val="003E7975"/>
    <w:rsid w:val="003E7BD2"/>
    <w:rsid w:val="003E7CB0"/>
    <w:rsid w:val="003E7CEB"/>
    <w:rsid w:val="003E7E36"/>
    <w:rsid w:val="003F00E3"/>
    <w:rsid w:val="003F02B2"/>
    <w:rsid w:val="003F0555"/>
    <w:rsid w:val="003F057C"/>
    <w:rsid w:val="003F0813"/>
    <w:rsid w:val="003F088D"/>
    <w:rsid w:val="003F0955"/>
    <w:rsid w:val="003F098A"/>
    <w:rsid w:val="003F0AEF"/>
    <w:rsid w:val="003F0D24"/>
    <w:rsid w:val="003F0EE8"/>
    <w:rsid w:val="003F107E"/>
    <w:rsid w:val="003F1366"/>
    <w:rsid w:val="003F152A"/>
    <w:rsid w:val="003F159F"/>
    <w:rsid w:val="003F1667"/>
    <w:rsid w:val="003F1850"/>
    <w:rsid w:val="003F1868"/>
    <w:rsid w:val="003F19A3"/>
    <w:rsid w:val="003F1A2E"/>
    <w:rsid w:val="003F1C05"/>
    <w:rsid w:val="003F1D20"/>
    <w:rsid w:val="003F207C"/>
    <w:rsid w:val="003F2593"/>
    <w:rsid w:val="003F2603"/>
    <w:rsid w:val="003F265F"/>
    <w:rsid w:val="003F26F6"/>
    <w:rsid w:val="003F29A5"/>
    <w:rsid w:val="003F2DB2"/>
    <w:rsid w:val="003F2E52"/>
    <w:rsid w:val="003F30A5"/>
    <w:rsid w:val="003F3808"/>
    <w:rsid w:val="003F3818"/>
    <w:rsid w:val="003F3D86"/>
    <w:rsid w:val="003F3E10"/>
    <w:rsid w:val="003F3F08"/>
    <w:rsid w:val="003F3FAD"/>
    <w:rsid w:val="003F3FCA"/>
    <w:rsid w:val="003F40A4"/>
    <w:rsid w:val="003F473C"/>
    <w:rsid w:val="003F48CC"/>
    <w:rsid w:val="003F4AB6"/>
    <w:rsid w:val="003F4DBE"/>
    <w:rsid w:val="003F4DCA"/>
    <w:rsid w:val="003F4E5B"/>
    <w:rsid w:val="003F4FAA"/>
    <w:rsid w:val="003F4FD9"/>
    <w:rsid w:val="003F50C8"/>
    <w:rsid w:val="003F5786"/>
    <w:rsid w:val="003F5908"/>
    <w:rsid w:val="003F591D"/>
    <w:rsid w:val="003F5B73"/>
    <w:rsid w:val="003F5DA1"/>
    <w:rsid w:val="003F6394"/>
    <w:rsid w:val="003F64FB"/>
    <w:rsid w:val="003F68EE"/>
    <w:rsid w:val="003F6E29"/>
    <w:rsid w:val="003F6ED3"/>
    <w:rsid w:val="003F6FE1"/>
    <w:rsid w:val="003F7014"/>
    <w:rsid w:val="003F705C"/>
    <w:rsid w:val="003F72CD"/>
    <w:rsid w:val="003F7380"/>
    <w:rsid w:val="003F7450"/>
    <w:rsid w:val="003F79FE"/>
    <w:rsid w:val="003F7D0A"/>
    <w:rsid w:val="0040009E"/>
    <w:rsid w:val="0040012A"/>
    <w:rsid w:val="00400606"/>
    <w:rsid w:val="0040081E"/>
    <w:rsid w:val="00400912"/>
    <w:rsid w:val="00400CD5"/>
    <w:rsid w:val="00400D4F"/>
    <w:rsid w:val="00400DC1"/>
    <w:rsid w:val="00400EC0"/>
    <w:rsid w:val="00400EC1"/>
    <w:rsid w:val="00400F00"/>
    <w:rsid w:val="0040101D"/>
    <w:rsid w:val="00401168"/>
    <w:rsid w:val="004011A0"/>
    <w:rsid w:val="004012E8"/>
    <w:rsid w:val="004013CC"/>
    <w:rsid w:val="00401493"/>
    <w:rsid w:val="0040155A"/>
    <w:rsid w:val="0040161D"/>
    <w:rsid w:val="00401652"/>
    <w:rsid w:val="0040166E"/>
    <w:rsid w:val="004019AF"/>
    <w:rsid w:val="00401B46"/>
    <w:rsid w:val="00401D95"/>
    <w:rsid w:val="00401EF9"/>
    <w:rsid w:val="00401F2A"/>
    <w:rsid w:val="00402732"/>
    <w:rsid w:val="00402767"/>
    <w:rsid w:val="0040286B"/>
    <w:rsid w:val="004029A2"/>
    <w:rsid w:val="00402AF1"/>
    <w:rsid w:val="00402ED3"/>
    <w:rsid w:val="0040314E"/>
    <w:rsid w:val="0040320B"/>
    <w:rsid w:val="00403816"/>
    <w:rsid w:val="00403957"/>
    <w:rsid w:val="004039B4"/>
    <w:rsid w:val="00403A04"/>
    <w:rsid w:val="00403A8B"/>
    <w:rsid w:val="00403AE8"/>
    <w:rsid w:val="00403BC7"/>
    <w:rsid w:val="00403E89"/>
    <w:rsid w:val="004040B3"/>
    <w:rsid w:val="00404272"/>
    <w:rsid w:val="004042D1"/>
    <w:rsid w:val="00404435"/>
    <w:rsid w:val="00404633"/>
    <w:rsid w:val="0040464B"/>
    <w:rsid w:val="004047A5"/>
    <w:rsid w:val="0040489D"/>
    <w:rsid w:val="0040492B"/>
    <w:rsid w:val="004049D8"/>
    <w:rsid w:val="00404AE8"/>
    <w:rsid w:val="00404CFA"/>
    <w:rsid w:val="00404D64"/>
    <w:rsid w:val="00404F8B"/>
    <w:rsid w:val="0040509E"/>
    <w:rsid w:val="00405256"/>
    <w:rsid w:val="00405356"/>
    <w:rsid w:val="0040547D"/>
    <w:rsid w:val="004054BF"/>
    <w:rsid w:val="00405641"/>
    <w:rsid w:val="00405805"/>
    <w:rsid w:val="00405824"/>
    <w:rsid w:val="0040585C"/>
    <w:rsid w:val="004059B3"/>
    <w:rsid w:val="004059F1"/>
    <w:rsid w:val="00405A59"/>
    <w:rsid w:val="00405A69"/>
    <w:rsid w:val="004061A1"/>
    <w:rsid w:val="004064E0"/>
    <w:rsid w:val="00406847"/>
    <w:rsid w:val="00406EB2"/>
    <w:rsid w:val="004071AF"/>
    <w:rsid w:val="00407276"/>
    <w:rsid w:val="004074C4"/>
    <w:rsid w:val="004076A2"/>
    <w:rsid w:val="00407AA8"/>
    <w:rsid w:val="00407B2C"/>
    <w:rsid w:val="00410031"/>
    <w:rsid w:val="0041056D"/>
    <w:rsid w:val="0041069C"/>
    <w:rsid w:val="00410B87"/>
    <w:rsid w:val="00410D62"/>
    <w:rsid w:val="00411233"/>
    <w:rsid w:val="00411251"/>
    <w:rsid w:val="004112AB"/>
    <w:rsid w:val="004112BE"/>
    <w:rsid w:val="004112DB"/>
    <w:rsid w:val="00411312"/>
    <w:rsid w:val="00411347"/>
    <w:rsid w:val="004115A2"/>
    <w:rsid w:val="004116E1"/>
    <w:rsid w:val="00411A60"/>
    <w:rsid w:val="00411FEF"/>
    <w:rsid w:val="0041202B"/>
    <w:rsid w:val="0041203C"/>
    <w:rsid w:val="00412077"/>
    <w:rsid w:val="00412126"/>
    <w:rsid w:val="0041271B"/>
    <w:rsid w:val="00412823"/>
    <w:rsid w:val="004128BB"/>
    <w:rsid w:val="00412ACC"/>
    <w:rsid w:val="00412B2D"/>
    <w:rsid w:val="00412C23"/>
    <w:rsid w:val="00412EFB"/>
    <w:rsid w:val="004131A1"/>
    <w:rsid w:val="00413223"/>
    <w:rsid w:val="004135F3"/>
    <w:rsid w:val="004138CD"/>
    <w:rsid w:val="00413968"/>
    <w:rsid w:val="004139E7"/>
    <w:rsid w:val="00413C25"/>
    <w:rsid w:val="004142C6"/>
    <w:rsid w:val="00414326"/>
    <w:rsid w:val="004145B7"/>
    <w:rsid w:val="0041490A"/>
    <w:rsid w:val="00414A01"/>
    <w:rsid w:val="00414D93"/>
    <w:rsid w:val="00414F03"/>
    <w:rsid w:val="00414F0A"/>
    <w:rsid w:val="00414F21"/>
    <w:rsid w:val="00414FDE"/>
    <w:rsid w:val="00415035"/>
    <w:rsid w:val="004152A9"/>
    <w:rsid w:val="004152FC"/>
    <w:rsid w:val="004154ED"/>
    <w:rsid w:val="00415709"/>
    <w:rsid w:val="00415752"/>
    <w:rsid w:val="00415790"/>
    <w:rsid w:val="004159F4"/>
    <w:rsid w:val="00415B49"/>
    <w:rsid w:val="00415B70"/>
    <w:rsid w:val="00415C08"/>
    <w:rsid w:val="00415C81"/>
    <w:rsid w:val="00415CCD"/>
    <w:rsid w:val="00415CF8"/>
    <w:rsid w:val="00415DB2"/>
    <w:rsid w:val="004163C6"/>
    <w:rsid w:val="00416605"/>
    <w:rsid w:val="00416692"/>
    <w:rsid w:val="00416731"/>
    <w:rsid w:val="004167DB"/>
    <w:rsid w:val="004167E3"/>
    <w:rsid w:val="004169CE"/>
    <w:rsid w:val="00416B8B"/>
    <w:rsid w:val="00416D97"/>
    <w:rsid w:val="00416DB0"/>
    <w:rsid w:val="00416F07"/>
    <w:rsid w:val="004174E4"/>
    <w:rsid w:val="00417709"/>
    <w:rsid w:val="00417869"/>
    <w:rsid w:val="0041788B"/>
    <w:rsid w:val="00417D75"/>
    <w:rsid w:val="00417E7E"/>
    <w:rsid w:val="00420094"/>
    <w:rsid w:val="00420154"/>
    <w:rsid w:val="0042032F"/>
    <w:rsid w:val="0042048B"/>
    <w:rsid w:val="00420647"/>
    <w:rsid w:val="004208BA"/>
    <w:rsid w:val="004208C3"/>
    <w:rsid w:val="004208E1"/>
    <w:rsid w:val="0042092C"/>
    <w:rsid w:val="004209B4"/>
    <w:rsid w:val="00420D15"/>
    <w:rsid w:val="00420D3F"/>
    <w:rsid w:val="00420D42"/>
    <w:rsid w:val="00420F51"/>
    <w:rsid w:val="0042118E"/>
    <w:rsid w:val="004211DA"/>
    <w:rsid w:val="00421255"/>
    <w:rsid w:val="0042125E"/>
    <w:rsid w:val="004215B5"/>
    <w:rsid w:val="00421609"/>
    <w:rsid w:val="0042173B"/>
    <w:rsid w:val="00421A59"/>
    <w:rsid w:val="00421A5C"/>
    <w:rsid w:val="00421A73"/>
    <w:rsid w:val="00421B4D"/>
    <w:rsid w:val="00421BF3"/>
    <w:rsid w:val="00421D27"/>
    <w:rsid w:val="004220A9"/>
    <w:rsid w:val="004221F9"/>
    <w:rsid w:val="004222B5"/>
    <w:rsid w:val="00422430"/>
    <w:rsid w:val="00422499"/>
    <w:rsid w:val="00422AA3"/>
    <w:rsid w:val="00422AE5"/>
    <w:rsid w:val="00422D5C"/>
    <w:rsid w:val="0042301A"/>
    <w:rsid w:val="00423243"/>
    <w:rsid w:val="004232F5"/>
    <w:rsid w:val="004233BF"/>
    <w:rsid w:val="0042372D"/>
    <w:rsid w:val="00423C8A"/>
    <w:rsid w:val="00423D5D"/>
    <w:rsid w:val="00424017"/>
    <w:rsid w:val="004243D1"/>
    <w:rsid w:val="004244B8"/>
    <w:rsid w:val="00424523"/>
    <w:rsid w:val="00424533"/>
    <w:rsid w:val="0042478E"/>
    <w:rsid w:val="0042492D"/>
    <w:rsid w:val="00424A19"/>
    <w:rsid w:val="00424A99"/>
    <w:rsid w:val="00424C3F"/>
    <w:rsid w:val="00424CD2"/>
    <w:rsid w:val="00424DC7"/>
    <w:rsid w:val="0042517A"/>
    <w:rsid w:val="00425702"/>
    <w:rsid w:val="0042571E"/>
    <w:rsid w:val="00425A6B"/>
    <w:rsid w:val="00425C49"/>
    <w:rsid w:val="00425EAD"/>
    <w:rsid w:val="00425FEF"/>
    <w:rsid w:val="0042607A"/>
    <w:rsid w:val="0042633E"/>
    <w:rsid w:val="004263B6"/>
    <w:rsid w:val="0042672A"/>
    <w:rsid w:val="00426AA2"/>
    <w:rsid w:val="00426C9D"/>
    <w:rsid w:val="00426DD4"/>
    <w:rsid w:val="00427048"/>
    <w:rsid w:val="00427147"/>
    <w:rsid w:val="004271B5"/>
    <w:rsid w:val="00427216"/>
    <w:rsid w:val="0042738C"/>
    <w:rsid w:val="0042739F"/>
    <w:rsid w:val="004275CD"/>
    <w:rsid w:val="00427DBC"/>
    <w:rsid w:val="004302AC"/>
    <w:rsid w:val="00430457"/>
    <w:rsid w:val="00430672"/>
    <w:rsid w:val="00430702"/>
    <w:rsid w:val="004309DD"/>
    <w:rsid w:val="00430BE1"/>
    <w:rsid w:val="00431079"/>
    <w:rsid w:val="0043111F"/>
    <w:rsid w:val="0043134A"/>
    <w:rsid w:val="004313C3"/>
    <w:rsid w:val="0043149E"/>
    <w:rsid w:val="004315BA"/>
    <w:rsid w:val="00431B4B"/>
    <w:rsid w:val="00431CC1"/>
    <w:rsid w:val="00431CC7"/>
    <w:rsid w:val="00431E95"/>
    <w:rsid w:val="00431EFD"/>
    <w:rsid w:val="0043221E"/>
    <w:rsid w:val="00432378"/>
    <w:rsid w:val="004323B9"/>
    <w:rsid w:val="00432441"/>
    <w:rsid w:val="004327A7"/>
    <w:rsid w:val="00432911"/>
    <w:rsid w:val="004329C5"/>
    <w:rsid w:val="00432A83"/>
    <w:rsid w:val="00432A9C"/>
    <w:rsid w:val="00432AA2"/>
    <w:rsid w:val="00432B0F"/>
    <w:rsid w:val="00432D9B"/>
    <w:rsid w:val="00432D9F"/>
    <w:rsid w:val="00433521"/>
    <w:rsid w:val="004335CA"/>
    <w:rsid w:val="004336B8"/>
    <w:rsid w:val="004336D5"/>
    <w:rsid w:val="00433BE7"/>
    <w:rsid w:val="00433EAF"/>
    <w:rsid w:val="004340F0"/>
    <w:rsid w:val="004341C9"/>
    <w:rsid w:val="00434224"/>
    <w:rsid w:val="004342E1"/>
    <w:rsid w:val="004343B8"/>
    <w:rsid w:val="00434B20"/>
    <w:rsid w:val="00434C02"/>
    <w:rsid w:val="004350D3"/>
    <w:rsid w:val="004354E7"/>
    <w:rsid w:val="0043586E"/>
    <w:rsid w:val="00435A3F"/>
    <w:rsid w:val="00435B09"/>
    <w:rsid w:val="004360E4"/>
    <w:rsid w:val="0043616D"/>
    <w:rsid w:val="00436204"/>
    <w:rsid w:val="0043620F"/>
    <w:rsid w:val="0043638E"/>
    <w:rsid w:val="004363FC"/>
    <w:rsid w:val="00436656"/>
    <w:rsid w:val="00436780"/>
    <w:rsid w:val="004368CA"/>
    <w:rsid w:val="00436C6B"/>
    <w:rsid w:val="00436FA2"/>
    <w:rsid w:val="0043715B"/>
    <w:rsid w:val="0043730D"/>
    <w:rsid w:val="004375B9"/>
    <w:rsid w:val="004375E4"/>
    <w:rsid w:val="00437649"/>
    <w:rsid w:val="00437B65"/>
    <w:rsid w:val="00437EEF"/>
    <w:rsid w:val="0044015C"/>
    <w:rsid w:val="004401E0"/>
    <w:rsid w:val="004409EA"/>
    <w:rsid w:val="00440AEE"/>
    <w:rsid w:val="00440C5A"/>
    <w:rsid w:val="00440D65"/>
    <w:rsid w:val="0044145C"/>
    <w:rsid w:val="004417AF"/>
    <w:rsid w:val="00441803"/>
    <w:rsid w:val="0044199E"/>
    <w:rsid w:val="004419C5"/>
    <w:rsid w:val="00441A0C"/>
    <w:rsid w:val="00441A16"/>
    <w:rsid w:val="00441AD5"/>
    <w:rsid w:val="00441C25"/>
    <w:rsid w:val="00441FBE"/>
    <w:rsid w:val="00442083"/>
    <w:rsid w:val="0044237E"/>
    <w:rsid w:val="004426AC"/>
    <w:rsid w:val="004427B5"/>
    <w:rsid w:val="004427D9"/>
    <w:rsid w:val="004428E6"/>
    <w:rsid w:val="00442A60"/>
    <w:rsid w:val="00442D3D"/>
    <w:rsid w:val="00442EC8"/>
    <w:rsid w:val="00442FCD"/>
    <w:rsid w:val="004432B0"/>
    <w:rsid w:val="00443507"/>
    <w:rsid w:val="004435E6"/>
    <w:rsid w:val="004436DB"/>
    <w:rsid w:val="004437D0"/>
    <w:rsid w:val="00443B7B"/>
    <w:rsid w:val="00443BC4"/>
    <w:rsid w:val="00443D4C"/>
    <w:rsid w:val="00443ED9"/>
    <w:rsid w:val="00443FBC"/>
    <w:rsid w:val="00444064"/>
    <w:rsid w:val="0044419E"/>
    <w:rsid w:val="004442A3"/>
    <w:rsid w:val="004442F6"/>
    <w:rsid w:val="0044430D"/>
    <w:rsid w:val="0044452A"/>
    <w:rsid w:val="004445BB"/>
    <w:rsid w:val="0044473A"/>
    <w:rsid w:val="00444A0E"/>
    <w:rsid w:val="00444A90"/>
    <w:rsid w:val="00445129"/>
    <w:rsid w:val="00445143"/>
    <w:rsid w:val="00445277"/>
    <w:rsid w:val="004454BF"/>
    <w:rsid w:val="00445784"/>
    <w:rsid w:val="004457B2"/>
    <w:rsid w:val="004457F5"/>
    <w:rsid w:val="00445B8D"/>
    <w:rsid w:val="00445C76"/>
    <w:rsid w:val="00445D9A"/>
    <w:rsid w:val="00445FB9"/>
    <w:rsid w:val="0044606D"/>
    <w:rsid w:val="004461DD"/>
    <w:rsid w:val="004461EC"/>
    <w:rsid w:val="004464F9"/>
    <w:rsid w:val="00446595"/>
    <w:rsid w:val="004469AA"/>
    <w:rsid w:val="00446A79"/>
    <w:rsid w:val="00446A9A"/>
    <w:rsid w:val="00446B63"/>
    <w:rsid w:val="00446B6E"/>
    <w:rsid w:val="00446C1B"/>
    <w:rsid w:val="00446DD4"/>
    <w:rsid w:val="00446FDB"/>
    <w:rsid w:val="00447069"/>
    <w:rsid w:val="00447197"/>
    <w:rsid w:val="004471D9"/>
    <w:rsid w:val="004472CF"/>
    <w:rsid w:val="00447633"/>
    <w:rsid w:val="004476AC"/>
    <w:rsid w:val="004476CC"/>
    <w:rsid w:val="004476D2"/>
    <w:rsid w:val="004477A3"/>
    <w:rsid w:val="00447939"/>
    <w:rsid w:val="004479A8"/>
    <w:rsid w:val="00447CF6"/>
    <w:rsid w:val="00447DC1"/>
    <w:rsid w:val="00447E31"/>
    <w:rsid w:val="00447F72"/>
    <w:rsid w:val="00450211"/>
    <w:rsid w:val="004502D4"/>
    <w:rsid w:val="0045030A"/>
    <w:rsid w:val="00450600"/>
    <w:rsid w:val="00450782"/>
    <w:rsid w:val="004508E9"/>
    <w:rsid w:val="0045095A"/>
    <w:rsid w:val="004509C3"/>
    <w:rsid w:val="004509F0"/>
    <w:rsid w:val="00450AA9"/>
    <w:rsid w:val="00450B02"/>
    <w:rsid w:val="00450B89"/>
    <w:rsid w:val="0045106F"/>
    <w:rsid w:val="0045118A"/>
    <w:rsid w:val="00451362"/>
    <w:rsid w:val="004517B8"/>
    <w:rsid w:val="004518C4"/>
    <w:rsid w:val="004518C7"/>
    <w:rsid w:val="00451A4D"/>
    <w:rsid w:val="00451DAD"/>
    <w:rsid w:val="00451EE0"/>
    <w:rsid w:val="00451F87"/>
    <w:rsid w:val="0045227F"/>
    <w:rsid w:val="00452352"/>
    <w:rsid w:val="004523DD"/>
    <w:rsid w:val="004524BA"/>
    <w:rsid w:val="00452A34"/>
    <w:rsid w:val="00452B3D"/>
    <w:rsid w:val="00452B7A"/>
    <w:rsid w:val="00452C5D"/>
    <w:rsid w:val="00452EC6"/>
    <w:rsid w:val="0045308C"/>
    <w:rsid w:val="004531BB"/>
    <w:rsid w:val="004531D6"/>
    <w:rsid w:val="00453314"/>
    <w:rsid w:val="0045338E"/>
    <w:rsid w:val="004533E4"/>
    <w:rsid w:val="004534E3"/>
    <w:rsid w:val="004535BE"/>
    <w:rsid w:val="00453923"/>
    <w:rsid w:val="00453A1A"/>
    <w:rsid w:val="00453B9F"/>
    <w:rsid w:val="00453F11"/>
    <w:rsid w:val="00454147"/>
    <w:rsid w:val="0045414C"/>
    <w:rsid w:val="0045457B"/>
    <w:rsid w:val="004546DA"/>
    <w:rsid w:val="00454840"/>
    <w:rsid w:val="0045488C"/>
    <w:rsid w:val="0045498E"/>
    <w:rsid w:val="00454B9B"/>
    <w:rsid w:val="00454BF6"/>
    <w:rsid w:val="00454EDE"/>
    <w:rsid w:val="00455152"/>
    <w:rsid w:val="00455236"/>
    <w:rsid w:val="0045535C"/>
    <w:rsid w:val="004554D2"/>
    <w:rsid w:val="00455AAA"/>
    <w:rsid w:val="00455E1A"/>
    <w:rsid w:val="00456233"/>
    <w:rsid w:val="00456259"/>
    <w:rsid w:val="0045636E"/>
    <w:rsid w:val="004564B0"/>
    <w:rsid w:val="0045654F"/>
    <w:rsid w:val="0045661B"/>
    <w:rsid w:val="00456863"/>
    <w:rsid w:val="004569FF"/>
    <w:rsid w:val="00456E98"/>
    <w:rsid w:val="00456F20"/>
    <w:rsid w:val="00456FA1"/>
    <w:rsid w:val="004570C4"/>
    <w:rsid w:val="0045713B"/>
    <w:rsid w:val="004572B0"/>
    <w:rsid w:val="00457350"/>
    <w:rsid w:val="00457519"/>
    <w:rsid w:val="00457544"/>
    <w:rsid w:val="004576B0"/>
    <w:rsid w:val="0045774C"/>
    <w:rsid w:val="00457858"/>
    <w:rsid w:val="004578D0"/>
    <w:rsid w:val="004579C6"/>
    <w:rsid w:val="00457C2A"/>
    <w:rsid w:val="00457DE6"/>
    <w:rsid w:val="00457EE7"/>
    <w:rsid w:val="00457FE0"/>
    <w:rsid w:val="00460184"/>
    <w:rsid w:val="0046023E"/>
    <w:rsid w:val="004603CE"/>
    <w:rsid w:val="00460652"/>
    <w:rsid w:val="004608D7"/>
    <w:rsid w:val="004609EC"/>
    <w:rsid w:val="00460B0B"/>
    <w:rsid w:val="00460E90"/>
    <w:rsid w:val="00461023"/>
    <w:rsid w:val="004610D2"/>
    <w:rsid w:val="0046133B"/>
    <w:rsid w:val="00461A71"/>
    <w:rsid w:val="00461A8B"/>
    <w:rsid w:val="00461C40"/>
    <w:rsid w:val="00461C79"/>
    <w:rsid w:val="004620A4"/>
    <w:rsid w:val="004620D0"/>
    <w:rsid w:val="004622A6"/>
    <w:rsid w:val="00462346"/>
    <w:rsid w:val="0046251F"/>
    <w:rsid w:val="00462551"/>
    <w:rsid w:val="00462741"/>
    <w:rsid w:val="00462B45"/>
    <w:rsid w:val="00462B80"/>
    <w:rsid w:val="00462CDF"/>
    <w:rsid w:val="00462DC1"/>
    <w:rsid w:val="00462DD1"/>
    <w:rsid w:val="00462E7D"/>
    <w:rsid w:val="00462F62"/>
    <w:rsid w:val="00462FAC"/>
    <w:rsid w:val="00462FDA"/>
    <w:rsid w:val="0046359B"/>
    <w:rsid w:val="00463716"/>
    <w:rsid w:val="00463B67"/>
    <w:rsid w:val="00463D2A"/>
    <w:rsid w:val="00463DAC"/>
    <w:rsid w:val="00463E50"/>
    <w:rsid w:val="00463E5B"/>
    <w:rsid w:val="00463F5B"/>
    <w:rsid w:val="004640E0"/>
    <w:rsid w:val="004640ED"/>
    <w:rsid w:val="004640F3"/>
    <w:rsid w:val="0046425D"/>
    <w:rsid w:val="00464296"/>
    <w:rsid w:val="004642CA"/>
    <w:rsid w:val="00464312"/>
    <w:rsid w:val="00464631"/>
    <w:rsid w:val="00464721"/>
    <w:rsid w:val="00464802"/>
    <w:rsid w:val="0046486F"/>
    <w:rsid w:val="00464A25"/>
    <w:rsid w:val="00464B79"/>
    <w:rsid w:val="00464CC2"/>
    <w:rsid w:val="00464F3C"/>
    <w:rsid w:val="0046502D"/>
    <w:rsid w:val="004650F0"/>
    <w:rsid w:val="00465117"/>
    <w:rsid w:val="004652BE"/>
    <w:rsid w:val="00465373"/>
    <w:rsid w:val="00465514"/>
    <w:rsid w:val="004656AE"/>
    <w:rsid w:val="0046577D"/>
    <w:rsid w:val="00465BC4"/>
    <w:rsid w:val="00465C21"/>
    <w:rsid w:val="0046632E"/>
    <w:rsid w:val="004665A3"/>
    <w:rsid w:val="004667AB"/>
    <w:rsid w:val="0046684B"/>
    <w:rsid w:val="00466862"/>
    <w:rsid w:val="004669B2"/>
    <w:rsid w:val="00466AC2"/>
    <w:rsid w:val="00466C2F"/>
    <w:rsid w:val="00466D17"/>
    <w:rsid w:val="00466F7E"/>
    <w:rsid w:val="0046720C"/>
    <w:rsid w:val="00467278"/>
    <w:rsid w:val="0046738A"/>
    <w:rsid w:val="0046752A"/>
    <w:rsid w:val="00467887"/>
    <w:rsid w:val="004678C1"/>
    <w:rsid w:val="00467BBF"/>
    <w:rsid w:val="00467CA2"/>
    <w:rsid w:val="00467EAF"/>
    <w:rsid w:val="00467F39"/>
    <w:rsid w:val="0047006E"/>
    <w:rsid w:val="004700E0"/>
    <w:rsid w:val="0047063D"/>
    <w:rsid w:val="004708B1"/>
    <w:rsid w:val="00470AA0"/>
    <w:rsid w:val="00470AC1"/>
    <w:rsid w:val="00470AFA"/>
    <w:rsid w:val="00470B63"/>
    <w:rsid w:val="00470BA3"/>
    <w:rsid w:val="004710AB"/>
    <w:rsid w:val="0047118F"/>
    <w:rsid w:val="004714C6"/>
    <w:rsid w:val="0047166C"/>
    <w:rsid w:val="0047176F"/>
    <w:rsid w:val="0047178B"/>
    <w:rsid w:val="00471814"/>
    <w:rsid w:val="004718BF"/>
    <w:rsid w:val="00471BC8"/>
    <w:rsid w:val="00472205"/>
    <w:rsid w:val="004722DB"/>
    <w:rsid w:val="00472371"/>
    <w:rsid w:val="0047246A"/>
    <w:rsid w:val="004724C2"/>
    <w:rsid w:val="004724EA"/>
    <w:rsid w:val="0047257D"/>
    <w:rsid w:val="0047289B"/>
    <w:rsid w:val="00472990"/>
    <w:rsid w:val="00472C22"/>
    <w:rsid w:val="00472F54"/>
    <w:rsid w:val="00473026"/>
    <w:rsid w:val="0047305F"/>
    <w:rsid w:val="00473362"/>
    <w:rsid w:val="00473366"/>
    <w:rsid w:val="00473443"/>
    <w:rsid w:val="00473449"/>
    <w:rsid w:val="00473498"/>
    <w:rsid w:val="00473629"/>
    <w:rsid w:val="00473697"/>
    <w:rsid w:val="004736E9"/>
    <w:rsid w:val="004737DB"/>
    <w:rsid w:val="00473849"/>
    <w:rsid w:val="004739A5"/>
    <w:rsid w:val="00473C2C"/>
    <w:rsid w:val="00473C47"/>
    <w:rsid w:val="00473D5B"/>
    <w:rsid w:val="00473F47"/>
    <w:rsid w:val="004740F0"/>
    <w:rsid w:val="004742A1"/>
    <w:rsid w:val="00474321"/>
    <w:rsid w:val="00474365"/>
    <w:rsid w:val="004746D8"/>
    <w:rsid w:val="004747BA"/>
    <w:rsid w:val="004747D3"/>
    <w:rsid w:val="00474CEC"/>
    <w:rsid w:val="00474DF8"/>
    <w:rsid w:val="00475079"/>
    <w:rsid w:val="004750CF"/>
    <w:rsid w:val="0047514E"/>
    <w:rsid w:val="00475251"/>
    <w:rsid w:val="004752A4"/>
    <w:rsid w:val="004752AE"/>
    <w:rsid w:val="004753FF"/>
    <w:rsid w:val="00475434"/>
    <w:rsid w:val="004754F7"/>
    <w:rsid w:val="0047558E"/>
    <w:rsid w:val="004756B7"/>
    <w:rsid w:val="00475BB2"/>
    <w:rsid w:val="00475CB7"/>
    <w:rsid w:val="00475EE4"/>
    <w:rsid w:val="0047606A"/>
    <w:rsid w:val="00476610"/>
    <w:rsid w:val="004769DA"/>
    <w:rsid w:val="00476AF0"/>
    <w:rsid w:val="00476B12"/>
    <w:rsid w:val="00476C00"/>
    <w:rsid w:val="00476C42"/>
    <w:rsid w:val="00476F25"/>
    <w:rsid w:val="004772C7"/>
    <w:rsid w:val="004772E2"/>
    <w:rsid w:val="0047750A"/>
    <w:rsid w:val="00477573"/>
    <w:rsid w:val="004775A1"/>
    <w:rsid w:val="0047761C"/>
    <w:rsid w:val="00477A23"/>
    <w:rsid w:val="00477A38"/>
    <w:rsid w:val="00477A71"/>
    <w:rsid w:val="00477F83"/>
    <w:rsid w:val="004800D1"/>
    <w:rsid w:val="004802D0"/>
    <w:rsid w:val="00480319"/>
    <w:rsid w:val="0048034E"/>
    <w:rsid w:val="004803C9"/>
    <w:rsid w:val="00480523"/>
    <w:rsid w:val="00480E1B"/>
    <w:rsid w:val="00481178"/>
    <w:rsid w:val="00481886"/>
    <w:rsid w:val="00481AC9"/>
    <w:rsid w:val="00481D4F"/>
    <w:rsid w:val="00481FDC"/>
    <w:rsid w:val="00482127"/>
    <w:rsid w:val="0048231A"/>
    <w:rsid w:val="004826CC"/>
    <w:rsid w:val="00482793"/>
    <w:rsid w:val="004828D0"/>
    <w:rsid w:val="00482A0D"/>
    <w:rsid w:val="00482DCD"/>
    <w:rsid w:val="00482DE8"/>
    <w:rsid w:val="0048336F"/>
    <w:rsid w:val="004833BF"/>
    <w:rsid w:val="00483408"/>
    <w:rsid w:val="004836C7"/>
    <w:rsid w:val="004837C4"/>
    <w:rsid w:val="004838B8"/>
    <w:rsid w:val="004839E0"/>
    <w:rsid w:val="00483A1E"/>
    <w:rsid w:val="00483B81"/>
    <w:rsid w:val="00483BBE"/>
    <w:rsid w:val="00483C42"/>
    <w:rsid w:val="00483D14"/>
    <w:rsid w:val="00483D68"/>
    <w:rsid w:val="00483E23"/>
    <w:rsid w:val="00483EAB"/>
    <w:rsid w:val="0048429D"/>
    <w:rsid w:val="00484312"/>
    <w:rsid w:val="004843BD"/>
    <w:rsid w:val="004847E6"/>
    <w:rsid w:val="00484B80"/>
    <w:rsid w:val="00484F54"/>
    <w:rsid w:val="00484FFA"/>
    <w:rsid w:val="00485099"/>
    <w:rsid w:val="0048522A"/>
    <w:rsid w:val="00485438"/>
    <w:rsid w:val="0048574A"/>
    <w:rsid w:val="004857BA"/>
    <w:rsid w:val="0048589A"/>
    <w:rsid w:val="00485915"/>
    <w:rsid w:val="00485B76"/>
    <w:rsid w:val="00485C39"/>
    <w:rsid w:val="00485C9B"/>
    <w:rsid w:val="00485DD0"/>
    <w:rsid w:val="00485F12"/>
    <w:rsid w:val="00486116"/>
    <w:rsid w:val="00486207"/>
    <w:rsid w:val="004867E2"/>
    <w:rsid w:val="00486A9A"/>
    <w:rsid w:val="00486C62"/>
    <w:rsid w:val="00486E65"/>
    <w:rsid w:val="00486E93"/>
    <w:rsid w:val="00486ED2"/>
    <w:rsid w:val="00486F09"/>
    <w:rsid w:val="00486F2B"/>
    <w:rsid w:val="00487690"/>
    <w:rsid w:val="004877F8"/>
    <w:rsid w:val="004879D4"/>
    <w:rsid w:val="00487BA6"/>
    <w:rsid w:val="00487E37"/>
    <w:rsid w:val="00487E7D"/>
    <w:rsid w:val="00487F70"/>
    <w:rsid w:val="00487F77"/>
    <w:rsid w:val="00487F79"/>
    <w:rsid w:val="00490596"/>
    <w:rsid w:val="004905F8"/>
    <w:rsid w:val="00490643"/>
    <w:rsid w:val="00490771"/>
    <w:rsid w:val="004909DA"/>
    <w:rsid w:val="00490A47"/>
    <w:rsid w:val="00490CCB"/>
    <w:rsid w:val="00490CFE"/>
    <w:rsid w:val="004910C6"/>
    <w:rsid w:val="004911EB"/>
    <w:rsid w:val="004912E8"/>
    <w:rsid w:val="004913AD"/>
    <w:rsid w:val="004914F6"/>
    <w:rsid w:val="004918D9"/>
    <w:rsid w:val="00491B96"/>
    <w:rsid w:val="00491F45"/>
    <w:rsid w:val="0049214F"/>
    <w:rsid w:val="004923F6"/>
    <w:rsid w:val="00492658"/>
    <w:rsid w:val="00492659"/>
    <w:rsid w:val="00492672"/>
    <w:rsid w:val="00492931"/>
    <w:rsid w:val="004929A9"/>
    <w:rsid w:val="00492B39"/>
    <w:rsid w:val="00493171"/>
    <w:rsid w:val="0049357B"/>
    <w:rsid w:val="004936D3"/>
    <w:rsid w:val="00493755"/>
    <w:rsid w:val="004938C0"/>
    <w:rsid w:val="0049393D"/>
    <w:rsid w:val="0049394B"/>
    <w:rsid w:val="004939C0"/>
    <w:rsid w:val="00493D63"/>
    <w:rsid w:val="00493E30"/>
    <w:rsid w:val="00493EA0"/>
    <w:rsid w:val="0049423A"/>
    <w:rsid w:val="00494264"/>
    <w:rsid w:val="00494278"/>
    <w:rsid w:val="004943B7"/>
    <w:rsid w:val="0049453E"/>
    <w:rsid w:val="00494684"/>
    <w:rsid w:val="00494B77"/>
    <w:rsid w:val="00494CE2"/>
    <w:rsid w:val="004955AB"/>
    <w:rsid w:val="0049567D"/>
    <w:rsid w:val="004956C1"/>
    <w:rsid w:val="00495745"/>
    <w:rsid w:val="0049575C"/>
    <w:rsid w:val="00495EAC"/>
    <w:rsid w:val="00495F6D"/>
    <w:rsid w:val="00495FCF"/>
    <w:rsid w:val="0049615F"/>
    <w:rsid w:val="004962EF"/>
    <w:rsid w:val="0049637A"/>
    <w:rsid w:val="0049657A"/>
    <w:rsid w:val="0049662E"/>
    <w:rsid w:val="0049678B"/>
    <w:rsid w:val="00496948"/>
    <w:rsid w:val="00496C8F"/>
    <w:rsid w:val="00496F4C"/>
    <w:rsid w:val="00497064"/>
    <w:rsid w:val="004971D7"/>
    <w:rsid w:val="00497266"/>
    <w:rsid w:val="004973DB"/>
    <w:rsid w:val="004976DC"/>
    <w:rsid w:val="004976EC"/>
    <w:rsid w:val="004979CE"/>
    <w:rsid w:val="00497B26"/>
    <w:rsid w:val="00497CC3"/>
    <w:rsid w:val="004A017C"/>
    <w:rsid w:val="004A03D6"/>
    <w:rsid w:val="004A0434"/>
    <w:rsid w:val="004A043A"/>
    <w:rsid w:val="004A0499"/>
    <w:rsid w:val="004A064C"/>
    <w:rsid w:val="004A0738"/>
    <w:rsid w:val="004A099E"/>
    <w:rsid w:val="004A0B96"/>
    <w:rsid w:val="004A0D04"/>
    <w:rsid w:val="004A0ED2"/>
    <w:rsid w:val="004A1105"/>
    <w:rsid w:val="004A12AA"/>
    <w:rsid w:val="004A13C3"/>
    <w:rsid w:val="004A17EA"/>
    <w:rsid w:val="004A189F"/>
    <w:rsid w:val="004A1AB6"/>
    <w:rsid w:val="004A1DBC"/>
    <w:rsid w:val="004A22F8"/>
    <w:rsid w:val="004A22FF"/>
    <w:rsid w:val="004A2303"/>
    <w:rsid w:val="004A2448"/>
    <w:rsid w:val="004A29F2"/>
    <w:rsid w:val="004A2FB6"/>
    <w:rsid w:val="004A2FCD"/>
    <w:rsid w:val="004A30D6"/>
    <w:rsid w:val="004A313F"/>
    <w:rsid w:val="004A31C7"/>
    <w:rsid w:val="004A3595"/>
    <w:rsid w:val="004A36EE"/>
    <w:rsid w:val="004A3822"/>
    <w:rsid w:val="004A3868"/>
    <w:rsid w:val="004A3975"/>
    <w:rsid w:val="004A3B49"/>
    <w:rsid w:val="004A41E2"/>
    <w:rsid w:val="004A42CB"/>
    <w:rsid w:val="004A42F7"/>
    <w:rsid w:val="004A438D"/>
    <w:rsid w:val="004A4466"/>
    <w:rsid w:val="004A45BB"/>
    <w:rsid w:val="004A487A"/>
    <w:rsid w:val="004A4A7D"/>
    <w:rsid w:val="004A4B71"/>
    <w:rsid w:val="004A4BC3"/>
    <w:rsid w:val="004A4C16"/>
    <w:rsid w:val="004A4FD0"/>
    <w:rsid w:val="004A50E7"/>
    <w:rsid w:val="004A50FF"/>
    <w:rsid w:val="004A5143"/>
    <w:rsid w:val="004A5361"/>
    <w:rsid w:val="004A563B"/>
    <w:rsid w:val="004A5681"/>
    <w:rsid w:val="004A56B1"/>
    <w:rsid w:val="004A57E2"/>
    <w:rsid w:val="004A5D87"/>
    <w:rsid w:val="004A5DB2"/>
    <w:rsid w:val="004A5DC5"/>
    <w:rsid w:val="004A5E7E"/>
    <w:rsid w:val="004A5EDB"/>
    <w:rsid w:val="004A61A7"/>
    <w:rsid w:val="004A62A0"/>
    <w:rsid w:val="004A63BD"/>
    <w:rsid w:val="004A6A6C"/>
    <w:rsid w:val="004A6B60"/>
    <w:rsid w:val="004A7162"/>
    <w:rsid w:val="004A73D5"/>
    <w:rsid w:val="004A73EB"/>
    <w:rsid w:val="004A7454"/>
    <w:rsid w:val="004A74B4"/>
    <w:rsid w:val="004A74D7"/>
    <w:rsid w:val="004A7616"/>
    <w:rsid w:val="004A7A80"/>
    <w:rsid w:val="004A7C8E"/>
    <w:rsid w:val="004A7DC1"/>
    <w:rsid w:val="004B0327"/>
    <w:rsid w:val="004B0448"/>
    <w:rsid w:val="004B047A"/>
    <w:rsid w:val="004B04EC"/>
    <w:rsid w:val="004B053F"/>
    <w:rsid w:val="004B085D"/>
    <w:rsid w:val="004B0D99"/>
    <w:rsid w:val="004B11D6"/>
    <w:rsid w:val="004B136D"/>
    <w:rsid w:val="004B239A"/>
    <w:rsid w:val="004B2571"/>
    <w:rsid w:val="004B27FB"/>
    <w:rsid w:val="004B2AC2"/>
    <w:rsid w:val="004B2B8C"/>
    <w:rsid w:val="004B2D9B"/>
    <w:rsid w:val="004B3593"/>
    <w:rsid w:val="004B3727"/>
    <w:rsid w:val="004B3950"/>
    <w:rsid w:val="004B3C9D"/>
    <w:rsid w:val="004B3D9D"/>
    <w:rsid w:val="004B3E04"/>
    <w:rsid w:val="004B4270"/>
    <w:rsid w:val="004B440A"/>
    <w:rsid w:val="004B4429"/>
    <w:rsid w:val="004B45B4"/>
    <w:rsid w:val="004B45DF"/>
    <w:rsid w:val="004B47B1"/>
    <w:rsid w:val="004B4B37"/>
    <w:rsid w:val="004B4B5D"/>
    <w:rsid w:val="004B4EBF"/>
    <w:rsid w:val="004B51E7"/>
    <w:rsid w:val="004B535A"/>
    <w:rsid w:val="004B5560"/>
    <w:rsid w:val="004B5602"/>
    <w:rsid w:val="004B58CA"/>
    <w:rsid w:val="004B5BA0"/>
    <w:rsid w:val="004B5E88"/>
    <w:rsid w:val="004B5EFF"/>
    <w:rsid w:val="004B5F80"/>
    <w:rsid w:val="004B6084"/>
    <w:rsid w:val="004B6141"/>
    <w:rsid w:val="004B620C"/>
    <w:rsid w:val="004B6500"/>
    <w:rsid w:val="004B663B"/>
    <w:rsid w:val="004B667E"/>
    <w:rsid w:val="004B6AAA"/>
    <w:rsid w:val="004B6B78"/>
    <w:rsid w:val="004B6EEE"/>
    <w:rsid w:val="004B7309"/>
    <w:rsid w:val="004B73FB"/>
    <w:rsid w:val="004B747B"/>
    <w:rsid w:val="004B75A1"/>
    <w:rsid w:val="004B7859"/>
    <w:rsid w:val="004B79C9"/>
    <w:rsid w:val="004B7C83"/>
    <w:rsid w:val="004C0043"/>
    <w:rsid w:val="004C00E2"/>
    <w:rsid w:val="004C01A0"/>
    <w:rsid w:val="004C055C"/>
    <w:rsid w:val="004C078E"/>
    <w:rsid w:val="004C0873"/>
    <w:rsid w:val="004C08FF"/>
    <w:rsid w:val="004C099B"/>
    <w:rsid w:val="004C0EE6"/>
    <w:rsid w:val="004C0FE3"/>
    <w:rsid w:val="004C1448"/>
    <w:rsid w:val="004C1461"/>
    <w:rsid w:val="004C1508"/>
    <w:rsid w:val="004C167C"/>
    <w:rsid w:val="004C169D"/>
    <w:rsid w:val="004C170E"/>
    <w:rsid w:val="004C186B"/>
    <w:rsid w:val="004C1897"/>
    <w:rsid w:val="004C1C3D"/>
    <w:rsid w:val="004C1E53"/>
    <w:rsid w:val="004C1FE1"/>
    <w:rsid w:val="004C2033"/>
    <w:rsid w:val="004C22B8"/>
    <w:rsid w:val="004C293C"/>
    <w:rsid w:val="004C2DE2"/>
    <w:rsid w:val="004C2EB6"/>
    <w:rsid w:val="004C2ED5"/>
    <w:rsid w:val="004C2F0F"/>
    <w:rsid w:val="004C2FEC"/>
    <w:rsid w:val="004C3044"/>
    <w:rsid w:val="004C3331"/>
    <w:rsid w:val="004C365A"/>
    <w:rsid w:val="004C3952"/>
    <w:rsid w:val="004C3A83"/>
    <w:rsid w:val="004C3B90"/>
    <w:rsid w:val="004C3C57"/>
    <w:rsid w:val="004C3CB9"/>
    <w:rsid w:val="004C3E78"/>
    <w:rsid w:val="004C4111"/>
    <w:rsid w:val="004C43E8"/>
    <w:rsid w:val="004C4413"/>
    <w:rsid w:val="004C4540"/>
    <w:rsid w:val="004C4550"/>
    <w:rsid w:val="004C478F"/>
    <w:rsid w:val="004C47F4"/>
    <w:rsid w:val="004C4835"/>
    <w:rsid w:val="004C494F"/>
    <w:rsid w:val="004C4A36"/>
    <w:rsid w:val="004C4AF3"/>
    <w:rsid w:val="004C4C52"/>
    <w:rsid w:val="004C4E9F"/>
    <w:rsid w:val="004C4ECF"/>
    <w:rsid w:val="004C51FA"/>
    <w:rsid w:val="004C5329"/>
    <w:rsid w:val="004C5377"/>
    <w:rsid w:val="004C537A"/>
    <w:rsid w:val="004C58A7"/>
    <w:rsid w:val="004C59EA"/>
    <w:rsid w:val="004C59F2"/>
    <w:rsid w:val="004C5DE1"/>
    <w:rsid w:val="004C5E49"/>
    <w:rsid w:val="004C60E5"/>
    <w:rsid w:val="004C614F"/>
    <w:rsid w:val="004C69E9"/>
    <w:rsid w:val="004C6B5B"/>
    <w:rsid w:val="004C6B77"/>
    <w:rsid w:val="004C6BCF"/>
    <w:rsid w:val="004C6C4C"/>
    <w:rsid w:val="004C6CDF"/>
    <w:rsid w:val="004C7086"/>
    <w:rsid w:val="004C712E"/>
    <w:rsid w:val="004C7161"/>
    <w:rsid w:val="004C7619"/>
    <w:rsid w:val="004C761F"/>
    <w:rsid w:val="004C7673"/>
    <w:rsid w:val="004C7745"/>
    <w:rsid w:val="004C7B38"/>
    <w:rsid w:val="004C7BBE"/>
    <w:rsid w:val="004C7DA7"/>
    <w:rsid w:val="004C7E0C"/>
    <w:rsid w:val="004C7F7A"/>
    <w:rsid w:val="004D04B1"/>
    <w:rsid w:val="004D0553"/>
    <w:rsid w:val="004D072B"/>
    <w:rsid w:val="004D0A0D"/>
    <w:rsid w:val="004D0AA4"/>
    <w:rsid w:val="004D0D0D"/>
    <w:rsid w:val="004D0E2C"/>
    <w:rsid w:val="004D0FBB"/>
    <w:rsid w:val="004D13FE"/>
    <w:rsid w:val="004D140C"/>
    <w:rsid w:val="004D1663"/>
    <w:rsid w:val="004D17D2"/>
    <w:rsid w:val="004D208C"/>
    <w:rsid w:val="004D21C4"/>
    <w:rsid w:val="004D2355"/>
    <w:rsid w:val="004D23E3"/>
    <w:rsid w:val="004D2456"/>
    <w:rsid w:val="004D2738"/>
    <w:rsid w:val="004D287C"/>
    <w:rsid w:val="004D29FA"/>
    <w:rsid w:val="004D2BDA"/>
    <w:rsid w:val="004D2D4D"/>
    <w:rsid w:val="004D30F0"/>
    <w:rsid w:val="004D3306"/>
    <w:rsid w:val="004D354E"/>
    <w:rsid w:val="004D3A19"/>
    <w:rsid w:val="004D3BEA"/>
    <w:rsid w:val="004D4465"/>
    <w:rsid w:val="004D4770"/>
    <w:rsid w:val="004D4834"/>
    <w:rsid w:val="004D49CF"/>
    <w:rsid w:val="004D4D31"/>
    <w:rsid w:val="004D4DAF"/>
    <w:rsid w:val="004D4E50"/>
    <w:rsid w:val="004D4E98"/>
    <w:rsid w:val="004D504F"/>
    <w:rsid w:val="004D529F"/>
    <w:rsid w:val="004D5795"/>
    <w:rsid w:val="004D579A"/>
    <w:rsid w:val="004D58BF"/>
    <w:rsid w:val="004D5DE1"/>
    <w:rsid w:val="004D5F02"/>
    <w:rsid w:val="004D60CA"/>
    <w:rsid w:val="004D628B"/>
    <w:rsid w:val="004D6339"/>
    <w:rsid w:val="004D66C7"/>
    <w:rsid w:val="004D68C8"/>
    <w:rsid w:val="004D6A05"/>
    <w:rsid w:val="004D6AEF"/>
    <w:rsid w:val="004D6B35"/>
    <w:rsid w:val="004D7058"/>
    <w:rsid w:val="004D76FA"/>
    <w:rsid w:val="004D788C"/>
    <w:rsid w:val="004D7BD8"/>
    <w:rsid w:val="004D7C1B"/>
    <w:rsid w:val="004E0256"/>
    <w:rsid w:val="004E035F"/>
    <w:rsid w:val="004E0411"/>
    <w:rsid w:val="004E065F"/>
    <w:rsid w:val="004E0783"/>
    <w:rsid w:val="004E0878"/>
    <w:rsid w:val="004E0B18"/>
    <w:rsid w:val="004E0C89"/>
    <w:rsid w:val="004E0E07"/>
    <w:rsid w:val="004E127A"/>
    <w:rsid w:val="004E13FD"/>
    <w:rsid w:val="004E16E6"/>
    <w:rsid w:val="004E1A22"/>
    <w:rsid w:val="004E1B3F"/>
    <w:rsid w:val="004E1DA3"/>
    <w:rsid w:val="004E1DBE"/>
    <w:rsid w:val="004E1E7B"/>
    <w:rsid w:val="004E1E7C"/>
    <w:rsid w:val="004E1F6A"/>
    <w:rsid w:val="004E2023"/>
    <w:rsid w:val="004E21CC"/>
    <w:rsid w:val="004E2469"/>
    <w:rsid w:val="004E297B"/>
    <w:rsid w:val="004E2C5E"/>
    <w:rsid w:val="004E2C97"/>
    <w:rsid w:val="004E2D89"/>
    <w:rsid w:val="004E2E8B"/>
    <w:rsid w:val="004E2FD0"/>
    <w:rsid w:val="004E30A8"/>
    <w:rsid w:val="004E316C"/>
    <w:rsid w:val="004E31BA"/>
    <w:rsid w:val="004E3206"/>
    <w:rsid w:val="004E3323"/>
    <w:rsid w:val="004E33E3"/>
    <w:rsid w:val="004E3568"/>
    <w:rsid w:val="004E36C4"/>
    <w:rsid w:val="004E370B"/>
    <w:rsid w:val="004E3DC9"/>
    <w:rsid w:val="004E3DF3"/>
    <w:rsid w:val="004E42CA"/>
    <w:rsid w:val="004E4335"/>
    <w:rsid w:val="004E448C"/>
    <w:rsid w:val="004E4A09"/>
    <w:rsid w:val="004E4B6D"/>
    <w:rsid w:val="004E4DC3"/>
    <w:rsid w:val="004E4FE5"/>
    <w:rsid w:val="004E5759"/>
    <w:rsid w:val="004E5ACF"/>
    <w:rsid w:val="004E5B1E"/>
    <w:rsid w:val="004E5C63"/>
    <w:rsid w:val="004E60EE"/>
    <w:rsid w:val="004E6329"/>
    <w:rsid w:val="004E6388"/>
    <w:rsid w:val="004E641A"/>
    <w:rsid w:val="004E6557"/>
    <w:rsid w:val="004E6749"/>
    <w:rsid w:val="004E6C60"/>
    <w:rsid w:val="004E704F"/>
    <w:rsid w:val="004E720D"/>
    <w:rsid w:val="004E771D"/>
    <w:rsid w:val="004E7811"/>
    <w:rsid w:val="004E7936"/>
    <w:rsid w:val="004E7AC3"/>
    <w:rsid w:val="004E8FB2"/>
    <w:rsid w:val="004F0358"/>
    <w:rsid w:val="004F06B9"/>
    <w:rsid w:val="004F075D"/>
    <w:rsid w:val="004F07A1"/>
    <w:rsid w:val="004F07F6"/>
    <w:rsid w:val="004F08CE"/>
    <w:rsid w:val="004F09C0"/>
    <w:rsid w:val="004F0A7D"/>
    <w:rsid w:val="004F0B27"/>
    <w:rsid w:val="004F0E9E"/>
    <w:rsid w:val="004F1280"/>
    <w:rsid w:val="004F13EE"/>
    <w:rsid w:val="004F1709"/>
    <w:rsid w:val="004F1CC7"/>
    <w:rsid w:val="004F1EB3"/>
    <w:rsid w:val="004F2022"/>
    <w:rsid w:val="004F211D"/>
    <w:rsid w:val="004F21C9"/>
    <w:rsid w:val="004F23BA"/>
    <w:rsid w:val="004F24A2"/>
    <w:rsid w:val="004F26FF"/>
    <w:rsid w:val="004F2C46"/>
    <w:rsid w:val="004F2D6A"/>
    <w:rsid w:val="004F2FAA"/>
    <w:rsid w:val="004F31CA"/>
    <w:rsid w:val="004F31D8"/>
    <w:rsid w:val="004F3524"/>
    <w:rsid w:val="004F35DE"/>
    <w:rsid w:val="004F3637"/>
    <w:rsid w:val="004F3689"/>
    <w:rsid w:val="004F385F"/>
    <w:rsid w:val="004F3BB8"/>
    <w:rsid w:val="004F42A3"/>
    <w:rsid w:val="004F42D5"/>
    <w:rsid w:val="004F44A0"/>
    <w:rsid w:val="004F44B5"/>
    <w:rsid w:val="004F44F8"/>
    <w:rsid w:val="004F4C3A"/>
    <w:rsid w:val="004F4C9A"/>
    <w:rsid w:val="004F4CD0"/>
    <w:rsid w:val="004F4F60"/>
    <w:rsid w:val="004F5043"/>
    <w:rsid w:val="004F51BC"/>
    <w:rsid w:val="004F5382"/>
    <w:rsid w:val="004F5514"/>
    <w:rsid w:val="004F571D"/>
    <w:rsid w:val="004F5736"/>
    <w:rsid w:val="004F5744"/>
    <w:rsid w:val="004F5BDC"/>
    <w:rsid w:val="004F609E"/>
    <w:rsid w:val="004F612A"/>
    <w:rsid w:val="004F639A"/>
    <w:rsid w:val="004F678E"/>
    <w:rsid w:val="004F6C70"/>
    <w:rsid w:val="004F6DEF"/>
    <w:rsid w:val="004F7038"/>
    <w:rsid w:val="004F71D4"/>
    <w:rsid w:val="004F729F"/>
    <w:rsid w:val="004F72B9"/>
    <w:rsid w:val="004F78EB"/>
    <w:rsid w:val="004F791E"/>
    <w:rsid w:val="004F7C05"/>
    <w:rsid w:val="004F7D53"/>
    <w:rsid w:val="004F7E71"/>
    <w:rsid w:val="004F7FCF"/>
    <w:rsid w:val="00500010"/>
    <w:rsid w:val="005001B4"/>
    <w:rsid w:val="005001F7"/>
    <w:rsid w:val="0050021B"/>
    <w:rsid w:val="005002B0"/>
    <w:rsid w:val="0050038F"/>
    <w:rsid w:val="005003C2"/>
    <w:rsid w:val="0050042B"/>
    <w:rsid w:val="0050042C"/>
    <w:rsid w:val="0050060D"/>
    <w:rsid w:val="00500611"/>
    <w:rsid w:val="00500683"/>
    <w:rsid w:val="00500983"/>
    <w:rsid w:val="00500B8D"/>
    <w:rsid w:val="0050113B"/>
    <w:rsid w:val="005015F7"/>
    <w:rsid w:val="00501600"/>
    <w:rsid w:val="005017EB"/>
    <w:rsid w:val="0050190F"/>
    <w:rsid w:val="00501A20"/>
    <w:rsid w:val="00501AC0"/>
    <w:rsid w:val="00501B6D"/>
    <w:rsid w:val="00501BC0"/>
    <w:rsid w:val="00501C94"/>
    <w:rsid w:val="00501CF5"/>
    <w:rsid w:val="00501D42"/>
    <w:rsid w:val="00501E70"/>
    <w:rsid w:val="0050205C"/>
    <w:rsid w:val="00502212"/>
    <w:rsid w:val="005024F4"/>
    <w:rsid w:val="005028A4"/>
    <w:rsid w:val="00502C96"/>
    <w:rsid w:val="00502DE7"/>
    <w:rsid w:val="00502E01"/>
    <w:rsid w:val="00503095"/>
    <w:rsid w:val="0050353B"/>
    <w:rsid w:val="00503750"/>
    <w:rsid w:val="0050376F"/>
    <w:rsid w:val="005039A6"/>
    <w:rsid w:val="00503CFF"/>
    <w:rsid w:val="00504030"/>
    <w:rsid w:val="0050418F"/>
    <w:rsid w:val="005042C2"/>
    <w:rsid w:val="0050431E"/>
    <w:rsid w:val="0050445B"/>
    <w:rsid w:val="00504A8F"/>
    <w:rsid w:val="00504C0C"/>
    <w:rsid w:val="00504F0F"/>
    <w:rsid w:val="00505281"/>
    <w:rsid w:val="00505296"/>
    <w:rsid w:val="005053AF"/>
    <w:rsid w:val="00505B1A"/>
    <w:rsid w:val="00505B72"/>
    <w:rsid w:val="00505C93"/>
    <w:rsid w:val="00506259"/>
    <w:rsid w:val="00506432"/>
    <w:rsid w:val="0050658F"/>
    <w:rsid w:val="005065B3"/>
    <w:rsid w:val="005067A3"/>
    <w:rsid w:val="0050690C"/>
    <w:rsid w:val="00506A08"/>
    <w:rsid w:val="00506ED2"/>
    <w:rsid w:val="00506FDB"/>
    <w:rsid w:val="00507249"/>
    <w:rsid w:val="00507492"/>
    <w:rsid w:val="005074EB"/>
    <w:rsid w:val="00507595"/>
    <w:rsid w:val="005076A8"/>
    <w:rsid w:val="005076F9"/>
    <w:rsid w:val="0050780C"/>
    <w:rsid w:val="00507E52"/>
    <w:rsid w:val="00507F57"/>
    <w:rsid w:val="00507F5F"/>
    <w:rsid w:val="005102D2"/>
    <w:rsid w:val="0051031E"/>
    <w:rsid w:val="005104A3"/>
    <w:rsid w:val="00510609"/>
    <w:rsid w:val="0051081D"/>
    <w:rsid w:val="00510C66"/>
    <w:rsid w:val="00510DEF"/>
    <w:rsid w:val="005110A0"/>
    <w:rsid w:val="00511334"/>
    <w:rsid w:val="005113A6"/>
    <w:rsid w:val="00511593"/>
    <w:rsid w:val="005115BA"/>
    <w:rsid w:val="0051165B"/>
    <w:rsid w:val="00511865"/>
    <w:rsid w:val="0051192A"/>
    <w:rsid w:val="00511B4E"/>
    <w:rsid w:val="00511B96"/>
    <w:rsid w:val="00511F46"/>
    <w:rsid w:val="00511FA7"/>
    <w:rsid w:val="005121B4"/>
    <w:rsid w:val="005121BD"/>
    <w:rsid w:val="005123CC"/>
    <w:rsid w:val="005123E0"/>
    <w:rsid w:val="0051242B"/>
    <w:rsid w:val="005125E5"/>
    <w:rsid w:val="005128C6"/>
    <w:rsid w:val="00512916"/>
    <w:rsid w:val="00512AAB"/>
    <w:rsid w:val="005130E6"/>
    <w:rsid w:val="00513135"/>
    <w:rsid w:val="00513154"/>
    <w:rsid w:val="005136AE"/>
    <w:rsid w:val="00513779"/>
    <w:rsid w:val="0051398E"/>
    <w:rsid w:val="00513A8C"/>
    <w:rsid w:val="00513C38"/>
    <w:rsid w:val="00514149"/>
    <w:rsid w:val="005147A2"/>
    <w:rsid w:val="005149AD"/>
    <w:rsid w:val="00514B7F"/>
    <w:rsid w:val="00514E4C"/>
    <w:rsid w:val="005150FE"/>
    <w:rsid w:val="005151EA"/>
    <w:rsid w:val="005152A2"/>
    <w:rsid w:val="00515316"/>
    <w:rsid w:val="00515941"/>
    <w:rsid w:val="00515C53"/>
    <w:rsid w:val="00515E0E"/>
    <w:rsid w:val="005162B2"/>
    <w:rsid w:val="00516378"/>
    <w:rsid w:val="00516523"/>
    <w:rsid w:val="0051656C"/>
    <w:rsid w:val="00516685"/>
    <w:rsid w:val="0051674F"/>
    <w:rsid w:val="00516AFC"/>
    <w:rsid w:val="00516D55"/>
    <w:rsid w:val="00517396"/>
    <w:rsid w:val="0051787C"/>
    <w:rsid w:val="00517A3A"/>
    <w:rsid w:val="00517C90"/>
    <w:rsid w:val="00517D46"/>
    <w:rsid w:val="0052051D"/>
    <w:rsid w:val="005205E1"/>
    <w:rsid w:val="00520696"/>
    <w:rsid w:val="00520786"/>
    <w:rsid w:val="00520A0E"/>
    <w:rsid w:val="00520C09"/>
    <w:rsid w:val="00520E36"/>
    <w:rsid w:val="005210BD"/>
    <w:rsid w:val="00521210"/>
    <w:rsid w:val="00521762"/>
    <w:rsid w:val="0052189D"/>
    <w:rsid w:val="00521FA9"/>
    <w:rsid w:val="00521FC2"/>
    <w:rsid w:val="0052223B"/>
    <w:rsid w:val="005222C9"/>
    <w:rsid w:val="005223EA"/>
    <w:rsid w:val="005224BA"/>
    <w:rsid w:val="005227BB"/>
    <w:rsid w:val="005227EA"/>
    <w:rsid w:val="00522D7C"/>
    <w:rsid w:val="00522FA3"/>
    <w:rsid w:val="0052345A"/>
    <w:rsid w:val="00523671"/>
    <w:rsid w:val="00523715"/>
    <w:rsid w:val="00523DD6"/>
    <w:rsid w:val="0052401B"/>
    <w:rsid w:val="005241DE"/>
    <w:rsid w:val="00524393"/>
    <w:rsid w:val="0052439C"/>
    <w:rsid w:val="005244AE"/>
    <w:rsid w:val="00524504"/>
    <w:rsid w:val="00524530"/>
    <w:rsid w:val="00524AA2"/>
    <w:rsid w:val="00524BDD"/>
    <w:rsid w:val="00524CC3"/>
    <w:rsid w:val="00524EC4"/>
    <w:rsid w:val="00525653"/>
    <w:rsid w:val="0052567A"/>
    <w:rsid w:val="00525689"/>
    <w:rsid w:val="00525728"/>
    <w:rsid w:val="00525750"/>
    <w:rsid w:val="00525882"/>
    <w:rsid w:val="00525926"/>
    <w:rsid w:val="0052597E"/>
    <w:rsid w:val="00525A32"/>
    <w:rsid w:val="00525A6C"/>
    <w:rsid w:val="00525A88"/>
    <w:rsid w:val="00525AD1"/>
    <w:rsid w:val="00525FE2"/>
    <w:rsid w:val="00526080"/>
    <w:rsid w:val="00526388"/>
    <w:rsid w:val="005263EF"/>
    <w:rsid w:val="00526411"/>
    <w:rsid w:val="00526601"/>
    <w:rsid w:val="00526731"/>
    <w:rsid w:val="005268AE"/>
    <w:rsid w:val="0052697C"/>
    <w:rsid w:val="005269B5"/>
    <w:rsid w:val="00526BFB"/>
    <w:rsid w:val="00526C7F"/>
    <w:rsid w:val="00526CFC"/>
    <w:rsid w:val="00526D60"/>
    <w:rsid w:val="0052721A"/>
    <w:rsid w:val="0052732B"/>
    <w:rsid w:val="00527344"/>
    <w:rsid w:val="005273C8"/>
    <w:rsid w:val="00527407"/>
    <w:rsid w:val="00527478"/>
    <w:rsid w:val="005277CA"/>
    <w:rsid w:val="005279BC"/>
    <w:rsid w:val="00527AA3"/>
    <w:rsid w:val="00527F44"/>
    <w:rsid w:val="0053008F"/>
    <w:rsid w:val="00530148"/>
    <w:rsid w:val="00530A3E"/>
    <w:rsid w:val="00530AC9"/>
    <w:rsid w:val="00530BFA"/>
    <w:rsid w:val="00530E92"/>
    <w:rsid w:val="00530EC3"/>
    <w:rsid w:val="00530FAC"/>
    <w:rsid w:val="00531292"/>
    <w:rsid w:val="005312FD"/>
    <w:rsid w:val="00531587"/>
    <w:rsid w:val="005315DA"/>
    <w:rsid w:val="00531777"/>
    <w:rsid w:val="005318F3"/>
    <w:rsid w:val="00531AE8"/>
    <w:rsid w:val="00531C19"/>
    <w:rsid w:val="00531DA1"/>
    <w:rsid w:val="00531E31"/>
    <w:rsid w:val="0053228E"/>
    <w:rsid w:val="00532346"/>
    <w:rsid w:val="005323BC"/>
    <w:rsid w:val="005323D6"/>
    <w:rsid w:val="0053270F"/>
    <w:rsid w:val="0053289D"/>
    <w:rsid w:val="0053291A"/>
    <w:rsid w:val="005329A6"/>
    <w:rsid w:val="005330D7"/>
    <w:rsid w:val="00533477"/>
    <w:rsid w:val="0053384A"/>
    <w:rsid w:val="005339A7"/>
    <w:rsid w:val="00533B8B"/>
    <w:rsid w:val="00533E0C"/>
    <w:rsid w:val="00533E9E"/>
    <w:rsid w:val="005341CC"/>
    <w:rsid w:val="0053466C"/>
    <w:rsid w:val="00534AF3"/>
    <w:rsid w:val="00534AFF"/>
    <w:rsid w:val="00534EF5"/>
    <w:rsid w:val="005353C9"/>
    <w:rsid w:val="0053567D"/>
    <w:rsid w:val="005357FF"/>
    <w:rsid w:val="0053596C"/>
    <w:rsid w:val="00535F8C"/>
    <w:rsid w:val="00536497"/>
    <w:rsid w:val="005367C3"/>
    <w:rsid w:val="005367D2"/>
    <w:rsid w:val="00536866"/>
    <w:rsid w:val="005368E5"/>
    <w:rsid w:val="00536E96"/>
    <w:rsid w:val="00536FDB"/>
    <w:rsid w:val="00537124"/>
    <w:rsid w:val="0053716E"/>
    <w:rsid w:val="005371BF"/>
    <w:rsid w:val="00537588"/>
    <w:rsid w:val="00537617"/>
    <w:rsid w:val="00537AD3"/>
    <w:rsid w:val="00537B28"/>
    <w:rsid w:val="00537DAF"/>
    <w:rsid w:val="00537EEC"/>
    <w:rsid w:val="00537F33"/>
    <w:rsid w:val="005401D7"/>
    <w:rsid w:val="005404E5"/>
    <w:rsid w:val="005404F8"/>
    <w:rsid w:val="00540566"/>
    <w:rsid w:val="00540BA4"/>
    <w:rsid w:val="00540E57"/>
    <w:rsid w:val="00540F1D"/>
    <w:rsid w:val="0054105B"/>
    <w:rsid w:val="005411EF"/>
    <w:rsid w:val="0054124D"/>
    <w:rsid w:val="00541421"/>
    <w:rsid w:val="00541422"/>
    <w:rsid w:val="005414FB"/>
    <w:rsid w:val="0054161F"/>
    <w:rsid w:val="005418BA"/>
    <w:rsid w:val="00541B24"/>
    <w:rsid w:val="00541B7F"/>
    <w:rsid w:val="00541CF5"/>
    <w:rsid w:val="00541D87"/>
    <w:rsid w:val="00541DCB"/>
    <w:rsid w:val="0054220B"/>
    <w:rsid w:val="00542EDC"/>
    <w:rsid w:val="00542FC0"/>
    <w:rsid w:val="005433F9"/>
    <w:rsid w:val="0054386B"/>
    <w:rsid w:val="00543943"/>
    <w:rsid w:val="00543C3E"/>
    <w:rsid w:val="00543E4C"/>
    <w:rsid w:val="005440A2"/>
    <w:rsid w:val="0054415B"/>
    <w:rsid w:val="0054441D"/>
    <w:rsid w:val="00544491"/>
    <w:rsid w:val="00544741"/>
    <w:rsid w:val="00544C53"/>
    <w:rsid w:val="00544E0F"/>
    <w:rsid w:val="00544FC2"/>
    <w:rsid w:val="005453C2"/>
    <w:rsid w:val="00545584"/>
    <w:rsid w:val="00545AAD"/>
    <w:rsid w:val="00545D44"/>
    <w:rsid w:val="00545EE6"/>
    <w:rsid w:val="00546240"/>
    <w:rsid w:val="00546309"/>
    <w:rsid w:val="0054630B"/>
    <w:rsid w:val="00546569"/>
    <w:rsid w:val="00546747"/>
    <w:rsid w:val="00546C8D"/>
    <w:rsid w:val="00547018"/>
    <w:rsid w:val="00547178"/>
    <w:rsid w:val="005472C2"/>
    <w:rsid w:val="00547838"/>
    <w:rsid w:val="005478F3"/>
    <w:rsid w:val="00547A40"/>
    <w:rsid w:val="00547BEB"/>
    <w:rsid w:val="00547D4B"/>
    <w:rsid w:val="00547DBA"/>
    <w:rsid w:val="005501CA"/>
    <w:rsid w:val="005501D2"/>
    <w:rsid w:val="005503A7"/>
    <w:rsid w:val="0055054A"/>
    <w:rsid w:val="00550706"/>
    <w:rsid w:val="00550831"/>
    <w:rsid w:val="005508C0"/>
    <w:rsid w:val="00550B7F"/>
    <w:rsid w:val="00550F4F"/>
    <w:rsid w:val="00550F68"/>
    <w:rsid w:val="005513AB"/>
    <w:rsid w:val="005514EA"/>
    <w:rsid w:val="00551568"/>
    <w:rsid w:val="005517BA"/>
    <w:rsid w:val="00551E50"/>
    <w:rsid w:val="00552012"/>
    <w:rsid w:val="00552084"/>
    <w:rsid w:val="005521A1"/>
    <w:rsid w:val="005521F2"/>
    <w:rsid w:val="005524BB"/>
    <w:rsid w:val="00552B36"/>
    <w:rsid w:val="00552B3B"/>
    <w:rsid w:val="00552BEF"/>
    <w:rsid w:val="00552E5A"/>
    <w:rsid w:val="00552FB4"/>
    <w:rsid w:val="00553445"/>
    <w:rsid w:val="005535C2"/>
    <w:rsid w:val="005536C9"/>
    <w:rsid w:val="0055380F"/>
    <w:rsid w:val="005538FC"/>
    <w:rsid w:val="005539D5"/>
    <w:rsid w:val="00553A1C"/>
    <w:rsid w:val="00553A45"/>
    <w:rsid w:val="00553ACF"/>
    <w:rsid w:val="00553FFE"/>
    <w:rsid w:val="0055404C"/>
    <w:rsid w:val="00554181"/>
    <w:rsid w:val="00554351"/>
    <w:rsid w:val="005545C2"/>
    <w:rsid w:val="0055493E"/>
    <w:rsid w:val="00554A78"/>
    <w:rsid w:val="00554D68"/>
    <w:rsid w:val="00554FED"/>
    <w:rsid w:val="005550E7"/>
    <w:rsid w:val="005556A4"/>
    <w:rsid w:val="0055571E"/>
    <w:rsid w:val="005557A2"/>
    <w:rsid w:val="005557FA"/>
    <w:rsid w:val="00555D30"/>
    <w:rsid w:val="00556217"/>
    <w:rsid w:val="005564FB"/>
    <w:rsid w:val="005565F8"/>
    <w:rsid w:val="005567D5"/>
    <w:rsid w:val="005569F7"/>
    <w:rsid w:val="005569FF"/>
    <w:rsid w:val="00556A33"/>
    <w:rsid w:val="00556A6D"/>
    <w:rsid w:val="00556C25"/>
    <w:rsid w:val="00556CF0"/>
    <w:rsid w:val="0055702B"/>
    <w:rsid w:val="00557054"/>
    <w:rsid w:val="00557144"/>
    <w:rsid w:val="005572C7"/>
    <w:rsid w:val="00557426"/>
    <w:rsid w:val="0055745F"/>
    <w:rsid w:val="00557482"/>
    <w:rsid w:val="00557506"/>
    <w:rsid w:val="005575B0"/>
    <w:rsid w:val="00557703"/>
    <w:rsid w:val="0055786A"/>
    <w:rsid w:val="00557CA4"/>
    <w:rsid w:val="005600BC"/>
    <w:rsid w:val="005602F2"/>
    <w:rsid w:val="00560557"/>
    <w:rsid w:val="00560578"/>
    <w:rsid w:val="005608E6"/>
    <w:rsid w:val="00560988"/>
    <w:rsid w:val="00560E98"/>
    <w:rsid w:val="00561139"/>
    <w:rsid w:val="005613B5"/>
    <w:rsid w:val="005613CB"/>
    <w:rsid w:val="00561786"/>
    <w:rsid w:val="0056183F"/>
    <w:rsid w:val="00561B19"/>
    <w:rsid w:val="00561C18"/>
    <w:rsid w:val="00561CA2"/>
    <w:rsid w:val="00561F59"/>
    <w:rsid w:val="00562037"/>
    <w:rsid w:val="005621CA"/>
    <w:rsid w:val="0056245B"/>
    <w:rsid w:val="005627CD"/>
    <w:rsid w:val="00562999"/>
    <w:rsid w:val="00562A02"/>
    <w:rsid w:val="00562A30"/>
    <w:rsid w:val="00562A7C"/>
    <w:rsid w:val="00562B4A"/>
    <w:rsid w:val="00562D15"/>
    <w:rsid w:val="00563101"/>
    <w:rsid w:val="005633D8"/>
    <w:rsid w:val="005633F2"/>
    <w:rsid w:val="0056350D"/>
    <w:rsid w:val="0056367E"/>
    <w:rsid w:val="00563749"/>
    <w:rsid w:val="00563A93"/>
    <w:rsid w:val="00563B14"/>
    <w:rsid w:val="00563BBB"/>
    <w:rsid w:val="00563D90"/>
    <w:rsid w:val="00563F99"/>
    <w:rsid w:val="00563FA1"/>
    <w:rsid w:val="0056441C"/>
    <w:rsid w:val="005645CF"/>
    <w:rsid w:val="005645F6"/>
    <w:rsid w:val="005647E9"/>
    <w:rsid w:val="00564B3E"/>
    <w:rsid w:val="00564D8C"/>
    <w:rsid w:val="00564F15"/>
    <w:rsid w:val="00564FF1"/>
    <w:rsid w:val="005650ED"/>
    <w:rsid w:val="0056536F"/>
    <w:rsid w:val="005653B3"/>
    <w:rsid w:val="0056547D"/>
    <w:rsid w:val="00565543"/>
    <w:rsid w:val="0056586C"/>
    <w:rsid w:val="00565954"/>
    <w:rsid w:val="00565CB4"/>
    <w:rsid w:val="00565E1A"/>
    <w:rsid w:val="00565E8C"/>
    <w:rsid w:val="00566356"/>
    <w:rsid w:val="0056655B"/>
    <w:rsid w:val="005666CF"/>
    <w:rsid w:val="0056674E"/>
    <w:rsid w:val="00566800"/>
    <w:rsid w:val="00566A47"/>
    <w:rsid w:val="00566C12"/>
    <w:rsid w:val="00566CC9"/>
    <w:rsid w:val="00566CF9"/>
    <w:rsid w:val="00566D33"/>
    <w:rsid w:val="00566DEF"/>
    <w:rsid w:val="0056704A"/>
    <w:rsid w:val="0056729A"/>
    <w:rsid w:val="00567A9E"/>
    <w:rsid w:val="00567BDB"/>
    <w:rsid w:val="00567BDD"/>
    <w:rsid w:val="00567C50"/>
    <w:rsid w:val="00567CED"/>
    <w:rsid w:val="0057005B"/>
    <w:rsid w:val="0057007E"/>
    <w:rsid w:val="005700FA"/>
    <w:rsid w:val="00570292"/>
    <w:rsid w:val="005705E2"/>
    <w:rsid w:val="00570A2C"/>
    <w:rsid w:val="00570B41"/>
    <w:rsid w:val="00570E12"/>
    <w:rsid w:val="00570F47"/>
    <w:rsid w:val="0057151A"/>
    <w:rsid w:val="005715BE"/>
    <w:rsid w:val="00571732"/>
    <w:rsid w:val="0057183F"/>
    <w:rsid w:val="00571AD4"/>
    <w:rsid w:val="00571B26"/>
    <w:rsid w:val="00571E44"/>
    <w:rsid w:val="00571E68"/>
    <w:rsid w:val="00571F83"/>
    <w:rsid w:val="00572005"/>
    <w:rsid w:val="005721F6"/>
    <w:rsid w:val="005723E9"/>
    <w:rsid w:val="0057269C"/>
    <w:rsid w:val="00572700"/>
    <w:rsid w:val="00572A50"/>
    <w:rsid w:val="00572A80"/>
    <w:rsid w:val="005731D6"/>
    <w:rsid w:val="00573213"/>
    <w:rsid w:val="00573610"/>
    <w:rsid w:val="005739D1"/>
    <w:rsid w:val="00573CB4"/>
    <w:rsid w:val="00573EA6"/>
    <w:rsid w:val="00574347"/>
    <w:rsid w:val="005743CC"/>
    <w:rsid w:val="005743FC"/>
    <w:rsid w:val="00574C59"/>
    <w:rsid w:val="00574D16"/>
    <w:rsid w:val="00574DBD"/>
    <w:rsid w:val="00574DF1"/>
    <w:rsid w:val="00574E80"/>
    <w:rsid w:val="00574EA7"/>
    <w:rsid w:val="00575169"/>
    <w:rsid w:val="00575189"/>
    <w:rsid w:val="00575754"/>
    <w:rsid w:val="00575AD5"/>
    <w:rsid w:val="00575C83"/>
    <w:rsid w:val="00575FF9"/>
    <w:rsid w:val="00576048"/>
    <w:rsid w:val="00576122"/>
    <w:rsid w:val="00576217"/>
    <w:rsid w:val="00576360"/>
    <w:rsid w:val="00576434"/>
    <w:rsid w:val="005768B2"/>
    <w:rsid w:val="00576C2E"/>
    <w:rsid w:val="00576C4D"/>
    <w:rsid w:val="00576C69"/>
    <w:rsid w:val="00576DBD"/>
    <w:rsid w:val="00576DFA"/>
    <w:rsid w:val="00576E45"/>
    <w:rsid w:val="00576E76"/>
    <w:rsid w:val="0057704E"/>
    <w:rsid w:val="00577370"/>
    <w:rsid w:val="00577581"/>
    <w:rsid w:val="005777D8"/>
    <w:rsid w:val="005778A3"/>
    <w:rsid w:val="005779F2"/>
    <w:rsid w:val="0058004C"/>
    <w:rsid w:val="0058006C"/>
    <w:rsid w:val="00580332"/>
    <w:rsid w:val="00580337"/>
    <w:rsid w:val="0058040C"/>
    <w:rsid w:val="0058097B"/>
    <w:rsid w:val="005809C9"/>
    <w:rsid w:val="00580AD1"/>
    <w:rsid w:val="00580DBE"/>
    <w:rsid w:val="00580FAD"/>
    <w:rsid w:val="00581128"/>
    <w:rsid w:val="0058133A"/>
    <w:rsid w:val="005815EA"/>
    <w:rsid w:val="0058166E"/>
    <w:rsid w:val="005816C0"/>
    <w:rsid w:val="0058179E"/>
    <w:rsid w:val="00581925"/>
    <w:rsid w:val="00581D17"/>
    <w:rsid w:val="00581D4F"/>
    <w:rsid w:val="00581FE7"/>
    <w:rsid w:val="0058203D"/>
    <w:rsid w:val="005820E8"/>
    <w:rsid w:val="005825A8"/>
    <w:rsid w:val="005827DE"/>
    <w:rsid w:val="00582802"/>
    <w:rsid w:val="005828EE"/>
    <w:rsid w:val="00582A0E"/>
    <w:rsid w:val="00582AE3"/>
    <w:rsid w:val="00582B81"/>
    <w:rsid w:val="00582BC4"/>
    <w:rsid w:val="00582C90"/>
    <w:rsid w:val="00582C94"/>
    <w:rsid w:val="00582CAE"/>
    <w:rsid w:val="0058339E"/>
    <w:rsid w:val="00583494"/>
    <w:rsid w:val="00583942"/>
    <w:rsid w:val="00583F2F"/>
    <w:rsid w:val="00583FE7"/>
    <w:rsid w:val="0058410B"/>
    <w:rsid w:val="00584379"/>
    <w:rsid w:val="005843C4"/>
    <w:rsid w:val="00584540"/>
    <w:rsid w:val="0058523A"/>
    <w:rsid w:val="00585508"/>
    <w:rsid w:val="005856A2"/>
    <w:rsid w:val="00585707"/>
    <w:rsid w:val="005857EF"/>
    <w:rsid w:val="00585B00"/>
    <w:rsid w:val="00586315"/>
    <w:rsid w:val="00586366"/>
    <w:rsid w:val="00586788"/>
    <w:rsid w:val="005869E8"/>
    <w:rsid w:val="00586D98"/>
    <w:rsid w:val="00586DB4"/>
    <w:rsid w:val="00586E19"/>
    <w:rsid w:val="005872FD"/>
    <w:rsid w:val="005874A4"/>
    <w:rsid w:val="005877B5"/>
    <w:rsid w:val="00587821"/>
    <w:rsid w:val="00587ADF"/>
    <w:rsid w:val="00587EAE"/>
    <w:rsid w:val="00587F4D"/>
    <w:rsid w:val="0059003F"/>
    <w:rsid w:val="00590185"/>
    <w:rsid w:val="005901BA"/>
    <w:rsid w:val="00590338"/>
    <w:rsid w:val="005907B8"/>
    <w:rsid w:val="005910CC"/>
    <w:rsid w:val="005914FF"/>
    <w:rsid w:val="005919B6"/>
    <w:rsid w:val="00591D5A"/>
    <w:rsid w:val="00591E20"/>
    <w:rsid w:val="00591E28"/>
    <w:rsid w:val="00591E4E"/>
    <w:rsid w:val="00591F31"/>
    <w:rsid w:val="00592180"/>
    <w:rsid w:val="0059254F"/>
    <w:rsid w:val="005925CA"/>
    <w:rsid w:val="00592711"/>
    <w:rsid w:val="00592770"/>
    <w:rsid w:val="005927F1"/>
    <w:rsid w:val="00592814"/>
    <w:rsid w:val="005928EF"/>
    <w:rsid w:val="00592D11"/>
    <w:rsid w:val="0059370A"/>
    <w:rsid w:val="00593BD5"/>
    <w:rsid w:val="00593E94"/>
    <w:rsid w:val="00593F64"/>
    <w:rsid w:val="0059408D"/>
    <w:rsid w:val="005940DC"/>
    <w:rsid w:val="005947E2"/>
    <w:rsid w:val="00594A92"/>
    <w:rsid w:val="00594B38"/>
    <w:rsid w:val="00594D2D"/>
    <w:rsid w:val="00594D4B"/>
    <w:rsid w:val="00594FE6"/>
    <w:rsid w:val="00595195"/>
    <w:rsid w:val="00595248"/>
    <w:rsid w:val="00595408"/>
    <w:rsid w:val="00595427"/>
    <w:rsid w:val="005954C1"/>
    <w:rsid w:val="00595673"/>
    <w:rsid w:val="00595943"/>
    <w:rsid w:val="00595C65"/>
    <w:rsid w:val="00595D47"/>
    <w:rsid w:val="00595DBC"/>
    <w:rsid w:val="00595E84"/>
    <w:rsid w:val="00596110"/>
    <w:rsid w:val="005961AA"/>
    <w:rsid w:val="005963EC"/>
    <w:rsid w:val="00596576"/>
    <w:rsid w:val="00596943"/>
    <w:rsid w:val="005969D0"/>
    <w:rsid w:val="00596D4D"/>
    <w:rsid w:val="00596E25"/>
    <w:rsid w:val="00596ED7"/>
    <w:rsid w:val="005973A4"/>
    <w:rsid w:val="005973BB"/>
    <w:rsid w:val="00597554"/>
    <w:rsid w:val="00597564"/>
    <w:rsid w:val="005975B4"/>
    <w:rsid w:val="005977A2"/>
    <w:rsid w:val="005978E9"/>
    <w:rsid w:val="00597973"/>
    <w:rsid w:val="00597BAB"/>
    <w:rsid w:val="00597D79"/>
    <w:rsid w:val="00597E89"/>
    <w:rsid w:val="00597FA4"/>
    <w:rsid w:val="005A004D"/>
    <w:rsid w:val="005A00F0"/>
    <w:rsid w:val="005A0450"/>
    <w:rsid w:val="005A0734"/>
    <w:rsid w:val="005A08F8"/>
    <w:rsid w:val="005A09AD"/>
    <w:rsid w:val="005A0C59"/>
    <w:rsid w:val="005A0EEB"/>
    <w:rsid w:val="005A12DF"/>
    <w:rsid w:val="005A21E0"/>
    <w:rsid w:val="005A2654"/>
    <w:rsid w:val="005A286B"/>
    <w:rsid w:val="005A2BAA"/>
    <w:rsid w:val="005A2BB3"/>
    <w:rsid w:val="005A2CA9"/>
    <w:rsid w:val="005A2CF3"/>
    <w:rsid w:val="005A2DCB"/>
    <w:rsid w:val="005A2EF6"/>
    <w:rsid w:val="005A31AA"/>
    <w:rsid w:val="005A31AD"/>
    <w:rsid w:val="005A340E"/>
    <w:rsid w:val="005A357B"/>
    <w:rsid w:val="005A35CB"/>
    <w:rsid w:val="005A36FE"/>
    <w:rsid w:val="005A37BA"/>
    <w:rsid w:val="005A3812"/>
    <w:rsid w:val="005A394A"/>
    <w:rsid w:val="005A3960"/>
    <w:rsid w:val="005A3ACD"/>
    <w:rsid w:val="005A3B83"/>
    <w:rsid w:val="005A3C48"/>
    <w:rsid w:val="005A3CB5"/>
    <w:rsid w:val="005A3DB4"/>
    <w:rsid w:val="005A40D3"/>
    <w:rsid w:val="005A428C"/>
    <w:rsid w:val="005A433A"/>
    <w:rsid w:val="005A4493"/>
    <w:rsid w:val="005A458A"/>
    <w:rsid w:val="005A48EB"/>
    <w:rsid w:val="005A4928"/>
    <w:rsid w:val="005A4942"/>
    <w:rsid w:val="005A494F"/>
    <w:rsid w:val="005A498D"/>
    <w:rsid w:val="005A4B12"/>
    <w:rsid w:val="005A4C04"/>
    <w:rsid w:val="005A4DCC"/>
    <w:rsid w:val="005A4E4A"/>
    <w:rsid w:val="005A4E56"/>
    <w:rsid w:val="005A4FF6"/>
    <w:rsid w:val="005A50FB"/>
    <w:rsid w:val="005A59E0"/>
    <w:rsid w:val="005A5AC2"/>
    <w:rsid w:val="005A5B8E"/>
    <w:rsid w:val="005A5CB1"/>
    <w:rsid w:val="005A5D6A"/>
    <w:rsid w:val="005A5E48"/>
    <w:rsid w:val="005A5E71"/>
    <w:rsid w:val="005A650A"/>
    <w:rsid w:val="005A6793"/>
    <w:rsid w:val="005A6BBA"/>
    <w:rsid w:val="005A6CFB"/>
    <w:rsid w:val="005A6DC7"/>
    <w:rsid w:val="005A71D3"/>
    <w:rsid w:val="005A71D4"/>
    <w:rsid w:val="005A71F7"/>
    <w:rsid w:val="005A72C9"/>
    <w:rsid w:val="005A734A"/>
    <w:rsid w:val="005A73F8"/>
    <w:rsid w:val="005A7487"/>
    <w:rsid w:val="005A77EA"/>
    <w:rsid w:val="005A79F3"/>
    <w:rsid w:val="005A7BE7"/>
    <w:rsid w:val="005A7F90"/>
    <w:rsid w:val="005A7FAE"/>
    <w:rsid w:val="005B0321"/>
    <w:rsid w:val="005B05B4"/>
    <w:rsid w:val="005B0680"/>
    <w:rsid w:val="005B06EB"/>
    <w:rsid w:val="005B0752"/>
    <w:rsid w:val="005B0991"/>
    <w:rsid w:val="005B0B39"/>
    <w:rsid w:val="005B0BC0"/>
    <w:rsid w:val="005B0D73"/>
    <w:rsid w:val="005B0FCD"/>
    <w:rsid w:val="005B1151"/>
    <w:rsid w:val="005B1290"/>
    <w:rsid w:val="005B1332"/>
    <w:rsid w:val="005B177F"/>
    <w:rsid w:val="005B1861"/>
    <w:rsid w:val="005B19A4"/>
    <w:rsid w:val="005B1CCA"/>
    <w:rsid w:val="005B1DED"/>
    <w:rsid w:val="005B1F9E"/>
    <w:rsid w:val="005B1FBE"/>
    <w:rsid w:val="005B1FEE"/>
    <w:rsid w:val="005B215E"/>
    <w:rsid w:val="005B23D2"/>
    <w:rsid w:val="005B24DA"/>
    <w:rsid w:val="005B25C3"/>
    <w:rsid w:val="005B25EF"/>
    <w:rsid w:val="005B2986"/>
    <w:rsid w:val="005B2A81"/>
    <w:rsid w:val="005B2A96"/>
    <w:rsid w:val="005B2DA2"/>
    <w:rsid w:val="005B2F0B"/>
    <w:rsid w:val="005B2FEB"/>
    <w:rsid w:val="005B3403"/>
    <w:rsid w:val="005B37AE"/>
    <w:rsid w:val="005B39BB"/>
    <w:rsid w:val="005B39F1"/>
    <w:rsid w:val="005B3B10"/>
    <w:rsid w:val="005B3D2C"/>
    <w:rsid w:val="005B3D90"/>
    <w:rsid w:val="005B3FC2"/>
    <w:rsid w:val="005B41A3"/>
    <w:rsid w:val="005B43AE"/>
    <w:rsid w:val="005B4706"/>
    <w:rsid w:val="005B4869"/>
    <w:rsid w:val="005B4915"/>
    <w:rsid w:val="005B491B"/>
    <w:rsid w:val="005B49E9"/>
    <w:rsid w:val="005B4A3F"/>
    <w:rsid w:val="005B4E11"/>
    <w:rsid w:val="005B5235"/>
    <w:rsid w:val="005B5291"/>
    <w:rsid w:val="005B5342"/>
    <w:rsid w:val="005B57FF"/>
    <w:rsid w:val="005B5870"/>
    <w:rsid w:val="005B58B6"/>
    <w:rsid w:val="005B5ED5"/>
    <w:rsid w:val="005B5F4D"/>
    <w:rsid w:val="005B68A3"/>
    <w:rsid w:val="005B6ABC"/>
    <w:rsid w:val="005B6C82"/>
    <w:rsid w:val="005B6CAB"/>
    <w:rsid w:val="005B6CF8"/>
    <w:rsid w:val="005B6DD1"/>
    <w:rsid w:val="005B781E"/>
    <w:rsid w:val="005B785E"/>
    <w:rsid w:val="005B79FA"/>
    <w:rsid w:val="005B7AF7"/>
    <w:rsid w:val="005B7B2E"/>
    <w:rsid w:val="005B7E6B"/>
    <w:rsid w:val="005B7ED9"/>
    <w:rsid w:val="005C0054"/>
    <w:rsid w:val="005C015E"/>
    <w:rsid w:val="005C021E"/>
    <w:rsid w:val="005C02AC"/>
    <w:rsid w:val="005C035D"/>
    <w:rsid w:val="005C0576"/>
    <w:rsid w:val="005C0610"/>
    <w:rsid w:val="005C0743"/>
    <w:rsid w:val="005C0814"/>
    <w:rsid w:val="005C10A2"/>
    <w:rsid w:val="005C133A"/>
    <w:rsid w:val="005C1379"/>
    <w:rsid w:val="005C1669"/>
    <w:rsid w:val="005C1848"/>
    <w:rsid w:val="005C1B2D"/>
    <w:rsid w:val="005C1CEB"/>
    <w:rsid w:val="005C1D41"/>
    <w:rsid w:val="005C1E38"/>
    <w:rsid w:val="005C1ED1"/>
    <w:rsid w:val="005C21C5"/>
    <w:rsid w:val="005C21F7"/>
    <w:rsid w:val="005C25D1"/>
    <w:rsid w:val="005C2879"/>
    <w:rsid w:val="005C288E"/>
    <w:rsid w:val="005C2B3B"/>
    <w:rsid w:val="005C2B62"/>
    <w:rsid w:val="005C2BC4"/>
    <w:rsid w:val="005C2D02"/>
    <w:rsid w:val="005C2D64"/>
    <w:rsid w:val="005C2EFB"/>
    <w:rsid w:val="005C3066"/>
    <w:rsid w:val="005C30E6"/>
    <w:rsid w:val="005C3270"/>
    <w:rsid w:val="005C347C"/>
    <w:rsid w:val="005C3621"/>
    <w:rsid w:val="005C363D"/>
    <w:rsid w:val="005C3866"/>
    <w:rsid w:val="005C387F"/>
    <w:rsid w:val="005C39FD"/>
    <w:rsid w:val="005C3A05"/>
    <w:rsid w:val="005C3C6C"/>
    <w:rsid w:val="005C3D17"/>
    <w:rsid w:val="005C3D53"/>
    <w:rsid w:val="005C4048"/>
    <w:rsid w:val="005C40F3"/>
    <w:rsid w:val="005C41C1"/>
    <w:rsid w:val="005C47E6"/>
    <w:rsid w:val="005C488C"/>
    <w:rsid w:val="005C4B83"/>
    <w:rsid w:val="005C4D3E"/>
    <w:rsid w:val="005C4E79"/>
    <w:rsid w:val="005C5177"/>
    <w:rsid w:val="005C51AB"/>
    <w:rsid w:val="005C520A"/>
    <w:rsid w:val="005C52C3"/>
    <w:rsid w:val="005C5336"/>
    <w:rsid w:val="005C5429"/>
    <w:rsid w:val="005C562C"/>
    <w:rsid w:val="005C581B"/>
    <w:rsid w:val="005C581D"/>
    <w:rsid w:val="005C59EC"/>
    <w:rsid w:val="005C5AEB"/>
    <w:rsid w:val="005C5AFC"/>
    <w:rsid w:val="005C5F1E"/>
    <w:rsid w:val="005C5F38"/>
    <w:rsid w:val="005C5FD9"/>
    <w:rsid w:val="005C6252"/>
    <w:rsid w:val="005C674E"/>
    <w:rsid w:val="005C6764"/>
    <w:rsid w:val="005C6A24"/>
    <w:rsid w:val="005C6C40"/>
    <w:rsid w:val="005C6FA1"/>
    <w:rsid w:val="005C6FA5"/>
    <w:rsid w:val="005C7054"/>
    <w:rsid w:val="005C7204"/>
    <w:rsid w:val="005C7839"/>
    <w:rsid w:val="005C7D02"/>
    <w:rsid w:val="005C7DB5"/>
    <w:rsid w:val="005C7E92"/>
    <w:rsid w:val="005C7FC0"/>
    <w:rsid w:val="005D0070"/>
    <w:rsid w:val="005D00AA"/>
    <w:rsid w:val="005D051E"/>
    <w:rsid w:val="005D0563"/>
    <w:rsid w:val="005D06B8"/>
    <w:rsid w:val="005D0D08"/>
    <w:rsid w:val="005D0E61"/>
    <w:rsid w:val="005D0F08"/>
    <w:rsid w:val="005D0FAB"/>
    <w:rsid w:val="005D113B"/>
    <w:rsid w:val="005D1224"/>
    <w:rsid w:val="005D1427"/>
    <w:rsid w:val="005D146F"/>
    <w:rsid w:val="005D1484"/>
    <w:rsid w:val="005D1922"/>
    <w:rsid w:val="005D1CC6"/>
    <w:rsid w:val="005D1DD1"/>
    <w:rsid w:val="005D1E9F"/>
    <w:rsid w:val="005D1EF8"/>
    <w:rsid w:val="005D1FAB"/>
    <w:rsid w:val="005D2175"/>
    <w:rsid w:val="005D2670"/>
    <w:rsid w:val="005D2692"/>
    <w:rsid w:val="005D280B"/>
    <w:rsid w:val="005D289E"/>
    <w:rsid w:val="005D28CC"/>
    <w:rsid w:val="005D2C75"/>
    <w:rsid w:val="005D2E0C"/>
    <w:rsid w:val="005D32A1"/>
    <w:rsid w:val="005D35A3"/>
    <w:rsid w:val="005D3777"/>
    <w:rsid w:val="005D37D1"/>
    <w:rsid w:val="005D399F"/>
    <w:rsid w:val="005D39A0"/>
    <w:rsid w:val="005D3B1C"/>
    <w:rsid w:val="005D3D56"/>
    <w:rsid w:val="005D3F94"/>
    <w:rsid w:val="005D4403"/>
    <w:rsid w:val="005D45B4"/>
    <w:rsid w:val="005D4639"/>
    <w:rsid w:val="005D466E"/>
    <w:rsid w:val="005D4686"/>
    <w:rsid w:val="005D489F"/>
    <w:rsid w:val="005D4908"/>
    <w:rsid w:val="005D4A3F"/>
    <w:rsid w:val="005D4D65"/>
    <w:rsid w:val="005D4DA4"/>
    <w:rsid w:val="005D4E6A"/>
    <w:rsid w:val="005D4E84"/>
    <w:rsid w:val="005D4F72"/>
    <w:rsid w:val="005D4F9D"/>
    <w:rsid w:val="005D5007"/>
    <w:rsid w:val="005D5032"/>
    <w:rsid w:val="005D5042"/>
    <w:rsid w:val="005D517B"/>
    <w:rsid w:val="005D5193"/>
    <w:rsid w:val="005D51C7"/>
    <w:rsid w:val="005D5AAD"/>
    <w:rsid w:val="005D5C5C"/>
    <w:rsid w:val="005D5CDC"/>
    <w:rsid w:val="005D5DF6"/>
    <w:rsid w:val="005D6020"/>
    <w:rsid w:val="005D60F4"/>
    <w:rsid w:val="005D612A"/>
    <w:rsid w:val="005D6456"/>
    <w:rsid w:val="005D64E8"/>
    <w:rsid w:val="005D65C9"/>
    <w:rsid w:val="005D66F4"/>
    <w:rsid w:val="005D68B7"/>
    <w:rsid w:val="005D691B"/>
    <w:rsid w:val="005D69BF"/>
    <w:rsid w:val="005D69D8"/>
    <w:rsid w:val="005D6C76"/>
    <w:rsid w:val="005D6CAE"/>
    <w:rsid w:val="005D6CE2"/>
    <w:rsid w:val="005D6D75"/>
    <w:rsid w:val="005D6DFE"/>
    <w:rsid w:val="005D6EDA"/>
    <w:rsid w:val="005D6FA4"/>
    <w:rsid w:val="005D7367"/>
    <w:rsid w:val="005D7762"/>
    <w:rsid w:val="005D77B1"/>
    <w:rsid w:val="005D7904"/>
    <w:rsid w:val="005D7986"/>
    <w:rsid w:val="005D7B64"/>
    <w:rsid w:val="005D7C62"/>
    <w:rsid w:val="005D7EB0"/>
    <w:rsid w:val="005E01B7"/>
    <w:rsid w:val="005E02E2"/>
    <w:rsid w:val="005E047B"/>
    <w:rsid w:val="005E07B9"/>
    <w:rsid w:val="005E0A3F"/>
    <w:rsid w:val="005E0AE6"/>
    <w:rsid w:val="005E0BF7"/>
    <w:rsid w:val="005E0C83"/>
    <w:rsid w:val="005E0D79"/>
    <w:rsid w:val="005E0EC3"/>
    <w:rsid w:val="005E1597"/>
    <w:rsid w:val="005E15A3"/>
    <w:rsid w:val="005E15E0"/>
    <w:rsid w:val="005E17FD"/>
    <w:rsid w:val="005E1A49"/>
    <w:rsid w:val="005E1A5B"/>
    <w:rsid w:val="005E1BD4"/>
    <w:rsid w:val="005E1CFF"/>
    <w:rsid w:val="005E1DBE"/>
    <w:rsid w:val="005E2406"/>
    <w:rsid w:val="005E2505"/>
    <w:rsid w:val="005E2560"/>
    <w:rsid w:val="005E27B0"/>
    <w:rsid w:val="005E2953"/>
    <w:rsid w:val="005E29B5"/>
    <w:rsid w:val="005E2CDD"/>
    <w:rsid w:val="005E2D58"/>
    <w:rsid w:val="005E2DE7"/>
    <w:rsid w:val="005E2E15"/>
    <w:rsid w:val="005E2E1B"/>
    <w:rsid w:val="005E2E7A"/>
    <w:rsid w:val="005E34D0"/>
    <w:rsid w:val="005E34EC"/>
    <w:rsid w:val="005E3556"/>
    <w:rsid w:val="005E35A4"/>
    <w:rsid w:val="005E36A6"/>
    <w:rsid w:val="005E37A4"/>
    <w:rsid w:val="005E3971"/>
    <w:rsid w:val="005E3A0E"/>
    <w:rsid w:val="005E3E6E"/>
    <w:rsid w:val="005E3F23"/>
    <w:rsid w:val="005E4219"/>
    <w:rsid w:val="005E43B4"/>
    <w:rsid w:val="005E4487"/>
    <w:rsid w:val="005E456C"/>
    <w:rsid w:val="005E45EE"/>
    <w:rsid w:val="005E4853"/>
    <w:rsid w:val="005E4868"/>
    <w:rsid w:val="005E4A2B"/>
    <w:rsid w:val="005E4A8B"/>
    <w:rsid w:val="005E4CC8"/>
    <w:rsid w:val="005E4CDF"/>
    <w:rsid w:val="005E4EF5"/>
    <w:rsid w:val="005E5154"/>
    <w:rsid w:val="005E5633"/>
    <w:rsid w:val="005E5886"/>
    <w:rsid w:val="005E58D4"/>
    <w:rsid w:val="005E5DA3"/>
    <w:rsid w:val="005E5E8D"/>
    <w:rsid w:val="005E5F2A"/>
    <w:rsid w:val="005E6223"/>
    <w:rsid w:val="005E6883"/>
    <w:rsid w:val="005E6C3D"/>
    <w:rsid w:val="005E6E2E"/>
    <w:rsid w:val="005E6E52"/>
    <w:rsid w:val="005E6F99"/>
    <w:rsid w:val="005E6FB1"/>
    <w:rsid w:val="005E70CB"/>
    <w:rsid w:val="005E70D4"/>
    <w:rsid w:val="005E733E"/>
    <w:rsid w:val="005E73A0"/>
    <w:rsid w:val="005E73DD"/>
    <w:rsid w:val="005E7525"/>
    <w:rsid w:val="005E772F"/>
    <w:rsid w:val="005E7865"/>
    <w:rsid w:val="005E78B8"/>
    <w:rsid w:val="005E7D0C"/>
    <w:rsid w:val="005E7D49"/>
    <w:rsid w:val="005F00F6"/>
    <w:rsid w:val="005F01ED"/>
    <w:rsid w:val="005F03FB"/>
    <w:rsid w:val="005F0555"/>
    <w:rsid w:val="005F0574"/>
    <w:rsid w:val="005F0673"/>
    <w:rsid w:val="005F0729"/>
    <w:rsid w:val="005F08D2"/>
    <w:rsid w:val="005F0948"/>
    <w:rsid w:val="005F0B6F"/>
    <w:rsid w:val="005F129A"/>
    <w:rsid w:val="005F12E4"/>
    <w:rsid w:val="005F1487"/>
    <w:rsid w:val="005F1F8B"/>
    <w:rsid w:val="005F2465"/>
    <w:rsid w:val="005F2589"/>
    <w:rsid w:val="005F26F4"/>
    <w:rsid w:val="005F293A"/>
    <w:rsid w:val="005F2A54"/>
    <w:rsid w:val="005F2AFC"/>
    <w:rsid w:val="005F2C57"/>
    <w:rsid w:val="005F2F02"/>
    <w:rsid w:val="005F35FF"/>
    <w:rsid w:val="005F364C"/>
    <w:rsid w:val="005F3779"/>
    <w:rsid w:val="005F3875"/>
    <w:rsid w:val="005F39BF"/>
    <w:rsid w:val="005F3A63"/>
    <w:rsid w:val="005F3CE0"/>
    <w:rsid w:val="005F3E1A"/>
    <w:rsid w:val="005F41FA"/>
    <w:rsid w:val="005F43C2"/>
    <w:rsid w:val="005F4979"/>
    <w:rsid w:val="005F49BD"/>
    <w:rsid w:val="005F4AA5"/>
    <w:rsid w:val="005F4B1E"/>
    <w:rsid w:val="005F4D32"/>
    <w:rsid w:val="005F4D66"/>
    <w:rsid w:val="005F4D9A"/>
    <w:rsid w:val="005F4E64"/>
    <w:rsid w:val="005F4ECA"/>
    <w:rsid w:val="005F5151"/>
    <w:rsid w:val="005F55EC"/>
    <w:rsid w:val="005F5635"/>
    <w:rsid w:val="005F57B1"/>
    <w:rsid w:val="005F594D"/>
    <w:rsid w:val="005F59DA"/>
    <w:rsid w:val="005F59EB"/>
    <w:rsid w:val="005F5A15"/>
    <w:rsid w:val="005F5BF9"/>
    <w:rsid w:val="005F5F41"/>
    <w:rsid w:val="005F62B9"/>
    <w:rsid w:val="005F62ED"/>
    <w:rsid w:val="005F63F1"/>
    <w:rsid w:val="005F6875"/>
    <w:rsid w:val="005F6A8E"/>
    <w:rsid w:val="005F6AC5"/>
    <w:rsid w:val="005F6B9D"/>
    <w:rsid w:val="005F6C79"/>
    <w:rsid w:val="005F6DFD"/>
    <w:rsid w:val="005F6FE9"/>
    <w:rsid w:val="005F703D"/>
    <w:rsid w:val="005F718A"/>
    <w:rsid w:val="005F728D"/>
    <w:rsid w:val="005F7438"/>
    <w:rsid w:val="005F774E"/>
    <w:rsid w:val="005F7C0A"/>
    <w:rsid w:val="005F7ECA"/>
    <w:rsid w:val="005F7F3E"/>
    <w:rsid w:val="005F7F46"/>
    <w:rsid w:val="006002A0"/>
    <w:rsid w:val="0060038B"/>
    <w:rsid w:val="006007E3"/>
    <w:rsid w:val="00600923"/>
    <w:rsid w:val="00600C27"/>
    <w:rsid w:val="00600C5C"/>
    <w:rsid w:val="00600E72"/>
    <w:rsid w:val="00600FAF"/>
    <w:rsid w:val="00601036"/>
    <w:rsid w:val="00601118"/>
    <w:rsid w:val="0060149A"/>
    <w:rsid w:val="00601A2B"/>
    <w:rsid w:val="00601B1C"/>
    <w:rsid w:val="00601C02"/>
    <w:rsid w:val="00601D4E"/>
    <w:rsid w:val="00601DD8"/>
    <w:rsid w:val="00601F13"/>
    <w:rsid w:val="00601F86"/>
    <w:rsid w:val="006022B2"/>
    <w:rsid w:val="00602580"/>
    <w:rsid w:val="00602900"/>
    <w:rsid w:val="00602A75"/>
    <w:rsid w:val="00602B26"/>
    <w:rsid w:val="00602E2F"/>
    <w:rsid w:val="0060300E"/>
    <w:rsid w:val="00603343"/>
    <w:rsid w:val="006037FB"/>
    <w:rsid w:val="00603867"/>
    <w:rsid w:val="00603A5C"/>
    <w:rsid w:val="00603C38"/>
    <w:rsid w:val="00603C94"/>
    <w:rsid w:val="00603CDF"/>
    <w:rsid w:val="00603D56"/>
    <w:rsid w:val="00603FED"/>
    <w:rsid w:val="0060414E"/>
    <w:rsid w:val="006041BE"/>
    <w:rsid w:val="006043C7"/>
    <w:rsid w:val="0060442C"/>
    <w:rsid w:val="00604575"/>
    <w:rsid w:val="00604A36"/>
    <w:rsid w:val="00604E9A"/>
    <w:rsid w:val="00605080"/>
    <w:rsid w:val="006051B1"/>
    <w:rsid w:val="00605387"/>
    <w:rsid w:val="00605434"/>
    <w:rsid w:val="006054F6"/>
    <w:rsid w:val="00605525"/>
    <w:rsid w:val="00605772"/>
    <w:rsid w:val="006058B1"/>
    <w:rsid w:val="00605A58"/>
    <w:rsid w:val="00605A90"/>
    <w:rsid w:val="00605B75"/>
    <w:rsid w:val="00605B7B"/>
    <w:rsid w:val="00605CB7"/>
    <w:rsid w:val="00605ED1"/>
    <w:rsid w:val="00606038"/>
    <w:rsid w:val="0060603A"/>
    <w:rsid w:val="00606691"/>
    <w:rsid w:val="00606716"/>
    <w:rsid w:val="0060677E"/>
    <w:rsid w:val="006067B9"/>
    <w:rsid w:val="006067FB"/>
    <w:rsid w:val="00606AC9"/>
    <w:rsid w:val="00606B38"/>
    <w:rsid w:val="00606C2C"/>
    <w:rsid w:val="00606C7B"/>
    <w:rsid w:val="00606CA5"/>
    <w:rsid w:val="00606CAC"/>
    <w:rsid w:val="00606FDE"/>
    <w:rsid w:val="006071FC"/>
    <w:rsid w:val="006072E8"/>
    <w:rsid w:val="00607382"/>
    <w:rsid w:val="006074AD"/>
    <w:rsid w:val="006074FB"/>
    <w:rsid w:val="00607837"/>
    <w:rsid w:val="00607A03"/>
    <w:rsid w:val="00607F6A"/>
    <w:rsid w:val="0061018F"/>
    <w:rsid w:val="00610273"/>
    <w:rsid w:val="0061066C"/>
    <w:rsid w:val="00610713"/>
    <w:rsid w:val="0061078C"/>
    <w:rsid w:val="0061084A"/>
    <w:rsid w:val="0061087D"/>
    <w:rsid w:val="00610A89"/>
    <w:rsid w:val="00610C3B"/>
    <w:rsid w:val="00610C9B"/>
    <w:rsid w:val="00610CCC"/>
    <w:rsid w:val="00610E64"/>
    <w:rsid w:val="00610EFA"/>
    <w:rsid w:val="0061120D"/>
    <w:rsid w:val="0061120E"/>
    <w:rsid w:val="00611231"/>
    <w:rsid w:val="0061126C"/>
    <w:rsid w:val="006112CC"/>
    <w:rsid w:val="00611411"/>
    <w:rsid w:val="00611779"/>
    <w:rsid w:val="00611CA7"/>
    <w:rsid w:val="00611D21"/>
    <w:rsid w:val="00611DB2"/>
    <w:rsid w:val="00612020"/>
    <w:rsid w:val="00612564"/>
    <w:rsid w:val="00612605"/>
    <w:rsid w:val="00612631"/>
    <w:rsid w:val="0061269E"/>
    <w:rsid w:val="006126D5"/>
    <w:rsid w:val="006129C9"/>
    <w:rsid w:val="00612AEA"/>
    <w:rsid w:val="00612CCC"/>
    <w:rsid w:val="00612EB6"/>
    <w:rsid w:val="0061358A"/>
    <w:rsid w:val="0061394D"/>
    <w:rsid w:val="006139E4"/>
    <w:rsid w:val="00613D53"/>
    <w:rsid w:val="006140CC"/>
    <w:rsid w:val="0061422A"/>
    <w:rsid w:val="00614252"/>
    <w:rsid w:val="006142C8"/>
    <w:rsid w:val="00614382"/>
    <w:rsid w:val="00614415"/>
    <w:rsid w:val="006146F4"/>
    <w:rsid w:val="006147AB"/>
    <w:rsid w:val="00614944"/>
    <w:rsid w:val="0061497C"/>
    <w:rsid w:val="00614CB2"/>
    <w:rsid w:val="00614E11"/>
    <w:rsid w:val="00614EEC"/>
    <w:rsid w:val="00614F6C"/>
    <w:rsid w:val="00615207"/>
    <w:rsid w:val="006152EF"/>
    <w:rsid w:val="0061537F"/>
    <w:rsid w:val="006154A5"/>
    <w:rsid w:val="006154E4"/>
    <w:rsid w:val="00615CC9"/>
    <w:rsid w:val="00615E60"/>
    <w:rsid w:val="00615E82"/>
    <w:rsid w:val="0061601A"/>
    <w:rsid w:val="0061602E"/>
    <w:rsid w:val="0061603F"/>
    <w:rsid w:val="00616091"/>
    <w:rsid w:val="0061611F"/>
    <w:rsid w:val="006161FC"/>
    <w:rsid w:val="00616273"/>
    <w:rsid w:val="0061659C"/>
    <w:rsid w:val="006168ED"/>
    <w:rsid w:val="00616916"/>
    <w:rsid w:val="00616B41"/>
    <w:rsid w:val="00617063"/>
    <w:rsid w:val="00617115"/>
    <w:rsid w:val="0061711B"/>
    <w:rsid w:val="0061732E"/>
    <w:rsid w:val="00617542"/>
    <w:rsid w:val="006177C6"/>
    <w:rsid w:val="00617A01"/>
    <w:rsid w:val="00617A79"/>
    <w:rsid w:val="0062029A"/>
    <w:rsid w:val="0062054C"/>
    <w:rsid w:val="00620657"/>
    <w:rsid w:val="00620B7F"/>
    <w:rsid w:val="00620C7C"/>
    <w:rsid w:val="00620D15"/>
    <w:rsid w:val="006210FB"/>
    <w:rsid w:val="00621139"/>
    <w:rsid w:val="006212CD"/>
    <w:rsid w:val="0062130A"/>
    <w:rsid w:val="006217EE"/>
    <w:rsid w:val="00621B38"/>
    <w:rsid w:val="00621CD9"/>
    <w:rsid w:val="0062215F"/>
    <w:rsid w:val="006224F1"/>
    <w:rsid w:val="00622539"/>
    <w:rsid w:val="00622674"/>
    <w:rsid w:val="006228F0"/>
    <w:rsid w:val="006230CA"/>
    <w:rsid w:val="00623142"/>
    <w:rsid w:val="00623552"/>
    <w:rsid w:val="006235F0"/>
    <w:rsid w:val="006237A3"/>
    <w:rsid w:val="00623825"/>
    <w:rsid w:val="0062431C"/>
    <w:rsid w:val="00624337"/>
    <w:rsid w:val="006244A8"/>
    <w:rsid w:val="006246D4"/>
    <w:rsid w:val="006249DC"/>
    <w:rsid w:val="00624A19"/>
    <w:rsid w:val="00624B52"/>
    <w:rsid w:val="00624D5C"/>
    <w:rsid w:val="00624D90"/>
    <w:rsid w:val="00625267"/>
    <w:rsid w:val="006252DA"/>
    <w:rsid w:val="00625594"/>
    <w:rsid w:val="006255D3"/>
    <w:rsid w:val="00625725"/>
    <w:rsid w:val="0062583F"/>
    <w:rsid w:val="0062584B"/>
    <w:rsid w:val="00625882"/>
    <w:rsid w:val="00625DC6"/>
    <w:rsid w:val="00626287"/>
    <w:rsid w:val="0062665D"/>
    <w:rsid w:val="0062684C"/>
    <w:rsid w:val="00626B9C"/>
    <w:rsid w:val="00626FB4"/>
    <w:rsid w:val="0062709E"/>
    <w:rsid w:val="00627259"/>
    <w:rsid w:val="00627268"/>
    <w:rsid w:val="00627385"/>
    <w:rsid w:val="00627395"/>
    <w:rsid w:val="0062771B"/>
    <w:rsid w:val="0062781A"/>
    <w:rsid w:val="00627AF6"/>
    <w:rsid w:val="00627B29"/>
    <w:rsid w:val="00630187"/>
    <w:rsid w:val="006301C7"/>
    <w:rsid w:val="00630271"/>
    <w:rsid w:val="0063036C"/>
    <w:rsid w:val="0063073F"/>
    <w:rsid w:val="006308AF"/>
    <w:rsid w:val="006308C9"/>
    <w:rsid w:val="006308D2"/>
    <w:rsid w:val="00630AB3"/>
    <w:rsid w:val="00631654"/>
    <w:rsid w:val="00631A5F"/>
    <w:rsid w:val="00631BF1"/>
    <w:rsid w:val="00631D5C"/>
    <w:rsid w:val="00631DF4"/>
    <w:rsid w:val="00631E76"/>
    <w:rsid w:val="00631F7C"/>
    <w:rsid w:val="00631FE6"/>
    <w:rsid w:val="006321B0"/>
    <w:rsid w:val="0063225E"/>
    <w:rsid w:val="006322CE"/>
    <w:rsid w:val="00632549"/>
    <w:rsid w:val="00632644"/>
    <w:rsid w:val="00632839"/>
    <w:rsid w:val="006328CE"/>
    <w:rsid w:val="00632A96"/>
    <w:rsid w:val="00632BD6"/>
    <w:rsid w:val="00632BE8"/>
    <w:rsid w:val="00632C03"/>
    <w:rsid w:val="00632EBC"/>
    <w:rsid w:val="00633632"/>
    <w:rsid w:val="00633887"/>
    <w:rsid w:val="00633E32"/>
    <w:rsid w:val="00634175"/>
    <w:rsid w:val="00634324"/>
    <w:rsid w:val="006344B9"/>
    <w:rsid w:val="006344E3"/>
    <w:rsid w:val="006345BB"/>
    <w:rsid w:val="00634A15"/>
    <w:rsid w:val="00634A5F"/>
    <w:rsid w:val="00634C09"/>
    <w:rsid w:val="00634CDF"/>
    <w:rsid w:val="00634CE3"/>
    <w:rsid w:val="006350C5"/>
    <w:rsid w:val="006353F3"/>
    <w:rsid w:val="00635575"/>
    <w:rsid w:val="00635794"/>
    <w:rsid w:val="0063595B"/>
    <w:rsid w:val="00635A00"/>
    <w:rsid w:val="00635B51"/>
    <w:rsid w:val="00635CC0"/>
    <w:rsid w:val="00636015"/>
    <w:rsid w:val="00636483"/>
    <w:rsid w:val="0063660E"/>
    <w:rsid w:val="006366F8"/>
    <w:rsid w:val="00636719"/>
    <w:rsid w:val="0063685D"/>
    <w:rsid w:val="00636A0A"/>
    <w:rsid w:val="00636C6B"/>
    <w:rsid w:val="00636C96"/>
    <w:rsid w:val="00636DA9"/>
    <w:rsid w:val="00636E64"/>
    <w:rsid w:val="00636F26"/>
    <w:rsid w:val="006370AF"/>
    <w:rsid w:val="006371E3"/>
    <w:rsid w:val="00637363"/>
    <w:rsid w:val="00637613"/>
    <w:rsid w:val="00637A63"/>
    <w:rsid w:val="00637AFB"/>
    <w:rsid w:val="00637BC7"/>
    <w:rsid w:val="00637D20"/>
    <w:rsid w:val="00637F0E"/>
    <w:rsid w:val="00640232"/>
    <w:rsid w:val="00640237"/>
    <w:rsid w:val="0064043E"/>
    <w:rsid w:val="0064058D"/>
    <w:rsid w:val="006408AC"/>
    <w:rsid w:val="00640A1B"/>
    <w:rsid w:val="00640CC5"/>
    <w:rsid w:val="00640CE0"/>
    <w:rsid w:val="00640E2B"/>
    <w:rsid w:val="00641142"/>
    <w:rsid w:val="00641290"/>
    <w:rsid w:val="006413FA"/>
    <w:rsid w:val="006414AC"/>
    <w:rsid w:val="006414BD"/>
    <w:rsid w:val="00641547"/>
    <w:rsid w:val="006415FA"/>
    <w:rsid w:val="00641766"/>
    <w:rsid w:val="00641974"/>
    <w:rsid w:val="00641C75"/>
    <w:rsid w:val="00641ED0"/>
    <w:rsid w:val="00641F9F"/>
    <w:rsid w:val="006420CE"/>
    <w:rsid w:val="00642186"/>
    <w:rsid w:val="00642280"/>
    <w:rsid w:val="00642529"/>
    <w:rsid w:val="006428BD"/>
    <w:rsid w:val="006429A6"/>
    <w:rsid w:val="006429C6"/>
    <w:rsid w:val="006429D0"/>
    <w:rsid w:val="00642A97"/>
    <w:rsid w:val="00642E99"/>
    <w:rsid w:val="00643137"/>
    <w:rsid w:val="006432BA"/>
    <w:rsid w:val="006432F6"/>
    <w:rsid w:val="00643451"/>
    <w:rsid w:val="00643558"/>
    <w:rsid w:val="006438E4"/>
    <w:rsid w:val="00643BF6"/>
    <w:rsid w:val="00643EB8"/>
    <w:rsid w:val="0064409B"/>
    <w:rsid w:val="006444D7"/>
    <w:rsid w:val="0064456A"/>
    <w:rsid w:val="006445DD"/>
    <w:rsid w:val="006445F8"/>
    <w:rsid w:val="006446DA"/>
    <w:rsid w:val="006448D2"/>
    <w:rsid w:val="00644AF1"/>
    <w:rsid w:val="00644C64"/>
    <w:rsid w:val="00644CC9"/>
    <w:rsid w:val="00644FBF"/>
    <w:rsid w:val="0064548D"/>
    <w:rsid w:val="006456A9"/>
    <w:rsid w:val="006456B7"/>
    <w:rsid w:val="006457A8"/>
    <w:rsid w:val="0064589D"/>
    <w:rsid w:val="006459EA"/>
    <w:rsid w:val="006459F1"/>
    <w:rsid w:val="00645B36"/>
    <w:rsid w:val="00645BA7"/>
    <w:rsid w:val="00645CB2"/>
    <w:rsid w:val="00645FD0"/>
    <w:rsid w:val="0064605A"/>
    <w:rsid w:val="006460E3"/>
    <w:rsid w:val="00646140"/>
    <w:rsid w:val="0064646E"/>
    <w:rsid w:val="00646695"/>
    <w:rsid w:val="0064680F"/>
    <w:rsid w:val="00647034"/>
    <w:rsid w:val="00647342"/>
    <w:rsid w:val="00647410"/>
    <w:rsid w:val="00647554"/>
    <w:rsid w:val="006475EB"/>
    <w:rsid w:val="006475F7"/>
    <w:rsid w:val="00647762"/>
    <w:rsid w:val="00647A58"/>
    <w:rsid w:val="00647C6B"/>
    <w:rsid w:val="00647DF5"/>
    <w:rsid w:val="00647E76"/>
    <w:rsid w:val="00650125"/>
    <w:rsid w:val="006501F4"/>
    <w:rsid w:val="0065057F"/>
    <w:rsid w:val="006506D5"/>
    <w:rsid w:val="006508F9"/>
    <w:rsid w:val="00650BDE"/>
    <w:rsid w:val="00650C0C"/>
    <w:rsid w:val="00650D90"/>
    <w:rsid w:val="00650FAE"/>
    <w:rsid w:val="006511B6"/>
    <w:rsid w:val="00651208"/>
    <w:rsid w:val="006512DD"/>
    <w:rsid w:val="00651BA2"/>
    <w:rsid w:val="00651D47"/>
    <w:rsid w:val="00651FDC"/>
    <w:rsid w:val="0065240D"/>
    <w:rsid w:val="00652476"/>
    <w:rsid w:val="00652534"/>
    <w:rsid w:val="0065265E"/>
    <w:rsid w:val="00652742"/>
    <w:rsid w:val="00652B9C"/>
    <w:rsid w:val="00652BF2"/>
    <w:rsid w:val="00652C8A"/>
    <w:rsid w:val="00652EBA"/>
    <w:rsid w:val="00652F24"/>
    <w:rsid w:val="00653545"/>
    <w:rsid w:val="00653547"/>
    <w:rsid w:val="00653729"/>
    <w:rsid w:val="00653750"/>
    <w:rsid w:val="00653906"/>
    <w:rsid w:val="00653BCC"/>
    <w:rsid w:val="00653E15"/>
    <w:rsid w:val="00653EEA"/>
    <w:rsid w:val="00654035"/>
    <w:rsid w:val="00654047"/>
    <w:rsid w:val="00654870"/>
    <w:rsid w:val="00654897"/>
    <w:rsid w:val="00654A18"/>
    <w:rsid w:val="00654C52"/>
    <w:rsid w:val="00654C5F"/>
    <w:rsid w:val="00654CEA"/>
    <w:rsid w:val="00654D3D"/>
    <w:rsid w:val="00654F2B"/>
    <w:rsid w:val="00655013"/>
    <w:rsid w:val="00655354"/>
    <w:rsid w:val="00655417"/>
    <w:rsid w:val="006558DA"/>
    <w:rsid w:val="00655AAA"/>
    <w:rsid w:val="00656083"/>
    <w:rsid w:val="006570EE"/>
    <w:rsid w:val="006570EF"/>
    <w:rsid w:val="00657137"/>
    <w:rsid w:val="006573D9"/>
    <w:rsid w:val="0065756F"/>
    <w:rsid w:val="006576C9"/>
    <w:rsid w:val="0065771F"/>
    <w:rsid w:val="00657B96"/>
    <w:rsid w:val="00657E07"/>
    <w:rsid w:val="00657E2C"/>
    <w:rsid w:val="00657F1C"/>
    <w:rsid w:val="00657FF8"/>
    <w:rsid w:val="00660034"/>
    <w:rsid w:val="006600BD"/>
    <w:rsid w:val="0066046C"/>
    <w:rsid w:val="0066048C"/>
    <w:rsid w:val="0066052C"/>
    <w:rsid w:val="00660923"/>
    <w:rsid w:val="00660BE6"/>
    <w:rsid w:val="00660D27"/>
    <w:rsid w:val="00660D7A"/>
    <w:rsid w:val="00660F68"/>
    <w:rsid w:val="00661296"/>
    <w:rsid w:val="006615AE"/>
    <w:rsid w:val="00661705"/>
    <w:rsid w:val="006617A4"/>
    <w:rsid w:val="0066191D"/>
    <w:rsid w:val="00661B09"/>
    <w:rsid w:val="00661D27"/>
    <w:rsid w:val="00661DD1"/>
    <w:rsid w:val="00662059"/>
    <w:rsid w:val="006620C1"/>
    <w:rsid w:val="00662205"/>
    <w:rsid w:val="00662366"/>
    <w:rsid w:val="0066254D"/>
    <w:rsid w:val="006626C8"/>
    <w:rsid w:val="006627BB"/>
    <w:rsid w:val="00662829"/>
    <w:rsid w:val="00662A99"/>
    <w:rsid w:val="00662C8F"/>
    <w:rsid w:val="00662DA6"/>
    <w:rsid w:val="00662DB9"/>
    <w:rsid w:val="00662EA9"/>
    <w:rsid w:val="0066320F"/>
    <w:rsid w:val="006635CF"/>
    <w:rsid w:val="006635EC"/>
    <w:rsid w:val="006638C6"/>
    <w:rsid w:val="00663AE1"/>
    <w:rsid w:val="00663C25"/>
    <w:rsid w:val="00663DCA"/>
    <w:rsid w:val="006641FE"/>
    <w:rsid w:val="00664702"/>
    <w:rsid w:val="0066480F"/>
    <w:rsid w:val="006648FA"/>
    <w:rsid w:val="00664B78"/>
    <w:rsid w:val="00664F4A"/>
    <w:rsid w:val="00664FE7"/>
    <w:rsid w:val="0066502A"/>
    <w:rsid w:val="0066523C"/>
    <w:rsid w:val="00665252"/>
    <w:rsid w:val="00665386"/>
    <w:rsid w:val="00665487"/>
    <w:rsid w:val="006657CA"/>
    <w:rsid w:val="00665909"/>
    <w:rsid w:val="00665A7F"/>
    <w:rsid w:val="00665B68"/>
    <w:rsid w:val="00665D22"/>
    <w:rsid w:val="00666654"/>
    <w:rsid w:val="006669A1"/>
    <w:rsid w:val="00666AE2"/>
    <w:rsid w:val="00666D64"/>
    <w:rsid w:val="00666F3C"/>
    <w:rsid w:val="0066711A"/>
    <w:rsid w:val="006671F1"/>
    <w:rsid w:val="00667360"/>
    <w:rsid w:val="006673B6"/>
    <w:rsid w:val="0066756A"/>
    <w:rsid w:val="00667633"/>
    <w:rsid w:val="006679D2"/>
    <w:rsid w:val="00667A53"/>
    <w:rsid w:val="00667AEC"/>
    <w:rsid w:val="00667B16"/>
    <w:rsid w:val="00667D8D"/>
    <w:rsid w:val="00667E8E"/>
    <w:rsid w:val="0067061C"/>
    <w:rsid w:val="0067082D"/>
    <w:rsid w:val="006709D3"/>
    <w:rsid w:val="00670A52"/>
    <w:rsid w:val="00670D99"/>
    <w:rsid w:val="00670E2B"/>
    <w:rsid w:val="006714C0"/>
    <w:rsid w:val="006715F7"/>
    <w:rsid w:val="006716AF"/>
    <w:rsid w:val="00671881"/>
    <w:rsid w:val="00671AF7"/>
    <w:rsid w:val="00672148"/>
    <w:rsid w:val="00672582"/>
    <w:rsid w:val="00672743"/>
    <w:rsid w:val="006727D7"/>
    <w:rsid w:val="00672C0A"/>
    <w:rsid w:val="00672F7F"/>
    <w:rsid w:val="006730A9"/>
    <w:rsid w:val="0067313A"/>
    <w:rsid w:val="006734A4"/>
    <w:rsid w:val="006734BB"/>
    <w:rsid w:val="00673529"/>
    <w:rsid w:val="006735B1"/>
    <w:rsid w:val="006735F7"/>
    <w:rsid w:val="0067382B"/>
    <w:rsid w:val="00673E05"/>
    <w:rsid w:val="006744F6"/>
    <w:rsid w:val="00674655"/>
    <w:rsid w:val="006747B5"/>
    <w:rsid w:val="006747E8"/>
    <w:rsid w:val="00674A97"/>
    <w:rsid w:val="00674CCE"/>
    <w:rsid w:val="00674D24"/>
    <w:rsid w:val="00674F02"/>
    <w:rsid w:val="00674F32"/>
    <w:rsid w:val="0067512A"/>
    <w:rsid w:val="0067537F"/>
    <w:rsid w:val="00675527"/>
    <w:rsid w:val="00675540"/>
    <w:rsid w:val="0067581B"/>
    <w:rsid w:val="00675ACA"/>
    <w:rsid w:val="00675B3A"/>
    <w:rsid w:val="00675D39"/>
    <w:rsid w:val="00675E0D"/>
    <w:rsid w:val="00676134"/>
    <w:rsid w:val="006762BA"/>
    <w:rsid w:val="0067651F"/>
    <w:rsid w:val="006767F9"/>
    <w:rsid w:val="00676A74"/>
    <w:rsid w:val="00676C63"/>
    <w:rsid w:val="00676D53"/>
    <w:rsid w:val="00676E43"/>
    <w:rsid w:val="00677135"/>
    <w:rsid w:val="00677372"/>
    <w:rsid w:val="006773C9"/>
    <w:rsid w:val="00677A0E"/>
    <w:rsid w:val="00677B18"/>
    <w:rsid w:val="00677C7B"/>
    <w:rsid w:val="00677CBF"/>
    <w:rsid w:val="00677F77"/>
    <w:rsid w:val="00677FD7"/>
    <w:rsid w:val="006802B2"/>
    <w:rsid w:val="00680B0E"/>
    <w:rsid w:val="00680E3B"/>
    <w:rsid w:val="00680ED6"/>
    <w:rsid w:val="00681130"/>
    <w:rsid w:val="0068121B"/>
    <w:rsid w:val="00681380"/>
    <w:rsid w:val="00681559"/>
    <w:rsid w:val="0068160D"/>
    <w:rsid w:val="006816DA"/>
    <w:rsid w:val="0068172A"/>
    <w:rsid w:val="00681764"/>
    <w:rsid w:val="006818DA"/>
    <w:rsid w:val="00681A34"/>
    <w:rsid w:val="00681BC2"/>
    <w:rsid w:val="00681DE0"/>
    <w:rsid w:val="00681F58"/>
    <w:rsid w:val="006820A0"/>
    <w:rsid w:val="00682173"/>
    <w:rsid w:val="006821EB"/>
    <w:rsid w:val="00682521"/>
    <w:rsid w:val="00682813"/>
    <w:rsid w:val="0068284E"/>
    <w:rsid w:val="00682902"/>
    <w:rsid w:val="00682C03"/>
    <w:rsid w:val="00682FDC"/>
    <w:rsid w:val="006830A0"/>
    <w:rsid w:val="00683354"/>
    <w:rsid w:val="00683709"/>
    <w:rsid w:val="0068386E"/>
    <w:rsid w:val="006838D1"/>
    <w:rsid w:val="00683947"/>
    <w:rsid w:val="00683964"/>
    <w:rsid w:val="00683AC9"/>
    <w:rsid w:val="00683B0A"/>
    <w:rsid w:val="00683BCF"/>
    <w:rsid w:val="00683E0E"/>
    <w:rsid w:val="00683FF3"/>
    <w:rsid w:val="006841AD"/>
    <w:rsid w:val="006844C5"/>
    <w:rsid w:val="00684640"/>
    <w:rsid w:val="00684683"/>
    <w:rsid w:val="00684768"/>
    <w:rsid w:val="006847E0"/>
    <w:rsid w:val="0068482F"/>
    <w:rsid w:val="0068509F"/>
    <w:rsid w:val="00685204"/>
    <w:rsid w:val="0068531B"/>
    <w:rsid w:val="006853C2"/>
    <w:rsid w:val="00685980"/>
    <w:rsid w:val="006859BB"/>
    <w:rsid w:val="00685A32"/>
    <w:rsid w:val="00685A4A"/>
    <w:rsid w:val="00685A7E"/>
    <w:rsid w:val="00685D99"/>
    <w:rsid w:val="00685DE5"/>
    <w:rsid w:val="00685EC9"/>
    <w:rsid w:val="00685F4D"/>
    <w:rsid w:val="006862A8"/>
    <w:rsid w:val="00686596"/>
    <w:rsid w:val="00686812"/>
    <w:rsid w:val="0068687E"/>
    <w:rsid w:val="00686940"/>
    <w:rsid w:val="00686A19"/>
    <w:rsid w:val="00686E97"/>
    <w:rsid w:val="00687455"/>
    <w:rsid w:val="00687899"/>
    <w:rsid w:val="00687934"/>
    <w:rsid w:val="00687A57"/>
    <w:rsid w:val="00687B38"/>
    <w:rsid w:val="00687B41"/>
    <w:rsid w:val="00687D3B"/>
    <w:rsid w:val="00687E0B"/>
    <w:rsid w:val="0069007B"/>
    <w:rsid w:val="0069015E"/>
    <w:rsid w:val="006904A9"/>
    <w:rsid w:val="006909F6"/>
    <w:rsid w:val="00690A02"/>
    <w:rsid w:val="00690A24"/>
    <w:rsid w:val="00690D4A"/>
    <w:rsid w:val="00690F37"/>
    <w:rsid w:val="00690F5A"/>
    <w:rsid w:val="00690FF0"/>
    <w:rsid w:val="00691523"/>
    <w:rsid w:val="0069182C"/>
    <w:rsid w:val="00691C46"/>
    <w:rsid w:val="00691CEB"/>
    <w:rsid w:val="00691D15"/>
    <w:rsid w:val="006920C3"/>
    <w:rsid w:val="00692364"/>
    <w:rsid w:val="00692782"/>
    <w:rsid w:val="00692AB6"/>
    <w:rsid w:val="00692BD1"/>
    <w:rsid w:val="0069311C"/>
    <w:rsid w:val="0069324F"/>
    <w:rsid w:val="00693303"/>
    <w:rsid w:val="006935DD"/>
    <w:rsid w:val="0069367F"/>
    <w:rsid w:val="006936C4"/>
    <w:rsid w:val="006938A3"/>
    <w:rsid w:val="00693AC9"/>
    <w:rsid w:val="006940D3"/>
    <w:rsid w:val="006944B7"/>
    <w:rsid w:val="006944B9"/>
    <w:rsid w:val="00694797"/>
    <w:rsid w:val="006949C5"/>
    <w:rsid w:val="00694D7F"/>
    <w:rsid w:val="00695498"/>
    <w:rsid w:val="00695556"/>
    <w:rsid w:val="00695666"/>
    <w:rsid w:val="00695741"/>
    <w:rsid w:val="00695B8B"/>
    <w:rsid w:val="00695BD5"/>
    <w:rsid w:val="00695E99"/>
    <w:rsid w:val="00695F4C"/>
    <w:rsid w:val="00696131"/>
    <w:rsid w:val="006963A0"/>
    <w:rsid w:val="00696600"/>
    <w:rsid w:val="00696678"/>
    <w:rsid w:val="00696A9A"/>
    <w:rsid w:val="00696AF1"/>
    <w:rsid w:val="00696B21"/>
    <w:rsid w:val="00696B48"/>
    <w:rsid w:val="00696D37"/>
    <w:rsid w:val="00696D92"/>
    <w:rsid w:val="00696E12"/>
    <w:rsid w:val="00697004"/>
    <w:rsid w:val="00697039"/>
    <w:rsid w:val="00697107"/>
    <w:rsid w:val="0069736D"/>
    <w:rsid w:val="006974DC"/>
    <w:rsid w:val="00697581"/>
    <w:rsid w:val="00697651"/>
    <w:rsid w:val="0069778B"/>
    <w:rsid w:val="006977AA"/>
    <w:rsid w:val="0069785D"/>
    <w:rsid w:val="0069787C"/>
    <w:rsid w:val="00697889"/>
    <w:rsid w:val="00697C69"/>
    <w:rsid w:val="006A00A7"/>
    <w:rsid w:val="006A0463"/>
    <w:rsid w:val="006A04EC"/>
    <w:rsid w:val="006A0767"/>
    <w:rsid w:val="006A07B9"/>
    <w:rsid w:val="006A07C9"/>
    <w:rsid w:val="006A07D4"/>
    <w:rsid w:val="006A0822"/>
    <w:rsid w:val="006A0917"/>
    <w:rsid w:val="006A09F9"/>
    <w:rsid w:val="006A0A9A"/>
    <w:rsid w:val="006A0CED"/>
    <w:rsid w:val="006A0E91"/>
    <w:rsid w:val="006A14D6"/>
    <w:rsid w:val="006A1601"/>
    <w:rsid w:val="006A168E"/>
    <w:rsid w:val="006A182E"/>
    <w:rsid w:val="006A19C0"/>
    <w:rsid w:val="006A1A03"/>
    <w:rsid w:val="006A1CC9"/>
    <w:rsid w:val="006A1EC3"/>
    <w:rsid w:val="006A1F5E"/>
    <w:rsid w:val="006A2035"/>
    <w:rsid w:val="006A2138"/>
    <w:rsid w:val="006A235D"/>
    <w:rsid w:val="006A26A6"/>
    <w:rsid w:val="006A2803"/>
    <w:rsid w:val="006A332E"/>
    <w:rsid w:val="006A3877"/>
    <w:rsid w:val="006A3AC7"/>
    <w:rsid w:val="006A3B8A"/>
    <w:rsid w:val="006A3D06"/>
    <w:rsid w:val="006A3D59"/>
    <w:rsid w:val="006A3DA5"/>
    <w:rsid w:val="006A3E63"/>
    <w:rsid w:val="006A3F81"/>
    <w:rsid w:val="006A4102"/>
    <w:rsid w:val="006A45F9"/>
    <w:rsid w:val="006A47E5"/>
    <w:rsid w:val="006A4980"/>
    <w:rsid w:val="006A4ED3"/>
    <w:rsid w:val="006A4F64"/>
    <w:rsid w:val="006A505C"/>
    <w:rsid w:val="006A5142"/>
    <w:rsid w:val="006A51ED"/>
    <w:rsid w:val="006A546C"/>
    <w:rsid w:val="006A5972"/>
    <w:rsid w:val="006A5996"/>
    <w:rsid w:val="006A5A4D"/>
    <w:rsid w:val="006A5A5E"/>
    <w:rsid w:val="006A5A8A"/>
    <w:rsid w:val="006A5AEB"/>
    <w:rsid w:val="006A5C6B"/>
    <w:rsid w:val="006A602A"/>
    <w:rsid w:val="006A60DA"/>
    <w:rsid w:val="006A617F"/>
    <w:rsid w:val="006A6330"/>
    <w:rsid w:val="006A63A9"/>
    <w:rsid w:val="006A65B5"/>
    <w:rsid w:val="006A66DD"/>
    <w:rsid w:val="006A6779"/>
    <w:rsid w:val="006A68F1"/>
    <w:rsid w:val="006A6B2A"/>
    <w:rsid w:val="006A6F96"/>
    <w:rsid w:val="006A7689"/>
    <w:rsid w:val="006A7836"/>
    <w:rsid w:val="006A78FE"/>
    <w:rsid w:val="006A7936"/>
    <w:rsid w:val="006A7CEF"/>
    <w:rsid w:val="006B040F"/>
    <w:rsid w:val="006B090F"/>
    <w:rsid w:val="006B0995"/>
    <w:rsid w:val="006B11A9"/>
    <w:rsid w:val="006B1200"/>
    <w:rsid w:val="006B14E3"/>
    <w:rsid w:val="006B14F5"/>
    <w:rsid w:val="006B1591"/>
    <w:rsid w:val="006B17A0"/>
    <w:rsid w:val="006B1835"/>
    <w:rsid w:val="006B1BFC"/>
    <w:rsid w:val="006B1C44"/>
    <w:rsid w:val="006B1D5F"/>
    <w:rsid w:val="006B1D7E"/>
    <w:rsid w:val="006B1F4E"/>
    <w:rsid w:val="006B21F1"/>
    <w:rsid w:val="006B2286"/>
    <w:rsid w:val="006B23EF"/>
    <w:rsid w:val="006B26CB"/>
    <w:rsid w:val="006B277F"/>
    <w:rsid w:val="006B2A4F"/>
    <w:rsid w:val="006B2B4D"/>
    <w:rsid w:val="006B2BAA"/>
    <w:rsid w:val="006B2BC2"/>
    <w:rsid w:val="006B2BD0"/>
    <w:rsid w:val="006B2CA9"/>
    <w:rsid w:val="006B2CE1"/>
    <w:rsid w:val="006B2D1B"/>
    <w:rsid w:val="006B2E07"/>
    <w:rsid w:val="006B2F45"/>
    <w:rsid w:val="006B306D"/>
    <w:rsid w:val="006B32E0"/>
    <w:rsid w:val="006B345F"/>
    <w:rsid w:val="006B346B"/>
    <w:rsid w:val="006B350C"/>
    <w:rsid w:val="006B39C6"/>
    <w:rsid w:val="006B3BBD"/>
    <w:rsid w:val="006B3DA2"/>
    <w:rsid w:val="006B3DD6"/>
    <w:rsid w:val="006B3EB6"/>
    <w:rsid w:val="006B3FA1"/>
    <w:rsid w:val="006B40B4"/>
    <w:rsid w:val="006B414C"/>
    <w:rsid w:val="006B4168"/>
    <w:rsid w:val="006B440C"/>
    <w:rsid w:val="006B4C6E"/>
    <w:rsid w:val="006B4D3D"/>
    <w:rsid w:val="006B5172"/>
    <w:rsid w:val="006B51D4"/>
    <w:rsid w:val="006B559E"/>
    <w:rsid w:val="006B569B"/>
    <w:rsid w:val="006B56BB"/>
    <w:rsid w:val="006B5762"/>
    <w:rsid w:val="006B5925"/>
    <w:rsid w:val="006B5A48"/>
    <w:rsid w:val="006B5A98"/>
    <w:rsid w:val="006B5AE5"/>
    <w:rsid w:val="006B5C7F"/>
    <w:rsid w:val="006B5D60"/>
    <w:rsid w:val="006B61C9"/>
    <w:rsid w:val="006B636C"/>
    <w:rsid w:val="006B6C5B"/>
    <w:rsid w:val="006B6DA6"/>
    <w:rsid w:val="006B70B3"/>
    <w:rsid w:val="006B717F"/>
    <w:rsid w:val="006B737F"/>
    <w:rsid w:val="006B76DF"/>
    <w:rsid w:val="006B7806"/>
    <w:rsid w:val="006B7859"/>
    <w:rsid w:val="006B78F0"/>
    <w:rsid w:val="006B7D40"/>
    <w:rsid w:val="006B7D78"/>
    <w:rsid w:val="006C02B5"/>
    <w:rsid w:val="006C02C5"/>
    <w:rsid w:val="006C0317"/>
    <w:rsid w:val="006C05AA"/>
    <w:rsid w:val="006C062C"/>
    <w:rsid w:val="006C0712"/>
    <w:rsid w:val="006C0931"/>
    <w:rsid w:val="006C0B6E"/>
    <w:rsid w:val="006C0D4C"/>
    <w:rsid w:val="006C0EED"/>
    <w:rsid w:val="006C0FD4"/>
    <w:rsid w:val="006C15C8"/>
    <w:rsid w:val="006C1615"/>
    <w:rsid w:val="006C178D"/>
    <w:rsid w:val="006C1917"/>
    <w:rsid w:val="006C1D0E"/>
    <w:rsid w:val="006C22D2"/>
    <w:rsid w:val="006C22EF"/>
    <w:rsid w:val="006C26B8"/>
    <w:rsid w:val="006C289C"/>
    <w:rsid w:val="006C2D4C"/>
    <w:rsid w:val="006C3081"/>
    <w:rsid w:val="006C338B"/>
    <w:rsid w:val="006C3418"/>
    <w:rsid w:val="006C3445"/>
    <w:rsid w:val="006C34FC"/>
    <w:rsid w:val="006C3921"/>
    <w:rsid w:val="006C3C7B"/>
    <w:rsid w:val="006C3CE4"/>
    <w:rsid w:val="006C4069"/>
    <w:rsid w:val="006C417F"/>
    <w:rsid w:val="006C4452"/>
    <w:rsid w:val="006C481C"/>
    <w:rsid w:val="006C4855"/>
    <w:rsid w:val="006C4861"/>
    <w:rsid w:val="006C4B44"/>
    <w:rsid w:val="006C4B8D"/>
    <w:rsid w:val="006C4C57"/>
    <w:rsid w:val="006C4C61"/>
    <w:rsid w:val="006C4E9C"/>
    <w:rsid w:val="006C5034"/>
    <w:rsid w:val="006C51D8"/>
    <w:rsid w:val="006C52AD"/>
    <w:rsid w:val="006C58A1"/>
    <w:rsid w:val="006C5A74"/>
    <w:rsid w:val="006C5E32"/>
    <w:rsid w:val="006C60ED"/>
    <w:rsid w:val="006C6282"/>
    <w:rsid w:val="006C63A2"/>
    <w:rsid w:val="006C64E2"/>
    <w:rsid w:val="006C6555"/>
    <w:rsid w:val="006C6708"/>
    <w:rsid w:val="006C680E"/>
    <w:rsid w:val="006C681F"/>
    <w:rsid w:val="006C689D"/>
    <w:rsid w:val="006C696E"/>
    <w:rsid w:val="006C6A46"/>
    <w:rsid w:val="006C6AEB"/>
    <w:rsid w:val="006C6C85"/>
    <w:rsid w:val="006C6CAC"/>
    <w:rsid w:val="006C7160"/>
    <w:rsid w:val="006C7282"/>
    <w:rsid w:val="006C7369"/>
    <w:rsid w:val="006C776E"/>
    <w:rsid w:val="006C77A8"/>
    <w:rsid w:val="006C7815"/>
    <w:rsid w:val="006C7A15"/>
    <w:rsid w:val="006C7B05"/>
    <w:rsid w:val="006C7BB4"/>
    <w:rsid w:val="006C7E58"/>
    <w:rsid w:val="006D031D"/>
    <w:rsid w:val="006D0325"/>
    <w:rsid w:val="006D0921"/>
    <w:rsid w:val="006D0977"/>
    <w:rsid w:val="006D0B2C"/>
    <w:rsid w:val="006D0C49"/>
    <w:rsid w:val="006D0CB9"/>
    <w:rsid w:val="006D0D72"/>
    <w:rsid w:val="006D0F83"/>
    <w:rsid w:val="006D1158"/>
    <w:rsid w:val="006D1179"/>
    <w:rsid w:val="006D141A"/>
    <w:rsid w:val="006D1555"/>
    <w:rsid w:val="006D17D7"/>
    <w:rsid w:val="006D18AF"/>
    <w:rsid w:val="006D1A86"/>
    <w:rsid w:val="006D1A94"/>
    <w:rsid w:val="006D1BD9"/>
    <w:rsid w:val="006D219C"/>
    <w:rsid w:val="006D2289"/>
    <w:rsid w:val="006D23A7"/>
    <w:rsid w:val="006D2411"/>
    <w:rsid w:val="006D2435"/>
    <w:rsid w:val="006D2478"/>
    <w:rsid w:val="006D26F7"/>
    <w:rsid w:val="006D30AE"/>
    <w:rsid w:val="006D3488"/>
    <w:rsid w:val="006D355C"/>
    <w:rsid w:val="006D378D"/>
    <w:rsid w:val="006D3813"/>
    <w:rsid w:val="006D3A70"/>
    <w:rsid w:val="006D3A96"/>
    <w:rsid w:val="006D3B26"/>
    <w:rsid w:val="006D3B73"/>
    <w:rsid w:val="006D3BBE"/>
    <w:rsid w:val="006D3C16"/>
    <w:rsid w:val="006D4098"/>
    <w:rsid w:val="006D4722"/>
    <w:rsid w:val="006D4762"/>
    <w:rsid w:val="006D47E7"/>
    <w:rsid w:val="006D4835"/>
    <w:rsid w:val="006D48DE"/>
    <w:rsid w:val="006D4BC1"/>
    <w:rsid w:val="006D4BFB"/>
    <w:rsid w:val="006D4D6A"/>
    <w:rsid w:val="006D4D6F"/>
    <w:rsid w:val="006D4F3A"/>
    <w:rsid w:val="006D4F90"/>
    <w:rsid w:val="006D5231"/>
    <w:rsid w:val="006D527E"/>
    <w:rsid w:val="006D53DA"/>
    <w:rsid w:val="006D5536"/>
    <w:rsid w:val="006D5727"/>
    <w:rsid w:val="006D5B29"/>
    <w:rsid w:val="006D5D11"/>
    <w:rsid w:val="006D5E6F"/>
    <w:rsid w:val="006D5ED3"/>
    <w:rsid w:val="006D5F64"/>
    <w:rsid w:val="006D619B"/>
    <w:rsid w:val="006D61D4"/>
    <w:rsid w:val="006D6515"/>
    <w:rsid w:val="006D6713"/>
    <w:rsid w:val="006D6982"/>
    <w:rsid w:val="006D6984"/>
    <w:rsid w:val="006D6A8A"/>
    <w:rsid w:val="006D6CAE"/>
    <w:rsid w:val="006D6D71"/>
    <w:rsid w:val="006D71D1"/>
    <w:rsid w:val="006D7303"/>
    <w:rsid w:val="006D7593"/>
    <w:rsid w:val="006D7681"/>
    <w:rsid w:val="006D7A52"/>
    <w:rsid w:val="006D7B13"/>
    <w:rsid w:val="006D7B2D"/>
    <w:rsid w:val="006D7B2E"/>
    <w:rsid w:val="006D7BEB"/>
    <w:rsid w:val="006D7C88"/>
    <w:rsid w:val="006D7CD9"/>
    <w:rsid w:val="006D7EEF"/>
    <w:rsid w:val="006E02EA"/>
    <w:rsid w:val="006E0313"/>
    <w:rsid w:val="006E05E9"/>
    <w:rsid w:val="006E0968"/>
    <w:rsid w:val="006E0DBB"/>
    <w:rsid w:val="006E0E05"/>
    <w:rsid w:val="006E12C6"/>
    <w:rsid w:val="006E131B"/>
    <w:rsid w:val="006E1A5E"/>
    <w:rsid w:val="006E1A86"/>
    <w:rsid w:val="006E1C93"/>
    <w:rsid w:val="006E1D77"/>
    <w:rsid w:val="006E1E48"/>
    <w:rsid w:val="006E22FD"/>
    <w:rsid w:val="006E2537"/>
    <w:rsid w:val="006E2584"/>
    <w:rsid w:val="006E25CC"/>
    <w:rsid w:val="006E25F9"/>
    <w:rsid w:val="006E277B"/>
    <w:rsid w:val="006E2998"/>
    <w:rsid w:val="006E2AF6"/>
    <w:rsid w:val="006E2FBF"/>
    <w:rsid w:val="006E2FCA"/>
    <w:rsid w:val="006E300B"/>
    <w:rsid w:val="006E30DD"/>
    <w:rsid w:val="006E3619"/>
    <w:rsid w:val="006E3AF6"/>
    <w:rsid w:val="006E3D9E"/>
    <w:rsid w:val="006E44E2"/>
    <w:rsid w:val="006E4511"/>
    <w:rsid w:val="006E46A8"/>
    <w:rsid w:val="006E4834"/>
    <w:rsid w:val="006E4A4E"/>
    <w:rsid w:val="006E4FC8"/>
    <w:rsid w:val="006E4FFE"/>
    <w:rsid w:val="006E5214"/>
    <w:rsid w:val="006E53DD"/>
    <w:rsid w:val="006E568F"/>
    <w:rsid w:val="006E5807"/>
    <w:rsid w:val="006E58A0"/>
    <w:rsid w:val="006E58BB"/>
    <w:rsid w:val="006E5A22"/>
    <w:rsid w:val="006E5A87"/>
    <w:rsid w:val="006E5B8B"/>
    <w:rsid w:val="006E5F71"/>
    <w:rsid w:val="006E60B7"/>
    <w:rsid w:val="006E63A8"/>
    <w:rsid w:val="006E664B"/>
    <w:rsid w:val="006E6992"/>
    <w:rsid w:val="006E6A3B"/>
    <w:rsid w:val="006E6A4C"/>
    <w:rsid w:val="006E6C29"/>
    <w:rsid w:val="006E6CF5"/>
    <w:rsid w:val="006E6F6D"/>
    <w:rsid w:val="006E7362"/>
    <w:rsid w:val="006E775E"/>
    <w:rsid w:val="006E7A34"/>
    <w:rsid w:val="006E7B9F"/>
    <w:rsid w:val="006E7F59"/>
    <w:rsid w:val="006F0400"/>
    <w:rsid w:val="006F0815"/>
    <w:rsid w:val="006F0838"/>
    <w:rsid w:val="006F0993"/>
    <w:rsid w:val="006F0AFD"/>
    <w:rsid w:val="006F0B58"/>
    <w:rsid w:val="006F0DD1"/>
    <w:rsid w:val="006F0FBE"/>
    <w:rsid w:val="006F1272"/>
    <w:rsid w:val="006F13DC"/>
    <w:rsid w:val="006F176C"/>
    <w:rsid w:val="006F1DA7"/>
    <w:rsid w:val="006F1DC8"/>
    <w:rsid w:val="006F20E6"/>
    <w:rsid w:val="006F22CE"/>
    <w:rsid w:val="006F22F1"/>
    <w:rsid w:val="006F25B8"/>
    <w:rsid w:val="006F26C3"/>
    <w:rsid w:val="006F2A42"/>
    <w:rsid w:val="006F2D70"/>
    <w:rsid w:val="006F2E17"/>
    <w:rsid w:val="006F2F17"/>
    <w:rsid w:val="006F3310"/>
    <w:rsid w:val="006F33A4"/>
    <w:rsid w:val="006F33BD"/>
    <w:rsid w:val="006F33D9"/>
    <w:rsid w:val="006F34A8"/>
    <w:rsid w:val="006F354F"/>
    <w:rsid w:val="006F366F"/>
    <w:rsid w:val="006F3DDA"/>
    <w:rsid w:val="006F3FD2"/>
    <w:rsid w:val="006F419C"/>
    <w:rsid w:val="006F43D8"/>
    <w:rsid w:val="006F4BFC"/>
    <w:rsid w:val="006F4C2C"/>
    <w:rsid w:val="006F4D02"/>
    <w:rsid w:val="006F4E31"/>
    <w:rsid w:val="006F4E94"/>
    <w:rsid w:val="006F4F12"/>
    <w:rsid w:val="006F51F3"/>
    <w:rsid w:val="006F544F"/>
    <w:rsid w:val="006F55D8"/>
    <w:rsid w:val="006F56D5"/>
    <w:rsid w:val="006F5D63"/>
    <w:rsid w:val="006F6058"/>
    <w:rsid w:val="006F60B5"/>
    <w:rsid w:val="006F6401"/>
    <w:rsid w:val="006F64D7"/>
    <w:rsid w:val="006F6612"/>
    <w:rsid w:val="006F670B"/>
    <w:rsid w:val="006F695F"/>
    <w:rsid w:val="006F6A9F"/>
    <w:rsid w:val="006F6D3E"/>
    <w:rsid w:val="006F6F95"/>
    <w:rsid w:val="006F71A5"/>
    <w:rsid w:val="006F775F"/>
    <w:rsid w:val="006F778C"/>
    <w:rsid w:val="006F77AD"/>
    <w:rsid w:val="006F7847"/>
    <w:rsid w:val="006F7AF1"/>
    <w:rsid w:val="006F7E30"/>
    <w:rsid w:val="006F7E68"/>
    <w:rsid w:val="0070001D"/>
    <w:rsid w:val="00700324"/>
    <w:rsid w:val="00700536"/>
    <w:rsid w:val="007006B9"/>
    <w:rsid w:val="007006CC"/>
    <w:rsid w:val="00700D4B"/>
    <w:rsid w:val="00700DBB"/>
    <w:rsid w:val="0070109A"/>
    <w:rsid w:val="00701275"/>
    <w:rsid w:val="00701389"/>
    <w:rsid w:val="007015E3"/>
    <w:rsid w:val="007016A9"/>
    <w:rsid w:val="0070187A"/>
    <w:rsid w:val="00701893"/>
    <w:rsid w:val="007018D9"/>
    <w:rsid w:val="00701974"/>
    <w:rsid w:val="00701A96"/>
    <w:rsid w:val="00701BF6"/>
    <w:rsid w:val="00701CFB"/>
    <w:rsid w:val="00701F42"/>
    <w:rsid w:val="00702030"/>
    <w:rsid w:val="0070208F"/>
    <w:rsid w:val="007020D7"/>
    <w:rsid w:val="0070292A"/>
    <w:rsid w:val="00702ACA"/>
    <w:rsid w:val="00702BD3"/>
    <w:rsid w:val="00702D24"/>
    <w:rsid w:val="00702D56"/>
    <w:rsid w:val="00702E60"/>
    <w:rsid w:val="0070300D"/>
    <w:rsid w:val="00703157"/>
    <w:rsid w:val="00703307"/>
    <w:rsid w:val="00703378"/>
    <w:rsid w:val="00703458"/>
    <w:rsid w:val="007039B6"/>
    <w:rsid w:val="007039E4"/>
    <w:rsid w:val="00703A92"/>
    <w:rsid w:val="00703BDB"/>
    <w:rsid w:val="00703E1D"/>
    <w:rsid w:val="00703E5A"/>
    <w:rsid w:val="00703EC2"/>
    <w:rsid w:val="00703ECE"/>
    <w:rsid w:val="0070412D"/>
    <w:rsid w:val="0070419F"/>
    <w:rsid w:val="00704558"/>
    <w:rsid w:val="00704EBE"/>
    <w:rsid w:val="00704EFF"/>
    <w:rsid w:val="00705276"/>
    <w:rsid w:val="007055A5"/>
    <w:rsid w:val="00705836"/>
    <w:rsid w:val="00705975"/>
    <w:rsid w:val="00705CD0"/>
    <w:rsid w:val="00705CDA"/>
    <w:rsid w:val="0070607E"/>
    <w:rsid w:val="0070651B"/>
    <w:rsid w:val="007066B2"/>
    <w:rsid w:val="007066EF"/>
    <w:rsid w:val="00706737"/>
    <w:rsid w:val="0070686C"/>
    <w:rsid w:val="00706A3D"/>
    <w:rsid w:val="00706B93"/>
    <w:rsid w:val="00706BA5"/>
    <w:rsid w:val="00706CE2"/>
    <w:rsid w:val="00706D0A"/>
    <w:rsid w:val="00706D8C"/>
    <w:rsid w:val="00706D92"/>
    <w:rsid w:val="007070FF"/>
    <w:rsid w:val="0070731D"/>
    <w:rsid w:val="00707617"/>
    <w:rsid w:val="00707696"/>
    <w:rsid w:val="0070773A"/>
    <w:rsid w:val="0070783F"/>
    <w:rsid w:val="007078C1"/>
    <w:rsid w:val="00707C95"/>
    <w:rsid w:val="00707CC8"/>
    <w:rsid w:val="00707CF4"/>
    <w:rsid w:val="00707F28"/>
    <w:rsid w:val="00707F56"/>
    <w:rsid w:val="00707F62"/>
    <w:rsid w:val="007103EA"/>
    <w:rsid w:val="00710455"/>
    <w:rsid w:val="00710AFD"/>
    <w:rsid w:val="00710C7D"/>
    <w:rsid w:val="00710CAA"/>
    <w:rsid w:val="0071146A"/>
    <w:rsid w:val="0071162C"/>
    <w:rsid w:val="0071168E"/>
    <w:rsid w:val="007116CE"/>
    <w:rsid w:val="00711A45"/>
    <w:rsid w:val="00711CD7"/>
    <w:rsid w:val="00711DB9"/>
    <w:rsid w:val="00711F25"/>
    <w:rsid w:val="0071201F"/>
    <w:rsid w:val="007120FD"/>
    <w:rsid w:val="0071220B"/>
    <w:rsid w:val="007122AF"/>
    <w:rsid w:val="007122D2"/>
    <w:rsid w:val="0071240C"/>
    <w:rsid w:val="0071245D"/>
    <w:rsid w:val="007124EC"/>
    <w:rsid w:val="00712547"/>
    <w:rsid w:val="007125EF"/>
    <w:rsid w:val="0071285E"/>
    <w:rsid w:val="007128ED"/>
    <w:rsid w:val="00712A51"/>
    <w:rsid w:val="00712C34"/>
    <w:rsid w:val="00712C38"/>
    <w:rsid w:val="00712DB7"/>
    <w:rsid w:val="00712EA7"/>
    <w:rsid w:val="00712EB6"/>
    <w:rsid w:val="007130AE"/>
    <w:rsid w:val="00713420"/>
    <w:rsid w:val="00713558"/>
    <w:rsid w:val="00713560"/>
    <w:rsid w:val="007137BF"/>
    <w:rsid w:val="00713B38"/>
    <w:rsid w:val="00713BD1"/>
    <w:rsid w:val="00713CC5"/>
    <w:rsid w:val="007141D9"/>
    <w:rsid w:val="00714D78"/>
    <w:rsid w:val="00714DAA"/>
    <w:rsid w:val="00715422"/>
    <w:rsid w:val="00715732"/>
    <w:rsid w:val="00715853"/>
    <w:rsid w:val="00715B3D"/>
    <w:rsid w:val="0071618B"/>
    <w:rsid w:val="007162EA"/>
    <w:rsid w:val="007163AD"/>
    <w:rsid w:val="0071640B"/>
    <w:rsid w:val="00716452"/>
    <w:rsid w:val="0071653E"/>
    <w:rsid w:val="00716B16"/>
    <w:rsid w:val="00716D3D"/>
    <w:rsid w:val="00716D86"/>
    <w:rsid w:val="00716DE9"/>
    <w:rsid w:val="007172ED"/>
    <w:rsid w:val="00717604"/>
    <w:rsid w:val="0071784E"/>
    <w:rsid w:val="007179E0"/>
    <w:rsid w:val="00717A78"/>
    <w:rsid w:val="00717F4F"/>
    <w:rsid w:val="00720454"/>
    <w:rsid w:val="0072077A"/>
    <w:rsid w:val="00720D08"/>
    <w:rsid w:val="00720D98"/>
    <w:rsid w:val="00721063"/>
    <w:rsid w:val="00721074"/>
    <w:rsid w:val="0072110C"/>
    <w:rsid w:val="00721176"/>
    <w:rsid w:val="00721229"/>
    <w:rsid w:val="007213DF"/>
    <w:rsid w:val="00721421"/>
    <w:rsid w:val="007214EA"/>
    <w:rsid w:val="00721677"/>
    <w:rsid w:val="00721712"/>
    <w:rsid w:val="00721739"/>
    <w:rsid w:val="0072173E"/>
    <w:rsid w:val="00721802"/>
    <w:rsid w:val="00721AA3"/>
    <w:rsid w:val="00721B91"/>
    <w:rsid w:val="00721C5E"/>
    <w:rsid w:val="00721EB7"/>
    <w:rsid w:val="0072222A"/>
    <w:rsid w:val="007222E6"/>
    <w:rsid w:val="00722834"/>
    <w:rsid w:val="0072292A"/>
    <w:rsid w:val="00722B05"/>
    <w:rsid w:val="00722DA3"/>
    <w:rsid w:val="00722DCD"/>
    <w:rsid w:val="00722E3C"/>
    <w:rsid w:val="007230C1"/>
    <w:rsid w:val="007230F8"/>
    <w:rsid w:val="00723AA6"/>
    <w:rsid w:val="00723B7B"/>
    <w:rsid w:val="00723D20"/>
    <w:rsid w:val="00724063"/>
    <w:rsid w:val="0072416F"/>
    <w:rsid w:val="007242CA"/>
    <w:rsid w:val="00724533"/>
    <w:rsid w:val="00724732"/>
    <w:rsid w:val="00724747"/>
    <w:rsid w:val="00724990"/>
    <w:rsid w:val="00724DC8"/>
    <w:rsid w:val="0072519F"/>
    <w:rsid w:val="007251B6"/>
    <w:rsid w:val="00725396"/>
    <w:rsid w:val="007254E4"/>
    <w:rsid w:val="00725571"/>
    <w:rsid w:val="007255C5"/>
    <w:rsid w:val="007256C5"/>
    <w:rsid w:val="00725727"/>
    <w:rsid w:val="00725944"/>
    <w:rsid w:val="00725AD8"/>
    <w:rsid w:val="0072600D"/>
    <w:rsid w:val="0072616E"/>
    <w:rsid w:val="00726251"/>
    <w:rsid w:val="007263B9"/>
    <w:rsid w:val="007263D1"/>
    <w:rsid w:val="0072661A"/>
    <w:rsid w:val="007269D4"/>
    <w:rsid w:val="00726D3B"/>
    <w:rsid w:val="00726F92"/>
    <w:rsid w:val="00727066"/>
    <w:rsid w:val="0072709B"/>
    <w:rsid w:val="007270CF"/>
    <w:rsid w:val="0072725F"/>
    <w:rsid w:val="0072767A"/>
    <w:rsid w:val="00727A35"/>
    <w:rsid w:val="00727AF6"/>
    <w:rsid w:val="00727C11"/>
    <w:rsid w:val="00727C21"/>
    <w:rsid w:val="00727C45"/>
    <w:rsid w:val="00727CC5"/>
    <w:rsid w:val="00727D4B"/>
    <w:rsid w:val="00727E8E"/>
    <w:rsid w:val="00730092"/>
    <w:rsid w:val="007302D0"/>
    <w:rsid w:val="00730307"/>
    <w:rsid w:val="00730402"/>
    <w:rsid w:val="00730731"/>
    <w:rsid w:val="007307BF"/>
    <w:rsid w:val="0073087A"/>
    <w:rsid w:val="007308A1"/>
    <w:rsid w:val="0073095B"/>
    <w:rsid w:val="007309B7"/>
    <w:rsid w:val="00730D7C"/>
    <w:rsid w:val="007311D3"/>
    <w:rsid w:val="00731544"/>
    <w:rsid w:val="007315CB"/>
    <w:rsid w:val="0073172E"/>
    <w:rsid w:val="007319BB"/>
    <w:rsid w:val="00731ACB"/>
    <w:rsid w:val="00731BEE"/>
    <w:rsid w:val="00732001"/>
    <w:rsid w:val="00732180"/>
    <w:rsid w:val="007324B4"/>
    <w:rsid w:val="0073283A"/>
    <w:rsid w:val="007328CF"/>
    <w:rsid w:val="007328D7"/>
    <w:rsid w:val="00732B89"/>
    <w:rsid w:val="00732B91"/>
    <w:rsid w:val="00732BB8"/>
    <w:rsid w:val="00732D7C"/>
    <w:rsid w:val="00732EB2"/>
    <w:rsid w:val="00733141"/>
    <w:rsid w:val="00733345"/>
    <w:rsid w:val="0073339B"/>
    <w:rsid w:val="007334F8"/>
    <w:rsid w:val="007336C9"/>
    <w:rsid w:val="00733703"/>
    <w:rsid w:val="0073377C"/>
    <w:rsid w:val="007338F4"/>
    <w:rsid w:val="007339CD"/>
    <w:rsid w:val="00733E1C"/>
    <w:rsid w:val="00733FAD"/>
    <w:rsid w:val="0073407D"/>
    <w:rsid w:val="0073421F"/>
    <w:rsid w:val="00734371"/>
    <w:rsid w:val="007344F5"/>
    <w:rsid w:val="0073453A"/>
    <w:rsid w:val="007346A1"/>
    <w:rsid w:val="00734847"/>
    <w:rsid w:val="007348E5"/>
    <w:rsid w:val="007349CD"/>
    <w:rsid w:val="00734AD0"/>
    <w:rsid w:val="00734BBA"/>
    <w:rsid w:val="00734C4E"/>
    <w:rsid w:val="00734C6D"/>
    <w:rsid w:val="00734EC8"/>
    <w:rsid w:val="007350EE"/>
    <w:rsid w:val="00735567"/>
    <w:rsid w:val="007358FB"/>
    <w:rsid w:val="007359D8"/>
    <w:rsid w:val="00735B0D"/>
    <w:rsid w:val="00735DDC"/>
    <w:rsid w:val="00735F54"/>
    <w:rsid w:val="00736295"/>
    <w:rsid w:val="007362D4"/>
    <w:rsid w:val="00736666"/>
    <w:rsid w:val="007366E8"/>
    <w:rsid w:val="0073694C"/>
    <w:rsid w:val="00736AD9"/>
    <w:rsid w:val="00736DD0"/>
    <w:rsid w:val="00736E54"/>
    <w:rsid w:val="00736F3D"/>
    <w:rsid w:val="00736F8D"/>
    <w:rsid w:val="00737007"/>
    <w:rsid w:val="00737130"/>
    <w:rsid w:val="007372EF"/>
    <w:rsid w:val="00737567"/>
    <w:rsid w:val="00737B4E"/>
    <w:rsid w:val="00737CAA"/>
    <w:rsid w:val="00737CC0"/>
    <w:rsid w:val="00737F1F"/>
    <w:rsid w:val="00740064"/>
    <w:rsid w:val="0074026B"/>
    <w:rsid w:val="00740378"/>
    <w:rsid w:val="007407C2"/>
    <w:rsid w:val="0074090E"/>
    <w:rsid w:val="00741088"/>
    <w:rsid w:val="00741170"/>
    <w:rsid w:val="00741407"/>
    <w:rsid w:val="007414E5"/>
    <w:rsid w:val="00741653"/>
    <w:rsid w:val="0074174E"/>
    <w:rsid w:val="007418C7"/>
    <w:rsid w:val="00741A78"/>
    <w:rsid w:val="00741E21"/>
    <w:rsid w:val="00741FDA"/>
    <w:rsid w:val="0074217A"/>
    <w:rsid w:val="0074230F"/>
    <w:rsid w:val="007425CA"/>
    <w:rsid w:val="00742623"/>
    <w:rsid w:val="0074264D"/>
    <w:rsid w:val="00742689"/>
    <w:rsid w:val="0074323E"/>
    <w:rsid w:val="00743351"/>
    <w:rsid w:val="00743831"/>
    <w:rsid w:val="00743920"/>
    <w:rsid w:val="00743D84"/>
    <w:rsid w:val="0074405E"/>
    <w:rsid w:val="007443B6"/>
    <w:rsid w:val="00744676"/>
    <w:rsid w:val="00744D0E"/>
    <w:rsid w:val="00744DD9"/>
    <w:rsid w:val="007451D5"/>
    <w:rsid w:val="0074544C"/>
    <w:rsid w:val="007455B5"/>
    <w:rsid w:val="00745884"/>
    <w:rsid w:val="00745A2F"/>
    <w:rsid w:val="00745D59"/>
    <w:rsid w:val="00745DD6"/>
    <w:rsid w:val="00745E20"/>
    <w:rsid w:val="00745E98"/>
    <w:rsid w:val="0074617F"/>
    <w:rsid w:val="007461BE"/>
    <w:rsid w:val="00746208"/>
    <w:rsid w:val="00746260"/>
    <w:rsid w:val="0074629E"/>
    <w:rsid w:val="007462BE"/>
    <w:rsid w:val="00746752"/>
    <w:rsid w:val="00746803"/>
    <w:rsid w:val="007469F2"/>
    <w:rsid w:val="007469F9"/>
    <w:rsid w:val="00746A13"/>
    <w:rsid w:val="007470C2"/>
    <w:rsid w:val="007470FD"/>
    <w:rsid w:val="007476C5"/>
    <w:rsid w:val="007476D6"/>
    <w:rsid w:val="0074774F"/>
    <w:rsid w:val="00747883"/>
    <w:rsid w:val="00747D6C"/>
    <w:rsid w:val="00750276"/>
    <w:rsid w:val="007503C7"/>
    <w:rsid w:val="007503D9"/>
    <w:rsid w:val="007505D6"/>
    <w:rsid w:val="00750644"/>
    <w:rsid w:val="0075084A"/>
    <w:rsid w:val="007508F4"/>
    <w:rsid w:val="0075091F"/>
    <w:rsid w:val="00750C69"/>
    <w:rsid w:val="0075129D"/>
    <w:rsid w:val="007512AC"/>
    <w:rsid w:val="00751332"/>
    <w:rsid w:val="00751416"/>
    <w:rsid w:val="007517E9"/>
    <w:rsid w:val="0075190F"/>
    <w:rsid w:val="00751A23"/>
    <w:rsid w:val="00751DB7"/>
    <w:rsid w:val="00752385"/>
    <w:rsid w:val="007523EF"/>
    <w:rsid w:val="00752570"/>
    <w:rsid w:val="00752874"/>
    <w:rsid w:val="007528C0"/>
    <w:rsid w:val="0075310F"/>
    <w:rsid w:val="00753263"/>
    <w:rsid w:val="007533E9"/>
    <w:rsid w:val="00753486"/>
    <w:rsid w:val="0075362B"/>
    <w:rsid w:val="00753656"/>
    <w:rsid w:val="00753805"/>
    <w:rsid w:val="00753921"/>
    <w:rsid w:val="007540F1"/>
    <w:rsid w:val="007541BC"/>
    <w:rsid w:val="00754553"/>
    <w:rsid w:val="007546E2"/>
    <w:rsid w:val="007547F9"/>
    <w:rsid w:val="007552DA"/>
    <w:rsid w:val="007557F7"/>
    <w:rsid w:val="00755A1F"/>
    <w:rsid w:val="00755DDF"/>
    <w:rsid w:val="00755E30"/>
    <w:rsid w:val="00755F9E"/>
    <w:rsid w:val="0075613A"/>
    <w:rsid w:val="0075617F"/>
    <w:rsid w:val="007562FF"/>
    <w:rsid w:val="00756338"/>
    <w:rsid w:val="0075691C"/>
    <w:rsid w:val="00756958"/>
    <w:rsid w:val="00756CFF"/>
    <w:rsid w:val="00756F36"/>
    <w:rsid w:val="00756F46"/>
    <w:rsid w:val="007573E9"/>
    <w:rsid w:val="00757D12"/>
    <w:rsid w:val="00757D13"/>
    <w:rsid w:val="00760049"/>
    <w:rsid w:val="007600F0"/>
    <w:rsid w:val="00760405"/>
    <w:rsid w:val="007604E6"/>
    <w:rsid w:val="00760574"/>
    <w:rsid w:val="007605AC"/>
    <w:rsid w:val="00760630"/>
    <w:rsid w:val="00760973"/>
    <w:rsid w:val="007609C4"/>
    <w:rsid w:val="00760C11"/>
    <w:rsid w:val="00760CB0"/>
    <w:rsid w:val="00760CFC"/>
    <w:rsid w:val="00760D08"/>
    <w:rsid w:val="00760DD0"/>
    <w:rsid w:val="007613CC"/>
    <w:rsid w:val="007614BD"/>
    <w:rsid w:val="00761523"/>
    <w:rsid w:val="00761B8A"/>
    <w:rsid w:val="00761BDF"/>
    <w:rsid w:val="00761DAA"/>
    <w:rsid w:val="00761DD6"/>
    <w:rsid w:val="00762052"/>
    <w:rsid w:val="007621A8"/>
    <w:rsid w:val="007626B5"/>
    <w:rsid w:val="00762C33"/>
    <w:rsid w:val="00762C7B"/>
    <w:rsid w:val="00762DE8"/>
    <w:rsid w:val="00762F3A"/>
    <w:rsid w:val="0076330B"/>
    <w:rsid w:val="00763457"/>
    <w:rsid w:val="00763A9F"/>
    <w:rsid w:val="00763AEC"/>
    <w:rsid w:val="00763B39"/>
    <w:rsid w:val="00763BA4"/>
    <w:rsid w:val="00763BB2"/>
    <w:rsid w:val="0076400C"/>
    <w:rsid w:val="00764253"/>
    <w:rsid w:val="0076463A"/>
    <w:rsid w:val="00764824"/>
    <w:rsid w:val="00764A6B"/>
    <w:rsid w:val="00764B50"/>
    <w:rsid w:val="00764F34"/>
    <w:rsid w:val="007655FB"/>
    <w:rsid w:val="007656CF"/>
    <w:rsid w:val="007659BE"/>
    <w:rsid w:val="007659E9"/>
    <w:rsid w:val="00765A3C"/>
    <w:rsid w:val="00765A86"/>
    <w:rsid w:val="00765B83"/>
    <w:rsid w:val="00765BE6"/>
    <w:rsid w:val="00765FEF"/>
    <w:rsid w:val="00766268"/>
    <w:rsid w:val="007662D4"/>
    <w:rsid w:val="00766383"/>
    <w:rsid w:val="0076664D"/>
    <w:rsid w:val="0076672A"/>
    <w:rsid w:val="0076677E"/>
    <w:rsid w:val="007668C0"/>
    <w:rsid w:val="007669C9"/>
    <w:rsid w:val="00766A33"/>
    <w:rsid w:val="00766AAE"/>
    <w:rsid w:val="00766C1A"/>
    <w:rsid w:val="00766D61"/>
    <w:rsid w:val="00766E36"/>
    <w:rsid w:val="00766F31"/>
    <w:rsid w:val="007670BA"/>
    <w:rsid w:val="007670C5"/>
    <w:rsid w:val="00767179"/>
    <w:rsid w:val="00767232"/>
    <w:rsid w:val="00767382"/>
    <w:rsid w:val="0076743A"/>
    <w:rsid w:val="0076773D"/>
    <w:rsid w:val="00767784"/>
    <w:rsid w:val="00767837"/>
    <w:rsid w:val="007679C0"/>
    <w:rsid w:val="00767CA7"/>
    <w:rsid w:val="00767E0D"/>
    <w:rsid w:val="00767E65"/>
    <w:rsid w:val="00770509"/>
    <w:rsid w:val="00770728"/>
    <w:rsid w:val="00770793"/>
    <w:rsid w:val="0077089C"/>
    <w:rsid w:val="00770A2F"/>
    <w:rsid w:val="00770F34"/>
    <w:rsid w:val="007710F5"/>
    <w:rsid w:val="00771176"/>
    <w:rsid w:val="00771222"/>
    <w:rsid w:val="007713C2"/>
    <w:rsid w:val="0077145F"/>
    <w:rsid w:val="007714DE"/>
    <w:rsid w:val="00771763"/>
    <w:rsid w:val="007717DC"/>
    <w:rsid w:val="007718F7"/>
    <w:rsid w:val="00771BF0"/>
    <w:rsid w:val="00771DB7"/>
    <w:rsid w:val="00772129"/>
    <w:rsid w:val="00772234"/>
    <w:rsid w:val="007722A9"/>
    <w:rsid w:val="007722C3"/>
    <w:rsid w:val="0077234D"/>
    <w:rsid w:val="007726ED"/>
    <w:rsid w:val="00772840"/>
    <w:rsid w:val="00772CB4"/>
    <w:rsid w:val="00772ED3"/>
    <w:rsid w:val="00773197"/>
    <w:rsid w:val="007731BA"/>
    <w:rsid w:val="007732D4"/>
    <w:rsid w:val="00773A35"/>
    <w:rsid w:val="00773B3A"/>
    <w:rsid w:val="00773BD1"/>
    <w:rsid w:val="00773C1D"/>
    <w:rsid w:val="00773C33"/>
    <w:rsid w:val="00773D96"/>
    <w:rsid w:val="00774033"/>
    <w:rsid w:val="00774497"/>
    <w:rsid w:val="00774629"/>
    <w:rsid w:val="00774A42"/>
    <w:rsid w:val="00774C09"/>
    <w:rsid w:val="00774D8F"/>
    <w:rsid w:val="00774DA4"/>
    <w:rsid w:val="00774F5A"/>
    <w:rsid w:val="007750A8"/>
    <w:rsid w:val="00775515"/>
    <w:rsid w:val="007758B7"/>
    <w:rsid w:val="0077595D"/>
    <w:rsid w:val="0077599A"/>
    <w:rsid w:val="00775A11"/>
    <w:rsid w:val="00775A6F"/>
    <w:rsid w:val="00775A9C"/>
    <w:rsid w:val="00775CE2"/>
    <w:rsid w:val="00775D3B"/>
    <w:rsid w:val="00775E45"/>
    <w:rsid w:val="00775EF7"/>
    <w:rsid w:val="00776482"/>
    <w:rsid w:val="007767BD"/>
    <w:rsid w:val="00776895"/>
    <w:rsid w:val="007768F0"/>
    <w:rsid w:val="00776931"/>
    <w:rsid w:val="00776B18"/>
    <w:rsid w:val="00776BDF"/>
    <w:rsid w:val="00776DFC"/>
    <w:rsid w:val="00776E40"/>
    <w:rsid w:val="00776E74"/>
    <w:rsid w:val="00776E84"/>
    <w:rsid w:val="00776F81"/>
    <w:rsid w:val="00776FF3"/>
    <w:rsid w:val="007771D7"/>
    <w:rsid w:val="007771EC"/>
    <w:rsid w:val="0077723C"/>
    <w:rsid w:val="0077725F"/>
    <w:rsid w:val="0077754A"/>
    <w:rsid w:val="007777AF"/>
    <w:rsid w:val="00777814"/>
    <w:rsid w:val="00777B25"/>
    <w:rsid w:val="00777BA4"/>
    <w:rsid w:val="00777D32"/>
    <w:rsid w:val="00777FE4"/>
    <w:rsid w:val="00780132"/>
    <w:rsid w:val="00780359"/>
    <w:rsid w:val="0078055C"/>
    <w:rsid w:val="00780AD8"/>
    <w:rsid w:val="00780C0F"/>
    <w:rsid w:val="00780E35"/>
    <w:rsid w:val="00780ED8"/>
    <w:rsid w:val="00781078"/>
    <w:rsid w:val="00781347"/>
    <w:rsid w:val="007813AA"/>
    <w:rsid w:val="00781414"/>
    <w:rsid w:val="0078143E"/>
    <w:rsid w:val="0078161E"/>
    <w:rsid w:val="00781634"/>
    <w:rsid w:val="00781A75"/>
    <w:rsid w:val="00781AC5"/>
    <w:rsid w:val="00781D75"/>
    <w:rsid w:val="00781E36"/>
    <w:rsid w:val="007821BC"/>
    <w:rsid w:val="007821FE"/>
    <w:rsid w:val="007822BB"/>
    <w:rsid w:val="00782328"/>
    <w:rsid w:val="00782390"/>
    <w:rsid w:val="00782556"/>
    <w:rsid w:val="007826CA"/>
    <w:rsid w:val="007826CD"/>
    <w:rsid w:val="00782754"/>
    <w:rsid w:val="00782961"/>
    <w:rsid w:val="007829F1"/>
    <w:rsid w:val="00782B7B"/>
    <w:rsid w:val="00782C2F"/>
    <w:rsid w:val="00782EDF"/>
    <w:rsid w:val="0078329E"/>
    <w:rsid w:val="007833E8"/>
    <w:rsid w:val="007836F6"/>
    <w:rsid w:val="00783F5A"/>
    <w:rsid w:val="00783FE0"/>
    <w:rsid w:val="00784315"/>
    <w:rsid w:val="00784353"/>
    <w:rsid w:val="0078446D"/>
    <w:rsid w:val="00784740"/>
    <w:rsid w:val="00784766"/>
    <w:rsid w:val="00784D4E"/>
    <w:rsid w:val="00784E7F"/>
    <w:rsid w:val="00785169"/>
    <w:rsid w:val="0078534A"/>
    <w:rsid w:val="007854BD"/>
    <w:rsid w:val="007858FE"/>
    <w:rsid w:val="00785A3D"/>
    <w:rsid w:val="00785B23"/>
    <w:rsid w:val="00785B3D"/>
    <w:rsid w:val="00785D85"/>
    <w:rsid w:val="00785EDF"/>
    <w:rsid w:val="00785F1F"/>
    <w:rsid w:val="0078604C"/>
    <w:rsid w:val="00786555"/>
    <w:rsid w:val="0078657C"/>
    <w:rsid w:val="00786799"/>
    <w:rsid w:val="00786B2F"/>
    <w:rsid w:val="00786CAA"/>
    <w:rsid w:val="00786F01"/>
    <w:rsid w:val="00787491"/>
    <w:rsid w:val="007874BC"/>
    <w:rsid w:val="0078790C"/>
    <w:rsid w:val="00787937"/>
    <w:rsid w:val="00787968"/>
    <w:rsid w:val="0078796F"/>
    <w:rsid w:val="00787A4D"/>
    <w:rsid w:val="00787CDB"/>
    <w:rsid w:val="00787EFC"/>
    <w:rsid w:val="00790084"/>
    <w:rsid w:val="00790524"/>
    <w:rsid w:val="0079058A"/>
    <w:rsid w:val="00790945"/>
    <w:rsid w:val="00790DC1"/>
    <w:rsid w:val="00790F4E"/>
    <w:rsid w:val="00790F65"/>
    <w:rsid w:val="00790F7A"/>
    <w:rsid w:val="0079106B"/>
    <w:rsid w:val="007912ED"/>
    <w:rsid w:val="007915A2"/>
    <w:rsid w:val="007918BC"/>
    <w:rsid w:val="00791931"/>
    <w:rsid w:val="007919CC"/>
    <w:rsid w:val="00791B8C"/>
    <w:rsid w:val="00791D07"/>
    <w:rsid w:val="00791D3B"/>
    <w:rsid w:val="00791E08"/>
    <w:rsid w:val="00791F58"/>
    <w:rsid w:val="00792177"/>
    <w:rsid w:val="00792247"/>
    <w:rsid w:val="00792625"/>
    <w:rsid w:val="00792677"/>
    <w:rsid w:val="007927F3"/>
    <w:rsid w:val="0079284C"/>
    <w:rsid w:val="00792B02"/>
    <w:rsid w:val="00792D47"/>
    <w:rsid w:val="00792D73"/>
    <w:rsid w:val="0079312B"/>
    <w:rsid w:val="00793290"/>
    <w:rsid w:val="007935D7"/>
    <w:rsid w:val="00793AC1"/>
    <w:rsid w:val="00793B77"/>
    <w:rsid w:val="00793E06"/>
    <w:rsid w:val="007940DB"/>
    <w:rsid w:val="00794491"/>
    <w:rsid w:val="0079454E"/>
    <w:rsid w:val="00794934"/>
    <w:rsid w:val="0079496B"/>
    <w:rsid w:val="00794970"/>
    <w:rsid w:val="00794BB9"/>
    <w:rsid w:val="00795231"/>
    <w:rsid w:val="007952EB"/>
    <w:rsid w:val="007953D1"/>
    <w:rsid w:val="007953D2"/>
    <w:rsid w:val="007954AB"/>
    <w:rsid w:val="007956B5"/>
    <w:rsid w:val="00795901"/>
    <w:rsid w:val="00795AE6"/>
    <w:rsid w:val="00795D87"/>
    <w:rsid w:val="00795E61"/>
    <w:rsid w:val="007965F2"/>
    <w:rsid w:val="007967BE"/>
    <w:rsid w:val="00796AC5"/>
    <w:rsid w:val="00796C7B"/>
    <w:rsid w:val="00796E62"/>
    <w:rsid w:val="00796EF9"/>
    <w:rsid w:val="007970B6"/>
    <w:rsid w:val="007973D1"/>
    <w:rsid w:val="00797502"/>
    <w:rsid w:val="00797608"/>
    <w:rsid w:val="0079770E"/>
    <w:rsid w:val="00797720"/>
    <w:rsid w:val="00797728"/>
    <w:rsid w:val="007979AA"/>
    <w:rsid w:val="007979B4"/>
    <w:rsid w:val="00797B43"/>
    <w:rsid w:val="00797BA8"/>
    <w:rsid w:val="00797DE7"/>
    <w:rsid w:val="00797EF2"/>
    <w:rsid w:val="007A0034"/>
    <w:rsid w:val="007A0078"/>
    <w:rsid w:val="007A0435"/>
    <w:rsid w:val="007A04A0"/>
    <w:rsid w:val="007A05C3"/>
    <w:rsid w:val="007A067A"/>
    <w:rsid w:val="007A07F2"/>
    <w:rsid w:val="007A09D6"/>
    <w:rsid w:val="007A0D0C"/>
    <w:rsid w:val="007A0DFB"/>
    <w:rsid w:val="007A1089"/>
    <w:rsid w:val="007A1181"/>
    <w:rsid w:val="007A1203"/>
    <w:rsid w:val="007A14C5"/>
    <w:rsid w:val="007A1A11"/>
    <w:rsid w:val="007A1A64"/>
    <w:rsid w:val="007A1E3E"/>
    <w:rsid w:val="007A1E88"/>
    <w:rsid w:val="007A1FC9"/>
    <w:rsid w:val="007A2030"/>
    <w:rsid w:val="007A20C6"/>
    <w:rsid w:val="007A21A0"/>
    <w:rsid w:val="007A21F3"/>
    <w:rsid w:val="007A23EA"/>
    <w:rsid w:val="007A2988"/>
    <w:rsid w:val="007A2B36"/>
    <w:rsid w:val="007A2B5E"/>
    <w:rsid w:val="007A2C09"/>
    <w:rsid w:val="007A2C8D"/>
    <w:rsid w:val="007A2D15"/>
    <w:rsid w:val="007A2DE1"/>
    <w:rsid w:val="007A2E39"/>
    <w:rsid w:val="007A2EE3"/>
    <w:rsid w:val="007A308F"/>
    <w:rsid w:val="007A30C2"/>
    <w:rsid w:val="007A3165"/>
    <w:rsid w:val="007A3592"/>
    <w:rsid w:val="007A35EB"/>
    <w:rsid w:val="007A3895"/>
    <w:rsid w:val="007A3D01"/>
    <w:rsid w:val="007A3E38"/>
    <w:rsid w:val="007A3ED5"/>
    <w:rsid w:val="007A4054"/>
    <w:rsid w:val="007A4234"/>
    <w:rsid w:val="007A4250"/>
    <w:rsid w:val="007A4A10"/>
    <w:rsid w:val="007A4B6C"/>
    <w:rsid w:val="007A4C47"/>
    <w:rsid w:val="007A4DB0"/>
    <w:rsid w:val="007A5181"/>
    <w:rsid w:val="007A52B5"/>
    <w:rsid w:val="007A5484"/>
    <w:rsid w:val="007A5DC5"/>
    <w:rsid w:val="007A61C6"/>
    <w:rsid w:val="007A6260"/>
    <w:rsid w:val="007A627F"/>
    <w:rsid w:val="007A6381"/>
    <w:rsid w:val="007A647C"/>
    <w:rsid w:val="007A6481"/>
    <w:rsid w:val="007A6682"/>
    <w:rsid w:val="007A66E0"/>
    <w:rsid w:val="007A6A7F"/>
    <w:rsid w:val="007A6CF8"/>
    <w:rsid w:val="007A6DC8"/>
    <w:rsid w:val="007A7027"/>
    <w:rsid w:val="007A73F5"/>
    <w:rsid w:val="007A7596"/>
    <w:rsid w:val="007A799B"/>
    <w:rsid w:val="007A7CF2"/>
    <w:rsid w:val="007A7E17"/>
    <w:rsid w:val="007A7FE7"/>
    <w:rsid w:val="007B0268"/>
    <w:rsid w:val="007B02B7"/>
    <w:rsid w:val="007B03D9"/>
    <w:rsid w:val="007B088C"/>
    <w:rsid w:val="007B0B2D"/>
    <w:rsid w:val="007B0C43"/>
    <w:rsid w:val="007B0E35"/>
    <w:rsid w:val="007B1388"/>
    <w:rsid w:val="007B1426"/>
    <w:rsid w:val="007B1599"/>
    <w:rsid w:val="007B15CA"/>
    <w:rsid w:val="007B1760"/>
    <w:rsid w:val="007B17C5"/>
    <w:rsid w:val="007B1858"/>
    <w:rsid w:val="007B1C60"/>
    <w:rsid w:val="007B21D3"/>
    <w:rsid w:val="007B221A"/>
    <w:rsid w:val="007B2453"/>
    <w:rsid w:val="007B24BC"/>
    <w:rsid w:val="007B2572"/>
    <w:rsid w:val="007B25A5"/>
    <w:rsid w:val="007B263B"/>
    <w:rsid w:val="007B28F7"/>
    <w:rsid w:val="007B2918"/>
    <w:rsid w:val="007B2A8A"/>
    <w:rsid w:val="007B2AA8"/>
    <w:rsid w:val="007B2B2F"/>
    <w:rsid w:val="007B2CF8"/>
    <w:rsid w:val="007B3194"/>
    <w:rsid w:val="007B3889"/>
    <w:rsid w:val="007B38BE"/>
    <w:rsid w:val="007B392E"/>
    <w:rsid w:val="007B39D1"/>
    <w:rsid w:val="007B3B01"/>
    <w:rsid w:val="007B3D03"/>
    <w:rsid w:val="007B3EE7"/>
    <w:rsid w:val="007B3F55"/>
    <w:rsid w:val="007B4009"/>
    <w:rsid w:val="007B4055"/>
    <w:rsid w:val="007B419A"/>
    <w:rsid w:val="007B44C9"/>
    <w:rsid w:val="007B45D6"/>
    <w:rsid w:val="007B4909"/>
    <w:rsid w:val="007B4C9F"/>
    <w:rsid w:val="007B5023"/>
    <w:rsid w:val="007B5106"/>
    <w:rsid w:val="007B518A"/>
    <w:rsid w:val="007B524F"/>
    <w:rsid w:val="007B5297"/>
    <w:rsid w:val="007B53C0"/>
    <w:rsid w:val="007B53C7"/>
    <w:rsid w:val="007B5823"/>
    <w:rsid w:val="007B5ED0"/>
    <w:rsid w:val="007B657D"/>
    <w:rsid w:val="007B6776"/>
    <w:rsid w:val="007B69E9"/>
    <w:rsid w:val="007B69F5"/>
    <w:rsid w:val="007B6C18"/>
    <w:rsid w:val="007B6C31"/>
    <w:rsid w:val="007B727F"/>
    <w:rsid w:val="007B7320"/>
    <w:rsid w:val="007B73AE"/>
    <w:rsid w:val="007B73BF"/>
    <w:rsid w:val="007B7960"/>
    <w:rsid w:val="007B7DF1"/>
    <w:rsid w:val="007B7E5F"/>
    <w:rsid w:val="007B7FBA"/>
    <w:rsid w:val="007C012E"/>
    <w:rsid w:val="007C043C"/>
    <w:rsid w:val="007C0470"/>
    <w:rsid w:val="007C04D7"/>
    <w:rsid w:val="007C06D3"/>
    <w:rsid w:val="007C0A1E"/>
    <w:rsid w:val="007C0BA5"/>
    <w:rsid w:val="007C0BFC"/>
    <w:rsid w:val="007C0EC6"/>
    <w:rsid w:val="007C1128"/>
    <w:rsid w:val="007C115A"/>
    <w:rsid w:val="007C12A9"/>
    <w:rsid w:val="007C12AA"/>
    <w:rsid w:val="007C12B9"/>
    <w:rsid w:val="007C14FE"/>
    <w:rsid w:val="007C16EE"/>
    <w:rsid w:val="007C1754"/>
    <w:rsid w:val="007C19DF"/>
    <w:rsid w:val="007C1AB7"/>
    <w:rsid w:val="007C1BBE"/>
    <w:rsid w:val="007C1D84"/>
    <w:rsid w:val="007C1ECF"/>
    <w:rsid w:val="007C1EF5"/>
    <w:rsid w:val="007C1FD7"/>
    <w:rsid w:val="007C20F8"/>
    <w:rsid w:val="007C23B9"/>
    <w:rsid w:val="007C2428"/>
    <w:rsid w:val="007C254A"/>
    <w:rsid w:val="007C2820"/>
    <w:rsid w:val="007C2944"/>
    <w:rsid w:val="007C2A99"/>
    <w:rsid w:val="007C2B86"/>
    <w:rsid w:val="007C304C"/>
    <w:rsid w:val="007C3875"/>
    <w:rsid w:val="007C3950"/>
    <w:rsid w:val="007C3A42"/>
    <w:rsid w:val="007C3A99"/>
    <w:rsid w:val="007C3BD3"/>
    <w:rsid w:val="007C3EFD"/>
    <w:rsid w:val="007C3FB2"/>
    <w:rsid w:val="007C412B"/>
    <w:rsid w:val="007C42E5"/>
    <w:rsid w:val="007C4444"/>
    <w:rsid w:val="007C4781"/>
    <w:rsid w:val="007C47E0"/>
    <w:rsid w:val="007C48EF"/>
    <w:rsid w:val="007C4BED"/>
    <w:rsid w:val="007C4CD0"/>
    <w:rsid w:val="007C4E12"/>
    <w:rsid w:val="007C4F4A"/>
    <w:rsid w:val="007C4F8B"/>
    <w:rsid w:val="007C4FC1"/>
    <w:rsid w:val="007C503A"/>
    <w:rsid w:val="007C51E8"/>
    <w:rsid w:val="007C51ED"/>
    <w:rsid w:val="007C540F"/>
    <w:rsid w:val="007C545D"/>
    <w:rsid w:val="007C56CE"/>
    <w:rsid w:val="007C56D7"/>
    <w:rsid w:val="007C5719"/>
    <w:rsid w:val="007C5C56"/>
    <w:rsid w:val="007C5CCB"/>
    <w:rsid w:val="007C60F5"/>
    <w:rsid w:val="007C6636"/>
    <w:rsid w:val="007C665A"/>
    <w:rsid w:val="007C6933"/>
    <w:rsid w:val="007C69FE"/>
    <w:rsid w:val="007C6B4E"/>
    <w:rsid w:val="007C6C32"/>
    <w:rsid w:val="007C6C80"/>
    <w:rsid w:val="007C6D69"/>
    <w:rsid w:val="007C6D9C"/>
    <w:rsid w:val="007C72FA"/>
    <w:rsid w:val="007C7413"/>
    <w:rsid w:val="007C7597"/>
    <w:rsid w:val="007C76FE"/>
    <w:rsid w:val="007C7893"/>
    <w:rsid w:val="007C789B"/>
    <w:rsid w:val="007C795A"/>
    <w:rsid w:val="007C79E6"/>
    <w:rsid w:val="007C7A18"/>
    <w:rsid w:val="007C7AF1"/>
    <w:rsid w:val="007C7BAC"/>
    <w:rsid w:val="007C7CD6"/>
    <w:rsid w:val="007C7DCD"/>
    <w:rsid w:val="007C7DDB"/>
    <w:rsid w:val="007C7E56"/>
    <w:rsid w:val="007C7EFA"/>
    <w:rsid w:val="007D0071"/>
    <w:rsid w:val="007D0278"/>
    <w:rsid w:val="007D02E1"/>
    <w:rsid w:val="007D054F"/>
    <w:rsid w:val="007D0A08"/>
    <w:rsid w:val="007D0BDB"/>
    <w:rsid w:val="007D0BE4"/>
    <w:rsid w:val="007D0CCB"/>
    <w:rsid w:val="007D10A8"/>
    <w:rsid w:val="007D10B7"/>
    <w:rsid w:val="007D128B"/>
    <w:rsid w:val="007D1625"/>
    <w:rsid w:val="007D16BD"/>
    <w:rsid w:val="007D17E0"/>
    <w:rsid w:val="007D1871"/>
    <w:rsid w:val="007D1BC7"/>
    <w:rsid w:val="007D1C65"/>
    <w:rsid w:val="007D1C93"/>
    <w:rsid w:val="007D1F55"/>
    <w:rsid w:val="007D2476"/>
    <w:rsid w:val="007D2491"/>
    <w:rsid w:val="007D2601"/>
    <w:rsid w:val="007D264B"/>
    <w:rsid w:val="007D26CB"/>
    <w:rsid w:val="007D2764"/>
    <w:rsid w:val="007D2C86"/>
    <w:rsid w:val="007D2CC7"/>
    <w:rsid w:val="007D2F4D"/>
    <w:rsid w:val="007D2F74"/>
    <w:rsid w:val="007D308A"/>
    <w:rsid w:val="007D3093"/>
    <w:rsid w:val="007D30B2"/>
    <w:rsid w:val="007D31E1"/>
    <w:rsid w:val="007D3354"/>
    <w:rsid w:val="007D34EA"/>
    <w:rsid w:val="007D3AF5"/>
    <w:rsid w:val="007D3BAB"/>
    <w:rsid w:val="007D3C5A"/>
    <w:rsid w:val="007D3D89"/>
    <w:rsid w:val="007D3E5A"/>
    <w:rsid w:val="007D3F6E"/>
    <w:rsid w:val="007D3F71"/>
    <w:rsid w:val="007D40F7"/>
    <w:rsid w:val="007D4114"/>
    <w:rsid w:val="007D4240"/>
    <w:rsid w:val="007D4331"/>
    <w:rsid w:val="007D4363"/>
    <w:rsid w:val="007D43B8"/>
    <w:rsid w:val="007D44FA"/>
    <w:rsid w:val="007D4A71"/>
    <w:rsid w:val="007D4E50"/>
    <w:rsid w:val="007D52BC"/>
    <w:rsid w:val="007D53F0"/>
    <w:rsid w:val="007D56BB"/>
    <w:rsid w:val="007D58F7"/>
    <w:rsid w:val="007D595E"/>
    <w:rsid w:val="007D5998"/>
    <w:rsid w:val="007D599D"/>
    <w:rsid w:val="007D5A3D"/>
    <w:rsid w:val="007D5E5C"/>
    <w:rsid w:val="007D5FB8"/>
    <w:rsid w:val="007D6305"/>
    <w:rsid w:val="007D6546"/>
    <w:rsid w:val="007D6616"/>
    <w:rsid w:val="007D671E"/>
    <w:rsid w:val="007D673D"/>
    <w:rsid w:val="007D677F"/>
    <w:rsid w:val="007D6C56"/>
    <w:rsid w:val="007D6F87"/>
    <w:rsid w:val="007D6FC6"/>
    <w:rsid w:val="007D7107"/>
    <w:rsid w:val="007D736F"/>
    <w:rsid w:val="007D7599"/>
    <w:rsid w:val="007D77CE"/>
    <w:rsid w:val="007D7826"/>
    <w:rsid w:val="007D78C0"/>
    <w:rsid w:val="007D7BA9"/>
    <w:rsid w:val="007D7DB1"/>
    <w:rsid w:val="007D7DCF"/>
    <w:rsid w:val="007D7EB4"/>
    <w:rsid w:val="007D7EC0"/>
    <w:rsid w:val="007E012A"/>
    <w:rsid w:val="007E0341"/>
    <w:rsid w:val="007E04FB"/>
    <w:rsid w:val="007E0620"/>
    <w:rsid w:val="007E081C"/>
    <w:rsid w:val="007E0981"/>
    <w:rsid w:val="007E0AD0"/>
    <w:rsid w:val="007E0AF5"/>
    <w:rsid w:val="007E0F27"/>
    <w:rsid w:val="007E10B9"/>
    <w:rsid w:val="007E12C6"/>
    <w:rsid w:val="007E1408"/>
    <w:rsid w:val="007E14C1"/>
    <w:rsid w:val="007E14DE"/>
    <w:rsid w:val="007E15AD"/>
    <w:rsid w:val="007E16C2"/>
    <w:rsid w:val="007E16C7"/>
    <w:rsid w:val="007E1749"/>
    <w:rsid w:val="007E174C"/>
    <w:rsid w:val="007E1973"/>
    <w:rsid w:val="007E1FBB"/>
    <w:rsid w:val="007E1FF0"/>
    <w:rsid w:val="007E22A5"/>
    <w:rsid w:val="007E2313"/>
    <w:rsid w:val="007E2399"/>
    <w:rsid w:val="007E259F"/>
    <w:rsid w:val="007E25C3"/>
    <w:rsid w:val="007E25DE"/>
    <w:rsid w:val="007E2650"/>
    <w:rsid w:val="007E2695"/>
    <w:rsid w:val="007E280A"/>
    <w:rsid w:val="007E2919"/>
    <w:rsid w:val="007E29FE"/>
    <w:rsid w:val="007E2A41"/>
    <w:rsid w:val="007E2BB3"/>
    <w:rsid w:val="007E2D3B"/>
    <w:rsid w:val="007E30FC"/>
    <w:rsid w:val="007E3193"/>
    <w:rsid w:val="007E3291"/>
    <w:rsid w:val="007E3392"/>
    <w:rsid w:val="007E33A4"/>
    <w:rsid w:val="007E37EA"/>
    <w:rsid w:val="007E3943"/>
    <w:rsid w:val="007E3C8C"/>
    <w:rsid w:val="007E3D54"/>
    <w:rsid w:val="007E420A"/>
    <w:rsid w:val="007E4590"/>
    <w:rsid w:val="007E4601"/>
    <w:rsid w:val="007E4893"/>
    <w:rsid w:val="007E49CD"/>
    <w:rsid w:val="007E4A8F"/>
    <w:rsid w:val="007E4AE0"/>
    <w:rsid w:val="007E4B22"/>
    <w:rsid w:val="007E4C28"/>
    <w:rsid w:val="007E4F53"/>
    <w:rsid w:val="007E5511"/>
    <w:rsid w:val="007E553A"/>
    <w:rsid w:val="007E5616"/>
    <w:rsid w:val="007E5B12"/>
    <w:rsid w:val="007E5BDD"/>
    <w:rsid w:val="007E5CCA"/>
    <w:rsid w:val="007E5E29"/>
    <w:rsid w:val="007E628B"/>
    <w:rsid w:val="007E6489"/>
    <w:rsid w:val="007E658F"/>
    <w:rsid w:val="007E66B0"/>
    <w:rsid w:val="007E66C8"/>
    <w:rsid w:val="007E68A5"/>
    <w:rsid w:val="007E68CC"/>
    <w:rsid w:val="007E698F"/>
    <w:rsid w:val="007E6C89"/>
    <w:rsid w:val="007E6DAD"/>
    <w:rsid w:val="007E6DF2"/>
    <w:rsid w:val="007E6FB2"/>
    <w:rsid w:val="007E76AF"/>
    <w:rsid w:val="007E76D3"/>
    <w:rsid w:val="007E78EB"/>
    <w:rsid w:val="007E7980"/>
    <w:rsid w:val="007E79C9"/>
    <w:rsid w:val="007E7C25"/>
    <w:rsid w:val="007E7EBF"/>
    <w:rsid w:val="007F01EE"/>
    <w:rsid w:val="007F041B"/>
    <w:rsid w:val="007F057F"/>
    <w:rsid w:val="007F0726"/>
    <w:rsid w:val="007F074D"/>
    <w:rsid w:val="007F0892"/>
    <w:rsid w:val="007F09F4"/>
    <w:rsid w:val="007F0EA5"/>
    <w:rsid w:val="007F1509"/>
    <w:rsid w:val="007F15C0"/>
    <w:rsid w:val="007F18CC"/>
    <w:rsid w:val="007F1946"/>
    <w:rsid w:val="007F1A71"/>
    <w:rsid w:val="007F1AEA"/>
    <w:rsid w:val="007F1D28"/>
    <w:rsid w:val="007F1E63"/>
    <w:rsid w:val="007F2032"/>
    <w:rsid w:val="007F2220"/>
    <w:rsid w:val="007F2568"/>
    <w:rsid w:val="007F290E"/>
    <w:rsid w:val="007F2A81"/>
    <w:rsid w:val="007F2B04"/>
    <w:rsid w:val="007F2B63"/>
    <w:rsid w:val="007F2CDB"/>
    <w:rsid w:val="007F2EF1"/>
    <w:rsid w:val="007F30FF"/>
    <w:rsid w:val="007F3227"/>
    <w:rsid w:val="007F366A"/>
    <w:rsid w:val="007F37BF"/>
    <w:rsid w:val="007F3833"/>
    <w:rsid w:val="007F390D"/>
    <w:rsid w:val="007F3A88"/>
    <w:rsid w:val="007F3AB8"/>
    <w:rsid w:val="007F3ABB"/>
    <w:rsid w:val="007F3DA9"/>
    <w:rsid w:val="007F3FC3"/>
    <w:rsid w:val="007F40D2"/>
    <w:rsid w:val="007F40FD"/>
    <w:rsid w:val="007F41C2"/>
    <w:rsid w:val="007F44F9"/>
    <w:rsid w:val="007F4534"/>
    <w:rsid w:val="007F47A8"/>
    <w:rsid w:val="007F496F"/>
    <w:rsid w:val="007F49DD"/>
    <w:rsid w:val="007F4B3E"/>
    <w:rsid w:val="007F4EBD"/>
    <w:rsid w:val="007F4EE9"/>
    <w:rsid w:val="007F51BE"/>
    <w:rsid w:val="007F588A"/>
    <w:rsid w:val="007F5980"/>
    <w:rsid w:val="007F5B26"/>
    <w:rsid w:val="007F5C87"/>
    <w:rsid w:val="007F5CE3"/>
    <w:rsid w:val="007F5DE7"/>
    <w:rsid w:val="007F5E93"/>
    <w:rsid w:val="007F5E98"/>
    <w:rsid w:val="007F5F9D"/>
    <w:rsid w:val="007F5FAB"/>
    <w:rsid w:val="007F60D2"/>
    <w:rsid w:val="007F63D2"/>
    <w:rsid w:val="007F6541"/>
    <w:rsid w:val="007F66E9"/>
    <w:rsid w:val="007F6907"/>
    <w:rsid w:val="007F69C4"/>
    <w:rsid w:val="007F6D0A"/>
    <w:rsid w:val="007F6E61"/>
    <w:rsid w:val="007F6FDD"/>
    <w:rsid w:val="007F74B3"/>
    <w:rsid w:val="007F799C"/>
    <w:rsid w:val="007F79CF"/>
    <w:rsid w:val="007F7BC1"/>
    <w:rsid w:val="007F7CCB"/>
    <w:rsid w:val="007F7F9B"/>
    <w:rsid w:val="0080018B"/>
    <w:rsid w:val="00800589"/>
    <w:rsid w:val="00800965"/>
    <w:rsid w:val="008009AF"/>
    <w:rsid w:val="00800A54"/>
    <w:rsid w:val="00800BEE"/>
    <w:rsid w:val="00800D0F"/>
    <w:rsid w:val="00800DF5"/>
    <w:rsid w:val="00800E6F"/>
    <w:rsid w:val="00801081"/>
    <w:rsid w:val="00801307"/>
    <w:rsid w:val="008013FA"/>
    <w:rsid w:val="0080173E"/>
    <w:rsid w:val="00801896"/>
    <w:rsid w:val="00801A6B"/>
    <w:rsid w:val="00801C01"/>
    <w:rsid w:val="00801C02"/>
    <w:rsid w:val="008021E8"/>
    <w:rsid w:val="00802278"/>
    <w:rsid w:val="00802321"/>
    <w:rsid w:val="0080233F"/>
    <w:rsid w:val="008023F7"/>
    <w:rsid w:val="00802598"/>
    <w:rsid w:val="0080268E"/>
    <w:rsid w:val="008026C9"/>
    <w:rsid w:val="008027CD"/>
    <w:rsid w:val="00802815"/>
    <w:rsid w:val="008028B7"/>
    <w:rsid w:val="00802937"/>
    <w:rsid w:val="00802D16"/>
    <w:rsid w:val="00802FB0"/>
    <w:rsid w:val="008031A8"/>
    <w:rsid w:val="00803413"/>
    <w:rsid w:val="0080345D"/>
    <w:rsid w:val="008034DF"/>
    <w:rsid w:val="00803532"/>
    <w:rsid w:val="0080363E"/>
    <w:rsid w:val="0080369E"/>
    <w:rsid w:val="00803A80"/>
    <w:rsid w:val="00803BBF"/>
    <w:rsid w:val="00803CBD"/>
    <w:rsid w:val="00803CDC"/>
    <w:rsid w:val="00803DED"/>
    <w:rsid w:val="008042FF"/>
    <w:rsid w:val="00804318"/>
    <w:rsid w:val="008044A3"/>
    <w:rsid w:val="0080476A"/>
    <w:rsid w:val="0080477D"/>
    <w:rsid w:val="008047EC"/>
    <w:rsid w:val="00804B24"/>
    <w:rsid w:val="008055C7"/>
    <w:rsid w:val="008056EE"/>
    <w:rsid w:val="008056F2"/>
    <w:rsid w:val="0080571C"/>
    <w:rsid w:val="00805B58"/>
    <w:rsid w:val="00805BF5"/>
    <w:rsid w:val="00805C7D"/>
    <w:rsid w:val="00805ED2"/>
    <w:rsid w:val="00805F69"/>
    <w:rsid w:val="00805FA6"/>
    <w:rsid w:val="008062DA"/>
    <w:rsid w:val="00806802"/>
    <w:rsid w:val="008068A5"/>
    <w:rsid w:val="008068DD"/>
    <w:rsid w:val="00806B23"/>
    <w:rsid w:val="00806BCB"/>
    <w:rsid w:val="00806C23"/>
    <w:rsid w:val="00806D69"/>
    <w:rsid w:val="00806E07"/>
    <w:rsid w:val="00807060"/>
    <w:rsid w:val="00807162"/>
    <w:rsid w:val="00807187"/>
    <w:rsid w:val="008075FE"/>
    <w:rsid w:val="008076E8"/>
    <w:rsid w:val="00807772"/>
    <w:rsid w:val="00807987"/>
    <w:rsid w:val="00807CA2"/>
    <w:rsid w:val="00807EAD"/>
    <w:rsid w:val="00807F68"/>
    <w:rsid w:val="00810150"/>
    <w:rsid w:val="008102AE"/>
    <w:rsid w:val="00810396"/>
    <w:rsid w:val="00810A6A"/>
    <w:rsid w:val="00810BDA"/>
    <w:rsid w:val="00810CF3"/>
    <w:rsid w:val="00810F38"/>
    <w:rsid w:val="008113F5"/>
    <w:rsid w:val="00811608"/>
    <w:rsid w:val="00811731"/>
    <w:rsid w:val="008117C1"/>
    <w:rsid w:val="00811858"/>
    <w:rsid w:val="00811A3A"/>
    <w:rsid w:val="00811AC4"/>
    <w:rsid w:val="00811C16"/>
    <w:rsid w:val="00812093"/>
    <w:rsid w:val="00812253"/>
    <w:rsid w:val="008127A9"/>
    <w:rsid w:val="008127AF"/>
    <w:rsid w:val="008129AB"/>
    <w:rsid w:val="00812AC7"/>
    <w:rsid w:val="00812AFC"/>
    <w:rsid w:val="00812B46"/>
    <w:rsid w:val="00812BB6"/>
    <w:rsid w:val="00812D23"/>
    <w:rsid w:val="0081305B"/>
    <w:rsid w:val="0081347A"/>
    <w:rsid w:val="008136A6"/>
    <w:rsid w:val="00813714"/>
    <w:rsid w:val="00813766"/>
    <w:rsid w:val="008138A4"/>
    <w:rsid w:val="0081394E"/>
    <w:rsid w:val="00813A62"/>
    <w:rsid w:val="00813EAD"/>
    <w:rsid w:val="00813FE1"/>
    <w:rsid w:val="0081407C"/>
    <w:rsid w:val="0081419F"/>
    <w:rsid w:val="00814451"/>
    <w:rsid w:val="00814552"/>
    <w:rsid w:val="0081488F"/>
    <w:rsid w:val="008149AA"/>
    <w:rsid w:val="00814B68"/>
    <w:rsid w:val="00814D74"/>
    <w:rsid w:val="00814F35"/>
    <w:rsid w:val="00814FF5"/>
    <w:rsid w:val="00815018"/>
    <w:rsid w:val="00815395"/>
    <w:rsid w:val="008154F1"/>
    <w:rsid w:val="00815652"/>
    <w:rsid w:val="008156AF"/>
    <w:rsid w:val="00815700"/>
    <w:rsid w:val="00815A2A"/>
    <w:rsid w:val="00815B72"/>
    <w:rsid w:val="00815D67"/>
    <w:rsid w:val="00815E29"/>
    <w:rsid w:val="008161C8"/>
    <w:rsid w:val="0081622A"/>
    <w:rsid w:val="0081625E"/>
    <w:rsid w:val="00816264"/>
    <w:rsid w:val="00816449"/>
    <w:rsid w:val="008164B1"/>
    <w:rsid w:val="0081668E"/>
    <w:rsid w:val="008166ED"/>
    <w:rsid w:val="00816B8A"/>
    <w:rsid w:val="00816E21"/>
    <w:rsid w:val="008171D4"/>
    <w:rsid w:val="008173E9"/>
    <w:rsid w:val="0081776D"/>
    <w:rsid w:val="008177A9"/>
    <w:rsid w:val="0081781C"/>
    <w:rsid w:val="008178DD"/>
    <w:rsid w:val="00817A2A"/>
    <w:rsid w:val="00817A5F"/>
    <w:rsid w:val="00817AA3"/>
    <w:rsid w:val="00817AB4"/>
    <w:rsid w:val="00817B4D"/>
    <w:rsid w:val="00817B70"/>
    <w:rsid w:val="00817C6C"/>
    <w:rsid w:val="00817E06"/>
    <w:rsid w:val="00820099"/>
    <w:rsid w:val="0082032B"/>
    <w:rsid w:val="00820340"/>
    <w:rsid w:val="00820348"/>
    <w:rsid w:val="0082034F"/>
    <w:rsid w:val="00820450"/>
    <w:rsid w:val="00820539"/>
    <w:rsid w:val="008205F8"/>
    <w:rsid w:val="00820638"/>
    <w:rsid w:val="008206AF"/>
    <w:rsid w:val="008206C0"/>
    <w:rsid w:val="0082073E"/>
    <w:rsid w:val="00820B80"/>
    <w:rsid w:val="00820D15"/>
    <w:rsid w:val="00820F81"/>
    <w:rsid w:val="0082115B"/>
    <w:rsid w:val="00821603"/>
    <w:rsid w:val="008216D5"/>
    <w:rsid w:val="00821C33"/>
    <w:rsid w:val="00821C72"/>
    <w:rsid w:val="00821F97"/>
    <w:rsid w:val="008221E4"/>
    <w:rsid w:val="0082222A"/>
    <w:rsid w:val="008222D6"/>
    <w:rsid w:val="00822396"/>
    <w:rsid w:val="008225CC"/>
    <w:rsid w:val="008228DD"/>
    <w:rsid w:val="008228E6"/>
    <w:rsid w:val="0082304A"/>
    <w:rsid w:val="00823195"/>
    <w:rsid w:val="008232BF"/>
    <w:rsid w:val="008237E5"/>
    <w:rsid w:val="00823E85"/>
    <w:rsid w:val="00823EA2"/>
    <w:rsid w:val="00824035"/>
    <w:rsid w:val="00824048"/>
    <w:rsid w:val="008243B0"/>
    <w:rsid w:val="00824432"/>
    <w:rsid w:val="008244B9"/>
    <w:rsid w:val="00824546"/>
    <w:rsid w:val="00824A1A"/>
    <w:rsid w:val="00824BAC"/>
    <w:rsid w:val="00824EC4"/>
    <w:rsid w:val="00825068"/>
    <w:rsid w:val="0082511E"/>
    <w:rsid w:val="00825197"/>
    <w:rsid w:val="0082527D"/>
    <w:rsid w:val="008252DD"/>
    <w:rsid w:val="0082533E"/>
    <w:rsid w:val="008254E6"/>
    <w:rsid w:val="008255A4"/>
    <w:rsid w:val="008256F7"/>
    <w:rsid w:val="00825726"/>
    <w:rsid w:val="00825AED"/>
    <w:rsid w:val="008264EB"/>
    <w:rsid w:val="008264F1"/>
    <w:rsid w:val="00826559"/>
    <w:rsid w:val="00826638"/>
    <w:rsid w:val="008266C2"/>
    <w:rsid w:val="0082690C"/>
    <w:rsid w:val="00826A65"/>
    <w:rsid w:val="00826B8F"/>
    <w:rsid w:val="00826BAF"/>
    <w:rsid w:val="00827028"/>
    <w:rsid w:val="0082726D"/>
    <w:rsid w:val="008275FF"/>
    <w:rsid w:val="00827629"/>
    <w:rsid w:val="00827A73"/>
    <w:rsid w:val="00827B6B"/>
    <w:rsid w:val="008303AD"/>
    <w:rsid w:val="008304B9"/>
    <w:rsid w:val="0083064A"/>
    <w:rsid w:val="00830802"/>
    <w:rsid w:val="00830EF5"/>
    <w:rsid w:val="00831027"/>
    <w:rsid w:val="0083109B"/>
    <w:rsid w:val="00831314"/>
    <w:rsid w:val="00831685"/>
    <w:rsid w:val="00831747"/>
    <w:rsid w:val="00831ACA"/>
    <w:rsid w:val="00831E8A"/>
    <w:rsid w:val="00831F1D"/>
    <w:rsid w:val="00831F43"/>
    <w:rsid w:val="008321FD"/>
    <w:rsid w:val="00832AD1"/>
    <w:rsid w:val="0083314D"/>
    <w:rsid w:val="00833153"/>
    <w:rsid w:val="00833284"/>
    <w:rsid w:val="0083344B"/>
    <w:rsid w:val="00833A8D"/>
    <w:rsid w:val="00833A94"/>
    <w:rsid w:val="00833BE3"/>
    <w:rsid w:val="00833C9D"/>
    <w:rsid w:val="00833F92"/>
    <w:rsid w:val="00833F96"/>
    <w:rsid w:val="0083408E"/>
    <w:rsid w:val="008340F0"/>
    <w:rsid w:val="0083427A"/>
    <w:rsid w:val="0083461F"/>
    <w:rsid w:val="008349ED"/>
    <w:rsid w:val="00834A63"/>
    <w:rsid w:val="00834ED6"/>
    <w:rsid w:val="00834F3C"/>
    <w:rsid w:val="00834FB0"/>
    <w:rsid w:val="008350ED"/>
    <w:rsid w:val="008354DD"/>
    <w:rsid w:val="0083561B"/>
    <w:rsid w:val="00835830"/>
    <w:rsid w:val="00835A37"/>
    <w:rsid w:val="00835B7D"/>
    <w:rsid w:val="00835C76"/>
    <w:rsid w:val="00835E6B"/>
    <w:rsid w:val="0083605E"/>
    <w:rsid w:val="0083633F"/>
    <w:rsid w:val="0083636F"/>
    <w:rsid w:val="00836620"/>
    <w:rsid w:val="00836B9A"/>
    <w:rsid w:val="00836C4B"/>
    <w:rsid w:val="00836D1A"/>
    <w:rsid w:val="008373CB"/>
    <w:rsid w:val="008374ED"/>
    <w:rsid w:val="00837DEC"/>
    <w:rsid w:val="00840076"/>
    <w:rsid w:val="00840260"/>
    <w:rsid w:val="008403CF"/>
    <w:rsid w:val="008408C6"/>
    <w:rsid w:val="008408F5"/>
    <w:rsid w:val="00840F36"/>
    <w:rsid w:val="0084102F"/>
    <w:rsid w:val="008410D2"/>
    <w:rsid w:val="00841494"/>
    <w:rsid w:val="008415AF"/>
    <w:rsid w:val="00841A4D"/>
    <w:rsid w:val="00841DEF"/>
    <w:rsid w:val="00841F76"/>
    <w:rsid w:val="008421ED"/>
    <w:rsid w:val="0084240A"/>
    <w:rsid w:val="008426E7"/>
    <w:rsid w:val="00842843"/>
    <w:rsid w:val="00842C2C"/>
    <w:rsid w:val="00842EF0"/>
    <w:rsid w:val="00842F59"/>
    <w:rsid w:val="00842FB8"/>
    <w:rsid w:val="00843049"/>
    <w:rsid w:val="008432C1"/>
    <w:rsid w:val="00843566"/>
    <w:rsid w:val="0084386D"/>
    <w:rsid w:val="00843962"/>
    <w:rsid w:val="008441A2"/>
    <w:rsid w:val="008443C0"/>
    <w:rsid w:val="00844A69"/>
    <w:rsid w:val="00844E2C"/>
    <w:rsid w:val="00844ED3"/>
    <w:rsid w:val="00844F7B"/>
    <w:rsid w:val="00845006"/>
    <w:rsid w:val="0084503D"/>
    <w:rsid w:val="008450AA"/>
    <w:rsid w:val="008452CB"/>
    <w:rsid w:val="008453D1"/>
    <w:rsid w:val="008453E7"/>
    <w:rsid w:val="008455AA"/>
    <w:rsid w:val="0084562D"/>
    <w:rsid w:val="00845645"/>
    <w:rsid w:val="0084568F"/>
    <w:rsid w:val="00845D76"/>
    <w:rsid w:val="00845DEF"/>
    <w:rsid w:val="0084663D"/>
    <w:rsid w:val="00846883"/>
    <w:rsid w:val="008468B2"/>
    <w:rsid w:val="00846B78"/>
    <w:rsid w:val="00846B9B"/>
    <w:rsid w:val="00847042"/>
    <w:rsid w:val="0084731B"/>
    <w:rsid w:val="00847362"/>
    <w:rsid w:val="0084744F"/>
    <w:rsid w:val="00847ABC"/>
    <w:rsid w:val="00847CBB"/>
    <w:rsid w:val="00847D1D"/>
    <w:rsid w:val="0085068F"/>
    <w:rsid w:val="008509AC"/>
    <w:rsid w:val="00850B03"/>
    <w:rsid w:val="00850B63"/>
    <w:rsid w:val="00850ECF"/>
    <w:rsid w:val="00851004"/>
    <w:rsid w:val="008511B0"/>
    <w:rsid w:val="00851397"/>
    <w:rsid w:val="00851467"/>
    <w:rsid w:val="008514A1"/>
    <w:rsid w:val="00851598"/>
    <w:rsid w:val="008516A9"/>
    <w:rsid w:val="00851DA4"/>
    <w:rsid w:val="0085209B"/>
    <w:rsid w:val="008520E6"/>
    <w:rsid w:val="00852221"/>
    <w:rsid w:val="008529F6"/>
    <w:rsid w:val="00852A3B"/>
    <w:rsid w:val="00852B47"/>
    <w:rsid w:val="00852B78"/>
    <w:rsid w:val="00852F53"/>
    <w:rsid w:val="00853026"/>
    <w:rsid w:val="0085317F"/>
    <w:rsid w:val="008531F3"/>
    <w:rsid w:val="00853298"/>
    <w:rsid w:val="008535C2"/>
    <w:rsid w:val="00853742"/>
    <w:rsid w:val="008538D3"/>
    <w:rsid w:val="00853DD2"/>
    <w:rsid w:val="00853FB5"/>
    <w:rsid w:val="0085417C"/>
    <w:rsid w:val="00854611"/>
    <w:rsid w:val="008546E7"/>
    <w:rsid w:val="00854946"/>
    <w:rsid w:val="00854A63"/>
    <w:rsid w:val="00854B64"/>
    <w:rsid w:val="00854C6B"/>
    <w:rsid w:val="00854C8A"/>
    <w:rsid w:val="008550BC"/>
    <w:rsid w:val="0085516E"/>
    <w:rsid w:val="00855223"/>
    <w:rsid w:val="00855487"/>
    <w:rsid w:val="0085565A"/>
    <w:rsid w:val="00855864"/>
    <w:rsid w:val="00855A76"/>
    <w:rsid w:val="00855B40"/>
    <w:rsid w:val="00855E13"/>
    <w:rsid w:val="008562BC"/>
    <w:rsid w:val="008563E9"/>
    <w:rsid w:val="008564CB"/>
    <w:rsid w:val="00856502"/>
    <w:rsid w:val="00856691"/>
    <w:rsid w:val="00856B66"/>
    <w:rsid w:val="00856F21"/>
    <w:rsid w:val="00856F4F"/>
    <w:rsid w:val="0085705E"/>
    <w:rsid w:val="0085725D"/>
    <w:rsid w:val="00857260"/>
    <w:rsid w:val="00857466"/>
    <w:rsid w:val="008574BD"/>
    <w:rsid w:val="008574CF"/>
    <w:rsid w:val="00857636"/>
    <w:rsid w:val="00857C40"/>
    <w:rsid w:val="00857CD7"/>
    <w:rsid w:val="00860021"/>
    <w:rsid w:val="00860068"/>
    <w:rsid w:val="0086009C"/>
    <w:rsid w:val="008600F3"/>
    <w:rsid w:val="008609A5"/>
    <w:rsid w:val="00860A32"/>
    <w:rsid w:val="00860B56"/>
    <w:rsid w:val="00860E6E"/>
    <w:rsid w:val="00860E98"/>
    <w:rsid w:val="00861074"/>
    <w:rsid w:val="008610D3"/>
    <w:rsid w:val="008614F8"/>
    <w:rsid w:val="0086168E"/>
    <w:rsid w:val="00861755"/>
    <w:rsid w:val="00861833"/>
    <w:rsid w:val="0086185B"/>
    <w:rsid w:val="00861A5F"/>
    <w:rsid w:val="00861B02"/>
    <w:rsid w:val="00861C7A"/>
    <w:rsid w:val="00861CEB"/>
    <w:rsid w:val="00861DD7"/>
    <w:rsid w:val="00861E75"/>
    <w:rsid w:val="0086257D"/>
    <w:rsid w:val="0086270A"/>
    <w:rsid w:val="00862794"/>
    <w:rsid w:val="0086282F"/>
    <w:rsid w:val="00862DBB"/>
    <w:rsid w:val="00862E23"/>
    <w:rsid w:val="00862E51"/>
    <w:rsid w:val="00863134"/>
    <w:rsid w:val="008632E6"/>
    <w:rsid w:val="008632F0"/>
    <w:rsid w:val="00863827"/>
    <w:rsid w:val="00863853"/>
    <w:rsid w:val="00863AD4"/>
    <w:rsid w:val="0086406B"/>
    <w:rsid w:val="0086425A"/>
    <w:rsid w:val="00864268"/>
    <w:rsid w:val="008644AD"/>
    <w:rsid w:val="00864674"/>
    <w:rsid w:val="0086471B"/>
    <w:rsid w:val="00864985"/>
    <w:rsid w:val="00864AC3"/>
    <w:rsid w:val="00864E0B"/>
    <w:rsid w:val="00864EDB"/>
    <w:rsid w:val="00864F82"/>
    <w:rsid w:val="00865055"/>
    <w:rsid w:val="008650D0"/>
    <w:rsid w:val="00865205"/>
    <w:rsid w:val="008653A2"/>
    <w:rsid w:val="008653DF"/>
    <w:rsid w:val="00865735"/>
    <w:rsid w:val="00865808"/>
    <w:rsid w:val="0086590E"/>
    <w:rsid w:val="00865B9D"/>
    <w:rsid w:val="00865DDB"/>
    <w:rsid w:val="00866084"/>
    <w:rsid w:val="0086634A"/>
    <w:rsid w:val="00866421"/>
    <w:rsid w:val="00866657"/>
    <w:rsid w:val="008667E4"/>
    <w:rsid w:val="0086689D"/>
    <w:rsid w:val="008669F0"/>
    <w:rsid w:val="008669FF"/>
    <w:rsid w:val="00866EE8"/>
    <w:rsid w:val="00866FE5"/>
    <w:rsid w:val="00867332"/>
    <w:rsid w:val="00867411"/>
    <w:rsid w:val="00867538"/>
    <w:rsid w:val="0086765C"/>
    <w:rsid w:val="008679EC"/>
    <w:rsid w:val="00867ADE"/>
    <w:rsid w:val="00870087"/>
    <w:rsid w:val="008700CC"/>
    <w:rsid w:val="008701D6"/>
    <w:rsid w:val="00870347"/>
    <w:rsid w:val="008703AF"/>
    <w:rsid w:val="00870981"/>
    <w:rsid w:val="00870999"/>
    <w:rsid w:val="008713B9"/>
    <w:rsid w:val="0087144D"/>
    <w:rsid w:val="0087186E"/>
    <w:rsid w:val="00871C57"/>
    <w:rsid w:val="00871D6E"/>
    <w:rsid w:val="00871DF2"/>
    <w:rsid w:val="00872098"/>
    <w:rsid w:val="0087242C"/>
    <w:rsid w:val="0087242E"/>
    <w:rsid w:val="008724D8"/>
    <w:rsid w:val="008724FB"/>
    <w:rsid w:val="008726E3"/>
    <w:rsid w:val="008729CB"/>
    <w:rsid w:val="00872CA5"/>
    <w:rsid w:val="00872E20"/>
    <w:rsid w:val="00872E40"/>
    <w:rsid w:val="0087319C"/>
    <w:rsid w:val="00873307"/>
    <w:rsid w:val="008735B0"/>
    <w:rsid w:val="00873745"/>
    <w:rsid w:val="008737B1"/>
    <w:rsid w:val="008737C7"/>
    <w:rsid w:val="00873CEF"/>
    <w:rsid w:val="00873D90"/>
    <w:rsid w:val="00873DBE"/>
    <w:rsid w:val="00873FC8"/>
    <w:rsid w:val="008740B0"/>
    <w:rsid w:val="0087410B"/>
    <w:rsid w:val="00874228"/>
    <w:rsid w:val="0087429D"/>
    <w:rsid w:val="008746F4"/>
    <w:rsid w:val="00874727"/>
    <w:rsid w:val="0087478B"/>
    <w:rsid w:val="00874862"/>
    <w:rsid w:val="00874B43"/>
    <w:rsid w:val="00874BAE"/>
    <w:rsid w:val="008752CE"/>
    <w:rsid w:val="00875634"/>
    <w:rsid w:val="00875746"/>
    <w:rsid w:val="00875811"/>
    <w:rsid w:val="00875889"/>
    <w:rsid w:val="00875A37"/>
    <w:rsid w:val="00875A7D"/>
    <w:rsid w:val="00875C12"/>
    <w:rsid w:val="00875C71"/>
    <w:rsid w:val="0087650A"/>
    <w:rsid w:val="008765B1"/>
    <w:rsid w:val="008766DF"/>
    <w:rsid w:val="0087680E"/>
    <w:rsid w:val="00876991"/>
    <w:rsid w:val="00876C9F"/>
    <w:rsid w:val="00876D65"/>
    <w:rsid w:val="00876E52"/>
    <w:rsid w:val="00876FD5"/>
    <w:rsid w:val="00877BDA"/>
    <w:rsid w:val="00877C54"/>
    <w:rsid w:val="00877CC0"/>
    <w:rsid w:val="00877CD3"/>
    <w:rsid w:val="00877DA8"/>
    <w:rsid w:val="00877DDF"/>
    <w:rsid w:val="00877E0C"/>
    <w:rsid w:val="00877E1B"/>
    <w:rsid w:val="00877E1F"/>
    <w:rsid w:val="00880024"/>
    <w:rsid w:val="00880036"/>
    <w:rsid w:val="008801E9"/>
    <w:rsid w:val="008804FE"/>
    <w:rsid w:val="0088065E"/>
    <w:rsid w:val="00880B0C"/>
    <w:rsid w:val="00880BF9"/>
    <w:rsid w:val="00880C85"/>
    <w:rsid w:val="00880CA6"/>
    <w:rsid w:val="00880E94"/>
    <w:rsid w:val="00881043"/>
    <w:rsid w:val="008814AA"/>
    <w:rsid w:val="00881922"/>
    <w:rsid w:val="00881971"/>
    <w:rsid w:val="0088198B"/>
    <w:rsid w:val="00881A47"/>
    <w:rsid w:val="00881CF9"/>
    <w:rsid w:val="00882307"/>
    <w:rsid w:val="008823C0"/>
    <w:rsid w:val="008823E8"/>
    <w:rsid w:val="0088242E"/>
    <w:rsid w:val="008825BB"/>
    <w:rsid w:val="00882689"/>
    <w:rsid w:val="008826D4"/>
    <w:rsid w:val="00882835"/>
    <w:rsid w:val="00882871"/>
    <w:rsid w:val="00882919"/>
    <w:rsid w:val="008829CC"/>
    <w:rsid w:val="008829D6"/>
    <w:rsid w:val="00882AEE"/>
    <w:rsid w:val="00882E27"/>
    <w:rsid w:val="0088303F"/>
    <w:rsid w:val="008831B4"/>
    <w:rsid w:val="00883241"/>
    <w:rsid w:val="00883403"/>
    <w:rsid w:val="00883423"/>
    <w:rsid w:val="0088346B"/>
    <w:rsid w:val="0088367E"/>
    <w:rsid w:val="008838EE"/>
    <w:rsid w:val="008839E8"/>
    <w:rsid w:val="00883F6C"/>
    <w:rsid w:val="00884070"/>
    <w:rsid w:val="00884208"/>
    <w:rsid w:val="008843F4"/>
    <w:rsid w:val="008844E9"/>
    <w:rsid w:val="00884602"/>
    <w:rsid w:val="0088469C"/>
    <w:rsid w:val="00884853"/>
    <w:rsid w:val="008848FA"/>
    <w:rsid w:val="00884C63"/>
    <w:rsid w:val="00884D96"/>
    <w:rsid w:val="00884E24"/>
    <w:rsid w:val="00884E52"/>
    <w:rsid w:val="00884EA0"/>
    <w:rsid w:val="00884EE5"/>
    <w:rsid w:val="00884F0E"/>
    <w:rsid w:val="00884FD2"/>
    <w:rsid w:val="0088555F"/>
    <w:rsid w:val="0088559B"/>
    <w:rsid w:val="00885908"/>
    <w:rsid w:val="00885A70"/>
    <w:rsid w:val="00885F3C"/>
    <w:rsid w:val="0088600F"/>
    <w:rsid w:val="008860B8"/>
    <w:rsid w:val="00886162"/>
    <w:rsid w:val="008863C2"/>
    <w:rsid w:val="0088646A"/>
    <w:rsid w:val="008864B7"/>
    <w:rsid w:val="0088653E"/>
    <w:rsid w:val="008865A8"/>
    <w:rsid w:val="00886835"/>
    <w:rsid w:val="008869D6"/>
    <w:rsid w:val="00886BC8"/>
    <w:rsid w:val="0088703A"/>
    <w:rsid w:val="0088706A"/>
    <w:rsid w:val="008872D2"/>
    <w:rsid w:val="0088732B"/>
    <w:rsid w:val="008874A8"/>
    <w:rsid w:val="00887773"/>
    <w:rsid w:val="00887AA0"/>
    <w:rsid w:val="00887AAE"/>
    <w:rsid w:val="00887B61"/>
    <w:rsid w:val="00887B68"/>
    <w:rsid w:val="008902E3"/>
    <w:rsid w:val="0089047D"/>
    <w:rsid w:val="0089062F"/>
    <w:rsid w:val="0089084A"/>
    <w:rsid w:val="00890B2F"/>
    <w:rsid w:val="00890CB3"/>
    <w:rsid w:val="00890D70"/>
    <w:rsid w:val="00890EA7"/>
    <w:rsid w:val="00891442"/>
    <w:rsid w:val="008915CD"/>
    <w:rsid w:val="0089170C"/>
    <w:rsid w:val="00891737"/>
    <w:rsid w:val="0089195A"/>
    <w:rsid w:val="0089199F"/>
    <w:rsid w:val="00891AF4"/>
    <w:rsid w:val="00891B27"/>
    <w:rsid w:val="00891D98"/>
    <w:rsid w:val="00891E20"/>
    <w:rsid w:val="00892174"/>
    <w:rsid w:val="00892230"/>
    <w:rsid w:val="00892405"/>
    <w:rsid w:val="00893044"/>
    <w:rsid w:val="008930E8"/>
    <w:rsid w:val="00893148"/>
    <w:rsid w:val="00893496"/>
    <w:rsid w:val="00893502"/>
    <w:rsid w:val="00893809"/>
    <w:rsid w:val="00893844"/>
    <w:rsid w:val="00893A53"/>
    <w:rsid w:val="00893BD5"/>
    <w:rsid w:val="00893DA8"/>
    <w:rsid w:val="00893E5A"/>
    <w:rsid w:val="00894050"/>
    <w:rsid w:val="008942F3"/>
    <w:rsid w:val="00894844"/>
    <w:rsid w:val="00894BD4"/>
    <w:rsid w:val="0089504F"/>
    <w:rsid w:val="008952A8"/>
    <w:rsid w:val="00895425"/>
    <w:rsid w:val="00895568"/>
    <w:rsid w:val="008955A9"/>
    <w:rsid w:val="008955E2"/>
    <w:rsid w:val="008956A0"/>
    <w:rsid w:val="00895820"/>
    <w:rsid w:val="008959D5"/>
    <w:rsid w:val="00895C3D"/>
    <w:rsid w:val="00895C58"/>
    <w:rsid w:val="00895D14"/>
    <w:rsid w:val="00895DB7"/>
    <w:rsid w:val="00895DCB"/>
    <w:rsid w:val="00895FB5"/>
    <w:rsid w:val="00896192"/>
    <w:rsid w:val="008964FC"/>
    <w:rsid w:val="0089669B"/>
    <w:rsid w:val="008966A0"/>
    <w:rsid w:val="008966E7"/>
    <w:rsid w:val="0089677E"/>
    <w:rsid w:val="0089684A"/>
    <w:rsid w:val="008969C6"/>
    <w:rsid w:val="00896D6B"/>
    <w:rsid w:val="00896E19"/>
    <w:rsid w:val="00896E89"/>
    <w:rsid w:val="00896E8C"/>
    <w:rsid w:val="00896EDE"/>
    <w:rsid w:val="00896EED"/>
    <w:rsid w:val="008970C6"/>
    <w:rsid w:val="0089736C"/>
    <w:rsid w:val="00897591"/>
    <w:rsid w:val="00897963"/>
    <w:rsid w:val="00897ADE"/>
    <w:rsid w:val="00897B80"/>
    <w:rsid w:val="00897BDC"/>
    <w:rsid w:val="00897C5C"/>
    <w:rsid w:val="00897D27"/>
    <w:rsid w:val="008A013A"/>
    <w:rsid w:val="008A01C8"/>
    <w:rsid w:val="008A0560"/>
    <w:rsid w:val="008A0785"/>
    <w:rsid w:val="008A0839"/>
    <w:rsid w:val="008A083E"/>
    <w:rsid w:val="008A09D4"/>
    <w:rsid w:val="008A0A4F"/>
    <w:rsid w:val="008A0A6C"/>
    <w:rsid w:val="008A0B2D"/>
    <w:rsid w:val="008A0C52"/>
    <w:rsid w:val="008A11AC"/>
    <w:rsid w:val="008A12C0"/>
    <w:rsid w:val="008A1388"/>
    <w:rsid w:val="008A156F"/>
    <w:rsid w:val="008A1598"/>
    <w:rsid w:val="008A15EE"/>
    <w:rsid w:val="008A1A0C"/>
    <w:rsid w:val="008A1AD2"/>
    <w:rsid w:val="008A1D0E"/>
    <w:rsid w:val="008A1D8B"/>
    <w:rsid w:val="008A1D90"/>
    <w:rsid w:val="008A1E3B"/>
    <w:rsid w:val="008A1ED5"/>
    <w:rsid w:val="008A200E"/>
    <w:rsid w:val="008A2079"/>
    <w:rsid w:val="008A2415"/>
    <w:rsid w:val="008A278D"/>
    <w:rsid w:val="008A28CE"/>
    <w:rsid w:val="008A295D"/>
    <w:rsid w:val="008A297A"/>
    <w:rsid w:val="008A326A"/>
    <w:rsid w:val="008A371D"/>
    <w:rsid w:val="008A38D5"/>
    <w:rsid w:val="008A39A8"/>
    <w:rsid w:val="008A3ABE"/>
    <w:rsid w:val="008A3D85"/>
    <w:rsid w:val="008A3DD0"/>
    <w:rsid w:val="008A3E01"/>
    <w:rsid w:val="008A3EF8"/>
    <w:rsid w:val="008A3F32"/>
    <w:rsid w:val="008A4118"/>
    <w:rsid w:val="008A41F9"/>
    <w:rsid w:val="008A420D"/>
    <w:rsid w:val="008A43D5"/>
    <w:rsid w:val="008A4840"/>
    <w:rsid w:val="008A4BF5"/>
    <w:rsid w:val="008A4C03"/>
    <w:rsid w:val="008A4DB7"/>
    <w:rsid w:val="008A505F"/>
    <w:rsid w:val="008A508B"/>
    <w:rsid w:val="008A50D2"/>
    <w:rsid w:val="008A534D"/>
    <w:rsid w:val="008A53EB"/>
    <w:rsid w:val="008A5521"/>
    <w:rsid w:val="008A579D"/>
    <w:rsid w:val="008A587E"/>
    <w:rsid w:val="008A5A1F"/>
    <w:rsid w:val="008A5A7E"/>
    <w:rsid w:val="008A5E93"/>
    <w:rsid w:val="008A62BA"/>
    <w:rsid w:val="008A648A"/>
    <w:rsid w:val="008A66DB"/>
    <w:rsid w:val="008A6A67"/>
    <w:rsid w:val="008A6A6E"/>
    <w:rsid w:val="008A6B43"/>
    <w:rsid w:val="008A6D42"/>
    <w:rsid w:val="008A6DF1"/>
    <w:rsid w:val="008A6EAF"/>
    <w:rsid w:val="008A70EC"/>
    <w:rsid w:val="008A7438"/>
    <w:rsid w:val="008A7928"/>
    <w:rsid w:val="008A7C91"/>
    <w:rsid w:val="008A7DBC"/>
    <w:rsid w:val="008A7E54"/>
    <w:rsid w:val="008B0308"/>
    <w:rsid w:val="008B07D9"/>
    <w:rsid w:val="008B0881"/>
    <w:rsid w:val="008B08BC"/>
    <w:rsid w:val="008B0A21"/>
    <w:rsid w:val="008B0A6B"/>
    <w:rsid w:val="008B0C98"/>
    <w:rsid w:val="008B122C"/>
    <w:rsid w:val="008B1334"/>
    <w:rsid w:val="008B1784"/>
    <w:rsid w:val="008B1879"/>
    <w:rsid w:val="008B19E5"/>
    <w:rsid w:val="008B1C29"/>
    <w:rsid w:val="008B1EB8"/>
    <w:rsid w:val="008B1EF8"/>
    <w:rsid w:val="008B217F"/>
    <w:rsid w:val="008B23C8"/>
    <w:rsid w:val="008B270D"/>
    <w:rsid w:val="008B2AB8"/>
    <w:rsid w:val="008B30F1"/>
    <w:rsid w:val="008B3480"/>
    <w:rsid w:val="008B35BC"/>
    <w:rsid w:val="008B371B"/>
    <w:rsid w:val="008B38CD"/>
    <w:rsid w:val="008B3EE0"/>
    <w:rsid w:val="008B3F81"/>
    <w:rsid w:val="008B4253"/>
    <w:rsid w:val="008B44B0"/>
    <w:rsid w:val="008B45CA"/>
    <w:rsid w:val="008B46B0"/>
    <w:rsid w:val="008B481A"/>
    <w:rsid w:val="008B4893"/>
    <w:rsid w:val="008B4C66"/>
    <w:rsid w:val="008B50FF"/>
    <w:rsid w:val="008B53CB"/>
    <w:rsid w:val="008B5433"/>
    <w:rsid w:val="008B5617"/>
    <w:rsid w:val="008B56AA"/>
    <w:rsid w:val="008B58E4"/>
    <w:rsid w:val="008B5FB5"/>
    <w:rsid w:val="008B619A"/>
    <w:rsid w:val="008B62AD"/>
    <w:rsid w:val="008B6638"/>
    <w:rsid w:val="008B6768"/>
    <w:rsid w:val="008B679F"/>
    <w:rsid w:val="008B67DC"/>
    <w:rsid w:val="008B6C2E"/>
    <w:rsid w:val="008B6E6D"/>
    <w:rsid w:val="008B6E9F"/>
    <w:rsid w:val="008B71FE"/>
    <w:rsid w:val="008B7232"/>
    <w:rsid w:val="008B785D"/>
    <w:rsid w:val="008B790B"/>
    <w:rsid w:val="008B794A"/>
    <w:rsid w:val="008B79B3"/>
    <w:rsid w:val="008B7B19"/>
    <w:rsid w:val="008B7C8C"/>
    <w:rsid w:val="008B7EF4"/>
    <w:rsid w:val="008B7F7F"/>
    <w:rsid w:val="008B7FDE"/>
    <w:rsid w:val="008C0278"/>
    <w:rsid w:val="008C09DC"/>
    <w:rsid w:val="008C0A0F"/>
    <w:rsid w:val="008C0A6C"/>
    <w:rsid w:val="008C0B3B"/>
    <w:rsid w:val="008C0B86"/>
    <w:rsid w:val="008C0CB6"/>
    <w:rsid w:val="008C1018"/>
    <w:rsid w:val="008C13C9"/>
    <w:rsid w:val="008C148B"/>
    <w:rsid w:val="008C14FA"/>
    <w:rsid w:val="008C1753"/>
    <w:rsid w:val="008C184B"/>
    <w:rsid w:val="008C1918"/>
    <w:rsid w:val="008C19C7"/>
    <w:rsid w:val="008C19F5"/>
    <w:rsid w:val="008C19FA"/>
    <w:rsid w:val="008C1B24"/>
    <w:rsid w:val="008C202C"/>
    <w:rsid w:val="008C221E"/>
    <w:rsid w:val="008C22EF"/>
    <w:rsid w:val="008C2367"/>
    <w:rsid w:val="008C24E9"/>
    <w:rsid w:val="008C26DA"/>
    <w:rsid w:val="008C2731"/>
    <w:rsid w:val="008C2ACA"/>
    <w:rsid w:val="008C2C0A"/>
    <w:rsid w:val="008C2EC7"/>
    <w:rsid w:val="008C2F3E"/>
    <w:rsid w:val="008C314B"/>
    <w:rsid w:val="008C319E"/>
    <w:rsid w:val="008C32CC"/>
    <w:rsid w:val="008C336C"/>
    <w:rsid w:val="008C33EF"/>
    <w:rsid w:val="008C356F"/>
    <w:rsid w:val="008C39F0"/>
    <w:rsid w:val="008C3E03"/>
    <w:rsid w:val="008C3E8A"/>
    <w:rsid w:val="008C40E9"/>
    <w:rsid w:val="008C411E"/>
    <w:rsid w:val="008C4314"/>
    <w:rsid w:val="008C431A"/>
    <w:rsid w:val="008C47C6"/>
    <w:rsid w:val="008C4A75"/>
    <w:rsid w:val="008C4A9B"/>
    <w:rsid w:val="008C4AA7"/>
    <w:rsid w:val="008C4AF2"/>
    <w:rsid w:val="008C4C7E"/>
    <w:rsid w:val="008C500B"/>
    <w:rsid w:val="008C5181"/>
    <w:rsid w:val="008C51E7"/>
    <w:rsid w:val="008C530F"/>
    <w:rsid w:val="008C57FE"/>
    <w:rsid w:val="008C5989"/>
    <w:rsid w:val="008C5AC9"/>
    <w:rsid w:val="008C5DB7"/>
    <w:rsid w:val="008C6236"/>
    <w:rsid w:val="008C642A"/>
    <w:rsid w:val="008C648E"/>
    <w:rsid w:val="008C655F"/>
    <w:rsid w:val="008C6803"/>
    <w:rsid w:val="008C69AD"/>
    <w:rsid w:val="008C6A68"/>
    <w:rsid w:val="008C6A9C"/>
    <w:rsid w:val="008C6AC4"/>
    <w:rsid w:val="008C6B4D"/>
    <w:rsid w:val="008C6CE0"/>
    <w:rsid w:val="008C6FFD"/>
    <w:rsid w:val="008C7066"/>
    <w:rsid w:val="008C730D"/>
    <w:rsid w:val="008C7547"/>
    <w:rsid w:val="008C767F"/>
    <w:rsid w:val="008C7A91"/>
    <w:rsid w:val="008C7A9A"/>
    <w:rsid w:val="008C7AB7"/>
    <w:rsid w:val="008C7AE2"/>
    <w:rsid w:val="008C7E8F"/>
    <w:rsid w:val="008D028D"/>
    <w:rsid w:val="008D0330"/>
    <w:rsid w:val="008D0533"/>
    <w:rsid w:val="008D057D"/>
    <w:rsid w:val="008D082C"/>
    <w:rsid w:val="008D0F4E"/>
    <w:rsid w:val="008D0F9C"/>
    <w:rsid w:val="008D0FF2"/>
    <w:rsid w:val="008D1311"/>
    <w:rsid w:val="008D150C"/>
    <w:rsid w:val="008D1612"/>
    <w:rsid w:val="008D1807"/>
    <w:rsid w:val="008D1EB9"/>
    <w:rsid w:val="008D1FCC"/>
    <w:rsid w:val="008D201B"/>
    <w:rsid w:val="008D21A0"/>
    <w:rsid w:val="008D23DF"/>
    <w:rsid w:val="008D245E"/>
    <w:rsid w:val="008D247E"/>
    <w:rsid w:val="008D24A0"/>
    <w:rsid w:val="008D271E"/>
    <w:rsid w:val="008D27B9"/>
    <w:rsid w:val="008D297B"/>
    <w:rsid w:val="008D2B4F"/>
    <w:rsid w:val="008D2B97"/>
    <w:rsid w:val="008D2CB0"/>
    <w:rsid w:val="008D2E62"/>
    <w:rsid w:val="008D3076"/>
    <w:rsid w:val="008D30B5"/>
    <w:rsid w:val="008D3191"/>
    <w:rsid w:val="008D31B7"/>
    <w:rsid w:val="008D36B5"/>
    <w:rsid w:val="008D374A"/>
    <w:rsid w:val="008D39E5"/>
    <w:rsid w:val="008D3AFC"/>
    <w:rsid w:val="008D3D00"/>
    <w:rsid w:val="008D3D7E"/>
    <w:rsid w:val="008D3DF6"/>
    <w:rsid w:val="008D42CB"/>
    <w:rsid w:val="008D48C9"/>
    <w:rsid w:val="008D48EE"/>
    <w:rsid w:val="008D4982"/>
    <w:rsid w:val="008D4A66"/>
    <w:rsid w:val="008D4A70"/>
    <w:rsid w:val="008D4F2E"/>
    <w:rsid w:val="008D50A9"/>
    <w:rsid w:val="008D534B"/>
    <w:rsid w:val="008D5387"/>
    <w:rsid w:val="008D56E9"/>
    <w:rsid w:val="008D5807"/>
    <w:rsid w:val="008D5B79"/>
    <w:rsid w:val="008D60CE"/>
    <w:rsid w:val="008D6131"/>
    <w:rsid w:val="008D62BC"/>
    <w:rsid w:val="008D630C"/>
    <w:rsid w:val="008D6381"/>
    <w:rsid w:val="008D64EC"/>
    <w:rsid w:val="008D6C3D"/>
    <w:rsid w:val="008D6F8D"/>
    <w:rsid w:val="008D6FCE"/>
    <w:rsid w:val="008D7091"/>
    <w:rsid w:val="008D7386"/>
    <w:rsid w:val="008D73CF"/>
    <w:rsid w:val="008D746B"/>
    <w:rsid w:val="008D7530"/>
    <w:rsid w:val="008D7AAD"/>
    <w:rsid w:val="008D7F80"/>
    <w:rsid w:val="008D7FA7"/>
    <w:rsid w:val="008E0509"/>
    <w:rsid w:val="008E0591"/>
    <w:rsid w:val="008E06A7"/>
    <w:rsid w:val="008E0722"/>
    <w:rsid w:val="008E073A"/>
    <w:rsid w:val="008E08F9"/>
    <w:rsid w:val="008E0C77"/>
    <w:rsid w:val="008E0FA5"/>
    <w:rsid w:val="008E100F"/>
    <w:rsid w:val="008E1D50"/>
    <w:rsid w:val="008E1DA9"/>
    <w:rsid w:val="008E1E1B"/>
    <w:rsid w:val="008E20B8"/>
    <w:rsid w:val="008E22AE"/>
    <w:rsid w:val="008E2301"/>
    <w:rsid w:val="008E2306"/>
    <w:rsid w:val="008E2316"/>
    <w:rsid w:val="008E28BA"/>
    <w:rsid w:val="008E2B75"/>
    <w:rsid w:val="008E2BF7"/>
    <w:rsid w:val="008E2D93"/>
    <w:rsid w:val="008E2E03"/>
    <w:rsid w:val="008E300B"/>
    <w:rsid w:val="008E3059"/>
    <w:rsid w:val="008E3219"/>
    <w:rsid w:val="008E33D9"/>
    <w:rsid w:val="008E39B4"/>
    <w:rsid w:val="008E3C66"/>
    <w:rsid w:val="008E3C74"/>
    <w:rsid w:val="008E3CD8"/>
    <w:rsid w:val="008E3DEE"/>
    <w:rsid w:val="008E3F7C"/>
    <w:rsid w:val="008E40C7"/>
    <w:rsid w:val="008E4196"/>
    <w:rsid w:val="008E43B6"/>
    <w:rsid w:val="008E4893"/>
    <w:rsid w:val="008E4AA6"/>
    <w:rsid w:val="008E4E94"/>
    <w:rsid w:val="008E4F2B"/>
    <w:rsid w:val="008E505D"/>
    <w:rsid w:val="008E5144"/>
    <w:rsid w:val="008E5242"/>
    <w:rsid w:val="008E52D4"/>
    <w:rsid w:val="008E530F"/>
    <w:rsid w:val="008E5316"/>
    <w:rsid w:val="008E53A7"/>
    <w:rsid w:val="008E5473"/>
    <w:rsid w:val="008E55D3"/>
    <w:rsid w:val="008E56C6"/>
    <w:rsid w:val="008E570A"/>
    <w:rsid w:val="008E5AF9"/>
    <w:rsid w:val="008E5D13"/>
    <w:rsid w:val="008E5E21"/>
    <w:rsid w:val="008E5E7A"/>
    <w:rsid w:val="008E60CE"/>
    <w:rsid w:val="008E6175"/>
    <w:rsid w:val="008E6221"/>
    <w:rsid w:val="008E625F"/>
    <w:rsid w:val="008E626F"/>
    <w:rsid w:val="008E6354"/>
    <w:rsid w:val="008E638F"/>
    <w:rsid w:val="008E641D"/>
    <w:rsid w:val="008E653A"/>
    <w:rsid w:val="008E6596"/>
    <w:rsid w:val="008E6781"/>
    <w:rsid w:val="008E6876"/>
    <w:rsid w:val="008E6909"/>
    <w:rsid w:val="008E696B"/>
    <w:rsid w:val="008E70F9"/>
    <w:rsid w:val="008E7A31"/>
    <w:rsid w:val="008E7AEA"/>
    <w:rsid w:val="008E7CB0"/>
    <w:rsid w:val="008E7CFC"/>
    <w:rsid w:val="008F017C"/>
    <w:rsid w:val="008F034F"/>
    <w:rsid w:val="008F03EE"/>
    <w:rsid w:val="008F04A1"/>
    <w:rsid w:val="008F04D3"/>
    <w:rsid w:val="008F0610"/>
    <w:rsid w:val="008F08DF"/>
    <w:rsid w:val="008F0A0F"/>
    <w:rsid w:val="008F0C91"/>
    <w:rsid w:val="008F0DA4"/>
    <w:rsid w:val="008F1014"/>
    <w:rsid w:val="008F1236"/>
    <w:rsid w:val="008F1242"/>
    <w:rsid w:val="008F175A"/>
    <w:rsid w:val="008F181F"/>
    <w:rsid w:val="008F18E1"/>
    <w:rsid w:val="008F1C56"/>
    <w:rsid w:val="008F1FD4"/>
    <w:rsid w:val="008F228E"/>
    <w:rsid w:val="008F2520"/>
    <w:rsid w:val="008F2574"/>
    <w:rsid w:val="008F2599"/>
    <w:rsid w:val="008F264D"/>
    <w:rsid w:val="008F2DE8"/>
    <w:rsid w:val="008F2EAE"/>
    <w:rsid w:val="008F305C"/>
    <w:rsid w:val="008F307A"/>
    <w:rsid w:val="008F3243"/>
    <w:rsid w:val="008F35BC"/>
    <w:rsid w:val="008F38B6"/>
    <w:rsid w:val="008F39E9"/>
    <w:rsid w:val="008F3E45"/>
    <w:rsid w:val="008F3F0B"/>
    <w:rsid w:val="008F3F65"/>
    <w:rsid w:val="008F3FE0"/>
    <w:rsid w:val="008F41D9"/>
    <w:rsid w:val="008F4257"/>
    <w:rsid w:val="008F42D4"/>
    <w:rsid w:val="008F431E"/>
    <w:rsid w:val="008F4345"/>
    <w:rsid w:val="008F4411"/>
    <w:rsid w:val="008F46E4"/>
    <w:rsid w:val="008F48EE"/>
    <w:rsid w:val="008F49D5"/>
    <w:rsid w:val="008F4A94"/>
    <w:rsid w:val="008F4B65"/>
    <w:rsid w:val="008F4DDA"/>
    <w:rsid w:val="008F4EF9"/>
    <w:rsid w:val="008F503B"/>
    <w:rsid w:val="008F517C"/>
    <w:rsid w:val="008F556E"/>
    <w:rsid w:val="008F5B71"/>
    <w:rsid w:val="008F5FB8"/>
    <w:rsid w:val="008F657A"/>
    <w:rsid w:val="008F6D08"/>
    <w:rsid w:val="008F6D30"/>
    <w:rsid w:val="008F6D88"/>
    <w:rsid w:val="008F72AC"/>
    <w:rsid w:val="008F7339"/>
    <w:rsid w:val="008F7920"/>
    <w:rsid w:val="008F7D81"/>
    <w:rsid w:val="0090002C"/>
    <w:rsid w:val="009005AF"/>
    <w:rsid w:val="00900633"/>
    <w:rsid w:val="009006CD"/>
    <w:rsid w:val="0090083B"/>
    <w:rsid w:val="0090084D"/>
    <w:rsid w:val="00900BC6"/>
    <w:rsid w:val="00900EC2"/>
    <w:rsid w:val="00900F20"/>
    <w:rsid w:val="00901044"/>
    <w:rsid w:val="00901078"/>
    <w:rsid w:val="009010A3"/>
    <w:rsid w:val="00901251"/>
    <w:rsid w:val="0090130C"/>
    <w:rsid w:val="00901356"/>
    <w:rsid w:val="00901390"/>
    <w:rsid w:val="009016FC"/>
    <w:rsid w:val="0090174D"/>
    <w:rsid w:val="0090179F"/>
    <w:rsid w:val="00901DF8"/>
    <w:rsid w:val="00902207"/>
    <w:rsid w:val="00902212"/>
    <w:rsid w:val="0090222B"/>
    <w:rsid w:val="0090225E"/>
    <w:rsid w:val="00902580"/>
    <w:rsid w:val="00902593"/>
    <w:rsid w:val="009025DA"/>
    <w:rsid w:val="00902699"/>
    <w:rsid w:val="009027DF"/>
    <w:rsid w:val="00902954"/>
    <w:rsid w:val="009029C5"/>
    <w:rsid w:val="00902D8F"/>
    <w:rsid w:val="00902F00"/>
    <w:rsid w:val="009032FD"/>
    <w:rsid w:val="00903322"/>
    <w:rsid w:val="0090337A"/>
    <w:rsid w:val="0090338E"/>
    <w:rsid w:val="009036EB"/>
    <w:rsid w:val="00903C4E"/>
    <w:rsid w:val="00903C57"/>
    <w:rsid w:val="00903C7B"/>
    <w:rsid w:val="00903CB2"/>
    <w:rsid w:val="00903EDA"/>
    <w:rsid w:val="00903F8F"/>
    <w:rsid w:val="009041F6"/>
    <w:rsid w:val="00904307"/>
    <w:rsid w:val="0090434B"/>
    <w:rsid w:val="009044A1"/>
    <w:rsid w:val="00904500"/>
    <w:rsid w:val="009049AE"/>
    <w:rsid w:val="00904AF3"/>
    <w:rsid w:val="009053DB"/>
    <w:rsid w:val="00905400"/>
    <w:rsid w:val="00905524"/>
    <w:rsid w:val="0090579A"/>
    <w:rsid w:val="009058EC"/>
    <w:rsid w:val="00905A10"/>
    <w:rsid w:val="00905ABA"/>
    <w:rsid w:val="00905BE6"/>
    <w:rsid w:val="00906364"/>
    <w:rsid w:val="00906523"/>
    <w:rsid w:val="0090669D"/>
    <w:rsid w:val="0090683B"/>
    <w:rsid w:val="009069B6"/>
    <w:rsid w:val="00906B8C"/>
    <w:rsid w:val="00906C22"/>
    <w:rsid w:val="00906C64"/>
    <w:rsid w:val="00906E5F"/>
    <w:rsid w:val="009071B1"/>
    <w:rsid w:val="009073B5"/>
    <w:rsid w:val="00907485"/>
    <w:rsid w:val="009074C5"/>
    <w:rsid w:val="009074E1"/>
    <w:rsid w:val="0090772B"/>
    <w:rsid w:val="009077D4"/>
    <w:rsid w:val="00907BE1"/>
    <w:rsid w:val="00907CF9"/>
    <w:rsid w:val="00907E92"/>
    <w:rsid w:val="00907F0C"/>
    <w:rsid w:val="00910051"/>
    <w:rsid w:val="0091029D"/>
    <w:rsid w:val="0091033D"/>
    <w:rsid w:val="00910370"/>
    <w:rsid w:val="00910477"/>
    <w:rsid w:val="009105F3"/>
    <w:rsid w:val="0091073E"/>
    <w:rsid w:val="00910EE0"/>
    <w:rsid w:val="009112F7"/>
    <w:rsid w:val="009113F5"/>
    <w:rsid w:val="00911412"/>
    <w:rsid w:val="009114AA"/>
    <w:rsid w:val="00911A01"/>
    <w:rsid w:val="00911B9D"/>
    <w:rsid w:val="00911CBD"/>
    <w:rsid w:val="00912059"/>
    <w:rsid w:val="009122AF"/>
    <w:rsid w:val="0091241C"/>
    <w:rsid w:val="009124FF"/>
    <w:rsid w:val="00912779"/>
    <w:rsid w:val="009127BC"/>
    <w:rsid w:val="0091282C"/>
    <w:rsid w:val="00912D54"/>
    <w:rsid w:val="00912DDE"/>
    <w:rsid w:val="00913176"/>
    <w:rsid w:val="009136C3"/>
    <w:rsid w:val="0091375F"/>
    <w:rsid w:val="009137D6"/>
    <w:rsid w:val="009137F8"/>
    <w:rsid w:val="0091389F"/>
    <w:rsid w:val="00913C03"/>
    <w:rsid w:val="00913D38"/>
    <w:rsid w:val="00913DE8"/>
    <w:rsid w:val="00913E60"/>
    <w:rsid w:val="00913FE0"/>
    <w:rsid w:val="00914278"/>
    <w:rsid w:val="009142A8"/>
    <w:rsid w:val="009142B4"/>
    <w:rsid w:val="0091436A"/>
    <w:rsid w:val="009146EB"/>
    <w:rsid w:val="0091475C"/>
    <w:rsid w:val="00914E0D"/>
    <w:rsid w:val="009151CE"/>
    <w:rsid w:val="0091568F"/>
    <w:rsid w:val="0091587F"/>
    <w:rsid w:val="009158A7"/>
    <w:rsid w:val="009158B2"/>
    <w:rsid w:val="00915978"/>
    <w:rsid w:val="00915CEE"/>
    <w:rsid w:val="00915D74"/>
    <w:rsid w:val="00915E20"/>
    <w:rsid w:val="00915E68"/>
    <w:rsid w:val="0091603B"/>
    <w:rsid w:val="00916133"/>
    <w:rsid w:val="009162CB"/>
    <w:rsid w:val="009163D2"/>
    <w:rsid w:val="00916515"/>
    <w:rsid w:val="00916545"/>
    <w:rsid w:val="009167B0"/>
    <w:rsid w:val="009168AD"/>
    <w:rsid w:val="009169A6"/>
    <w:rsid w:val="00916B02"/>
    <w:rsid w:val="00916B49"/>
    <w:rsid w:val="00916BCF"/>
    <w:rsid w:val="00916BF8"/>
    <w:rsid w:val="00916C5A"/>
    <w:rsid w:val="00916C97"/>
    <w:rsid w:val="00916D2A"/>
    <w:rsid w:val="00916EEC"/>
    <w:rsid w:val="00917101"/>
    <w:rsid w:val="00917578"/>
    <w:rsid w:val="00917580"/>
    <w:rsid w:val="0091796F"/>
    <w:rsid w:val="00917DD7"/>
    <w:rsid w:val="009201C0"/>
    <w:rsid w:val="009202FB"/>
    <w:rsid w:val="0092034F"/>
    <w:rsid w:val="00920426"/>
    <w:rsid w:val="00920540"/>
    <w:rsid w:val="0092086A"/>
    <w:rsid w:val="009208F7"/>
    <w:rsid w:val="00920B8B"/>
    <w:rsid w:val="00920D3D"/>
    <w:rsid w:val="00920F2E"/>
    <w:rsid w:val="00920F93"/>
    <w:rsid w:val="00921016"/>
    <w:rsid w:val="009211EB"/>
    <w:rsid w:val="009211F8"/>
    <w:rsid w:val="00921330"/>
    <w:rsid w:val="00921341"/>
    <w:rsid w:val="00921463"/>
    <w:rsid w:val="009216C6"/>
    <w:rsid w:val="009217CB"/>
    <w:rsid w:val="00921890"/>
    <w:rsid w:val="00921A62"/>
    <w:rsid w:val="00921D43"/>
    <w:rsid w:val="00921E2D"/>
    <w:rsid w:val="009220A7"/>
    <w:rsid w:val="0092229D"/>
    <w:rsid w:val="00922391"/>
    <w:rsid w:val="0092241B"/>
    <w:rsid w:val="0092246F"/>
    <w:rsid w:val="00922517"/>
    <w:rsid w:val="0092266E"/>
    <w:rsid w:val="0092267D"/>
    <w:rsid w:val="00922722"/>
    <w:rsid w:val="0092278E"/>
    <w:rsid w:val="009229A2"/>
    <w:rsid w:val="00922A76"/>
    <w:rsid w:val="00922B3C"/>
    <w:rsid w:val="00922B87"/>
    <w:rsid w:val="00922C61"/>
    <w:rsid w:val="00922CF5"/>
    <w:rsid w:val="0092317E"/>
    <w:rsid w:val="009234D2"/>
    <w:rsid w:val="00923619"/>
    <w:rsid w:val="00923C61"/>
    <w:rsid w:val="00923E15"/>
    <w:rsid w:val="00924503"/>
    <w:rsid w:val="009249D9"/>
    <w:rsid w:val="00924D6B"/>
    <w:rsid w:val="00924DB4"/>
    <w:rsid w:val="00924DCC"/>
    <w:rsid w:val="00924EFD"/>
    <w:rsid w:val="009251D1"/>
    <w:rsid w:val="009252E1"/>
    <w:rsid w:val="0092541A"/>
    <w:rsid w:val="00925B8F"/>
    <w:rsid w:val="009261E6"/>
    <w:rsid w:val="009263DF"/>
    <w:rsid w:val="009264DD"/>
    <w:rsid w:val="00926758"/>
    <w:rsid w:val="009267E9"/>
    <w:rsid w:val="009268E1"/>
    <w:rsid w:val="00926A94"/>
    <w:rsid w:val="00926CB0"/>
    <w:rsid w:val="00926F60"/>
    <w:rsid w:val="009273BB"/>
    <w:rsid w:val="0092747E"/>
    <w:rsid w:val="009275CE"/>
    <w:rsid w:val="009277BF"/>
    <w:rsid w:val="009278DF"/>
    <w:rsid w:val="00927A91"/>
    <w:rsid w:val="00927A96"/>
    <w:rsid w:val="00927BFA"/>
    <w:rsid w:val="009300C2"/>
    <w:rsid w:val="00930173"/>
    <w:rsid w:val="00930421"/>
    <w:rsid w:val="0093050C"/>
    <w:rsid w:val="0093079C"/>
    <w:rsid w:val="0093086D"/>
    <w:rsid w:val="0093087A"/>
    <w:rsid w:val="00930F4B"/>
    <w:rsid w:val="00931216"/>
    <w:rsid w:val="009313D5"/>
    <w:rsid w:val="00931783"/>
    <w:rsid w:val="009319E8"/>
    <w:rsid w:val="00931B54"/>
    <w:rsid w:val="009320C3"/>
    <w:rsid w:val="0093272F"/>
    <w:rsid w:val="00932846"/>
    <w:rsid w:val="0093298B"/>
    <w:rsid w:val="00932A31"/>
    <w:rsid w:val="00932EC7"/>
    <w:rsid w:val="009333C2"/>
    <w:rsid w:val="0093371B"/>
    <w:rsid w:val="009338C9"/>
    <w:rsid w:val="00933A4E"/>
    <w:rsid w:val="00933A62"/>
    <w:rsid w:val="00933C13"/>
    <w:rsid w:val="00933C90"/>
    <w:rsid w:val="00934368"/>
    <w:rsid w:val="00934373"/>
    <w:rsid w:val="0093459B"/>
    <w:rsid w:val="00934693"/>
    <w:rsid w:val="00934896"/>
    <w:rsid w:val="00934CD5"/>
    <w:rsid w:val="00934D36"/>
    <w:rsid w:val="00934D82"/>
    <w:rsid w:val="00934E3D"/>
    <w:rsid w:val="00934E58"/>
    <w:rsid w:val="00935615"/>
    <w:rsid w:val="0093571E"/>
    <w:rsid w:val="0093595D"/>
    <w:rsid w:val="009359CF"/>
    <w:rsid w:val="009359E9"/>
    <w:rsid w:val="00935A0D"/>
    <w:rsid w:val="00935B40"/>
    <w:rsid w:val="00936370"/>
    <w:rsid w:val="009363B6"/>
    <w:rsid w:val="00936548"/>
    <w:rsid w:val="0093666F"/>
    <w:rsid w:val="00936730"/>
    <w:rsid w:val="00936966"/>
    <w:rsid w:val="00936B60"/>
    <w:rsid w:val="00936EF3"/>
    <w:rsid w:val="00936FDC"/>
    <w:rsid w:val="009370C0"/>
    <w:rsid w:val="00937347"/>
    <w:rsid w:val="009373AC"/>
    <w:rsid w:val="00937408"/>
    <w:rsid w:val="00937583"/>
    <w:rsid w:val="009377E2"/>
    <w:rsid w:val="00937F1E"/>
    <w:rsid w:val="00937F7A"/>
    <w:rsid w:val="00937FB1"/>
    <w:rsid w:val="0094006F"/>
    <w:rsid w:val="00940174"/>
    <w:rsid w:val="0094041E"/>
    <w:rsid w:val="00940481"/>
    <w:rsid w:val="009405C0"/>
    <w:rsid w:val="00940603"/>
    <w:rsid w:val="009406C6"/>
    <w:rsid w:val="00940C19"/>
    <w:rsid w:val="00940D04"/>
    <w:rsid w:val="0094106A"/>
    <w:rsid w:val="0094108D"/>
    <w:rsid w:val="00941A3D"/>
    <w:rsid w:val="00941B40"/>
    <w:rsid w:val="00941CA0"/>
    <w:rsid w:val="00941CF6"/>
    <w:rsid w:val="00941CFC"/>
    <w:rsid w:val="00941D3E"/>
    <w:rsid w:val="00941D99"/>
    <w:rsid w:val="00941DD2"/>
    <w:rsid w:val="00942096"/>
    <w:rsid w:val="0094216B"/>
    <w:rsid w:val="009421B7"/>
    <w:rsid w:val="009423DB"/>
    <w:rsid w:val="009425B3"/>
    <w:rsid w:val="009425FF"/>
    <w:rsid w:val="009426B3"/>
    <w:rsid w:val="0094280A"/>
    <w:rsid w:val="0094284A"/>
    <w:rsid w:val="00942C59"/>
    <w:rsid w:val="00942CE6"/>
    <w:rsid w:val="00942FB0"/>
    <w:rsid w:val="0094332A"/>
    <w:rsid w:val="0094350F"/>
    <w:rsid w:val="009435C3"/>
    <w:rsid w:val="00943D53"/>
    <w:rsid w:val="00943DD9"/>
    <w:rsid w:val="00944065"/>
    <w:rsid w:val="009440C9"/>
    <w:rsid w:val="009440D2"/>
    <w:rsid w:val="009441C0"/>
    <w:rsid w:val="00944265"/>
    <w:rsid w:val="009443BE"/>
    <w:rsid w:val="00944454"/>
    <w:rsid w:val="00944557"/>
    <w:rsid w:val="009446CD"/>
    <w:rsid w:val="009447BC"/>
    <w:rsid w:val="0094486E"/>
    <w:rsid w:val="00944AC6"/>
    <w:rsid w:val="00944C01"/>
    <w:rsid w:val="009456DA"/>
    <w:rsid w:val="009459FA"/>
    <w:rsid w:val="00945DE0"/>
    <w:rsid w:val="00945E7D"/>
    <w:rsid w:val="00945E7F"/>
    <w:rsid w:val="00946219"/>
    <w:rsid w:val="009462F3"/>
    <w:rsid w:val="00946383"/>
    <w:rsid w:val="00946ABC"/>
    <w:rsid w:val="00946B22"/>
    <w:rsid w:val="00946B45"/>
    <w:rsid w:val="009470FF"/>
    <w:rsid w:val="009474AD"/>
    <w:rsid w:val="00947BC0"/>
    <w:rsid w:val="00947F50"/>
    <w:rsid w:val="00947F7D"/>
    <w:rsid w:val="009500B2"/>
    <w:rsid w:val="0095016E"/>
    <w:rsid w:val="009504F8"/>
    <w:rsid w:val="00950662"/>
    <w:rsid w:val="0095070B"/>
    <w:rsid w:val="0095083B"/>
    <w:rsid w:val="009508E2"/>
    <w:rsid w:val="00950C85"/>
    <w:rsid w:val="00950DD9"/>
    <w:rsid w:val="00950EAA"/>
    <w:rsid w:val="00950F5E"/>
    <w:rsid w:val="00950F63"/>
    <w:rsid w:val="00951434"/>
    <w:rsid w:val="0095159E"/>
    <w:rsid w:val="00951A05"/>
    <w:rsid w:val="00951B5F"/>
    <w:rsid w:val="00951BDF"/>
    <w:rsid w:val="00951C73"/>
    <w:rsid w:val="00952043"/>
    <w:rsid w:val="009521A0"/>
    <w:rsid w:val="009524FF"/>
    <w:rsid w:val="0095256E"/>
    <w:rsid w:val="00952756"/>
    <w:rsid w:val="0095291E"/>
    <w:rsid w:val="00952FF7"/>
    <w:rsid w:val="009531DE"/>
    <w:rsid w:val="009532F4"/>
    <w:rsid w:val="009536C6"/>
    <w:rsid w:val="0095375A"/>
    <w:rsid w:val="009537DE"/>
    <w:rsid w:val="00953A16"/>
    <w:rsid w:val="00953CE0"/>
    <w:rsid w:val="009540B4"/>
    <w:rsid w:val="00954132"/>
    <w:rsid w:val="0095429B"/>
    <w:rsid w:val="009542FD"/>
    <w:rsid w:val="00954358"/>
    <w:rsid w:val="009543B1"/>
    <w:rsid w:val="009543BD"/>
    <w:rsid w:val="00954546"/>
    <w:rsid w:val="009545E8"/>
    <w:rsid w:val="00954953"/>
    <w:rsid w:val="00954AFC"/>
    <w:rsid w:val="00954BED"/>
    <w:rsid w:val="00954CCB"/>
    <w:rsid w:val="00954F38"/>
    <w:rsid w:val="00954F4A"/>
    <w:rsid w:val="0095511D"/>
    <w:rsid w:val="00955208"/>
    <w:rsid w:val="00955272"/>
    <w:rsid w:val="00955285"/>
    <w:rsid w:val="00955354"/>
    <w:rsid w:val="00955390"/>
    <w:rsid w:val="0095549C"/>
    <w:rsid w:val="00955641"/>
    <w:rsid w:val="009557C1"/>
    <w:rsid w:val="00955A13"/>
    <w:rsid w:val="00955BC1"/>
    <w:rsid w:val="00955C49"/>
    <w:rsid w:val="00955C5F"/>
    <w:rsid w:val="00955E83"/>
    <w:rsid w:val="00956059"/>
    <w:rsid w:val="009561D3"/>
    <w:rsid w:val="009563C4"/>
    <w:rsid w:val="009564A2"/>
    <w:rsid w:val="00956613"/>
    <w:rsid w:val="009568C8"/>
    <w:rsid w:val="00956A13"/>
    <w:rsid w:val="00956BA7"/>
    <w:rsid w:val="00956C3E"/>
    <w:rsid w:val="00956CD1"/>
    <w:rsid w:val="00956E11"/>
    <w:rsid w:val="00956EF5"/>
    <w:rsid w:val="009570C6"/>
    <w:rsid w:val="009571D0"/>
    <w:rsid w:val="009572FD"/>
    <w:rsid w:val="00957325"/>
    <w:rsid w:val="009573B1"/>
    <w:rsid w:val="0095767B"/>
    <w:rsid w:val="00957791"/>
    <w:rsid w:val="009578E9"/>
    <w:rsid w:val="00957A77"/>
    <w:rsid w:val="00957A85"/>
    <w:rsid w:val="00957D40"/>
    <w:rsid w:val="00957EAD"/>
    <w:rsid w:val="00960017"/>
    <w:rsid w:val="00960195"/>
    <w:rsid w:val="009602F8"/>
    <w:rsid w:val="00960AA6"/>
    <w:rsid w:val="00960AB8"/>
    <w:rsid w:val="00960B2E"/>
    <w:rsid w:val="00960C2F"/>
    <w:rsid w:val="00960C4E"/>
    <w:rsid w:val="00960C9E"/>
    <w:rsid w:val="00960D6E"/>
    <w:rsid w:val="00960E24"/>
    <w:rsid w:val="00960E6A"/>
    <w:rsid w:val="00961033"/>
    <w:rsid w:val="009611A4"/>
    <w:rsid w:val="0096140B"/>
    <w:rsid w:val="00961611"/>
    <w:rsid w:val="00961828"/>
    <w:rsid w:val="009619A9"/>
    <w:rsid w:val="00961C5E"/>
    <w:rsid w:val="00961E03"/>
    <w:rsid w:val="00961FBE"/>
    <w:rsid w:val="00961FC1"/>
    <w:rsid w:val="00962231"/>
    <w:rsid w:val="00962322"/>
    <w:rsid w:val="009625A1"/>
    <w:rsid w:val="00962909"/>
    <w:rsid w:val="00962D62"/>
    <w:rsid w:val="00962DF5"/>
    <w:rsid w:val="00962F7A"/>
    <w:rsid w:val="0096326F"/>
    <w:rsid w:val="0096335D"/>
    <w:rsid w:val="00963B7D"/>
    <w:rsid w:val="00963EE5"/>
    <w:rsid w:val="0096444A"/>
    <w:rsid w:val="00964473"/>
    <w:rsid w:val="0096480D"/>
    <w:rsid w:val="00964A14"/>
    <w:rsid w:val="00964C05"/>
    <w:rsid w:val="00964E66"/>
    <w:rsid w:val="00965828"/>
    <w:rsid w:val="00965AF7"/>
    <w:rsid w:val="00965C94"/>
    <w:rsid w:val="00965E88"/>
    <w:rsid w:val="00965EDD"/>
    <w:rsid w:val="009661FE"/>
    <w:rsid w:val="00966649"/>
    <w:rsid w:val="009666CC"/>
    <w:rsid w:val="009667CD"/>
    <w:rsid w:val="00966C51"/>
    <w:rsid w:val="00967107"/>
    <w:rsid w:val="0096724E"/>
    <w:rsid w:val="009673AC"/>
    <w:rsid w:val="0096740D"/>
    <w:rsid w:val="00967467"/>
    <w:rsid w:val="009674DE"/>
    <w:rsid w:val="00967A82"/>
    <w:rsid w:val="00967E7B"/>
    <w:rsid w:val="00970140"/>
    <w:rsid w:val="00970276"/>
    <w:rsid w:val="0097055E"/>
    <w:rsid w:val="00970BC6"/>
    <w:rsid w:val="00970BD4"/>
    <w:rsid w:val="00970E5E"/>
    <w:rsid w:val="00970F6C"/>
    <w:rsid w:val="00971057"/>
    <w:rsid w:val="00971130"/>
    <w:rsid w:val="009712DD"/>
    <w:rsid w:val="009713DA"/>
    <w:rsid w:val="00971429"/>
    <w:rsid w:val="00971583"/>
    <w:rsid w:val="0097188A"/>
    <w:rsid w:val="0097188B"/>
    <w:rsid w:val="0097197C"/>
    <w:rsid w:val="00971B46"/>
    <w:rsid w:val="00971E4B"/>
    <w:rsid w:val="009720F3"/>
    <w:rsid w:val="0097218D"/>
    <w:rsid w:val="00972272"/>
    <w:rsid w:val="009729E3"/>
    <w:rsid w:val="00972BC1"/>
    <w:rsid w:val="0097321F"/>
    <w:rsid w:val="00973480"/>
    <w:rsid w:val="009737A5"/>
    <w:rsid w:val="009738F2"/>
    <w:rsid w:val="00973BB6"/>
    <w:rsid w:val="00973E17"/>
    <w:rsid w:val="00973EC2"/>
    <w:rsid w:val="00973FA9"/>
    <w:rsid w:val="00974210"/>
    <w:rsid w:val="009745E4"/>
    <w:rsid w:val="00974720"/>
    <w:rsid w:val="009747EB"/>
    <w:rsid w:val="00974A32"/>
    <w:rsid w:val="00974B59"/>
    <w:rsid w:val="00974D3A"/>
    <w:rsid w:val="00974F02"/>
    <w:rsid w:val="0097546C"/>
    <w:rsid w:val="009757F0"/>
    <w:rsid w:val="0097589E"/>
    <w:rsid w:val="009758B7"/>
    <w:rsid w:val="00975DC7"/>
    <w:rsid w:val="00975EA7"/>
    <w:rsid w:val="00975F4A"/>
    <w:rsid w:val="00975FEE"/>
    <w:rsid w:val="0097648F"/>
    <w:rsid w:val="009765D8"/>
    <w:rsid w:val="00976764"/>
    <w:rsid w:val="0097686D"/>
    <w:rsid w:val="009771DD"/>
    <w:rsid w:val="0097727D"/>
    <w:rsid w:val="00977352"/>
    <w:rsid w:val="0097793B"/>
    <w:rsid w:val="00977B38"/>
    <w:rsid w:val="00977C24"/>
    <w:rsid w:val="00980155"/>
    <w:rsid w:val="00980351"/>
    <w:rsid w:val="00980361"/>
    <w:rsid w:val="00980368"/>
    <w:rsid w:val="009805EA"/>
    <w:rsid w:val="00980851"/>
    <w:rsid w:val="0098089E"/>
    <w:rsid w:val="0098099E"/>
    <w:rsid w:val="00980BB8"/>
    <w:rsid w:val="00980C80"/>
    <w:rsid w:val="00980DC1"/>
    <w:rsid w:val="00980E28"/>
    <w:rsid w:val="00980E78"/>
    <w:rsid w:val="00981249"/>
    <w:rsid w:val="009817B7"/>
    <w:rsid w:val="009818B9"/>
    <w:rsid w:val="00981A3B"/>
    <w:rsid w:val="00981B98"/>
    <w:rsid w:val="00981E5F"/>
    <w:rsid w:val="00981EE0"/>
    <w:rsid w:val="00982033"/>
    <w:rsid w:val="009824AB"/>
    <w:rsid w:val="00982655"/>
    <w:rsid w:val="00982808"/>
    <w:rsid w:val="00982BB2"/>
    <w:rsid w:val="00982E5A"/>
    <w:rsid w:val="00982ED5"/>
    <w:rsid w:val="009832BA"/>
    <w:rsid w:val="00983408"/>
    <w:rsid w:val="0098340B"/>
    <w:rsid w:val="00983774"/>
    <w:rsid w:val="009839AD"/>
    <w:rsid w:val="00983B33"/>
    <w:rsid w:val="00983BEF"/>
    <w:rsid w:val="009842F2"/>
    <w:rsid w:val="0098433A"/>
    <w:rsid w:val="00984474"/>
    <w:rsid w:val="009845CC"/>
    <w:rsid w:val="00984681"/>
    <w:rsid w:val="0098477E"/>
    <w:rsid w:val="00984818"/>
    <w:rsid w:val="00984831"/>
    <w:rsid w:val="009849EF"/>
    <w:rsid w:val="00984AFB"/>
    <w:rsid w:val="00984C6D"/>
    <w:rsid w:val="00984CEA"/>
    <w:rsid w:val="00984FE0"/>
    <w:rsid w:val="00985394"/>
    <w:rsid w:val="009854F4"/>
    <w:rsid w:val="00985927"/>
    <w:rsid w:val="00985946"/>
    <w:rsid w:val="009859C7"/>
    <w:rsid w:val="009859C8"/>
    <w:rsid w:val="00985A1C"/>
    <w:rsid w:val="00985A46"/>
    <w:rsid w:val="00985B97"/>
    <w:rsid w:val="00985D21"/>
    <w:rsid w:val="00985D7E"/>
    <w:rsid w:val="0098604E"/>
    <w:rsid w:val="00986495"/>
    <w:rsid w:val="00986583"/>
    <w:rsid w:val="009865E5"/>
    <w:rsid w:val="00986627"/>
    <w:rsid w:val="009866B0"/>
    <w:rsid w:val="00986825"/>
    <w:rsid w:val="00986830"/>
    <w:rsid w:val="00986AF9"/>
    <w:rsid w:val="00986CB2"/>
    <w:rsid w:val="00986CC8"/>
    <w:rsid w:val="00986D0E"/>
    <w:rsid w:val="00986F3C"/>
    <w:rsid w:val="00987115"/>
    <w:rsid w:val="0098756A"/>
    <w:rsid w:val="00987715"/>
    <w:rsid w:val="00987CC9"/>
    <w:rsid w:val="00987D8E"/>
    <w:rsid w:val="00987DB8"/>
    <w:rsid w:val="00987E6A"/>
    <w:rsid w:val="009903B4"/>
    <w:rsid w:val="00990564"/>
    <w:rsid w:val="009905AA"/>
    <w:rsid w:val="009905C5"/>
    <w:rsid w:val="00990838"/>
    <w:rsid w:val="0099090C"/>
    <w:rsid w:val="0099096C"/>
    <w:rsid w:val="00990A23"/>
    <w:rsid w:val="00990B3A"/>
    <w:rsid w:val="00990BB8"/>
    <w:rsid w:val="009910DB"/>
    <w:rsid w:val="009912C4"/>
    <w:rsid w:val="00991554"/>
    <w:rsid w:val="0099170A"/>
    <w:rsid w:val="00991789"/>
    <w:rsid w:val="00991837"/>
    <w:rsid w:val="00991A4B"/>
    <w:rsid w:val="00991B65"/>
    <w:rsid w:val="00991BE8"/>
    <w:rsid w:val="00991CDB"/>
    <w:rsid w:val="00991CE9"/>
    <w:rsid w:val="00991E35"/>
    <w:rsid w:val="00991E9A"/>
    <w:rsid w:val="00992039"/>
    <w:rsid w:val="009920E5"/>
    <w:rsid w:val="009924C3"/>
    <w:rsid w:val="00992794"/>
    <w:rsid w:val="00992AA8"/>
    <w:rsid w:val="00992B0D"/>
    <w:rsid w:val="00992B18"/>
    <w:rsid w:val="00992D0E"/>
    <w:rsid w:val="00992D33"/>
    <w:rsid w:val="00992DB4"/>
    <w:rsid w:val="00992DD2"/>
    <w:rsid w:val="00992E62"/>
    <w:rsid w:val="00992FB4"/>
    <w:rsid w:val="00992FBD"/>
    <w:rsid w:val="00993102"/>
    <w:rsid w:val="009931E9"/>
    <w:rsid w:val="00993301"/>
    <w:rsid w:val="009935B7"/>
    <w:rsid w:val="00993682"/>
    <w:rsid w:val="00993688"/>
    <w:rsid w:val="00993987"/>
    <w:rsid w:val="009939B2"/>
    <w:rsid w:val="00993A31"/>
    <w:rsid w:val="00993BE2"/>
    <w:rsid w:val="00993BE8"/>
    <w:rsid w:val="00993DB1"/>
    <w:rsid w:val="00993E82"/>
    <w:rsid w:val="0099434D"/>
    <w:rsid w:val="00994654"/>
    <w:rsid w:val="0099465B"/>
    <w:rsid w:val="0099479D"/>
    <w:rsid w:val="00994969"/>
    <w:rsid w:val="00994CE1"/>
    <w:rsid w:val="00994DFB"/>
    <w:rsid w:val="00994F90"/>
    <w:rsid w:val="00995145"/>
    <w:rsid w:val="009952D1"/>
    <w:rsid w:val="00995570"/>
    <w:rsid w:val="00995A22"/>
    <w:rsid w:val="00995F72"/>
    <w:rsid w:val="00995FE9"/>
    <w:rsid w:val="0099606E"/>
    <w:rsid w:val="0099619F"/>
    <w:rsid w:val="00996224"/>
    <w:rsid w:val="00996450"/>
    <w:rsid w:val="00996509"/>
    <w:rsid w:val="0099682F"/>
    <w:rsid w:val="00996B30"/>
    <w:rsid w:val="00996DBB"/>
    <w:rsid w:val="00996E66"/>
    <w:rsid w:val="00996EBA"/>
    <w:rsid w:val="00996F4E"/>
    <w:rsid w:val="00997101"/>
    <w:rsid w:val="00997202"/>
    <w:rsid w:val="0099731F"/>
    <w:rsid w:val="00997433"/>
    <w:rsid w:val="009976DA"/>
    <w:rsid w:val="00997726"/>
    <w:rsid w:val="0099773B"/>
    <w:rsid w:val="009978AE"/>
    <w:rsid w:val="00997B9C"/>
    <w:rsid w:val="00997F0D"/>
    <w:rsid w:val="009A00B3"/>
    <w:rsid w:val="009A0389"/>
    <w:rsid w:val="009A0564"/>
    <w:rsid w:val="009A09DA"/>
    <w:rsid w:val="009A0CEB"/>
    <w:rsid w:val="009A0F0B"/>
    <w:rsid w:val="009A0F33"/>
    <w:rsid w:val="009A1040"/>
    <w:rsid w:val="009A10F3"/>
    <w:rsid w:val="009A11B7"/>
    <w:rsid w:val="009A122B"/>
    <w:rsid w:val="009A173F"/>
    <w:rsid w:val="009A1957"/>
    <w:rsid w:val="009A1991"/>
    <w:rsid w:val="009A1B84"/>
    <w:rsid w:val="009A1BAB"/>
    <w:rsid w:val="009A1BCD"/>
    <w:rsid w:val="009A1CAE"/>
    <w:rsid w:val="009A1E20"/>
    <w:rsid w:val="009A2053"/>
    <w:rsid w:val="009A205F"/>
    <w:rsid w:val="009A20F5"/>
    <w:rsid w:val="009A2434"/>
    <w:rsid w:val="009A2DA3"/>
    <w:rsid w:val="009A2FDD"/>
    <w:rsid w:val="009A30D2"/>
    <w:rsid w:val="009A30FA"/>
    <w:rsid w:val="009A3287"/>
    <w:rsid w:val="009A3380"/>
    <w:rsid w:val="009A345D"/>
    <w:rsid w:val="009A34DA"/>
    <w:rsid w:val="009A34DE"/>
    <w:rsid w:val="009A361D"/>
    <w:rsid w:val="009A362A"/>
    <w:rsid w:val="009A367F"/>
    <w:rsid w:val="009A37AE"/>
    <w:rsid w:val="009A3A72"/>
    <w:rsid w:val="009A3C2D"/>
    <w:rsid w:val="009A3DA9"/>
    <w:rsid w:val="009A40AA"/>
    <w:rsid w:val="009A4155"/>
    <w:rsid w:val="009A419A"/>
    <w:rsid w:val="009A4364"/>
    <w:rsid w:val="009A448F"/>
    <w:rsid w:val="009A44EE"/>
    <w:rsid w:val="009A4534"/>
    <w:rsid w:val="009A477C"/>
    <w:rsid w:val="009A4A3E"/>
    <w:rsid w:val="009A4D3F"/>
    <w:rsid w:val="009A5023"/>
    <w:rsid w:val="009A53A3"/>
    <w:rsid w:val="009A5743"/>
    <w:rsid w:val="009A592B"/>
    <w:rsid w:val="009A595C"/>
    <w:rsid w:val="009A59A0"/>
    <w:rsid w:val="009A60F0"/>
    <w:rsid w:val="009A61D0"/>
    <w:rsid w:val="009A62AF"/>
    <w:rsid w:val="009A63AD"/>
    <w:rsid w:val="009A64DA"/>
    <w:rsid w:val="009A64FA"/>
    <w:rsid w:val="009A65D6"/>
    <w:rsid w:val="009A6636"/>
    <w:rsid w:val="009A6679"/>
    <w:rsid w:val="009A667A"/>
    <w:rsid w:val="009A6919"/>
    <w:rsid w:val="009A69D7"/>
    <w:rsid w:val="009A6D6E"/>
    <w:rsid w:val="009A7088"/>
    <w:rsid w:val="009A71A6"/>
    <w:rsid w:val="009A71F5"/>
    <w:rsid w:val="009A7294"/>
    <w:rsid w:val="009A7517"/>
    <w:rsid w:val="009A752B"/>
    <w:rsid w:val="009A761A"/>
    <w:rsid w:val="009A764C"/>
    <w:rsid w:val="009A76D5"/>
    <w:rsid w:val="009A77D9"/>
    <w:rsid w:val="009A7873"/>
    <w:rsid w:val="009A792C"/>
    <w:rsid w:val="009A7936"/>
    <w:rsid w:val="009A79AE"/>
    <w:rsid w:val="009A7BA8"/>
    <w:rsid w:val="009A7C17"/>
    <w:rsid w:val="009B0035"/>
    <w:rsid w:val="009B0039"/>
    <w:rsid w:val="009B018A"/>
    <w:rsid w:val="009B05E1"/>
    <w:rsid w:val="009B068D"/>
    <w:rsid w:val="009B0883"/>
    <w:rsid w:val="009B0A14"/>
    <w:rsid w:val="009B0E81"/>
    <w:rsid w:val="009B1094"/>
    <w:rsid w:val="009B110E"/>
    <w:rsid w:val="009B1416"/>
    <w:rsid w:val="009B146F"/>
    <w:rsid w:val="009B153A"/>
    <w:rsid w:val="009B1BE1"/>
    <w:rsid w:val="009B1C7D"/>
    <w:rsid w:val="009B1EA0"/>
    <w:rsid w:val="009B1FC6"/>
    <w:rsid w:val="009B2052"/>
    <w:rsid w:val="009B2104"/>
    <w:rsid w:val="009B2194"/>
    <w:rsid w:val="009B268F"/>
    <w:rsid w:val="009B293A"/>
    <w:rsid w:val="009B2A93"/>
    <w:rsid w:val="009B2ABD"/>
    <w:rsid w:val="009B2B2F"/>
    <w:rsid w:val="009B2D78"/>
    <w:rsid w:val="009B2D96"/>
    <w:rsid w:val="009B2EAC"/>
    <w:rsid w:val="009B311D"/>
    <w:rsid w:val="009B3308"/>
    <w:rsid w:val="009B3377"/>
    <w:rsid w:val="009B362A"/>
    <w:rsid w:val="009B3930"/>
    <w:rsid w:val="009B3969"/>
    <w:rsid w:val="009B3AC6"/>
    <w:rsid w:val="009B3B6F"/>
    <w:rsid w:val="009B40B6"/>
    <w:rsid w:val="009B416F"/>
    <w:rsid w:val="009B4404"/>
    <w:rsid w:val="009B44D4"/>
    <w:rsid w:val="009B4533"/>
    <w:rsid w:val="009B458E"/>
    <w:rsid w:val="009B4673"/>
    <w:rsid w:val="009B487F"/>
    <w:rsid w:val="009B4987"/>
    <w:rsid w:val="009B49F6"/>
    <w:rsid w:val="009B4C22"/>
    <w:rsid w:val="009B4C2F"/>
    <w:rsid w:val="009B509F"/>
    <w:rsid w:val="009B51B2"/>
    <w:rsid w:val="009B52F9"/>
    <w:rsid w:val="009B530E"/>
    <w:rsid w:val="009B53F7"/>
    <w:rsid w:val="009B540C"/>
    <w:rsid w:val="009B5526"/>
    <w:rsid w:val="009B5601"/>
    <w:rsid w:val="009B56EC"/>
    <w:rsid w:val="009B5769"/>
    <w:rsid w:val="009B57E9"/>
    <w:rsid w:val="009B5888"/>
    <w:rsid w:val="009B5F98"/>
    <w:rsid w:val="009B603C"/>
    <w:rsid w:val="009B6128"/>
    <w:rsid w:val="009B62B1"/>
    <w:rsid w:val="009B6322"/>
    <w:rsid w:val="009B64D8"/>
    <w:rsid w:val="009B6566"/>
    <w:rsid w:val="009B65EE"/>
    <w:rsid w:val="009B6CB6"/>
    <w:rsid w:val="009B6D86"/>
    <w:rsid w:val="009B6E57"/>
    <w:rsid w:val="009B6E69"/>
    <w:rsid w:val="009B6FBB"/>
    <w:rsid w:val="009B7005"/>
    <w:rsid w:val="009B7240"/>
    <w:rsid w:val="009B7391"/>
    <w:rsid w:val="009B77AB"/>
    <w:rsid w:val="009B788E"/>
    <w:rsid w:val="009B797C"/>
    <w:rsid w:val="009B7B5A"/>
    <w:rsid w:val="009B7B88"/>
    <w:rsid w:val="009B7C45"/>
    <w:rsid w:val="009B7C75"/>
    <w:rsid w:val="009B7E91"/>
    <w:rsid w:val="009B7FE4"/>
    <w:rsid w:val="009C00E6"/>
    <w:rsid w:val="009C02B8"/>
    <w:rsid w:val="009C034A"/>
    <w:rsid w:val="009C07EA"/>
    <w:rsid w:val="009C0856"/>
    <w:rsid w:val="009C0A4C"/>
    <w:rsid w:val="009C0A77"/>
    <w:rsid w:val="009C0AE6"/>
    <w:rsid w:val="009C0D76"/>
    <w:rsid w:val="009C1046"/>
    <w:rsid w:val="009C13F0"/>
    <w:rsid w:val="009C1802"/>
    <w:rsid w:val="009C1932"/>
    <w:rsid w:val="009C1AFE"/>
    <w:rsid w:val="009C1C46"/>
    <w:rsid w:val="009C1CD0"/>
    <w:rsid w:val="009C1CFE"/>
    <w:rsid w:val="009C1F3D"/>
    <w:rsid w:val="009C20F5"/>
    <w:rsid w:val="009C21A9"/>
    <w:rsid w:val="009C2374"/>
    <w:rsid w:val="009C247A"/>
    <w:rsid w:val="009C25A9"/>
    <w:rsid w:val="009C29AB"/>
    <w:rsid w:val="009C2A27"/>
    <w:rsid w:val="009C2ACC"/>
    <w:rsid w:val="009C2E4C"/>
    <w:rsid w:val="009C3687"/>
    <w:rsid w:val="009C3800"/>
    <w:rsid w:val="009C38FD"/>
    <w:rsid w:val="009C3A71"/>
    <w:rsid w:val="009C3BA9"/>
    <w:rsid w:val="009C3C6D"/>
    <w:rsid w:val="009C3CB5"/>
    <w:rsid w:val="009C3D33"/>
    <w:rsid w:val="009C4186"/>
    <w:rsid w:val="009C42A1"/>
    <w:rsid w:val="009C4318"/>
    <w:rsid w:val="009C43B1"/>
    <w:rsid w:val="009C46A6"/>
    <w:rsid w:val="009C471D"/>
    <w:rsid w:val="009C48A5"/>
    <w:rsid w:val="009C48D7"/>
    <w:rsid w:val="009C4A39"/>
    <w:rsid w:val="009C4BAF"/>
    <w:rsid w:val="009C4FAC"/>
    <w:rsid w:val="009C50A4"/>
    <w:rsid w:val="009C5560"/>
    <w:rsid w:val="009C56C6"/>
    <w:rsid w:val="009C576C"/>
    <w:rsid w:val="009C579D"/>
    <w:rsid w:val="009C594A"/>
    <w:rsid w:val="009C5E04"/>
    <w:rsid w:val="009C6084"/>
    <w:rsid w:val="009C617E"/>
    <w:rsid w:val="009C6589"/>
    <w:rsid w:val="009C6648"/>
    <w:rsid w:val="009C6E17"/>
    <w:rsid w:val="009C6F10"/>
    <w:rsid w:val="009C6F11"/>
    <w:rsid w:val="009C6F51"/>
    <w:rsid w:val="009C733A"/>
    <w:rsid w:val="009C749E"/>
    <w:rsid w:val="009C750A"/>
    <w:rsid w:val="009C75F4"/>
    <w:rsid w:val="009C76A8"/>
    <w:rsid w:val="009C76E3"/>
    <w:rsid w:val="009C775F"/>
    <w:rsid w:val="009C7820"/>
    <w:rsid w:val="009C7825"/>
    <w:rsid w:val="009C7965"/>
    <w:rsid w:val="009C7A26"/>
    <w:rsid w:val="009C7EDF"/>
    <w:rsid w:val="009D0578"/>
    <w:rsid w:val="009D08B9"/>
    <w:rsid w:val="009D09C4"/>
    <w:rsid w:val="009D0A1C"/>
    <w:rsid w:val="009D0C72"/>
    <w:rsid w:val="009D0F99"/>
    <w:rsid w:val="009D0F9F"/>
    <w:rsid w:val="009D10D8"/>
    <w:rsid w:val="009D128E"/>
    <w:rsid w:val="009D148F"/>
    <w:rsid w:val="009D1503"/>
    <w:rsid w:val="009D1FAD"/>
    <w:rsid w:val="009D2224"/>
    <w:rsid w:val="009D234D"/>
    <w:rsid w:val="009D2668"/>
    <w:rsid w:val="009D26CF"/>
    <w:rsid w:val="009D2707"/>
    <w:rsid w:val="009D2745"/>
    <w:rsid w:val="009D278F"/>
    <w:rsid w:val="009D27F2"/>
    <w:rsid w:val="009D2B08"/>
    <w:rsid w:val="009D2B8E"/>
    <w:rsid w:val="009D2BC2"/>
    <w:rsid w:val="009D2C19"/>
    <w:rsid w:val="009D3029"/>
    <w:rsid w:val="009D3258"/>
    <w:rsid w:val="009D34E5"/>
    <w:rsid w:val="009D35A6"/>
    <w:rsid w:val="009D373F"/>
    <w:rsid w:val="009D3755"/>
    <w:rsid w:val="009D38F1"/>
    <w:rsid w:val="009D3A02"/>
    <w:rsid w:val="009D3C12"/>
    <w:rsid w:val="009D3D4A"/>
    <w:rsid w:val="009D3D70"/>
    <w:rsid w:val="009D442C"/>
    <w:rsid w:val="009D45DC"/>
    <w:rsid w:val="009D45F0"/>
    <w:rsid w:val="009D45FD"/>
    <w:rsid w:val="009D4645"/>
    <w:rsid w:val="009D4AAE"/>
    <w:rsid w:val="009D4C3F"/>
    <w:rsid w:val="009D4EFB"/>
    <w:rsid w:val="009D515B"/>
    <w:rsid w:val="009D56E8"/>
    <w:rsid w:val="009D56F6"/>
    <w:rsid w:val="009D57C8"/>
    <w:rsid w:val="009D5857"/>
    <w:rsid w:val="009D5965"/>
    <w:rsid w:val="009D59B7"/>
    <w:rsid w:val="009D5B9E"/>
    <w:rsid w:val="009D5DFD"/>
    <w:rsid w:val="009D61E6"/>
    <w:rsid w:val="009D65AF"/>
    <w:rsid w:val="009D6808"/>
    <w:rsid w:val="009D69B9"/>
    <w:rsid w:val="009D6AA2"/>
    <w:rsid w:val="009D6FCB"/>
    <w:rsid w:val="009D72C1"/>
    <w:rsid w:val="009D731B"/>
    <w:rsid w:val="009D73BA"/>
    <w:rsid w:val="009D75C6"/>
    <w:rsid w:val="009D7A0B"/>
    <w:rsid w:val="009D7B72"/>
    <w:rsid w:val="009D7DB3"/>
    <w:rsid w:val="009E001D"/>
    <w:rsid w:val="009E015F"/>
    <w:rsid w:val="009E01DE"/>
    <w:rsid w:val="009E02C4"/>
    <w:rsid w:val="009E0334"/>
    <w:rsid w:val="009E0385"/>
    <w:rsid w:val="009E067A"/>
    <w:rsid w:val="009E078B"/>
    <w:rsid w:val="009E0ACE"/>
    <w:rsid w:val="009E0CF4"/>
    <w:rsid w:val="009E0E09"/>
    <w:rsid w:val="009E0E0E"/>
    <w:rsid w:val="009E11DF"/>
    <w:rsid w:val="009E126B"/>
    <w:rsid w:val="009E186D"/>
    <w:rsid w:val="009E1B3D"/>
    <w:rsid w:val="009E1C02"/>
    <w:rsid w:val="009E1D17"/>
    <w:rsid w:val="009E212C"/>
    <w:rsid w:val="009E2191"/>
    <w:rsid w:val="009E2473"/>
    <w:rsid w:val="009E25BA"/>
    <w:rsid w:val="009E2686"/>
    <w:rsid w:val="009E3397"/>
    <w:rsid w:val="009E3622"/>
    <w:rsid w:val="009E36A1"/>
    <w:rsid w:val="009E3808"/>
    <w:rsid w:val="009E395A"/>
    <w:rsid w:val="009E43DE"/>
    <w:rsid w:val="009E463F"/>
    <w:rsid w:val="009E46BF"/>
    <w:rsid w:val="009E46D0"/>
    <w:rsid w:val="009E477B"/>
    <w:rsid w:val="009E489E"/>
    <w:rsid w:val="009E495E"/>
    <w:rsid w:val="009E4A2D"/>
    <w:rsid w:val="009E4CEA"/>
    <w:rsid w:val="009E5120"/>
    <w:rsid w:val="009E5570"/>
    <w:rsid w:val="009E574C"/>
    <w:rsid w:val="009E5868"/>
    <w:rsid w:val="009E588B"/>
    <w:rsid w:val="009E59D8"/>
    <w:rsid w:val="009E5D27"/>
    <w:rsid w:val="009E5DAF"/>
    <w:rsid w:val="009E5DF5"/>
    <w:rsid w:val="009E6786"/>
    <w:rsid w:val="009E6A86"/>
    <w:rsid w:val="009E6EDC"/>
    <w:rsid w:val="009E6F7E"/>
    <w:rsid w:val="009E7117"/>
    <w:rsid w:val="009E7339"/>
    <w:rsid w:val="009E75D8"/>
    <w:rsid w:val="009E7A57"/>
    <w:rsid w:val="009E7C93"/>
    <w:rsid w:val="009E7CF9"/>
    <w:rsid w:val="009E7D3C"/>
    <w:rsid w:val="009E7F2D"/>
    <w:rsid w:val="009E7FB6"/>
    <w:rsid w:val="009E7FE7"/>
    <w:rsid w:val="009F022C"/>
    <w:rsid w:val="009F0577"/>
    <w:rsid w:val="009F061E"/>
    <w:rsid w:val="009F102C"/>
    <w:rsid w:val="009F1210"/>
    <w:rsid w:val="009F12EC"/>
    <w:rsid w:val="009F1369"/>
    <w:rsid w:val="009F1763"/>
    <w:rsid w:val="009F1C96"/>
    <w:rsid w:val="009F1CB1"/>
    <w:rsid w:val="009F21D1"/>
    <w:rsid w:val="009F2212"/>
    <w:rsid w:val="009F26FF"/>
    <w:rsid w:val="009F28B6"/>
    <w:rsid w:val="009F2C81"/>
    <w:rsid w:val="009F2F79"/>
    <w:rsid w:val="009F30C9"/>
    <w:rsid w:val="009F3244"/>
    <w:rsid w:val="009F35B7"/>
    <w:rsid w:val="009F366F"/>
    <w:rsid w:val="009F37C3"/>
    <w:rsid w:val="009F39B2"/>
    <w:rsid w:val="009F39F6"/>
    <w:rsid w:val="009F3A18"/>
    <w:rsid w:val="009F3C40"/>
    <w:rsid w:val="009F3DF6"/>
    <w:rsid w:val="009F3DFA"/>
    <w:rsid w:val="009F3FFF"/>
    <w:rsid w:val="009F42D5"/>
    <w:rsid w:val="009F4308"/>
    <w:rsid w:val="009F439E"/>
    <w:rsid w:val="009F4626"/>
    <w:rsid w:val="009F4831"/>
    <w:rsid w:val="009F48A9"/>
    <w:rsid w:val="009F48E7"/>
    <w:rsid w:val="009F4960"/>
    <w:rsid w:val="009F4CA9"/>
    <w:rsid w:val="009F4F03"/>
    <w:rsid w:val="009F4F6A"/>
    <w:rsid w:val="009F5020"/>
    <w:rsid w:val="009F5083"/>
    <w:rsid w:val="009F511F"/>
    <w:rsid w:val="009F520B"/>
    <w:rsid w:val="009F53FA"/>
    <w:rsid w:val="009F54B8"/>
    <w:rsid w:val="009F558A"/>
    <w:rsid w:val="009F5675"/>
    <w:rsid w:val="009F574A"/>
    <w:rsid w:val="009F575F"/>
    <w:rsid w:val="009F5868"/>
    <w:rsid w:val="009F599F"/>
    <w:rsid w:val="009F59FC"/>
    <w:rsid w:val="009F5A4C"/>
    <w:rsid w:val="009F5BAB"/>
    <w:rsid w:val="009F5E54"/>
    <w:rsid w:val="009F5EC8"/>
    <w:rsid w:val="009F5F2A"/>
    <w:rsid w:val="009F6082"/>
    <w:rsid w:val="009F6314"/>
    <w:rsid w:val="009F64DF"/>
    <w:rsid w:val="009F65C0"/>
    <w:rsid w:val="009F6628"/>
    <w:rsid w:val="009F68DB"/>
    <w:rsid w:val="009F69BB"/>
    <w:rsid w:val="009F6B46"/>
    <w:rsid w:val="009F6D0B"/>
    <w:rsid w:val="009F6F81"/>
    <w:rsid w:val="009F7026"/>
    <w:rsid w:val="009F702C"/>
    <w:rsid w:val="009F7257"/>
    <w:rsid w:val="009F73B5"/>
    <w:rsid w:val="009F755B"/>
    <w:rsid w:val="009F7603"/>
    <w:rsid w:val="009F7B74"/>
    <w:rsid w:val="009F7C17"/>
    <w:rsid w:val="009F7E97"/>
    <w:rsid w:val="009F7F80"/>
    <w:rsid w:val="00A00219"/>
    <w:rsid w:val="00A002F4"/>
    <w:rsid w:val="00A00361"/>
    <w:rsid w:val="00A0079A"/>
    <w:rsid w:val="00A007F7"/>
    <w:rsid w:val="00A0083F"/>
    <w:rsid w:val="00A0093E"/>
    <w:rsid w:val="00A009B7"/>
    <w:rsid w:val="00A00B72"/>
    <w:rsid w:val="00A00BEA"/>
    <w:rsid w:val="00A00F99"/>
    <w:rsid w:val="00A0137F"/>
    <w:rsid w:val="00A013EC"/>
    <w:rsid w:val="00A018B5"/>
    <w:rsid w:val="00A018C1"/>
    <w:rsid w:val="00A01926"/>
    <w:rsid w:val="00A01BB1"/>
    <w:rsid w:val="00A01C27"/>
    <w:rsid w:val="00A01D26"/>
    <w:rsid w:val="00A01FBF"/>
    <w:rsid w:val="00A020BF"/>
    <w:rsid w:val="00A0224F"/>
    <w:rsid w:val="00A02295"/>
    <w:rsid w:val="00A02464"/>
    <w:rsid w:val="00A025D3"/>
    <w:rsid w:val="00A02961"/>
    <w:rsid w:val="00A02A7A"/>
    <w:rsid w:val="00A02AB0"/>
    <w:rsid w:val="00A02CEC"/>
    <w:rsid w:val="00A02EC1"/>
    <w:rsid w:val="00A03081"/>
    <w:rsid w:val="00A030D9"/>
    <w:rsid w:val="00A03498"/>
    <w:rsid w:val="00A03638"/>
    <w:rsid w:val="00A03686"/>
    <w:rsid w:val="00A03797"/>
    <w:rsid w:val="00A0383E"/>
    <w:rsid w:val="00A0394E"/>
    <w:rsid w:val="00A03B5D"/>
    <w:rsid w:val="00A03C56"/>
    <w:rsid w:val="00A03F40"/>
    <w:rsid w:val="00A03FC6"/>
    <w:rsid w:val="00A04084"/>
    <w:rsid w:val="00A040FD"/>
    <w:rsid w:val="00A044C8"/>
    <w:rsid w:val="00A046C1"/>
    <w:rsid w:val="00A0472A"/>
    <w:rsid w:val="00A052C7"/>
    <w:rsid w:val="00A053BC"/>
    <w:rsid w:val="00A0540F"/>
    <w:rsid w:val="00A05754"/>
    <w:rsid w:val="00A057BF"/>
    <w:rsid w:val="00A0585C"/>
    <w:rsid w:val="00A05F7F"/>
    <w:rsid w:val="00A06131"/>
    <w:rsid w:val="00A061F7"/>
    <w:rsid w:val="00A06379"/>
    <w:rsid w:val="00A065CB"/>
    <w:rsid w:val="00A06785"/>
    <w:rsid w:val="00A06C1C"/>
    <w:rsid w:val="00A06D73"/>
    <w:rsid w:val="00A06E03"/>
    <w:rsid w:val="00A06F30"/>
    <w:rsid w:val="00A06F44"/>
    <w:rsid w:val="00A072AB"/>
    <w:rsid w:val="00A07305"/>
    <w:rsid w:val="00A07324"/>
    <w:rsid w:val="00A0746B"/>
    <w:rsid w:val="00A07535"/>
    <w:rsid w:val="00A07853"/>
    <w:rsid w:val="00A078F3"/>
    <w:rsid w:val="00A07949"/>
    <w:rsid w:val="00A07CE6"/>
    <w:rsid w:val="00A07CF0"/>
    <w:rsid w:val="00A07D48"/>
    <w:rsid w:val="00A07EF3"/>
    <w:rsid w:val="00A07EFD"/>
    <w:rsid w:val="00A10289"/>
    <w:rsid w:val="00A102AB"/>
    <w:rsid w:val="00A103C7"/>
    <w:rsid w:val="00A10881"/>
    <w:rsid w:val="00A109D7"/>
    <w:rsid w:val="00A10B72"/>
    <w:rsid w:val="00A10B8E"/>
    <w:rsid w:val="00A10BA4"/>
    <w:rsid w:val="00A10F2B"/>
    <w:rsid w:val="00A1129E"/>
    <w:rsid w:val="00A113AF"/>
    <w:rsid w:val="00A11697"/>
    <w:rsid w:val="00A11801"/>
    <w:rsid w:val="00A1199E"/>
    <w:rsid w:val="00A11B49"/>
    <w:rsid w:val="00A12082"/>
    <w:rsid w:val="00A12315"/>
    <w:rsid w:val="00A123CE"/>
    <w:rsid w:val="00A125D6"/>
    <w:rsid w:val="00A12730"/>
    <w:rsid w:val="00A12A46"/>
    <w:rsid w:val="00A13343"/>
    <w:rsid w:val="00A133D0"/>
    <w:rsid w:val="00A13750"/>
    <w:rsid w:val="00A137E5"/>
    <w:rsid w:val="00A138CC"/>
    <w:rsid w:val="00A138F5"/>
    <w:rsid w:val="00A13B87"/>
    <w:rsid w:val="00A144DF"/>
    <w:rsid w:val="00A14871"/>
    <w:rsid w:val="00A1496E"/>
    <w:rsid w:val="00A14E98"/>
    <w:rsid w:val="00A15013"/>
    <w:rsid w:val="00A15085"/>
    <w:rsid w:val="00A1530C"/>
    <w:rsid w:val="00A153DB"/>
    <w:rsid w:val="00A154CE"/>
    <w:rsid w:val="00A157F3"/>
    <w:rsid w:val="00A15A0C"/>
    <w:rsid w:val="00A16026"/>
    <w:rsid w:val="00A16141"/>
    <w:rsid w:val="00A16161"/>
    <w:rsid w:val="00A161B8"/>
    <w:rsid w:val="00A1625F"/>
    <w:rsid w:val="00A162A1"/>
    <w:rsid w:val="00A165E3"/>
    <w:rsid w:val="00A1679D"/>
    <w:rsid w:val="00A1680B"/>
    <w:rsid w:val="00A16823"/>
    <w:rsid w:val="00A16AE1"/>
    <w:rsid w:val="00A16DB6"/>
    <w:rsid w:val="00A16E36"/>
    <w:rsid w:val="00A16EA9"/>
    <w:rsid w:val="00A17193"/>
    <w:rsid w:val="00A17471"/>
    <w:rsid w:val="00A175C5"/>
    <w:rsid w:val="00A179DD"/>
    <w:rsid w:val="00A17B64"/>
    <w:rsid w:val="00A201AC"/>
    <w:rsid w:val="00A204F3"/>
    <w:rsid w:val="00A208D4"/>
    <w:rsid w:val="00A20AF0"/>
    <w:rsid w:val="00A210A2"/>
    <w:rsid w:val="00A2116D"/>
    <w:rsid w:val="00A2131F"/>
    <w:rsid w:val="00A21417"/>
    <w:rsid w:val="00A2151D"/>
    <w:rsid w:val="00A21AB9"/>
    <w:rsid w:val="00A21EBA"/>
    <w:rsid w:val="00A22302"/>
    <w:rsid w:val="00A22374"/>
    <w:rsid w:val="00A223C7"/>
    <w:rsid w:val="00A22427"/>
    <w:rsid w:val="00A2287B"/>
    <w:rsid w:val="00A22B1B"/>
    <w:rsid w:val="00A22C0B"/>
    <w:rsid w:val="00A22CE5"/>
    <w:rsid w:val="00A22E31"/>
    <w:rsid w:val="00A22EFB"/>
    <w:rsid w:val="00A23040"/>
    <w:rsid w:val="00A23160"/>
    <w:rsid w:val="00A2321B"/>
    <w:rsid w:val="00A23A71"/>
    <w:rsid w:val="00A23A7D"/>
    <w:rsid w:val="00A23BB2"/>
    <w:rsid w:val="00A23FFD"/>
    <w:rsid w:val="00A241A8"/>
    <w:rsid w:val="00A242F4"/>
    <w:rsid w:val="00A2492F"/>
    <w:rsid w:val="00A24961"/>
    <w:rsid w:val="00A2498D"/>
    <w:rsid w:val="00A24ABD"/>
    <w:rsid w:val="00A24B10"/>
    <w:rsid w:val="00A24FF0"/>
    <w:rsid w:val="00A25045"/>
    <w:rsid w:val="00A25168"/>
    <w:rsid w:val="00A2553C"/>
    <w:rsid w:val="00A25973"/>
    <w:rsid w:val="00A25BB0"/>
    <w:rsid w:val="00A25F3A"/>
    <w:rsid w:val="00A26471"/>
    <w:rsid w:val="00A26524"/>
    <w:rsid w:val="00A26580"/>
    <w:rsid w:val="00A2660D"/>
    <w:rsid w:val="00A266C0"/>
    <w:rsid w:val="00A26CFC"/>
    <w:rsid w:val="00A26E2B"/>
    <w:rsid w:val="00A271C3"/>
    <w:rsid w:val="00A2721F"/>
    <w:rsid w:val="00A27362"/>
    <w:rsid w:val="00A273B9"/>
    <w:rsid w:val="00A27476"/>
    <w:rsid w:val="00A277AA"/>
    <w:rsid w:val="00A277EE"/>
    <w:rsid w:val="00A27826"/>
    <w:rsid w:val="00A27CC4"/>
    <w:rsid w:val="00A27E10"/>
    <w:rsid w:val="00A27E4C"/>
    <w:rsid w:val="00A27EC2"/>
    <w:rsid w:val="00A27F18"/>
    <w:rsid w:val="00A30163"/>
    <w:rsid w:val="00A302F4"/>
    <w:rsid w:val="00A30385"/>
    <w:rsid w:val="00A30483"/>
    <w:rsid w:val="00A307DD"/>
    <w:rsid w:val="00A30B84"/>
    <w:rsid w:val="00A30E9B"/>
    <w:rsid w:val="00A310D7"/>
    <w:rsid w:val="00A310F5"/>
    <w:rsid w:val="00A31241"/>
    <w:rsid w:val="00A31438"/>
    <w:rsid w:val="00A31456"/>
    <w:rsid w:val="00A314F1"/>
    <w:rsid w:val="00A315FA"/>
    <w:rsid w:val="00A3163F"/>
    <w:rsid w:val="00A31770"/>
    <w:rsid w:val="00A31794"/>
    <w:rsid w:val="00A318E0"/>
    <w:rsid w:val="00A31DBC"/>
    <w:rsid w:val="00A31DC9"/>
    <w:rsid w:val="00A31F8C"/>
    <w:rsid w:val="00A31FAF"/>
    <w:rsid w:val="00A32294"/>
    <w:rsid w:val="00A322DE"/>
    <w:rsid w:val="00A32366"/>
    <w:rsid w:val="00A32448"/>
    <w:rsid w:val="00A326B1"/>
    <w:rsid w:val="00A326D9"/>
    <w:rsid w:val="00A32A5A"/>
    <w:rsid w:val="00A32A77"/>
    <w:rsid w:val="00A32BEC"/>
    <w:rsid w:val="00A32C5B"/>
    <w:rsid w:val="00A32E5D"/>
    <w:rsid w:val="00A33187"/>
    <w:rsid w:val="00A332F8"/>
    <w:rsid w:val="00A333E2"/>
    <w:rsid w:val="00A334F5"/>
    <w:rsid w:val="00A3394D"/>
    <w:rsid w:val="00A339F6"/>
    <w:rsid w:val="00A33A1B"/>
    <w:rsid w:val="00A33D4D"/>
    <w:rsid w:val="00A33D9C"/>
    <w:rsid w:val="00A3433D"/>
    <w:rsid w:val="00A34363"/>
    <w:rsid w:val="00A34685"/>
    <w:rsid w:val="00A34885"/>
    <w:rsid w:val="00A34B27"/>
    <w:rsid w:val="00A34C0A"/>
    <w:rsid w:val="00A34DEC"/>
    <w:rsid w:val="00A34EEF"/>
    <w:rsid w:val="00A35045"/>
    <w:rsid w:val="00A3524B"/>
    <w:rsid w:val="00A35762"/>
    <w:rsid w:val="00A358D8"/>
    <w:rsid w:val="00A35B9A"/>
    <w:rsid w:val="00A360C6"/>
    <w:rsid w:val="00A3626F"/>
    <w:rsid w:val="00A36872"/>
    <w:rsid w:val="00A36937"/>
    <w:rsid w:val="00A36A55"/>
    <w:rsid w:val="00A36BD6"/>
    <w:rsid w:val="00A36DE1"/>
    <w:rsid w:val="00A37044"/>
    <w:rsid w:val="00A37059"/>
    <w:rsid w:val="00A372E5"/>
    <w:rsid w:val="00A372EE"/>
    <w:rsid w:val="00A378E4"/>
    <w:rsid w:val="00A379ED"/>
    <w:rsid w:val="00A37A17"/>
    <w:rsid w:val="00A37D0E"/>
    <w:rsid w:val="00A37D7D"/>
    <w:rsid w:val="00A37E8B"/>
    <w:rsid w:val="00A37F18"/>
    <w:rsid w:val="00A405F5"/>
    <w:rsid w:val="00A40669"/>
    <w:rsid w:val="00A40893"/>
    <w:rsid w:val="00A409FA"/>
    <w:rsid w:val="00A40EF3"/>
    <w:rsid w:val="00A4108B"/>
    <w:rsid w:val="00A41127"/>
    <w:rsid w:val="00A414C4"/>
    <w:rsid w:val="00A41A1E"/>
    <w:rsid w:val="00A41B2D"/>
    <w:rsid w:val="00A41CD2"/>
    <w:rsid w:val="00A41DA9"/>
    <w:rsid w:val="00A41EBE"/>
    <w:rsid w:val="00A42606"/>
    <w:rsid w:val="00A42AF0"/>
    <w:rsid w:val="00A42B6D"/>
    <w:rsid w:val="00A42D34"/>
    <w:rsid w:val="00A42DB4"/>
    <w:rsid w:val="00A42F4D"/>
    <w:rsid w:val="00A42FBA"/>
    <w:rsid w:val="00A43145"/>
    <w:rsid w:val="00A432CD"/>
    <w:rsid w:val="00A43324"/>
    <w:rsid w:val="00A43419"/>
    <w:rsid w:val="00A434EB"/>
    <w:rsid w:val="00A43683"/>
    <w:rsid w:val="00A43754"/>
    <w:rsid w:val="00A43A7A"/>
    <w:rsid w:val="00A43CAA"/>
    <w:rsid w:val="00A43E9A"/>
    <w:rsid w:val="00A43FC6"/>
    <w:rsid w:val="00A44282"/>
    <w:rsid w:val="00A44809"/>
    <w:rsid w:val="00A44832"/>
    <w:rsid w:val="00A44A19"/>
    <w:rsid w:val="00A44A34"/>
    <w:rsid w:val="00A44AE7"/>
    <w:rsid w:val="00A44B0A"/>
    <w:rsid w:val="00A44B2C"/>
    <w:rsid w:val="00A44C10"/>
    <w:rsid w:val="00A44FBD"/>
    <w:rsid w:val="00A450C5"/>
    <w:rsid w:val="00A4512D"/>
    <w:rsid w:val="00A451AC"/>
    <w:rsid w:val="00A45214"/>
    <w:rsid w:val="00A45465"/>
    <w:rsid w:val="00A4548C"/>
    <w:rsid w:val="00A454B3"/>
    <w:rsid w:val="00A456F3"/>
    <w:rsid w:val="00A45B22"/>
    <w:rsid w:val="00A45DCD"/>
    <w:rsid w:val="00A45E75"/>
    <w:rsid w:val="00A46026"/>
    <w:rsid w:val="00A465D4"/>
    <w:rsid w:val="00A46774"/>
    <w:rsid w:val="00A467F8"/>
    <w:rsid w:val="00A46B49"/>
    <w:rsid w:val="00A46BD0"/>
    <w:rsid w:val="00A46D2F"/>
    <w:rsid w:val="00A46DBE"/>
    <w:rsid w:val="00A472D1"/>
    <w:rsid w:val="00A478F7"/>
    <w:rsid w:val="00A47B07"/>
    <w:rsid w:val="00A47CC0"/>
    <w:rsid w:val="00A47FCC"/>
    <w:rsid w:val="00A50236"/>
    <w:rsid w:val="00A50244"/>
    <w:rsid w:val="00A5058A"/>
    <w:rsid w:val="00A509CC"/>
    <w:rsid w:val="00A50AF1"/>
    <w:rsid w:val="00A50BC0"/>
    <w:rsid w:val="00A50DEC"/>
    <w:rsid w:val="00A51147"/>
    <w:rsid w:val="00A51226"/>
    <w:rsid w:val="00A5128C"/>
    <w:rsid w:val="00A514DE"/>
    <w:rsid w:val="00A5166D"/>
    <w:rsid w:val="00A51822"/>
    <w:rsid w:val="00A518E8"/>
    <w:rsid w:val="00A51CC3"/>
    <w:rsid w:val="00A51CCF"/>
    <w:rsid w:val="00A51FEF"/>
    <w:rsid w:val="00A5209D"/>
    <w:rsid w:val="00A522B7"/>
    <w:rsid w:val="00A52551"/>
    <w:rsid w:val="00A52ACB"/>
    <w:rsid w:val="00A52D06"/>
    <w:rsid w:val="00A52DC0"/>
    <w:rsid w:val="00A5311D"/>
    <w:rsid w:val="00A53502"/>
    <w:rsid w:val="00A53A29"/>
    <w:rsid w:val="00A53D70"/>
    <w:rsid w:val="00A53FC3"/>
    <w:rsid w:val="00A54002"/>
    <w:rsid w:val="00A54043"/>
    <w:rsid w:val="00A540B6"/>
    <w:rsid w:val="00A54196"/>
    <w:rsid w:val="00A54388"/>
    <w:rsid w:val="00A543D6"/>
    <w:rsid w:val="00A54453"/>
    <w:rsid w:val="00A547B9"/>
    <w:rsid w:val="00A54AF9"/>
    <w:rsid w:val="00A54DC6"/>
    <w:rsid w:val="00A54DD4"/>
    <w:rsid w:val="00A54F4B"/>
    <w:rsid w:val="00A557BC"/>
    <w:rsid w:val="00A558F8"/>
    <w:rsid w:val="00A5595C"/>
    <w:rsid w:val="00A55AC5"/>
    <w:rsid w:val="00A55B86"/>
    <w:rsid w:val="00A55C92"/>
    <w:rsid w:val="00A55F40"/>
    <w:rsid w:val="00A56094"/>
    <w:rsid w:val="00A56164"/>
    <w:rsid w:val="00A569A8"/>
    <w:rsid w:val="00A56A20"/>
    <w:rsid w:val="00A56D3F"/>
    <w:rsid w:val="00A56EEB"/>
    <w:rsid w:val="00A56F17"/>
    <w:rsid w:val="00A57023"/>
    <w:rsid w:val="00A57336"/>
    <w:rsid w:val="00A57594"/>
    <w:rsid w:val="00A576BD"/>
    <w:rsid w:val="00A57994"/>
    <w:rsid w:val="00A600B0"/>
    <w:rsid w:val="00A6046B"/>
    <w:rsid w:val="00A6046D"/>
    <w:rsid w:val="00A605A2"/>
    <w:rsid w:val="00A606D9"/>
    <w:rsid w:val="00A607B7"/>
    <w:rsid w:val="00A607CC"/>
    <w:rsid w:val="00A608FF"/>
    <w:rsid w:val="00A6113F"/>
    <w:rsid w:val="00A61160"/>
    <w:rsid w:val="00A6124B"/>
    <w:rsid w:val="00A6130F"/>
    <w:rsid w:val="00A61413"/>
    <w:rsid w:val="00A614A4"/>
    <w:rsid w:val="00A617AC"/>
    <w:rsid w:val="00A61815"/>
    <w:rsid w:val="00A61833"/>
    <w:rsid w:val="00A61997"/>
    <w:rsid w:val="00A619C7"/>
    <w:rsid w:val="00A61C56"/>
    <w:rsid w:val="00A62046"/>
    <w:rsid w:val="00A62280"/>
    <w:rsid w:val="00A623DF"/>
    <w:rsid w:val="00A62737"/>
    <w:rsid w:val="00A627B4"/>
    <w:rsid w:val="00A627D7"/>
    <w:rsid w:val="00A62A19"/>
    <w:rsid w:val="00A62DB1"/>
    <w:rsid w:val="00A63354"/>
    <w:rsid w:val="00A634B0"/>
    <w:rsid w:val="00A63989"/>
    <w:rsid w:val="00A63B18"/>
    <w:rsid w:val="00A63BF9"/>
    <w:rsid w:val="00A6406F"/>
    <w:rsid w:val="00A640BD"/>
    <w:rsid w:val="00A6431F"/>
    <w:rsid w:val="00A64615"/>
    <w:rsid w:val="00A64A50"/>
    <w:rsid w:val="00A64B03"/>
    <w:rsid w:val="00A64E1F"/>
    <w:rsid w:val="00A64E47"/>
    <w:rsid w:val="00A6513C"/>
    <w:rsid w:val="00A6517F"/>
    <w:rsid w:val="00A654F5"/>
    <w:rsid w:val="00A6550E"/>
    <w:rsid w:val="00A656C7"/>
    <w:rsid w:val="00A6579E"/>
    <w:rsid w:val="00A65FC4"/>
    <w:rsid w:val="00A66317"/>
    <w:rsid w:val="00A663EF"/>
    <w:rsid w:val="00A66751"/>
    <w:rsid w:val="00A66839"/>
    <w:rsid w:val="00A66868"/>
    <w:rsid w:val="00A669DE"/>
    <w:rsid w:val="00A66A6A"/>
    <w:rsid w:val="00A66AD0"/>
    <w:rsid w:val="00A66AD1"/>
    <w:rsid w:val="00A66BE5"/>
    <w:rsid w:val="00A66C7F"/>
    <w:rsid w:val="00A66D3D"/>
    <w:rsid w:val="00A66DB7"/>
    <w:rsid w:val="00A66E36"/>
    <w:rsid w:val="00A6708B"/>
    <w:rsid w:val="00A670F8"/>
    <w:rsid w:val="00A672A5"/>
    <w:rsid w:val="00A67609"/>
    <w:rsid w:val="00A676A7"/>
    <w:rsid w:val="00A676BD"/>
    <w:rsid w:val="00A676F2"/>
    <w:rsid w:val="00A6796B"/>
    <w:rsid w:val="00A67A15"/>
    <w:rsid w:val="00A67ED2"/>
    <w:rsid w:val="00A67ED5"/>
    <w:rsid w:val="00A700D4"/>
    <w:rsid w:val="00A701C1"/>
    <w:rsid w:val="00A70386"/>
    <w:rsid w:val="00A70428"/>
    <w:rsid w:val="00A7051F"/>
    <w:rsid w:val="00A705AF"/>
    <w:rsid w:val="00A7086F"/>
    <w:rsid w:val="00A709FF"/>
    <w:rsid w:val="00A70C5B"/>
    <w:rsid w:val="00A70DD9"/>
    <w:rsid w:val="00A70E4E"/>
    <w:rsid w:val="00A7104C"/>
    <w:rsid w:val="00A710A3"/>
    <w:rsid w:val="00A710C1"/>
    <w:rsid w:val="00A711D4"/>
    <w:rsid w:val="00A7121D"/>
    <w:rsid w:val="00A71258"/>
    <w:rsid w:val="00A712BD"/>
    <w:rsid w:val="00A7135A"/>
    <w:rsid w:val="00A7145A"/>
    <w:rsid w:val="00A7156D"/>
    <w:rsid w:val="00A715FF"/>
    <w:rsid w:val="00A71771"/>
    <w:rsid w:val="00A717F2"/>
    <w:rsid w:val="00A71852"/>
    <w:rsid w:val="00A71949"/>
    <w:rsid w:val="00A71B23"/>
    <w:rsid w:val="00A71F8D"/>
    <w:rsid w:val="00A7216F"/>
    <w:rsid w:val="00A723C0"/>
    <w:rsid w:val="00A72454"/>
    <w:rsid w:val="00A72611"/>
    <w:rsid w:val="00A72672"/>
    <w:rsid w:val="00A728DE"/>
    <w:rsid w:val="00A72CBE"/>
    <w:rsid w:val="00A73394"/>
    <w:rsid w:val="00A73456"/>
    <w:rsid w:val="00A736B1"/>
    <w:rsid w:val="00A736EC"/>
    <w:rsid w:val="00A737ED"/>
    <w:rsid w:val="00A73959"/>
    <w:rsid w:val="00A73982"/>
    <w:rsid w:val="00A73B49"/>
    <w:rsid w:val="00A73B4B"/>
    <w:rsid w:val="00A73CA3"/>
    <w:rsid w:val="00A73D43"/>
    <w:rsid w:val="00A741EC"/>
    <w:rsid w:val="00A742C2"/>
    <w:rsid w:val="00A74345"/>
    <w:rsid w:val="00A7445F"/>
    <w:rsid w:val="00A74464"/>
    <w:rsid w:val="00A745E2"/>
    <w:rsid w:val="00A74ADA"/>
    <w:rsid w:val="00A74B62"/>
    <w:rsid w:val="00A74E41"/>
    <w:rsid w:val="00A75071"/>
    <w:rsid w:val="00A750FE"/>
    <w:rsid w:val="00A75178"/>
    <w:rsid w:val="00A754DE"/>
    <w:rsid w:val="00A75564"/>
    <w:rsid w:val="00A757F7"/>
    <w:rsid w:val="00A75815"/>
    <w:rsid w:val="00A75AF9"/>
    <w:rsid w:val="00A75B79"/>
    <w:rsid w:val="00A75BDB"/>
    <w:rsid w:val="00A75D31"/>
    <w:rsid w:val="00A75E89"/>
    <w:rsid w:val="00A75ECF"/>
    <w:rsid w:val="00A75F32"/>
    <w:rsid w:val="00A76017"/>
    <w:rsid w:val="00A76321"/>
    <w:rsid w:val="00A76436"/>
    <w:rsid w:val="00A764E6"/>
    <w:rsid w:val="00A76558"/>
    <w:rsid w:val="00A7670F"/>
    <w:rsid w:val="00A768AD"/>
    <w:rsid w:val="00A769CB"/>
    <w:rsid w:val="00A76A4D"/>
    <w:rsid w:val="00A76DC4"/>
    <w:rsid w:val="00A7707B"/>
    <w:rsid w:val="00A7727E"/>
    <w:rsid w:val="00A77365"/>
    <w:rsid w:val="00A77381"/>
    <w:rsid w:val="00A775CA"/>
    <w:rsid w:val="00A77696"/>
    <w:rsid w:val="00A77A54"/>
    <w:rsid w:val="00A77A64"/>
    <w:rsid w:val="00A77D81"/>
    <w:rsid w:val="00A804D1"/>
    <w:rsid w:val="00A80557"/>
    <w:rsid w:val="00A8069A"/>
    <w:rsid w:val="00A80797"/>
    <w:rsid w:val="00A80881"/>
    <w:rsid w:val="00A80CC8"/>
    <w:rsid w:val="00A80D93"/>
    <w:rsid w:val="00A80EB7"/>
    <w:rsid w:val="00A80F70"/>
    <w:rsid w:val="00A8125A"/>
    <w:rsid w:val="00A816B9"/>
    <w:rsid w:val="00A8176E"/>
    <w:rsid w:val="00A818E9"/>
    <w:rsid w:val="00A81A98"/>
    <w:rsid w:val="00A81D33"/>
    <w:rsid w:val="00A81E7D"/>
    <w:rsid w:val="00A81E8D"/>
    <w:rsid w:val="00A82368"/>
    <w:rsid w:val="00A82375"/>
    <w:rsid w:val="00A8292F"/>
    <w:rsid w:val="00A82A1E"/>
    <w:rsid w:val="00A833A1"/>
    <w:rsid w:val="00A834C0"/>
    <w:rsid w:val="00A83565"/>
    <w:rsid w:val="00A8356D"/>
    <w:rsid w:val="00A8382E"/>
    <w:rsid w:val="00A838BA"/>
    <w:rsid w:val="00A83BE8"/>
    <w:rsid w:val="00A83EAF"/>
    <w:rsid w:val="00A83F57"/>
    <w:rsid w:val="00A83F63"/>
    <w:rsid w:val="00A840A9"/>
    <w:rsid w:val="00A8415D"/>
    <w:rsid w:val="00A843F1"/>
    <w:rsid w:val="00A8478B"/>
    <w:rsid w:val="00A84B36"/>
    <w:rsid w:val="00A84B75"/>
    <w:rsid w:val="00A85281"/>
    <w:rsid w:val="00A85505"/>
    <w:rsid w:val="00A85578"/>
    <w:rsid w:val="00A8558F"/>
    <w:rsid w:val="00A855C6"/>
    <w:rsid w:val="00A85774"/>
    <w:rsid w:val="00A85BD7"/>
    <w:rsid w:val="00A85D62"/>
    <w:rsid w:val="00A85D89"/>
    <w:rsid w:val="00A85EAE"/>
    <w:rsid w:val="00A860FF"/>
    <w:rsid w:val="00A861E2"/>
    <w:rsid w:val="00A866D4"/>
    <w:rsid w:val="00A866FE"/>
    <w:rsid w:val="00A8683A"/>
    <w:rsid w:val="00A86905"/>
    <w:rsid w:val="00A86B97"/>
    <w:rsid w:val="00A86C92"/>
    <w:rsid w:val="00A86D0E"/>
    <w:rsid w:val="00A86E33"/>
    <w:rsid w:val="00A8710C"/>
    <w:rsid w:val="00A87149"/>
    <w:rsid w:val="00A87333"/>
    <w:rsid w:val="00A87473"/>
    <w:rsid w:val="00A8764A"/>
    <w:rsid w:val="00A876EB"/>
    <w:rsid w:val="00A8796B"/>
    <w:rsid w:val="00A87F30"/>
    <w:rsid w:val="00A9031A"/>
    <w:rsid w:val="00A9035D"/>
    <w:rsid w:val="00A9055C"/>
    <w:rsid w:val="00A905D0"/>
    <w:rsid w:val="00A907B1"/>
    <w:rsid w:val="00A90813"/>
    <w:rsid w:val="00A9083E"/>
    <w:rsid w:val="00A90877"/>
    <w:rsid w:val="00A90A4B"/>
    <w:rsid w:val="00A90E78"/>
    <w:rsid w:val="00A91212"/>
    <w:rsid w:val="00A9138E"/>
    <w:rsid w:val="00A91697"/>
    <w:rsid w:val="00A91700"/>
    <w:rsid w:val="00A91889"/>
    <w:rsid w:val="00A9192F"/>
    <w:rsid w:val="00A919E4"/>
    <w:rsid w:val="00A91C17"/>
    <w:rsid w:val="00A91DFA"/>
    <w:rsid w:val="00A91F91"/>
    <w:rsid w:val="00A91F95"/>
    <w:rsid w:val="00A91FCB"/>
    <w:rsid w:val="00A91FDD"/>
    <w:rsid w:val="00A91FE7"/>
    <w:rsid w:val="00A92210"/>
    <w:rsid w:val="00A92235"/>
    <w:rsid w:val="00A92CFA"/>
    <w:rsid w:val="00A92DF0"/>
    <w:rsid w:val="00A93013"/>
    <w:rsid w:val="00A9302C"/>
    <w:rsid w:val="00A930AE"/>
    <w:rsid w:val="00A93269"/>
    <w:rsid w:val="00A9356E"/>
    <w:rsid w:val="00A937E3"/>
    <w:rsid w:val="00A93A2D"/>
    <w:rsid w:val="00A93A41"/>
    <w:rsid w:val="00A93C1F"/>
    <w:rsid w:val="00A93C3F"/>
    <w:rsid w:val="00A93CD5"/>
    <w:rsid w:val="00A93D86"/>
    <w:rsid w:val="00A93E83"/>
    <w:rsid w:val="00A93F51"/>
    <w:rsid w:val="00A9404B"/>
    <w:rsid w:val="00A941C1"/>
    <w:rsid w:val="00A94256"/>
    <w:rsid w:val="00A944F0"/>
    <w:rsid w:val="00A949E9"/>
    <w:rsid w:val="00A94D38"/>
    <w:rsid w:val="00A94F88"/>
    <w:rsid w:val="00A94F8C"/>
    <w:rsid w:val="00A94FBB"/>
    <w:rsid w:val="00A9584B"/>
    <w:rsid w:val="00A95A19"/>
    <w:rsid w:val="00A95B6A"/>
    <w:rsid w:val="00A95C70"/>
    <w:rsid w:val="00A95DE8"/>
    <w:rsid w:val="00A95F52"/>
    <w:rsid w:val="00A9600F"/>
    <w:rsid w:val="00A963B3"/>
    <w:rsid w:val="00A963F1"/>
    <w:rsid w:val="00A96485"/>
    <w:rsid w:val="00A9656C"/>
    <w:rsid w:val="00A96773"/>
    <w:rsid w:val="00A969ED"/>
    <w:rsid w:val="00A96A4E"/>
    <w:rsid w:val="00A96BF2"/>
    <w:rsid w:val="00A96D04"/>
    <w:rsid w:val="00A96D11"/>
    <w:rsid w:val="00A9706C"/>
    <w:rsid w:val="00A9708E"/>
    <w:rsid w:val="00A975D8"/>
    <w:rsid w:val="00A97636"/>
    <w:rsid w:val="00A97769"/>
    <w:rsid w:val="00A9776E"/>
    <w:rsid w:val="00A97829"/>
    <w:rsid w:val="00A97862"/>
    <w:rsid w:val="00A9799D"/>
    <w:rsid w:val="00A97A09"/>
    <w:rsid w:val="00A97A9C"/>
    <w:rsid w:val="00A97C96"/>
    <w:rsid w:val="00A97E63"/>
    <w:rsid w:val="00AA0036"/>
    <w:rsid w:val="00AA0325"/>
    <w:rsid w:val="00AA03DD"/>
    <w:rsid w:val="00AA07BC"/>
    <w:rsid w:val="00AA0B66"/>
    <w:rsid w:val="00AA0BBE"/>
    <w:rsid w:val="00AA0D3B"/>
    <w:rsid w:val="00AA0D44"/>
    <w:rsid w:val="00AA0DD9"/>
    <w:rsid w:val="00AA1162"/>
    <w:rsid w:val="00AA11F8"/>
    <w:rsid w:val="00AA11FC"/>
    <w:rsid w:val="00AA135D"/>
    <w:rsid w:val="00AA1361"/>
    <w:rsid w:val="00AA14FD"/>
    <w:rsid w:val="00AA171D"/>
    <w:rsid w:val="00AA1947"/>
    <w:rsid w:val="00AA1A95"/>
    <w:rsid w:val="00AA1CF3"/>
    <w:rsid w:val="00AA227D"/>
    <w:rsid w:val="00AA2579"/>
    <w:rsid w:val="00AA260F"/>
    <w:rsid w:val="00AA2874"/>
    <w:rsid w:val="00AA2891"/>
    <w:rsid w:val="00AA2AFA"/>
    <w:rsid w:val="00AA2B0B"/>
    <w:rsid w:val="00AA2F69"/>
    <w:rsid w:val="00AA3471"/>
    <w:rsid w:val="00AA3496"/>
    <w:rsid w:val="00AA34D6"/>
    <w:rsid w:val="00AA34EB"/>
    <w:rsid w:val="00AA3556"/>
    <w:rsid w:val="00AA379E"/>
    <w:rsid w:val="00AA3924"/>
    <w:rsid w:val="00AA3CB2"/>
    <w:rsid w:val="00AA3D86"/>
    <w:rsid w:val="00AA40F8"/>
    <w:rsid w:val="00AA4746"/>
    <w:rsid w:val="00AA4F6E"/>
    <w:rsid w:val="00AA4FE7"/>
    <w:rsid w:val="00AA521A"/>
    <w:rsid w:val="00AA5271"/>
    <w:rsid w:val="00AA53EA"/>
    <w:rsid w:val="00AA581B"/>
    <w:rsid w:val="00AA58CD"/>
    <w:rsid w:val="00AA5923"/>
    <w:rsid w:val="00AA5AA2"/>
    <w:rsid w:val="00AA5C13"/>
    <w:rsid w:val="00AA5E77"/>
    <w:rsid w:val="00AA5ECB"/>
    <w:rsid w:val="00AA60DC"/>
    <w:rsid w:val="00AA62F7"/>
    <w:rsid w:val="00AA6366"/>
    <w:rsid w:val="00AA6391"/>
    <w:rsid w:val="00AA63AE"/>
    <w:rsid w:val="00AA63B5"/>
    <w:rsid w:val="00AA6488"/>
    <w:rsid w:val="00AA64F4"/>
    <w:rsid w:val="00AA66E0"/>
    <w:rsid w:val="00AA6808"/>
    <w:rsid w:val="00AA6890"/>
    <w:rsid w:val="00AA6C7F"/>
    <w:rsid w:val="00AA7137"/>
    <w:rsid w:val="00AA723B"/>
    <w:rsid w:val="00AA732E"/>
    <w:rsid w:val="00AA7A6A"/>
    <w:rsid w:val="00AA7AC1"/>
    <w:rsid w:val="00AA7BB7"/>
    <w:rsid w:val="00AA7C3A"/>
    <w:rsid w:val="00AA7CB9"/>
    <w:rsid w:val="00AA7EE0"/>
    <w:rsid w:val="00AB042D"/>
    <w:rsid w:val="00AB04B3"/>
    <w:rsid w:val="00AB050D"/>
    <w:rsid w:val="00AB0677"/>
    <w:rsid w:val="00AB0731"/>
    <w:rsid w:val="00AB08AF"/>
    <w:rsid w:val="00AB09BE"/>
    <w:rsid w:val="00AB0C76"/>
    <w:rsid w:val="00AB0EFB"/>
    <w:rsid w:val="00AB1134"/>
    <w:rsid w:val="00AB1308"/>
    <w:rsid w:val="00AB133E"/>
    <w:rsid w:val="00AB1855"/>
    <w:rsid w:val="00AB185B"/>
    <w:rsid w:val="00AB1A72"/>
    <w:rsid w:val="00AB1A99"/>
    <w:rsid w:val="00AB1B18"/>
    <w:rsid w:val="00AB1EE7"/>
    <w:rsid w:val="00AB20F5"/>
    <w:rsid w:val="00AB2305"/>
    <w:rsid w:val="00AB23A0"/>
    <w:rsid w:val="00AB2503"/>
    <w:rsid w:val="00AB29A1"/>
    <w:rsid w:val="00AB2AD0"/>
    <w:rsid w:val="00AB2B3C"/>
    <w:rsid w:val="00AB33B6"/>
    <w:rsid w:val="00AB33F8"/>
    <w:rsid w:val="00AB3586"/>
    <w:rsid w:val="00AB38B1"/>
    <w:rsid w:val="00AB3B85"/>
    <w:rsid w:val="00AB3B9A"/>
    <w:rsid w:val="00AB4073"/>
    <w:rsid w:val="00AB41C0"/>
    <w:rsid w:val="00AB4385"/>
    <w:rsid w:val="00AB443D"/>
    <w:rsid w:val="00AB4607"/>
    <w:rsid w:val="00AB465E"/>
    <w:rsid w:val="00AB49C5"/>
    <w:rsid w:val="00AB4B37"/>
    <w:rsid w:val="00AB4CC6"/>
    <w:rsid w:val="00AB4ED7"/>
    <w:rsid w:val="00AB4EE7"/>
    <w:rsid w:val="00AB4F5A"/>
    <w:rsid w:val="00AB5397"/>
    <w:rsid w:val="00AB5473"/>
    <w:rsid w:val="00AB572A"/>
    <w:rsid w:val="00AB5762"/>
    <w:rsid w:val="00AB5C5B"/>
    <w:rsid w:val="00AB5EE9"/>
    <w:rsid w:val="00AB6196"/>
    <w:rsid w:val="00AB644E"/>
    <w:rsid w:val="00AB65F5"/>
    <w:rsid w:val="00AB67F2"/>
    <w:rsid w:val="00AB7453"/>
    <w:rsid w:val="00AB74E6"/>
    <w:rsid w:val="00AB7661"/>
    <w:rsid w:val="00AB76A9"/>
    <w:rsid w:val="00AB7759"/>
    <w:rsid w:val="00AB77E3"/>
    <w:rsid w:val="00AB7B55"/>
    <w:rsid w:val="00AB7B6C"/>
    <w:rsid w:val="00AB7D3C"/>
    <w:rsid w:val="00AB7EA7"/>
    <w:rsid w:val="00AC01EA"/>
    <w:rsid w:val="00AC0923"/>
    <w:rsid w:val="00AC0AF9"/>
    <w:rsid w:val="00AC0B21"/>
    <w:rsid w:val="00AC0B69"/>
    <w:rsid w:val="00AC1083"/>
    <w:rsid w:val="00AC10B0"/>
    <w:rsid w:val="00AC1450"/>
    <w:rsid w:val="00AC1577"/>
    <w:rsid w:val="00AC1767"/>
    <w:rsid w:val="00AC17E9"/>
    <w:rsid w:val="00AC1812"/>
    <w:rsid w:val="00AC1A14"/>
    <w:rsid w:val="00AC1A4B"/>
    <w:rsid w:val="00AC1BA8"/>
    <w:rsid w:val="00AC1CEB"/>
    <w:rsid w:val="00AC1DF5"/>
    <w:rsid w:val="00AC1F19"/>
    <w:rsid w:val="00AC20BD"/>
    <w:rsid w:val="00AC21C8"/>
    <w:rsid w:val="00AC265C"/>
    <w:rsid w:val="00AC2671"/>
    <w:rsid w:val="00AC2679"/>
    <w:rsid w:val="00AC26F0"/>
    <w:rsid w:val="00AC2936"/>
    <w:rsid w:val="00AC29EB"/>
    <w:rsid w:val="00AC2DBF"/>
    <w:rsid w:val="00AC2FC2"/>
    <w:rsid w:val="00AC306A"/>
    <w:rsid w:val="00AC3174"/>
    <w:rsid w:val="00AC3729"/>
    <w:rsid w:val="00AC39C1"/>
    <w:rsid w:val="00AC3A13"/>
    <w:rsid w:val="00AC3B41"/>
    <w:rsid w:val="00AC3B83"/>
    <w:rsid w:val="00AC3C21"/>
    <w:rsid w:val="00AC3E38"/>
    <w:rsid w:val="00AC3E68"/>
    <w:rsid w:val="00AC45F9"/>
    <w:rsid w:val="00AC4641"/>
    <w:rsid w:val="00AC4699"/>
    <w:rsid w:val="00AC46A9"/>
    <w:rsid w:val="00AC47F9"/>
    <w:rsid w:val="00AC4BE4"/>
    <w:rsid w:val="00AC4E5A"/>
    <w:rsid w:val="00AC501C"/>
    <w:rsid w:val="00AC532C"/>
    <w:rsid w:val="00AC56AB"/>
    <w:rsid w:val="00AC56B2"/>
    <w:rsid w:val="00AC5750"/>
    <w:rsid w:val="00AC5916"/>
    <w:rsid w:val="00AC5DAD"/>
    <w:rsid w:val="00AC5E03"/>
    <w:rsid w:val="00AC6229"/>
    <w:rsid w:val="00AC62D0"/>
    <w:rsid w:val="00AC64DF"/>
    <w:rsid w:val="00AC680B"/>
    <w:rsid w:val="00AC6A30"/>
    <w:rsid w:val="00AC6BF9"/>
    <w:rsid w:val="00AC6C47"/>
    <w:rsid w:val="00AC6C6A"/>
    <w:rsid w:val="00AC6CCC"/>
    <w:rsid w:val="00AC6CF2"/>
    <w:rsid w:val="00AC6EC3"/>
    <w:rsid w:val="00AC739E"/>
    <w:rsid w:val="00AC745B"/>
    <w:rsid w:val="00AC74EB"/>
    <w:rsid w:val="00AC76F6"/>
    <w:rsid w:val="00AC77BC"/>
    <w:rsid w:val="00AC7891"/>
    <w:rsid w:val="00AC7ECB"/>
    <w:rsid w:val="00AC7EE6"/>
    <w:rsid w:val="00AD0327"/>
    <w:rsid w:val="00AD05DB"/>
    <w:rsid w:val="00AD05E6"/>
    <w:rsid w:val="00AD0640"/>
    <w:rsid w:val="00AD06C6"/>
    <w:rsid w:val="00AD06E2"/>
    <w:rsid w:val="00AD087C"/>
    <w:rsid w:val="00AD0A1D"/>
    <w:rsid w:val="00AD0AD9"/>
    <w:rsid w:val="00AD0C66"/>
    <w:rsid w:val="00AD0D3F"/>
    <w:rsid w:val="00AD0E07"/>
    <w:rsid w:val="00AD0FA9"/>
    <w:rsid w:val="00AD1205"/>
    <w:rsid w:val="00AD12FE"/>
    <w:rsid w:val="00AD161A"/>
    <w:rsid w:val="00AD1787"/>
    <w:rsid w:val="00AD1C25"/>
    <w:rsid w:val="00AD1C5A"/>
    <w:rsid w:val="00AD22B4"/>
    <w:rsid w:val="00AD2403"/>
    <w:rsid w:val="00AD24A7"/>
    <w:rsid w:val="00AD260C"/>
    <w:rsid w:val="00AD26AF"/>
    <w:rsid w:val="00AD27DF"/>
    <w:rsid w:val="00AD282C"/>
    <w:rsid w:val="00AD28EC"/>
    <w:rsid w:val="00AD2BBE"/>
    <w:rsid w:val="00AD2BC1"/>
    <w:rsid w:val="00AD2E78"/>
    <w:rsid w:val="00AD2F46"/>
    <w:rsid w:val="00AD3068"/>
    <w:rsid w:val="00AD30C9"/>
    <w:rsid w:val="00AD3510"/>
    <w:rsid w:val="00AD3575"/>
    <w:rsid w:val="00AD3589"/>
    <w:rsid w:val="00AD361E"/>
    <w:rsid w:val="00AD362F"/>
    <w:rsid w:val="00AD37C0"/>
    <w:rsid w:val="00AD3861"/>
    <w:rsid w:val="00AD39A5"/>
    <w:rsid w:val="00AD39B2"/>
    <w:rsid w:val="00AD39DE"/>
    <w:rsid w:val="00AD3A7C"/>
    <w:rsid w:val="00AD3CD1"/>
    <w:rsid w:val="00AD3DC5"/>
    <w:rsid w:val="00AD3F98"/>
    <w:rsid w:val="00AD42C0"/>
    <w:rsid w:val="00AD42DB"/>
    <w:rsid w:val="00AD4372"/>
    <w:rsid w:val="00AD4435"/>
    <w:rsid w:val="00AD4796"/>
    <w:rsid w:val="00AD48E2"/>
    <w:rsid w:val="00AD4AD6"/>
    <w:rsid w:val="00AD4B0B"/>
    <w:rsid w:val="00AD4B6E"/>
    <w:rsid w:val="00AD4BFB"/>
    <w:rsid w:val="00AD4E7F"/>
    <w:rsid w:val="00AD4F01"/>
    <w:rsid w:val="00AD5051"/>
    <w:rsid w:val="00AD54AB"/>
    <w:rsid w:val="00AD573B"/>
    <w:rsid w:val="00AD596E"/>
    <w:rsid w:val="00AD5D4A"/>
    <w:rsid w:val="00AD5E66"/>
    <w:rsid w:val="00AD5F85"/>
    <w:rsid w:val="00AD61D5"/>
    <w:rsid w:val="00AD655C"/>
    <w:rsid w:val="00AD664C"/>
    <w:rsid w:val="00AD666F"/>
    <w:rsid w:val="00AD67E0"/>
    <w:rsid w:val="00AD6C11"/>
    <w:rsid w:val="00AD71E0"/>
    <w:rsid w:val="00AD7470"/>
    <w:rsid w:val="00AD791D"/>
    <w:rsid w:val="00AE0425"/>
    <w:rsid w:val="00AE049B"/>
    <w:rsid w:val="00AE04D5"/>
    <w:rsid w:val="00AE05AE"/>
    <w:rsid w:val="00AE0643"/>
    <w:rsid w:val="00AE070E"/>
    <w:rsid w:val="00AE0ABF"/>
    <w:rsid w:val="00AE0AFB"/>
    <w:rsid w:val="00AE0C76"/>
    <w:rsid w:val="00AE0D26"/>
    <w:rsid w:val="00AE0ED9"/>
    <w:rsid w:val="00AE105D"/>
    <w:rsid w:val="00AE1515"/>
    <w:rsid w:val="00AE16E2"/>
    <w:rsid w:val="00AE19AA"/>
    <w:rsid w:val="00AE1AC2"/>
    <w:rsid w:val="00AE1C8E"/>
    <w:rsid w:val="00AE1D7D"/>
    <w:rsid w:val="00AE1F0A"/>
    <w:rsid w:val="00AE204F"/>
    <w:rsid w:val="00AE2155"/>
    <w:rsid w:val="00AE24B9"/>
    <w:rsid w:val="00AE290B"/>
    <w:rsid w:val="00AE2A8B"/>
    <w:rsid w:val="00AE2E76"/>
    <w:rsid w:val="00AE3211"/>
    <w:rsid w:val="00AE3220"/>
    <w:rsid w:val="00AE32A9"/>
    <w:rsid w:val="00AE33A0"/>
    <w:rsid w:val="00AE3422"/>
    <w:rsid w:val="00AE3801"/>
    <w:rsid w:val="00AE38F2"/>
    <w:rsid w:val="00AE398B"/>
    <w:rsid w:val="00AE3C99"/>
    <w:rsid w:val="00AE3D2A"/>
    <w:rsid w:val="00AE3F64"/>
    <w:rsid w:val="00AE3FB5"/>
    <w:rsid w:val="00AE402F"/>
    <w:rsid w:val="00AE40B0"/>
    <w:rsid w:val="00AE41BC"/>
    <w:rsid w:val="00AE4491"/>
    <w:rsid w:val="00AE494F"/>
    <w:rsid w:val="00AE4964"/>
    <w:rsid w:val="00AE50FD"/>
    <w:rsid w:val="00AE52A2"/>
    <w:rsid w:val="00AE533B"/>
    <w:rsid w:val="00AE53F2"/>
    <w:rsid w:val="00AE5455"/>
    <w:rsid w:val="00AE552C"/>
    <w:rsid w:val="00AE58BB"/>
    <w:rsid w:val="00AE58F9"/>
    <w:rsid w:val="00AE59EE"/>
    <w:rsid w:val="00AE5BB1"/>
    <w:rsid w:val="00AE5BF1"/>
    <w:rsid w:val="00AE5CA4"/>
    <w:rsid w:val="00AE5DF2"/>
    <w:rsid w:val="00AE6279"/>
    <w:rsid w:val="00AE6D76"/>
    <w:rsid w:val="00AE703D"/>
    <w:rsid w:val="00AE7081"/>
    <w:rsid w:val="00AE70B8"/>
    <w:rsid w:val="00AE712F"/>
    <w:rsid w:val="00AE7142"/>
    <w:rsid w:val="00AE737F"/>
    <w:rsid w:val="00AE73DB"/>
    <w:rsid w:val="00AE750C"/>
    <w:rsid w:val="00AE764F"/>
    <w:rsid w:val="00AE7733"/>
    <w:rsid w:val="00AE784A"/>
    <w:rsid w:val="00AE7BBF"/>
    <w:rsid w:val="00AE7DB9"/>
    <w:rsid w:val="00AE7E50"/>
    <w:rsid w:val="00AE7EF7"/>
    <w:rsid w:val="00AF000F"/>
    <w:rsid w:val="00AF008B"/>
    <w:rsid w:val="00AF0209"/>
    <w:rsid w:val="00AF055F"/>
    <w:rsid w:val="00AF06F0"/>
    <w:rsid w:val="00AF06FC"/>
    <w:rsid w:val="00AF0ACF"/>
    <w:rsid w:val="00AF0BC3"/>
    <w:rsid w:val="00AF0DC5"/>
    <w:rsid w:val="00AF10EC"/>
    <w:rsid w:val="00AF15D7"/>
    <w:rsid w:val="00AF1768"/>
    <w:rsid w:val="00AF1B18"/>
    <w:rsid w:val="00AF1E98"/>
    <w:rsid w:val="00AF1F1B"/>
    <w:rsid w:val="00AF220B"/>
    <w:rsid w:val="00AF25FA"/>
    <w:rsid w:val="00AF260D"/>
    <w:rsid w:val="00AF275D"/>
    <w:rsid w:val="00AF29FD"/>
    <w:rsid w:val="00AF2AF8"/>
    <w:rsid w:val="00AF2AFA"/>
    <w:rsid w:val="00AF2B52"/>
    <w:rsid w:val="00AF2BEB"/>
    <w:rsid w:val="00AF2F70"/>
    <w:rsid w:val="00AF341C"/>
    <w:rsid w:val="00AF3470"/>
    <w:rsid w:val="00AF3569"/>
    <w:rsid w:val="00AF378C"/>
    <w:rsid w:val="00AF3904"/>
    <w:rsid w:val="00AF3C21"/>
    <w:rsid w:val="00AF3EB9"/>
    <w:rsid w:val="00AF3F17"/>
    <w:rsid w:val="00AF4253"/>
    <w:rsid w:val="00AF453A"/>
    <w:rsid w:val="00AF4556"/>
    <w:rsid w:val="00AF45A8"/>
    <w:rsid w:val="00AF4609"/>
    <w:rsid w:val="00AF4750"/>
    <w:rsid w:val="00AF477E"/>
    <w:rsid w:val="00AF47A2"/>
    <w:rsid w:val="00AF4916"/>
    <w:rsid w:val="00AF4B42"/>
    <w:rsid w:val="00AF4CF2"/>
    <w:rsid w:val="00AF4DDC"/>
    <w:rsid w:val="00AF4F56"/>
    <w:rsid w:val="00AF50F1"/>
    <w:rsid w:val="00AF5383"/>
    <w:rsid w:val="00AF57E1"/>
    <w:rsid w:val="00AF5851"/>
    <w:rsid w:val="00AF5D83"/>
    <w:rsid w:val="00AF5DF7"/>
    <w:rsid w:val="00AF5E1B"/>
    <w:rsid w:val="00AF5F0E"/>
    <w:rsid w:val="00AF5F59"/>
    <w:rsid w:val="00AF6341"/>
    <w:rsid w:val="00AF63A9"/>
    <w:rsid w:val="00AF6A68"/>
    <w:rsid w:val="00AF6CB3"/>
    <w:rsid w:val="00AF6FA1"/>
    <w:rsid w:val="00AF7205"/>
    <w:rsid w:val="00AF7386"/>
    <w:rsid w:val="00AF74CE"/>
    <w:rsid w:val="00AF7621"/>
    <w:rsid w:val="00AF779B"/>
    <w:rsid w:val="00AF77B5"/>
    <w:rsid w:val="00AF7804"/>
    <w:rsid w:val="00AF7934"/>
    <w:rsid w:val="00AF7E57"/>
    <w:rsid w:val="00AF7E5C"/>
    <w:rsid w:val="00AF7EAB"/>
    <w:rsid w:val="00B00069"/>
    <w:rsid w:val="00B00197"/>
    <w:rsid w:val="00B001AD"/>
    <w:rsid w:val="00B0030D"/>
    <w:rsid w:val="00B00624"/>
    <w:rsid w:val="00B00A9F"/>
    <w:rsid w:val="00B00B81"/>
    <w:rsid w:val="00B00B93"/>
    <w:rsid w:val="00B00E8B"/>
    <w:rsid w:val="00B00EE7"/>
    <w:rsid w:val="00B01877"/>
    <w:rsid w:val="00B01898"/>
    <w:rsid w:val="00B01A22"/>
    <w:rsid w:val="00B01B51"/>
    <w:rsid w:val="00B01D86"/>
    <w:rsid w:val="00B01E58"/>
    <w:rsid w:val="00B02029"/>
    <w:rsid w:val="00B02219"/>
    <w:rsid w:val="00B022A9"/>
    <w:rsid w:val="00B02364"/>
    <w:rsid w:val="00B025D5"/>
    <w:rsid w:val="00B02776"/>
    <w:rsid w:val="00B0281A"/>
    <w:rsid w:val="00B02ABD"/>
    <w:rsid w:val="00B02AF6"/>
    <w:rsid w:val="00B02C66"/>
    <w:rsid w:val="00B02D7B"/>
    <w:rsid w:val="00B02DD3"/>
    <w:rsid w:val="00B02E7C"/>
    <w:rsid w:val="00B02EEB"/>
    <w:rsid w:val="00B02FD8"/>
    <w:rsid w:val="00B0311D"/>
    <w:rsid w:val="00B031F9"/>
    <w:rsid w:val="00B03243"/>
    <w:rsid w:val="00B034D0"/>
    <w:rsid w:val="00B035B2"/>
    <w:rsid w:val="00B035E6"/>
    <w:rsid w:val="00B03623"/>
    <w:rsid w:val="00B038FC"/>
    <w:rsid w:val="00B03B0D"/>
    <w:rsid w:val="00B03F2B"/>
    <w:rsid w:val="00B03F93"/>
    <w:rsid w:val="00B0426A"/>
    <w:rsid w:val="00B043E5"/>
    <w:rsid w:val="00B04580"/>
    <w:rsid w:val="00B04604"/>
    <w:rsid w:val="00B0461A"/>
    <w:rsid w:val="00B04703"/>
    <w:rsid w:val="00B047A4"/>
    <w:rsid w:val="00B04902"/>
    <w:rsid w:val="00B049A2"/>
    <w:rsid w:val="00B049C4"/>
    <w:rsid w:val="00B04B09"/>
    <w:rsid w:val="00B04DB9"/>
    <w:rsid w:val="00B04DFD"/>
    <w:rsid w:val="00B04EB7"/>
    <w:rsid w:val="00B05514"/>
    <w:rsid w:val="00B0556C"/>
    <w:rsid w:val="00B057E5"/>
    <w:rsid w:val="00B058D3"/>
    <w:rsid w:val="00B05B07"/>
    <w:rsid w:val="00B05DDE"/>
    <w:rsid w:val="00B05F0A"/>
    <w:rsid w:val="00B05FB2"/>
    <w:rsid w:val="00B06048"/>
    <w:rsid w:val="00B06148"/>
    <w:rsid w:val="00B06502"/>
    <w:rsid w:val="00B065A3"/>
    <w:rsid w:val="00B065C2"/>
    <w:rsid w:val="00B06674"/>
    <w:rsid w:val="00B067E2"/>
    <w:rsid w:val="00B06B6A"/>
    <w:rsid w:val="00B06DE9"/>
    <w:rsid w:val="00B07098"/>
    <w:rsid w:val="00B0713F"/>
    <w:rsid w:val="00B073B5"/>
    <w:rsid w:val="00B07563"/>
    <w:rsid w:val="00B07592"/>
    <w:rsid w:val="00B07618"/>
    <w:rsid w:val="00B07D8D"/>
    <w:rsid w:val="00B07EDC"/>
    <w:rsid w:val="00B10034"/>
    <w:rsid w:val="00B100C1"/>
    <w:rsid w:val="00B101A1"/>
    <w:rsid w:val="00B102AA"/>
    <w:rsid w:val="00B107DF"/>
    <w:rsid w:val="00B10ACB"/>
    <w:rsid w:val="00B10CB1"/>
    <w:rsid w:val="00B10D7B"/>
    <w:rsid w:val="00B10DCC"/>
    <w:rsid w:val="00B10EEB"/>
    <w:rsid w:val="00B10EED"/>
    <w:rsid w:val="00B10F68"/>
    <w:rsid w:val="00B10F92"/>
    <w:rsid w:val="00B1121F"/>
    <w:rsid w:val="00B1138F"/>
    <w:rsid w:val="00B1141F"/>
    <w:rsid w:val="00B115E2"/>
    <w:rsid w:val="00B115E7"/>
    <w:rsid w:val="00B11627"/>
    <w:rsid w:val="00B1162B"/>
    <w:rsid w:val="00B116A5"/>
    <w:rsid w:val="00B118C1"/>
    <w:rsid w:val="00B11ACB"/>
    <w:rsid w:val="00B11F07"/>
    <w:rsid w:val="00B12073"/>
    <w:rsid w:val="00B12157"/>
    <w:rsid w:val="00B126A5"/>
    <w:rsid w:val="00B126F3"/>
    <w:rsid w:val="00B12792"/>
    <w:rsid w:val="00B1294E"/>
    <w:rsid w:val="00B12EAF"/>
    <w:rsid w:val="00B13214"/>
    <w:rsid w:val="00B13456"/>
    <w:rsid w:val="00B13E38"/>
    <w:rsid w:val="00B140FE"/>
    <w:rsid w:val="00B144A0"/>
    <w:rsid w:val="00B14738"/>
    <w:rsid w:val="00B147CA"/>
    <w:rsid w:val="00B14B9C"/>
    <w:rsid w:val="00B14CDF"/>
    <w:rsid w:val="00B152FD"/>
    <w:rsid w:val="00B1530F"/>
    <w:rsid w:val="00B15655"/>
    <w:rsid w:val="00B15733"/>
    <w:rsid w:val="00B1592C"/>
    <w:rsid w:val="00B1598D"/>
    <w:rsid w:val="00B15D80"/>
    <w:rsid w:val="00B15E2A"/>
    <w:rsid w:val="00B15ED5"/>
    <w:rsid w:val="00B15FDA"/>
    <w:rsid w:val="00B15FFA"/>
    <w:rsid w:val="00B16136"/>
    <w:rsid w:val="00B16390"/>
    <w:rsid w:val="00B1655F"/>
    <w:rsid w:val="00B16724"/>
    <w:rsid w:val="00B167A7"/>
    <w:rsid w:val="00B16A13"/>
    <w:rsid w:val="00B16A4B"/>
    <w:rsid w:val="00B16A51"/>
    <w:rsid w:val="00B16C0F"/>
    <w:rsid w:val="00B16ED9"/>
    <w:rsid w:val="00B16F1E"/>
    <w:rsid w:val="00B1710F"/>
    <w:rsid w:val="00B174BD"/>
    <w:rsid w:val="00B175A6"/>
    <w:rsid w:val="00B17BCE"/>
    <w:rsid w:val="00B17E1D"/>
    <w:rsid w:val="00B1E3FC"/>
    <w:rsid w:val="00B200A6"/>
    <w:rsid w:val="00B20271"/>
    <w:rsid w:val="00B203A4"/>
    <w:rsid w:val="00B204B6"/>
    <w:rsid w:val="00B20B33"/>
    <w:rsid w:val="00B20FC3"/>
    <w:rsid w:val="00B21272"/>
    <w:rsid w:val="00B21357"/>
    <w:rsid w:val="00B21579"/>
    <w:rsid w:val="00B215F8"/>
    <w:rsid w:val="00B21659"/>
    <w:rsid w:val="00B21922"/>
    <w:rsid w:val="00B21B6B"/>
    <w:rsid w:val="00B21D0D"/>
    <w:rsid w:val="00B21FBF"/>
    <w:rsid w:val="00B225A0"/>
    <w:rsid w:val="00B22829"/>
    <w:rsid w:val="00B22AF4"/>
    <w:rsid w:val="00B22B85"/>
    <w:rsid w:val="00B22C24"/>
    <w:rsid w:val="00B230DC"/>
    <w:rsid w:val="00B23781"/>
    <w:rsid w:val="00B23792"/>
    <w:rsid w:val="00B2392B"/>
    <w:rsid w:val="00B23CA4"/>
    <w:rsid w:val="00B23D61"/>
    <w:rsid w:val="00B23D78"/>
    <w:rsid w:val="00B23ED3"/>
    <w:rsid w:val="00B24293"/>
    <w:rsid w:val="00B244E1"/>
    <w:rsid w:val="00B24502"/>
    <w:rsid w:val="00B245B9"/>
    <w:rsid w:val="00B245FA"/>
    <w:rsid w:val="00B2474A"/>
    <w:rsid w:val="00B249F8"/>
    <w:rsid w:val="00B24D21"/>
    <w:rsid w:val="00B24D88"/>
    <w:rsid w:val="00B24DD8"/>
    <w:rsid w:val="00B24F2F"/>
    <w:rsid w:val="00B24FD2"/>
    <w:rsid w:val="00B25176"/>
    <w:rsid w:val="00B25440"/>
    <w:rsid w:val="00B25494"/>
    <w:rsid w:val="00B2554D"/>
    <w:rsid w:val="00B255DC"/>
    <w:rsid w:val="00B25605"/>
    <w:rsid w:val="00B25639"/>
    <w:rsid w:val="00B256FA"/>
    <w:rsid w:val="00B257A8"/>
    <w:rsid w:val="00B257B6"/>
    <w:rsid w:val="00B2590C"/>
    <w:rsid w:val="00B25C98"/>
    <w:rsid w:val="00B25D16"/>
    <w:rsid w:val="00B25D36"/>
    <w:rsid w:val="00B25D66"/>
    <w:rsid w:val="00B260DD"/>
    <w:rsid w:val="00B26266"/>
    <w:rsid w:val="00B26407"/>
    <w:rsid w:val="00B26675"/>
    <w:rsid w:val="00B26813"/>
    <w:rsid w:val="00B26896"/>
    <w:rsid w:val="00B269D8"/>
    <w:rsid w:val="00B26A6A"/>
    <w:rsid w:val="00B26F06"/>
    <w:rsid w:val="00B26F10"/>
    <w:rsid w:val="00B27028"/>
    <w:rsid w:val="00B27135"/>
    <w:rsid w:val="00B2717E"/>
    <w:rsid w:val="00B2728E"/>
    <w:rsid w:val="00B27422"/>
    <w:rsid w:val="00B27531"/>
    <w:rsid w:val="00B27995"/>
    <w:rsid w:val="00B279BD"/>
    <w:rsid w:val="00B27A5C"/>
    <w:rsid w:val="00B27D06"/>
    <w:rsid w:val="00B27E30"/>
    <w:rsid w:val="00B27E5C"/>
    <w:rsid w:val="00B27F61"/>
    <w:rsid w:val="00B300EC"/>
    <w:rsid w:val="00B3034B"/>
    <w:rsid w:val="00B304A4"/>
    <w:rsid w:val="00B30DB4"/>
    <w:rsid w:val="00B30E25"/>
    <w:rsid w:val="00B30F97"/>
    <w:rsid w:val="00B30FDA"/>
    <w:rsid w:val="00B3123E"/>
    <w:rsid w:val="00B31305"/>
    <w:rsid w:val="00B31740"/>
    <w:rsid w:val="00B31771"/>
    <w:rsid w:val="00B318D3"/>
    <w:rsid w:val="00B31989"/>
    <w:rsid w:val="00B31DD3"/>
    <w:rsid w:val="00B31E0E"/>
    <w:rsid w:val="00B32222"/>
    <w:rsid w:val="00B32289"/>
    <w:rsid w:val="00B3237F"/>
    <w:rsid w:val="00B3252D"/>
    <w:rsid w:val="00B328BD"/>
    <w:rsid w:val="00B32990"/>
    <w:rsid w:val="00B32BF2"/>
    <w:rsid w:val="00B32F99"/>
    <w:rsid w:val="00B3306F"/>
    <w:rsid w:val="00B333E5"/>
    <w:rsid w:val="00B3378E"/>
    <w:rsid w:val="00B337E4"/>
    <w:rsid w:val="00B33856"/>
    <w:rsid w:val="00B338BC"/>
    <w:rsid w:val="00B33CA6"/>
    <w:rsid w:val="00B33EEC"/>
    <w:rsid w:val="00B33F3D"/>
    <w:rsid w:val="00B340AF"/>
    <w:rsid w:val="00B34181"/>
    <w:rsid w:val="00B343D0"/>
    <w:rsid w:val="00B348B7"/>
    <w:rsid w:val="00B348F3"/>
    <w:rsid w:val="00B34B02"/>
    <w:rsid w:val="00B34BEF"/>
    <w:rsid w:val="00B34C62"/>
    <w:rsid w:val="00B34E2B"/>
    <w:rsid w:val="00B34E36"/>
    <w:rsid w:val="00B3501B"/>
    <w:rsid w:val="00B351F3"/>
    <w:rsid w:val="00B3555C"/>
    <w:rsid w:val="00B3563F"/>
    <w:rsid w:val="00B356AF"/>
    <w:rsid w:val="00B35884"/>
    <w:rsid w:val="00B358D2"/>
    <w:rsid w:val="00B358F7"/>
    <w:rsid w:val="00B35B6B"/>
    <w:rsid w:val="00B35BF3"/>
    <w:rsid w:val="00B35BFC"/>
    <w:rsid w:val="00B35DA9"/>
    <w:rsid w:val="00B360DB"/>
    <w:rsid w:val="00B3618D"/>
    <w:rsid w:val="00B36233"/>
    <w:rsid w:val="00B36265"/>
    <w:rsid w:val="00B37157"/>
    <w:rsid w:val="00B371A1"/>
    <w:rsid w:val="00B3730B"/>
    <w:rsid w:val="00B375FD"/>
    <w:rsid w:val="00B37609"/>
    <w:rsid w:val="00B37884"/>
    <w:rsid w:val="00B378F1"/>
    <w:rsid w:val="00B37C74"/>
    <w:rsid w:val="00B37C8A"/>
    <w:rsid w:val="00B37C98"/>
    <w:rsid w:val="00B37DE9"/>
    <w:rsid w:val="00B40242"/>
    <w:rsid w:val="00B405AD"/>
    <w:rsid w:val="00B40670"/>
    <w:rsid w:val="00B40A9F"/>
    <w:rsid w:val="00B40C52"/>
    <w:rsid w:val="00B4105B"/>
    <w:rsid w:val="00B411BB"/>
    <w:rsid w:val="00B41226"/>
    <w:rsid w:val="00B41818"/>
    <w:rsid w:val="00B419DE"/>
    <w:rsid w:val="00B41A4A"/>
    <w:rsid w:val="00B41AB6"/>
    <w:rsid w:val="00B41C8C"/>
    <w:rsid w:val="00B41DCA"/>
    <w:rsid w:val="00B41DD5"/>
    <w:rsid w:val="00B41E6C"/>
    <w:rsid w:val="00B420DE"/>
    <w:rsid w:val="00B423E6"/>
    <w:rsid w:val="00B42851"/>
    <w:rsid w:val="00B428AD"/>
    <w:rsid w:val="00B42DA2"/>
    <w:rsid w:val="00B42EC2"/>
    <w:rsid w:val="00B42F86"/>
    <w:rsid w:val="00B43047"/>
    <w:rsid w:val="00B43258"/>
    <w:rsid w:val="00B4355C"/>
    <w:rsid w:val="00B43A41"/>
    <w:rsid w:val="00B43C25"/>
    <w:rsid w:val="00B43CB5"/>
    <w:rsid w:val="00B4410D"/>
    <w:rsid w:val="00B442F1"/>
    <w:rsid w:val="00B443FE"/>
    <w:rsid w:val="00B44534"/>
    <w:rsid w:val="00B44625"/>
    <w:rsid w:val="00B44995"/>
    <w:rsid w:val="00B450AD"/>
    <w:rsid w:val="00B4516D"/>
    <w:rsid w:val="00B4558C"/>
    <w:rsid w:val="00B45619"/>
    <w:rsid w:val="00B4587D"/>
    <w:rsid w:val="00B45ABE"/>
    <w:rsid w:val="00B45AC7"/>
    <w:rsid w:val="00B45D27"/>
    <w:rsid w:val="00B45DCD"/>
    <w:rsid w:val="00B45F71"/>
    <w:rsid w:val="00B45F8F"/>
    <w:rsid w:val="00B4600C"/>
    <w:rsid w:val="00B46153"/>
    <w:rsid w:val="00B461E0"/>
    <w:rsid w:val="00B4652A"/>
    <w:rsid w:val="00B46604"/>
    <w:rsid w:val="00B4667B"/>
    <w:rsid w:val="00B46821"/>
    <w:rsid w:val="00B469E5"/>
    <w:rsid w:val="00B46DB6"/>
    <w:rsid w:val="00B46F36"/>
    <w:rsid w:val="00B46F64"/>
    <w:rsid w:val="00B47290"/>
    <w:rsid w:val="00B473B0"/>
    <w:rsid w:val="00B47588"/>
    <w:rsid w:val="00B475F4"/>
    <w:rsid w:val="00B4789F"/>
    <w:rsid w:val="00B47AEE"/>
    <w:rsid w:val="00B47C82"/>
    <w:rsid w:val="00B502F1"/>
    <w:rsid w:val="00B5037C"/>
    <w:rsid w:val="00B503CC"/>
    <w:rsid w:val="00B50435"/>
    <w:rsid w:val="00B505FB"/>
    <w:rsid w:val="00B505FD"/>
    <w:rsid w:val="00B5073F"/>
    <w:rsid w:val="00B50AD3"/>
    <w:rsid w:val="00B50CD3"/>
    <w:rsid w:val="00B5105F"/>
    <w:rsid w:val="00B51085"/>
    <w:rsid w:val="00B511F1"/>
    <w:rsid w:val="00B513BA"/>
    <w:rsid w:val="00B51483"/>
    <w:rsid w:val="00B515DE"/>
    <w:rsid w:val="00B516E9"/>
    <w:rsid w:val="00B5174B"/>
    <w:rsid w:val="00B519B2"/>
    <w:rsid w:val="00B519BE"/>
    <w:rsid w:val="00B52280"/>
    <w:rsid w:val="00B52537"/>
    <w:rsid w:val="00B52930"/>
    <w:rsid w:val="00B52CE0"/>
    <w:rsid w:val="00B52E22"/>
    <w:rsid w:val="00B53024"/>
    <w:rsid w:val="00B532FD"/>
    <w:rsid w:val="00B5359A"/>
    <w:rsid w:val="00B53680"/>
    <w:rsid w:val="00B5372F"/>
    <w:rsid w:val="00B53819"/>
    <w:rsid w:val="00B53A05"/>
    <w:rsid w:val="00B53B38"/>
    <w:rsid w:val="00B53DA5"/>
    <w:rsid w:val="00B53FAE"/>
    <w:rsid w:val="00B54072"/>
    <w:rsid w:val="00B5417B"/>
    <w:rsid w:val="00B541E4"/>
    <w:rsid w:val="00B543EB"/>
    <w:rsid w:val="00B54451"/>
    <w:rsid w:val="00B5455A"/>
    <w:rsid w:val="00B547E0"/>
    <w:rsid w:val="00B54A7C"/>
    <w:rsid w:val="00B54CF2"/>
    <w:rsid w:val="00B55259"/>
    <w:rsid w:val="00B55611"/>
    <w:rsid w:val="00B5597D"/>
    <w:rsid w:val="00B559FF"/>
    <w:rsid w:val="00B55BEA"/>
    <w:rsid w:val="00B55CF7"/>
    <w:rsid w:val="00B55D6C"/>
    <w:rsid w:val="00B55F25"/>
    <w:rsid w:val="00B560C8"/>
    <w:rsid w:val="00B56186"/>
    <w:rsid w:val="00B56244"/>
    <w:rsid w:val="00B5630E"/>
    <w:rsid w:val="00B568F9"/>
    <w:rsid w:val="00B5690C"/>
    <w:rsid w:val="00B56991"/>
    <w:rsid w:val="00B56C56"/>
    <w:rsid w:val="00B56CE3"/>
    <w:rsid w:val="00B56E1E"/>
    <w:rsid w:val="00B5722E"/>
    <w:rsid w:val="00B572E2"/>
    <w:rsid w:val="00B57363"/>
    <w:rsid w:val="00B575D2"/>
    <w:rsid w:val="00B5764C"/>
    <w:rsid w:val="00B57798"/>
    <w:rsid w:val="00B57D79"/>
    <w:rsid w:val="00B57E26"/>
    <w:rsid w:val="00B57E58"/>
    <w:rsid w:val="00B57EC2"/>
    <w:rsid w:val="00B57F77"/>
    <w:rsid w:val="00B57FA5"/>
    <w:rsid w:val="00B60101"/>
    <w:rsid w:val="00B6028E"/>
    <w:rsid w:val="00B6029D"/>
    <w:rsid w:val="00B60854"/>
    <w:rsid w:val="00B60C7C"/>
    <w:rsid w:val="00B60C88"/>
    <w:rsid w:val="00B60DD4"/>
    <w:rsid w:val="00B60EDE"/>
    <w:rsid w:val="00B61129"/>
    <w:rsid w:val="00B61372"/>
    <w:rsid w:val="00B61402"/>
    <w:rsid w:val="00B6144E"/>
    <w:rsid w:val="00B614EE"/>
    <w:rsid w:val="00B614F9"/>
    <w:rsid w:val="00B61520"/>
    <w:rsid w:val="00B6189A"/>
    <w:rsid w:val="00B619AD"/>
    <w:rsid w:val="00B61C3C"/>
    <w:rsid w:val="00B61DB4"/>
    <w:rsid w:val="00B61E9A"/>
    <w:rsid w:val="00B61ED2"/>
    <w:rsid w:val="00B62206"/>
    <w:rsid w:val="00B62815"/>
    <w:rsid w:val="00B628E7"/>
    <w:rsid w:val="00B62AA8"/>
    <w:rsid w:val="00B631E1"/>
    <w:rsid w:val="00B632C2"/>
    <w:rsid w:val="00B6347C"/>
    <w:rsid w:val="00B63518"/>
    <w:rsid w:val="00B6357F"/>
    <w:rsid w:val="00B637D9"/>
    <w:rsid w:val="00B6399A"/>
    <w:rsid w:val="00B63C2C"/>
    <w:rsid w:val="00B63C2E"/>
    <w:rsid w:val="00B63CE4"/>
    <w:rsid w:val="00B63EC7"/>
    <w:rsid w:val="00B64140"/>
    <w:rsid w:val="00B6421E"/>
    <w:rsid w:val="00B6442A"/>
    <w:rsid w:val="00B64562"/>
    <w:rsid w:val="00B64692"/>
    <w:rsid w:val="00B647B5"/>
    <w:rsid w:val="00B6481B"/>
    <w:rsid w:val="00B649AC"/>
    <w:rsid w:val="00B64A0B"/>
    <w:rsid w:val="00B64DBA"/>
    <w:rsid w:val="00B651A3"/>
    <w:rsid w:val="00B653D1"/>
    <w:rsid w:val="00B65869"/>
    <w:rsid w:val="00B65BCB"/>
    <w:rsid w:val="00B65BDE"/>
    <w:rsid w:val="00B65C1A"/>
    <w:rsid w:val="00B65CE2"/>
    <w:rsid w:val="00B65D8C"/>
    <w:rsid w:val="00B6615D"/>
    <w:rsid w:val="00B66485"/>
    <w:rsid w:val="00B664A6"/>
    <w:rsid w:val="00B666AD"/>
    <w:rsid w:val="00B6675B"/>
    <w:rsid w:val="00B66A09"/>
    <w:rsid w:val="00B66AE1"/>
    <w:rsid w:val="00B66AEC"/>
    <w:rsid w:val="00B66F70"/>
    <w:rsid w:val="00B66FA7"/>
    <w:rsid w:val="00B67043"/>
    <w:rsid w:val="00B67124"/>
    <w:rsid w:val="00B67145"/>
    <w:rsid w:val="00B67167"/>
    <w:rsid w:val="00B6721F"/>
    <w:rsid w:val="00B6734D"/>
    <w:rsid w:val="00B673AD"/>
    <w:rsid w:val="00B67470"/>
    <w:rsid w:val="00B6759C"/>
    <w:rsid w:val="00B675E2"/>
    <w:rsid w:val="00B678CD"/>
    <w:rsid w:val="00B67B42"/>
    <w:rsid w:val="00B67CB5"/>
    <w:rsid w:val="00B67E7F"/>
    <w:rsid w:val="00B67F19"/>
    <w:rsid w:val="00B67FFD"/>
    <w:rsid w:val="00B70189"/>
    <w:rsid w:val="00B703C4"/>
    <w:rsid w:val="00B7043B"/>
    <w:rsid w:val="00B70511"/>
    <w:rsid w:val="00B706A7"/>
    <w:rsid w:val="00B70809"/>
    <w:rsid w:val="00B70F88"/>
    <w:rsid w:val="00B710C1"/>
    <w:rsid w:val="00B71159"/>
    <w:rsid w:val="00B71380"/>
    <w:rsid w:val="00B71565"/>
    <w:rsid w:val="00B71674"/>
    <w:rsid w:val="00B71857"/>
    <w:rsid w:val="00B718F3"/>
    <w:rsid w:val="00B719E3"/>
    <w:rsid w:val="00B71A98"/>
    <w:rsid w:val="00B71B27"/>
    <w:rsid w:val="00B7206C"/>
    <w:rsid w:val="00B72104"/>
    <w:rsid w:val="00B726E7"/>
    <w:rsid w:val="00B727AB"/>
    <w:rsid w:val="00B727C8"/>
    <w:rsid w:val="00B728A0"/>
    <w:rsid w:val="00B72966"/>
    <w:rsid w:val="00B72BA9"/>
    <w:rsid w:val="00B72C51"/>
    <w:rsid w:val="00B73A3A"/>
    <w:rsid w:val="00B73EDB"/>
    <w:rsid w:val="00B73EFD"/>
    <w:rsid w:val="00B73F93"/>
    <w:rsid w:val="00B74120"/>
    <w:rsid w:val="00B743DB"/>
    <w:rsid w:val="00B7459A"/>
    <w:rsid w:val="00B745D8"/>
    <w:rsid w:val="00B74670"/>
    <w:rsid w:val="00B74705"/>
    <w:rsid w:val="00B748F8"/>
    <w:rsid w:val="00B74984"/>
    <w:rsid w:val="00B74998"/>
    <w:rsid w:val="00B74B69"/>
    <w:rsid w:val="00B74E86"/>
    <w:rsid w:val="00B75075"/>
    <w:rsid w:val="00B7533C"/>
    <w:rsid w:val="00B7538B"/>
    <w:rsid w:val="00B75403"/>
    <w:rsid w:val="00B759F5"/>
    <w:rsid w:val="00B75A04"/>
    <w:rsid w:val="00B75F72"/>
    <w:rsid w:val="00B75FD2"/>
    <w:rsid w:val="00B760BC"/>
    <w:rsid w:val="00B760E1"/>
    <w:rsid w:val="00B760FA"/>
    <w:rsid w:val="00B76187"/>
    <w:rsid w:val="00B76190"/>
    <w:rsid w:val="00B762C4"/>
    <w:rsid w:val="00B764AD"/>
    <w:rsid w:val="00B765BB"/>
    <w:rsid w:val="00B76C05"/>
    <w:rsid w:val="00B76C0C"/>
    <w:rsid w:val="00B76C17"/>
    <w:rsid w:val="00B76CCE"/>
    <w:rsid w:val="00B76D41"/>
    <w:rsid w:val="00B76E02"/>
    <w:rsid w:val="00B76E0D"/>
    <w:rsid w:val="00B76EB5"/>
    <w:rsid w:val="00B77086"/>
    <w:rsid w:val="00B772A8"/>
    <w:rsid w:val="00B775E1"/>
    <w:rsid w:val="00B77690"/>
    <w:rsid w:val="00B779EB"/>
    <w:rsid w:val="00B77A8B"/>
    <w:rsid w:val="00B77B08"/>
    <w:rsid w:val="00B77C62"/>
    <w:rsid w:val="00B77D6D"/>
    <w:rsid w:val="00B80253"/>
    <w:rsid w:val="00B802FD"/>
    <w:rsid w:val="00B804A5"/>
    <w:rsid w:val="00B80755"/>
    <w:rsid w:val="00B80C9D"/>
    <w:rsid w:val="00B80CE8"/>
    <w:rsid w:val="00B80E54"/>
    <w:rsid w:val="00B80FBD"/>
    <w:rsid w:val="00B81004"/>
    <w:rsid w:val="00B81040"/>
    <w:rsid w:val="00B81059"/>
    <w:rsid w:val="00B812E7"/>
    <w:rsid w:val="00B813AA"/>
    <w:rsid w:val="00B81555"/>
    <w:rsid w:val="00B81AEE"/>
    <w:rsid w:val="00B81B73"/>
    <w:rsid w:val="00B81C0B"/>
    <w:rsid w:val="00B81D3D"/>
    <w:rsid w:val="00B823CB"/>
    <w:rsid w:val="00B8244F"/>
    <w:rsid w:val="00B826E9"/>
    <w:rsid w:val="00B826EC"/>
    <w:rsid w:val="00B827C3"/>
    <w:rsid w:val="00B82A35"/>
    <w:rsid w:val="00B82BC1"/>
    <w:rsid w:val="00B82DBC"/>
    <w:rsid w:val="00B82EDD"/>
    <w:rsid w:val="00B831CE"/>
    <w:rsid w:val="00B832DA"/>
    <w:rsid w:val="00B83825"/>
    <w:rsid w:val="00B8395A"/>
    <w:rsid w:val="00B839B2"/>
    <w:rsid w:val="00B83ABC"/>
    <w:rsid w:val="00B83AEE"/>
    <w:rsid w:val="00B83C70"/>
    <w:rsid w:val="00B83D5B"/>
    <w:rsid w:val="00B83D9E"/>
    <w:rsid w:val="00B83F3D"/>
    <w:rsid w:val="00B84015"/>
    <w:rsid w:val="00B8435F"/>
    <w:rsid w:val="00B845D1"/>
    <w:rsid w:val="00B84937"/>
    <w:rsid w:val="00B84A84"/>
    <w:rsid w:val="00B84D1F"/>
    <w:rsid w:val="00B84F3C"/>
    <w:rsid w:val="00B85008"/>
    <w:rsid w:val="00B85022"/>
    <w:rsid w:val="00B85077"/>
    <w:rsid w:val="00B850F4"/>
    <w:rsid w:val="00B859A8"/>
    <w:rsid w:val="00B85A72"/>
    <w:rsid w:val="00B8617E"/>
    <w:rsid w:val="00B8633D"/>
    <w:rsid w:val="00B8656F"/>
    <w:rsid w:val="00B8686B"/>
    <w:rsid w:val="00B86935"/>
    <w:rsid w:val="00B86A6B"/>
    <w:rsid w:val="00B86BAD"/>
    <w:rsid w:val="00B87283"/>
    <w:rsid w:val="00B872E8"/>
    <w:rsid w:val="00B873B9"/>
    <w:rsid w:val="00B875ED"/>
    <w:rsid w:val="00B878D1"/>
    <w:rsid w:val="00B8796A"/>
    <w:rsid w:val="00B87988"/>
    <w:rsid w:val="00B87C16"/>
    <w:rsid w:val="00B87DE3"/>
    <w:rsid w:val="00B87FDC"/>
    <w:rsid w:val="00B901D1"/>
    <w:rsid w:val="00B9025F"/>
    <w:rsid w:val="00B90681"/>
    <w:rsid w:val="00B909E2"/>
    <w:rsid w:val="00B90A62"/>
    <w:rsid w:val="00B91434"/>
    <w:rsid w:val="00B91436"/>
    <w:rsid w:val="00B91453"/>
    <w:rsid w:val="00B917A0"/>
    <w:rsid w:val="00B91968"/>
    <w:rsid w:val="00B9197B"/>
    <w:rsid w:val="00B919F6"/>
    <w:rsid w:val="00B91CF6"/>
    <w:rsid w:val="00B91E60"/>
    <w:rsid w:val="00B91EEC"/>
    <w:rsid w:val="00B920A4"/>
    <w:rsid w:val="00B92B4E"/>
    <w:rsid w:val="00B92C94"/>
    <w:rsid w:val="00B92D85"/>
    <w:rsid w:val="00B92F46"/>
    <w:rsid w:val="00B9310F"/>
    <w:rsid w:val="00B931EA"/>
    <w:rsid w:val="00B93362"/>
    <w:rsid w:val="00B9339B"/>
    <w:rsid w:val="00B93401"/>
    <w:rsid w:val="00B93514"/>
    <w:rsid w:val="00B9352A"/>
    <w:rsid w:val="00B937EA"/>
    <w:rsid w:val="00B93DBF"/>
    <w:rsid w:val="00B94252"/>
    <w:rsid w:val="00B944AE"/>
    <w:rsid w:val="00B9467D"/>
    <w:rsid w:val="00B9497C"/>
    <w:rsid w:val="00B94BC0"/>
    <w:rsid w:val="00B94E98"/>
    <w:rsid w:val="00B94FAD"/>
    <w:rsid w:val="00B953CD"/>
    <w:rsid w:val="00B95812"/>
    <w:rsid w:val="00B958B7"/>
    <w:rsid w:val="00B95E43"/>
    <w:rsid w:val="00B96007"/>
    <w:rsid w:val="00B961A8"/>
    <w:rsid w:val="00B962E6"/>
    <w:rsid w:val="00B964AF"/>
    <w:rsid w:val="00B964E0"/>
    <w:rsid w:val="00B96734"/>
    <w:rsid w:val="00B967B6"/>
    <w:rsid w:val="00B967B8"/>
    <w:rsid w:val="00B969BB"/>
    <w:rsid w:val="00B96A06"/>
    <w:rsid w:val="00B96A73"/>
    <w:rsid w:val="00B96D05"/>
    <w:rsid w:val="00B9705C"/>
    <w:rsid w:val="00B9715A"/>
    <w:rsid w:val="00B9715E"/>
    <w:rsid w:val="00B97167"/>
    <w:rsid w:val="00B97250"/>
    <w:rsid w:val="00B97334"/>
    <w:rsid w:val="00B973A1"/>
    <w:rsid w:val="00B9740B"/>
    <w:rsid w:val="00B97515"/>
    <w:rsid w:val="00B976E6"/>
    <w:rsid w:val="00B97AC8"/>
    <w:rsid w:val="00B97E00"/>
    <w:rsid w:val="00BA0060"/>
    <w:rsid w:val="00BA00D9"/>
    <w:rsid w:val="00BA01DE"/>
    <w:rsid w:val="00BA035A"/>
    <w:rsid w:val="00BA03C2"/>
    <w:rsid w:val="00BA06D6"/>
    <w:rsid w:val="00BA07FC"/>
    <w:rsid w:val="00BA080A"/>
    <w:rsid w:val="00BA0884"/>
    <w:rsid w:val="00BA092F"/>
    <w:rsid w:val="00BA095A"/>
    <w:rsid w:val="00BA0B41"/>
    <w:rsid w:val="00BA0B68"/>
    <w:rsid w:val="00BA0DFB"/>
    <w:rsid w:val="00BA0E08"/>
    <w:rsid w:val="00BA0E88"/>
    <w:rsid w:val="00BA0EB0"/>
    <w:rsid w:val="00BA0F87"/>
    <w:rsid w:val="00BA14BE"/>
    <w:rsid w:val="00BA1BD9"/>
    <w:rsid w:val="00BA2519"/>
    <w:rsid w:val="00BA2532"/>
    <w:rsid w:val="00BA25A4"/>
    <w:rsid w:val="00BA261C"/>
    <w:rsid w:val="00BA26E7"/>
    <w:rsid w:val="00BA2720"/>
    <w:rsid w:val="00BA2732"/>
    <w:rsid w:val="00BA27E6"/>
    <w:rsid w:val="00BA2849"/>
    <w:rsid w:val="00BA2870"/>
    <w:rsid w:val="00BA2872"/>
    <w:rsid w:val="00BA2897"/>
    <w:rsid w:val="00BA2937"/>
    <w:rsid w:val="00BA293D"/>
    <w:rsid w:val="00BA2B1A"/>
    <w:rsid w:val="00BA2B97"/>
    <w:rsid w:val="00BA2EC8"/>
    <w:rsid w:val="00BA2ED5"/>
    <w:rsid w:val="00BA2ED6"/>
    <w:rsid w:val="00BA35BC"/>
    <w:rsid w:val="00BA35F9"/>
    <w:rsid w:val="00BA37D5"/>
    <w:rsid w:val="00BA3AFF"/>
    <w:rsid w:val="00BA4079"/>
    <w:rsid w:val="00BA41B1"/>
    <w:rsid w:val="00BA41EB"/>
    <w:rsid w:val="00BA421B"/>
    <w:rsid w:val="00BA43A7"/>
    <w:rsid w:val="00BA43AE"/>
    <w:rsid w:val="00BA4495"/>
    <w:rsid w:val="00BA49BC"/>
    <w:rsid w:val="00BA4BBD"/>
    <w:rsid w:val="00BA4CE5"/>
    <w:rsid w:val="00BA4D69"/>
    <w:rsid w:val="00BA4DA6"/>
    <w:rsid w:val="00BA4E43"/>
    <w:rsid w:val="00BA5042"/>
    <w:rsid w:val="00BA5175"/>
    <w:rsid w:val="00BA520C"/>
    <w:rsid w:val="00BA549F"/>
    <w:rsid w:val="00BA56B7"/>
    <w:rsid w:val="00BA5DCC"/>
    <w:rsid w:val="00BA60DD"/>
    <w:rsid w:val="00BA6175"/>
    <w:rsid w:val="00BA67CB"/>
    <w:rsid w:val="00BA68F9"/>
    <w:rsid w:val="00BA6A19"/>
    <w:rsid w:val="00BA6F3A"/>
    <w:rsid w:val="00BA6F99"/>
    <w:rsid w:val="00BA7079"/>
    <w:rsid w:val="00BA70C7"/>
    <w:rsid w:val="00BA7130"/>
    <w:rsid w:val="00BA798F"/>
    <w:rsid w:val="00BA7A1E"/>
    <w:rsid w:val="00BA7C41"/>
    <w:rsid w:val="00BA7CA9"/>
    <w:rsid w:val="00BA7D33"/>
    <w:rsid w:val="00BA7E22"/>
    <w:rsid w:val="00BA7FD6"/>
    <w:rsid w:val="00BB0225"/>
    <w:rsid w:val="00BB038C"/>
    <w:rsid w:val="00BB0834"/>
    <w:rsid w:val="00BB0A5B"/>
    <w:rsid w:val="00BB0E61"/>
    <w:rsid w:val="00BB0F66"/>
    <w:rsid w:val="00BB1140"/>
    <w:rsid w:val="00BB11A2"/>
    <w:rsid w:val="00BB1387"/>
    <w:rsid w:val="00BB1968"/>
    <w:rsid w:val="00BB1AA8"/>
    <w:rsid w:val="00BB1B3D"/>
    <w:rsid w:val="00BB1F84"/>
    <w:rsid w:val="00BB20F9"/>
    <w:rsid w:val="00BB2231"/>
    <w:rsid w:val="00BB2264"/>
    <w:rsid w:val="00BB2473"/>
    <w:rsid w:val="00BB24C3"/>
    <w:rsid w:val="00BB24C8"/>
    <w:rsid w:val="00BB2513"/>
    <w:rsid w:val="00BB2692"/>
    <w:rsid w:val="00BB2ABA"/>
    <w:rsid w:val="00BB2D51"/>
    <w:rsid w:val="00BB2DBC"/>
    <w:rsid w:val="00BB2F6C"/>
    <w:rsid w:val="00BB3194"/>
    <w:rsid w:val="00BB3756"/>
    <w:rsid w:val="00BB385A"/>
    <w:rsid w:val="00BB3875"/>
    <w:rsid w:val="00BB39A1"/>
    <w:rsid w:val="00BB39EC"/>
    <w:rsid w:val="00BB3CA1"/>
    <w:rsid w:val="00BB404C"/>
    <w:rsid w:val="00BB40BE"/>
    <w:rsid w:val="00BB474B"/>
    <w:rsid w:val="00BB4753"/>
    <w:rsid w:val="00BB47CE"/>
    <w:rsid w:val="00BB487F"/>
    <w:rsid w:val="00BB4C76"/>
    <w:rsid w:val="00BB4D2A"/>
    <w:rsid w:val="00BB4D78"/>
    <w:rsid w:val="00BB4F43"/>
    <w:rsid w:val="00BB4F5E"/>
    <w:rsid w:val="00BB4F8A"/>
    <w:rsid w:val="00BB519C"/>
    <w:rsid w:val="00BB5202"/>
    <w:rsid w:val="00BB550F"/>
    <w:rsid w:val="00BB5597"/>
    <w:rsid w:val="00BB5608"/>
    <w:rsid w:val="00BB5860"/>
    <w:rsid w:val="00BB590B"/>
    <w:rsid w:val="00BB59B5"/>
    <w:rsid w:val="00BB5BB2"/>
    <w:rsid w:val="00BB5CE1"/>
    <w:rsid w:val="00BB616F"/>
    <w:rsid w:val="00BB6302"/>
    <w:rsid w:val="00BB661D"/>
    <w:rsid w:val="00BB6629"/>
    <w:rsid w:val="00BB6708"/>
    <w:rsid w:val="00BB6AAD"/>
    <w:rsid w:val="00BB6BFF"/>
    <w:rsid w:val="00BB7002"/>
    <w:rsid w:val="00BB71BB"/>
    <w:rsid w:val="00BB72FE"/>
    <w:rsid w:val="00BB7705"/>
    <w:rsid w:val="00BB782B"/>
    <w:rsid w:val="00BB7C72"/>
    <w:rsid w:val="00BB7DCF"/>
    <w:rsid w:val="00BC01EE"/>
    <w:rsid w:val="00BC047E"/>
    <w:rsid w:val="00BC04B9"/>
    <w:rsid w:val="00BC0799"/>
    <w:rsid w:val="00BC08CC"/>
    <w:rsid w:val="00BC09AC"/>
    <w:rsid w:val="00BC11EA"/>
    <w:rsid w:val="00BC12AE"/>
    <w:rsid w:val="00BC12FA"/>
    <w:rsid w:val="00BC14CE"/>
    <w:rsid w:val="00BC15B1"/>
    <w:rsid w:val="00BC196C"/>
    <w:rsid w:val="00BC1D47"/>
    <w:rsid w:val="00BC1EE8"/>
    <w:rsid w:val="00BC1FC6"/>
    <w:rsid w:val="00BC1FE1"/>
    <w:rsid w:val="00BC21CE"/>
    <w:rsid w:val="00BC2241"/>
    <w:rsid w:val="00BC27DD"/>
    <w:rsid w:val="00BC297D"/>
    <w:rsid w:val="00BC2E34"/>
    <w:rsid w:val="00BC2EB3"/>
    <w:rsid w:val="00BC30B4"/>
    <w:rsid w:val="00BC3260"/>
    <w:rsid w:val="00BC33D8"/>
    <w:rsid w:val="00BC36CB"/>
    <w:rsid w:val="00BC37C6"/>
    <w:rsid w:val="00BC38E8"/>
    <w:rsid w:val="00BC39FA"/>
    <w:rsid w:val="00BC3AF2"/>
    <w:rsid w:val="00BC3AF7"/>
    <w:rsid w:val="00BC3E1B"/>
    <w:rsid w:val="00BC3EE3"/>
    <w:rsid w:val="00BC3F8E"/>
    <w:rsid w:val="00BC446D"/>
    <w:rsid w:val="00BC4498"/>
    <w:rsid w:val="00BC4564"/>
    <w:rsid w:val="00BC459F"/>
    <w:rsid w:val="00BC45DA"/>
    <w:rsid w:val="00BC48C8"/>
    <w:rsid w:val="00BC4A19"/>
    <w:rsid w:val="00BC4A62"/>
    <w:rsid w:val="00BC4A78"/>
    <w:rsid w:val="00BC4A88"/>
    <w:rsid w:val="00BC4BBD"/>
    <w:rsid w:val="00BC4C96"/>
    <w:rsid w:val="00BC4E35"/>
    <w:rsid w:val="00BC4E6D"/>
    <w:rsid w:val="00BC4E7F"/>
    <w:rsid w:val="00BC53D1"/>
    <w:rsid w:val="00BC54D7"/>
    <w:rsid w:val="00BC57B3"/>
    <w:rsid w:val="00BC57DA"/>
    <w:rsid w:val="00BC57EB"/>
    <w:rsid w:val="00BC594F"/>
    <w:rsid w:val="00BC596D"/>
    <w:rsid w:val="00BC5BAD"/>
    <w:rsid w:val="00BC5C6F"/>
    <w:rsid w:val="00BC5EE1"/>
    <w:rsid w:val="00BC5F23"/>
    <w:rsid w:val="00BC5FD4"/>
    <w:rsid w:val="00BC6171"/>
    <w:rsid w:val="00BC61AB"/>
    <w:rsid w:val="00BC65E8"/>
    <w:rsid w:val="00BC6635"/>
    <w:rsid w:val="00BC6670"/>
    <w:rsid w:val="00BC6737"/>
    <w:rsid w:val="00BC68FF"/>
    <w:rsid w:val="00BC69D5"/>
    <w:rsid w:val="00BC6B4A"/>
    <w:rsid w:val="00BC6D2D"/>
    <w:rsid w:val="00BC6E27"/>
    <w:rsid w:val="00BC6EF4"/>
    <w:rsid w:val="00BC7403"/>
    <w:rsid w:val="00BC7467"/>
    <w:rsid w:val="00BC74A0"/>
    <w:rsid w:val="00BC77AD"/>
    <w:rsid w:val="00BC79B4"/>
    <w:rsid w:val="00BC79F3"/>
    <w:rsid w:val="00BC7F09"/>
    <w:rsid w:val="00BC7FA2"/>
    <w:rsid w:val="00BD0097"/>
    <w:rsid w:val="00BD01F0"/>
    <w:rsid w:val="00BD02FE"/>
    <w:rsid w:val="00BD0367"/>
    <w:rsid w:val="00BD0391"/>
    <w:rsid w:val="00BD0617"/>
    <w:rsid w:val="00BD070B"/>
    <w:rsid w:val="00BD0916"/>
    <w:rsid w:val="00BD0B6D"/>
    <w:rsid w:val="00BD0C52"/>
    <w:rsid w:val="00BD0D39"/>
    <w:rsid w:val="00BD0D52"/>
    <w:rsid w:val="00BD0D80"/>
    <w:rsid w:val="00BD105B"/>
    <w:rsid w:val="00BD117B"/>
    <w:rsid w:val="00BD11BF"/>
    <w:rsid w:val="00BD123D"/>
    <w:rsid w:val="00BD131E"/>
    <w:rsid w:val="00BD166E"/>
    <w:rsid w:val="00BD16DA"/>
    <w:rsid w:val="00BD1C7E"/>
    <w:rsid w:val="00BD1DCF"/>
    <w:rsid w:val="00BD1E4A"/>
    <w:rsid w:val="00BD1F42"/>
    <w:rsid w:val="00BD23D0"/>
    <w:rsid w:val="00BD29ED"/>
    <w:rsid w:val="00BD2ABA"/>
    <w:rsid w:val="00BD2BB1"/>
    <w:rsid w:val="00BD2C1C"/>
    <w:rsid w:val="00BD2C37"/>
    <w:rsid w:val="00BD2D17"/>
    <w:rsid w:val="00BD2D2D"/>
    <w:rsid w:val="00BD2E69"/>
    <w:rsid w:val="00BD2E9B"/>
    <w:rsid w:val="00BD2F08"/>
    <w:rsid w:val="00BD3363"/>
    <w:rsid w:val="00BD3488"/>
    <w:rsid w:val="00BD35BD"/>
    <w:rsid w:val="00BD36D4"/>
    <w:rsid w:val="00BD38AA"/>
    <w:rsid w:val="00BD39A3"/>
    <w:rsid w:val="00BD3BB1"/>
    <w:rsid w:val="00BD3CAB"/>
    <w:rsid w:val="00BD3CBF"/>
    <w:rsid w:val="00BD3EB7"/>
    <w:rsid w:val="00BD3FA9"/>
    <w:rsid w:val="00BD4024"/>
    <w:rsid w:val="00BD413D"/>
    <w:rsid w:val="00BD41B0"/>
    <w:rsid w:val="00BD4270"/>
    <w:rsid w:val="00BD4431"/>
    <w:rsid w:val="00BD4452"/>
    <w:rsid w:val="00BD4458"/>
    <w:rsid w:val="00BD48CC"/>
    <w:rsid w:val="00BD49BB"/>
    <w:rsid w:val="00BD4B9D"/>
    <w:rsid w:val="00BD4BF9"/>
    <w:rsid w:val="00BD4F4A"/>
    <w:rsid w:val="00BD5022"/>
    <w:rsid w:val="00BD51F0"/>
    <w:rsid w:val="00BD521D"/>
    <w:rsid w:val="00BD53B5"/>
    <w:rsid w:val="00BD5C08"/>
    <w:rsid w:val="00BD6190"/>
    <w:rsid w:val="00BD633F"/>
    <w:rsid w:val="00BD6651"/>
    <w:rsid w:val="00BD6735"/>
    <w:rsid w:val="00BD6CDD"/>
    <w:rsid w:val="00BD7039"/>
    <w:rsid w:val="00BD719E"/>
    <w:rsid w:val="00BD7235"/>
    <w:rsid w:val="00BD7296"/>
    <w:rsid w:val="00BD74F0"/>
    <w:rsid w:val="00BD7A2A"/>
    <w:rsid w:val="00BD7FD8"/>
    <w:rsid w:val="00BE00FF"/>
    <w:rsid w:val="00BE02B5"/>
    <w:rsid w:val="00BE035E"/>
    <w:rsid w:val="00BE03D2"/>
    <w:rsid w:val="00BE06AB"/>
    <w:rsid w:val="00BE08E1"/>
    <w:rsid w:val="00BE0DA2"/>
    <w:rsid w:val="00BE1397"/>
    <w:rsid w:val="00BE13D5"/>
    <w:rsid w:val="00BE13DD"/>
    <w:rsid w:val="00BE1432"/>
    <w:rsid w:val="00BE14DA"/>
    <w:rsid w:val="00BE1773"/>
    <w:rsid w:val="00BE1845"/>
    <w:rsid w:val="00BE185D"/>
    <w:rsid w:val="00BE1CA6"/>
    <w:rsid w:val="00BE1CB5"/>
    <w:rsid w:val="00BE20D9"/>
    <w:rsid w:val="00BE21DE"/>
    <w:rsid w:val="00BE241E"/>
    <w:rsid w:val="00BE26E1"/>
    <w:rsid w:val="00BE276D"/>
    <w:rsid w:val="00BE286C"/>
    <w:rsid w:val="00BE292A"/>
    <w:rsid w:val="00BE2A9E"/>
    <w:rsid w:val="00BE2C73"/>
    <w:rsid w:val="00BE2F05"/>
    <w:rsid w:val="00BE2FF0"/>
    <w:rsid w:val="00BE322E"/>
    <w:rsid w:val="00BE3233"/>
    <w:rsid w:val="00BE3295"/>
    <w:rsid w:val="00BE3487"/>
    <w:rsid w:val="00BE348F"/>
    <w:rsid w:val="00BE362B"/>
    <w:rsid w:val="00BE3A06"/>
    <w:rsid w:val="00BE3BEF"/>
    <w:rsid w:val="00BE3F56"/>
    <w:rsid w:val="00BE40A9"/>
    <w:rsid w:val="00BE414B"/>
    <w:rsid w:val="00BE462D"/>
    <w:rsid w:val="00BE4955"/>
    <w:rsid w:val="00BE4C3F"/>
    <w:rsid w:val="00BE4C8F"/>
    <w:rsid w:val="00BE4CC1"/>
    <w:rsid w:val="00BE4CDA"/>
    <w:rsid w:val="00BE4F00"/>
    <w:rsid w:val="00BE57CC"/>
    <w:rsid w:val="00BE587C"/>
    <w:rsid w:val="00BE59CA"/>
    <w:rsid w:val="00BE5A1F"/>
    <w:rsid w:val="00BE5AB3"/>
    <w:rsid w:val="00BE5B94"/>
    <w:rsid w:val="00BE5CA8"/>
    <w:rsid w:val="00BE5EF2"/>
    <w:rsid w:val="00BE5F0D"/>
    <w:rsid w:val="00BE6067"/>
    <w:rsid w:val="00BE6488"/>
    <w:rsid w:val="00BE6522"/>
    <w:rsid w:val="00BE653F"/>
    <w:rsid w:val="00BE672C"/>
    <w:rsid w:val="00BE69E1"/>
    <w:rsid w:val="00BE6A82"/>
    <w:rsid w:val="00BE6CC7"/>
    <w:rsid w:val="00BE6EC4"/>
    <w:rsid w:val="00BE6EDB"/>
    <w:rsid w:val="00BE6EEB"/>
    <w:rsid w:val="00BE7276"/>
    <w:rsid w:val="00BE73A7"/>
    <w:rsid w:val="00BE781D"/>
    <w:rsid w:val="00BE79FD"/>
    <w:rsid w:val="00BE7AE7"/>
    <w:rsid w:val="00BE7D32"/>
    <w:rsid w:val="00BE7E3A"/>
    <w:rsid w:val="00BE7E4F"/>
    <w:rsid w:val="00BE7EA6"/>
    <w:rsid w:val="00BF000C"/>
    <w:rsid w:val="00BF0349"/>
    <w:rsid w:val="00BF05B4"/>
    <w:rsid w:val="00BF060F"/>
    <w:rsid w:val="00BF0D1D"/>
    <w:rsid w:val="00BF0E6D"/>
    <w:rsid w:val="00BF0F6B"/>
    <w:rsid w:val="00BF1518"/>
    <w:rsid w:val="00BF1536"/>
    <w:rsid w:val="00BF17C7"/>
    <w:rsid w:val="00BF197C"/>
    <w:rsid w:val="00BF1B68"/>
    <w:rsid w:val="00BF1B92"/>
    <w:rsid w:val="00BF1E6D"/>
    <w:rsid w:val="00BF1F28"/>
    <w:rsid w:val="00BF21DF"/>
    <w:rsid w:val="00BF23AD"/>
    <w:rsid w:val="00BF244C"/>
    <w:rsid w:val="00BF263D"/>
    <w:rsid w:val="00BF2B5A"/>
    <w:rsid w:val="00BF2C74"/>
    <w:rsid w:val="00BF2F16"/>
    <w:rsid w:val="00BF334C"/>
    <w:rsid w:val="00BF3751"/>
    <w:rsid w:val="00BF394E"/>
    <w:rsid w:val="00BF3A84"/>
    <w:rsid w:val="00BF3D43"/>
    <w:rsid w:val="00BF3D7D"/>
    <w:rsid w:val="00BF42A8"/>
    <w:rsid w:val="00BF436F"/>
    <w:rsid w:val="00BF4900"/>
    <w:rsid w:val="00BF49E2"/>
    <w:rsid w:val="00BF4A03"/>
    <w:rsid w:val="00BF4AB4"/>
    <w:rsid w:val="00BF4BDE"/>
    <w:rsid w:val="00BF4F18"/>
    <w:rsid w:val="00BF5050"/>
    <w:rsid w:val="00BF51E4"/>
    <w:rsid w:val="00BF5277"/>
    <w:rsid w:val="00BF54C9"/>
    <w:rsid w:val="00BF576A"/>
    <w:rsid w:val="00BF5906"/>
    <w:rsid w:val="00BF5B33"/>
    <w:rsid w:val="00BF5CC7"/>
    <w:rsid w:val="00BF5E09"/>
    <w:rsid w:val="00BF5ED7"/>
    <w:rsid w:val="00BF60D5"/>
    <w:rsid w:val="00BF64F7"/>
    <w:rsid w:val="00BF65D7"/>
    <w:rsid w:val="00BF6643"/>
    <w:rsid w:val="00BF66D8"/>
    <w:rsid w:val="00BF66DC"/>
    <w:rsid w:val="00BF672C"/>
    <w:rsid w:val="00BF6BE5"/>
    <w:rsid w:val="00BF6DAE"/>
    <w:rsid w:val="00BF702F"/>
    <w:rsid w:val="00BF7117"/>
    <w:rsid w:val="00BF77B3"/>
    <w:rsid w:val="00BF7957"/>
    <w:rsid w:val="00BF79C9"/>
    <w:rsid w:val="00BF7A1B"/>
    <w:rsid w:val="00BF7AD7"/>
    <w:rsid w:val="00BF7F36"/>
    <w:rsid w:val="00C00065"/>
    <w:rsid w:val="00C0009B"/>
    <w:rsid w:val="00C0036A"/>
    <w:rsid w:val="00C003DA"/>
    <w:rsid w:val="00C004A0"/>
    <w:rsid w:val="00C00542"/>
    <w:rsid w:val="00C006D7"/>
    <w:rsid w:val="00C006DF"/>
    <w:rsid w:val="00C007E9"/>
    <w:rsid w:val="00C00930"/>
    <w:rsid w:val="00C00A22"/>
    <w:rsid w:val="00C00ABC"/>
    <w:rsid w:val="00C00E86"/>
    <w:rsid w:val="00C00F61"/>
    <w:rsid w:val="00C01186"/>
    <w:rsid w:val="00C0118C"/>
    <w:rsid w:val="00C0121B"/>
    <w:rsid w:val="00C012B4"/>
    <w:rsid w:val="00C014A3"/>
    <w:rsid w:val="00C014B2"/>
    <w:rsid w:val="00C014C7"/>
    <w:rsid w:val="00C0179A"/>
    <w:rsid w:val="00C0197E"/>
    <w:rsid w:val="00C01990"/>
    <w:rsid w:val="00C01BC7"/>
    <w:rsid w:val="00C01D3A"/>
    <w:rsid w:val="00C01DC3"/>
    <w:rsid w:val="00C02014"/>
    <w:rsid w:val="00C022A5"/>
    <w:rsid w:val="00C02513"/>
    <w:rsid w:val="00C026F3"/>
    <w:rsid w:val="00C027B5"/>
    <w:rsid w:val="00C02820"/>
    <w:rsid w:val="00C02E7D"/>
    <w:rsid w:val="00C03138"/>
    <w:rsid w:val="00C03553"/>
    <w:rsid w:val="00C0390E"/>
    <w:rsid w:val="00C0396D"/>
    <w:rsid w:val="00C039C8"/>
    <w:rsid w:val="00C03BFD"/>
    <w:rsid w:val="00C040EE"/>
    <w:rsid w:val="00C0418D"/>
    <w:rsid w:val="00C04279"/>
    <w:rsid w:val="00C0448C"/>
    <w:rsid w:val="00C04628"/>
    <w:rsid w:val="00C046E7"/>
    <w:rsid w:val="00C04721"/>
    <w:rsid w:val="00C0473A"/>
    <w:rsid w:val="00C04932"/>
    <w:rsid w:val="00C04A3E"/>
    <w:rsid w:val="00C04A58"/>
    <w:rsid w:val="00C04A78"/>
    <w:rsid w:val="00C04B85"/>
    <w:rsid w:val="00C04BD6"/>
    <w:rsid w:val="00C050EE"/>
    <w:rsid w:val="00C051F6"/>
    <w:rsid w:val="00C0543B"/>
    <w:rsid w:val="00C05B80"/>
    <w:rsid w:val="00C05BE4"/>
    <w:rsid w:val="00C0608C"/>
    <w:rsid w:val="00C060AD"/>
    <w:rsid w:val="00C06197"/>
    <w:rsid w:val="00C061F1"/>
    <w:rsid w:val="00C0628C"/>
    <w:rsid w:val="00C06299"/>
    <w:rsid w:val="00C06386"/>
    <w:rsid w:val="00C064A7"/>
    <w:rsid w:val="00C06526"/>
    <w:rsid w:val="00C065B9"/>
    <w:rsid w:val="00C0670D"/>
    <w:rsid w:val="00C067D2"/>
    <w:rsid w:val="00C069A8"/>
    <w:rsid w:val="00C06AD0"/>
    <w:rsid w:val="00C06B41"/>
    <w:rsid w:val="00C06C71"/>
    <w:rsid w:val="00C06CE8"/>
    <w:rsid w:val="00C06E7A"/>
    <w:rsid w:val="00C06F6F"/>
    <w:rsid w:val="00C06F81"/>
    <w:rsid w:val="00C070D1"/>
    <w:rsid w:val="00C07406"/>
    <w:rsid w:val="00C0742B"/>
    <w:rsid w:val="00C0791F"/>
    <w:rsid w:val="00C07AF9"/>
    <w:rsid w:val="00C10356"/>
    <w:rsid w:val="00C10435"/>
    <w:rsid w:val="00C105B4"/>
    <w:rsid w:val="00C10600"/>
    <w:rsid w:val="00C1064D"/>
    <w:rsid w:val="00C10908"/>
    <w:rsid w:val="00C10AC6"/>
    <w:rsid w:val="00C10C18"/>
    <w:rsid w:val="00C10DC6"/>
    <w:rsid w:val="00C11000"/>
    <w:rsid w:val="00C113BF"/>
    <w:rsid w:val="00C11440"/>
    <w:rsid w:val="00C116A6"/>
    <w:rsid w:val="00C1185B"/>
    <w:rsid w:val="00C11866"/>
    <w:rsid w:val="00C11AFA"/>
    <w:rsid w:val="00C11C49"/>
    <w:rsid w:val="00C12457"/>
    <w:rsid w:val="00C12794"/>
    <w:rsid w:val="00C1282A"/>
    <w:rsid w:val="00C12878"/>
    <w:rsid w:val="00C12DD7"/>
    <w:rsid w:val="00C12FF5"/>
    <w:rsid w:val="00C12FF8"/>
    <w:rsid w:val="00C13084"/>
    <w:rsid w:val="00C1312B"/>
    <w:rsid w:val="00C133C2"/>
    <w:rsid w:val="00C1340E"/>
    <w:rsid w:val="00C134AB"/>
    <w:rsid w:val="00C1357B"/>
    <w:rsid w:val="00C13984"/>
    <w:rsid w:val="00C13A47"/>
    <w:rsid w:val="00C13B54"/>
    <w:rsid w:val="00C13CC8"/>
    <w:rsid w:val="00C13F40"/>
    <w:rsid w:val="00C14131"/>
    <w:rsid w:val="00C14133"/>
    <w:rsid w:val="00C14446"/>
    <w:rsid w:val="00C145AF"/>
    <w:rsid w:val="00C14AC2"/>
    <w:rsid w:val="00C14CDB"/>
    <w:rsid w:val="00C14D53"/>
    <w:rsid w:val="00C14D8D"/>
    <w:rsid w:val="00C14E47"/>
    <w:rsid w:val="00C15013"/>
    <w:rsid w:val="00C152E4"/>
    <w:rsid w:val="00C15362"/>
    <w:rsid w:val="00C15A6E"/>
    <w:rsid w:val="00C15D87"/>
    <w:rsid w:val="00C15F0E"/>
    <w:rsid w:val="00C16207"/>
    <w:rsid w:val="00C16281"/>
    <w:rsid w:val="00C1632D"/>
    <w:rsid w:val="00C166CB"/>
    <w:rsid w:val="00C1695F"/>
    <w:rsid w:val="00C169B5"/>
    <w:rsid w:val="00C16C11"/>
    <w:rsid w:val="00C16F9C"/>
    <w:rsid w:val="00C16FAB"/>
    <w:rsid w:val="00C16FDD"/>
    <w:rsid w:val="00C17294"/>
    <w:rsid w:val="00C17592"/>
    <w:rsid w:val="00C176A4"/>
    <w:rsid w:val="00C177C5"/>
    <w:rsid w:val="00C179EA"/>
    <w:rsid w:val="00C17ADC"/>
    <w:rsid w:val="00C17F45"/>
    <w:rsid w:val="00C20557"/>
    <w:rsid w:val="00C206FB"/>
    <w:rsid w:val="00C20B68"/>
    <w:rsid w:val="00C20CBC"/>
    <w:rsid w:val="00C20CEA"/>
    <w:rsid w:val="00C20F3F"/>
    <w:rsid w:val="00C20F4D"/>
    <w:rsid w:val="00C21128"/>
    <w:rsid w:val="00C21164"/>
    <w:rsid w:val="00C21366"/>
    <w:rsid w:val="00C21566"/>
    <w:rsid w:val="00C215D5"/>
    <w:rsid w:val="00C215E3"/>
    <w:rsid w:val="00C21629"/>
    <w:rsid w:val="00C2176E"/>
    <w:rsid w:val="00C21959"/>
    <w:rsid w:val="00C21CFE"/>
    <w:rsid w:val="00C21F16"/>
    <w:rsid w:val="00C22075"/>
    <w:rsid w:val="00C22258"/>
    <w:rsid w:val="00C226A3"/>
    <w:rsid w:val="00C22A70"/>
    <w:rsid w:val="00C22D6A"/>
    <w:rsid w:val="00C230A5"/>
    <w:rsid w:val="00C23108"/>
    <w:rsid w:val="00C232C6"/>
    <w:rsid w:val="00C23409"/>
    <w:rsid w:val="00C23430"/>
    <w:rsid w:val="00C234F6"/>
    <w:rsid w:val="00C23563"/>
    <w:rsid w:val="00C23743"/>
    <w:rsid w:val="00C23961"/>
    <w:rsid w:val="00C239A6"/>
    <w:rsid w:val="00C23A11"/>
    <w:rsid w:val="00C23B5B"/>
    <w:rsid w:val="00C23E40"/>
    <w:rsid w:val="00C23E6E"/>
    <w:rsid w:val="00C24056"/>
    <w:rsid w:val="00C240AF"/>
    <w:rsid w:val="00C24758"/>
    <w:rsid w:val="00C24C6A"/>
    <w:rsid w:val="00C24F1D"/>
    <w:rsid w:val="00C254AB"/>
    <w:rsid w:val="00C2574F"/>
    <w:rsid w:val="00C25763"/>
    <w:rsid w:val="00C259CF"/>
    <w:rsid w:val="00C25A37"/>
    <w:rsid w:val="00C25AA4"/>
    <w:rsid w:val="00C25AFC"/>
    <w:rsid w:val="00C25B0E"/>
    <w:rsid w:val="00C25C9C"/>
    <w:rsid w:val="00C25DAF"/>
    <w:rsid w:val="00C25DFF"/>
    <w:rsid w:val="00C260A5"/>
    <w:rsid w:val="00C264F1"/>
    <w:rsid w:val="00C26937"/>
    <w:rsid w:val="00C26B0B"/>
    <w:rsid w:val="00C270BB"/>
    <w:rsid w:val="00C2710A"/>
    <w:rsid w:val="00C27305"/>
    <w:rsid w:val="00C27383"/>
    <w:rsid w:val="00C278D0"/>
    <w:rsid w:val="00C27D67"/>
    <w:rsid w:val="00C27E77"/>
    <w:rsid w:val="00C30037"/>
    <w:rsid w:val="00C30044"/>
    <w:rsid w:val="00C30196"/>
    <w:rsid w:val="00C3027F"/>
    <w:rsid w:val="00C302F3"/>
    <w:rsid w:val="00C30340"/>
    <w:rsid w:val="00C303C3"/>
    <w:rsid w:val="00C30560"/>
    <w:rsid w:val="00C30620"/>
    <w:rsid w:val="00C3104D"/>
    <w:rsid w:val="00C310FF"/>
    <w:rsid w:val="00C312F9"/>
    <w:rsid w:val="00C313B8"/>
    <w:rsid w:val="00C316EE"/>
    <w:rsid w:val="00C31711"/>
    <w:rsid w:val="00C317BC"/>
    <w:rsid w:val="00C31A32"/>
    <w:rsid w:val="00C31B01"/>
    <w:rsid w:val="00C31B4E"/>
    <w:rsid w:val="00C31BB4"/>
    <w:rsid w:val="00C31C6A"/>
    <w:rsid w:val="00C31CDC"/>
    <w:rsid w:val="00C31DE3"/>
    <w:rsid w:val="00C31DEE"/>
    <w:rsid w:val="00C31ED9"/>
    <w:rsid w:val="00C323C3"/>
    <w:rsid w:val="00C32473"/>
    <w:rsid w:val="00C32684"/>
    <w:rsid w:val="00C3271D"/>
    <w:rsid w:val="00C32CB5"/>
    <w:rsid w:val="00C330E6"/>
    <w:rsid w:val="00C33101"/>
    <w:rsid w:val="00C33243"/>
    <w:rsid w:val="00C3356D"/>
    <w:rsid w:val="00C336A0"/>
    <w:rsid w:val="00C338A2"/>
    <w:rsid w:val="00C33BD3"/>
    <w:rsid w:val="00C33EBF"/>
    <w:rsid w:val="00C33EE7"/>
    <w:rsid w:val="00C33F5F"/>
    <w:rsid w:val="00C34112"/>
    <w:rsid w:val="00C3411E"/>
    <w:rsid w:val="00C3421F"/>
    <w:rsid w:val="00C34344"/>
    <w:rsid w:val="00C344F6"/>
    <w:rsid w:val="00C34738"/>
    <w:rsid w:val="00C34931"/>
    <w:rsid w:val="00C34AA7"/>
    <w:rsid w:val="00C34B85"/>
    <w:rsid w:val="00C34BD8"/>
    <w:rsid w:val="00C35003"/>
    <w:rsid w:val="00C355DB"/>
    <w:rsid w:val="00C35B24"/>
    <w:rsid w:val="00C35CEB"/>
    <w:rsid w:val="00C35D68"/>
    <w:rsid w:val="00C35DA3"/>
    <w:rsid w:val="00C36018"/>
    <w:rsid w:val="00C3607F"/>
    <w:rsid w:val="00C36424"/>
    <w:rsid w:val="00C364A1"/>
    <w:rsid w:val="00C36B95"/>
    <w:rsid w:val="00C36CFD"/>
    <w:rsid w:val="00C36D16"/>
    <w:rsid w:val="00C36D62"/>
    <w:rsid w:val="00C371B6"/>
    <w:rsid w:val="00C3762B"/>
    <w:rsid w:val="00C37B39"/>
    <w:rsid w:val="00C37C6B"/>
    <w:rsid w:val="00C37C71"/>
    <w:rsid w:val="00C37D6C"/>
    <w:rsid w:val="00C37F09"/>
    <w:rsid w:val="00C40023"/>
    <w:rsid w:val="00C40187"/>
    <w:rsid w:val="00C404B8"/>
    <w:rsid w:val="00C404EB"/>
    <w:rsid w:val="00C4061C"/>
    <w:rsid w:val="00C40B10"/>
    <w:rsid w:val="00C40CBF"/>
    <w:rsid w:val="00C40EBE"/>
    <w:rsid w:val="00C41008"/>
    <w:rsid w:val="00C41051"/>
    <w:rsid w:val="00C410E4"/>
    <w:rsid w:val="00C41182"/>
    <w:rsid w:val="00C4140D"/>
    <w:rsid w:val="00C41586"/>
    <w:rsid w:val="00C416F2"/>
    <w:rsid w:val="00C41E0C"/>
    <w:rsid w:val="00C42040"/>
    <w:rsid w:val="00C4208D"/>
    <w:rsid w:val="00C42096"/>
    <w:rsid w:val="00C42766"/>
    <w:rsid w:val="00C427B2"/>
    <w:rsid w:val="00C4294C"/>
    <w:rsid w:val="00C434CC"/>
    <w:rsid w:val="00C4373B"/>
    <w:rsid w:val="00C43744"/>
    <w:rsid w:val="00C43BF1"/>
    <w:rsid w:val="00C43F40"/>
    <w:rsid w:val="00C440E1"/>
    <w:rsid w:val="00C4429E"/>
    <w:rsid w:val="00C443C0"/>
    <w:rsid w:val="00C4462D"/>
    <w:rsid w:val="00C44B6E"/>
    <w:rsid w:val="00C44C58"/>
    <w:rsid w:val="00C44C8D"/>
    <w:rsid w:val="00C44CB5"/>
    <w:rsid w:val="00C450A6"/>
    <w:rsid w:val="00C452AA"/>
    <w:rsid w:val="00C45586"/>
    <w:rsid w:val="00C456B6"/>
    <w:rsid w:val="00C459AD"/>
    <w:rsid w:val="00C45D8F"/>
    <w:rsid w:val="00C45E05"/>
    <w:rsid w:val="00C4631F"/>
    <w:rsid w:val="00C4662F"/>
    <w:rsid w:val="00C4688B"/>
    <w:rsid w:val="00C46A08"/>
    <w:rsid w:val="00C46B31"/>
    <w:rsid w:val="00C47012"/>
    <w:rsid w:val="00C4743E"/>
    <w:rsid w:val="00C479AE"/>
    <w:rsid w:val="00C47D4E"/>
    <w:rsid w:val="00C47D97"/>
    <w:rsid w:val="00C50125"/>
    <w:rsid w:val="00C506C2"/>
    <w:rsid w:val="00C5071E"/>
    <w:rsid w:val="00C50A18"/>
    <w:rsid w:val="00C50DC4"/>
    <w:rsid w:val="00C50E16"/>
    <w:rsid w:val="00C50E21"/>
    <w:rsid w:val="00C51595"/>
    <w:rsid w:val="00C517F6"/>
    <w:rsid w:val="00C518D8"/>
    <w:rsid w:val="00C519BC"/>
    <w:rsid w:val="00C51CA7"/>
    <w:rsid w:val="00C520B0"/>
    <w:rsid w:val="00C52193"/>
    <w:rsid w:val="00C521F1"/>
    <w:rsid w:val="00C52285"/>
    <w:rsid w:val="00C52426"/>
    <w:rsid w:val="00C5265A"/>
    <w:rsid w:val="00C527BE"/>
    <w:rsid w:val="00C527F9"/>
    <w:rsid w:val="00C52A98"/>
    <w:rsid w:val="00C52CAE"/>
    <w:rsid w:val="00C52E9F"/>
    <w:rsid w:val="00C5321A"/>
    <w:rsid w:val="00C533A9"/>
    <w:rsid w:val="00C534A0"/>
    <w:rsid w:val="00C53510"/>
    <w:rsid w:val="00C53515"/>
    <w:rsid w:val="00C53618"/>
    <w:rsid w:val="00C536EF"/>
    <w:rsid w:val="00C53968"/>
    <w:rsid w:val="00C53C73"/>
    <w:rsid w:val="00C5414D"/>
    <w:rsid w:val="00C54297"/>
    <w:rsid w:val="00C543D4"/>
    <w:rsid w:val="00C5449C"/>
    <w:rsid w:val="00C5451B"/>
    <w:rsid w:val="00C54703"/>
    <w:rsid w:val="00C5498A"/>
    <w:rsid w:val="00C54A40"/>
    <w:rsid w:val="00C54A76"/>
    <w:rsid w:val="00C54CB7"/>
    <w:rsid w:val="00C54D2E"/>
    <w:rsid w:val="00C54EF9"/>
    <w:rsid w:val="00C550B3"/>
    <w:rsid w:val="00C5519F"/>
    <w:rsid w:val="00C55258"/>
    <w:rsid w:val="00C5528E"/>
    <w:rsid w:val="00C55787"/>
    <w:rsid w:val="00C55AD0"/>
    <w:rsid w:val="00C55ADF"/>
    <w:rsid w:val="00C55B33"/>
    <w:rsid w:val="00C55CF2"/>
    <w:rsid w:val="00C55EE3"/>
    <w:rsid w:val="00C560D6"/>
    <w:rsid w:val="00C560EC"/>
    <w:rsid w:val="00C56197"/>
    <w:rsid w:val="00C561D1"/>
    <w:rsid w:val="00C56217"/>
    <w:rsid w:val="00C56333"/>
    <w:rsid w:val="00C564C8"/>
    <w:rsid w:val="00C5660F"/>
    <w:rsid w:val="00C568FD"/>
    <w:rsid w:val="00C56B4E"/>
    <w:rsid w:val="00C56DA1"/>
    <w:rsid w:val="00C56DF4"/>
    <w:rsid w:val="00C57099"/>
    <w:rsid w:val="00C57156"/>
    <w:rsid w:val="00C5719C"/>
    <w:rsid w:val="00C5720B"/>
    <w:rsid w:val="00C57361"/>
    <w:rsid w:val="00C573DA"/>
    <w:rsid w:val="00C577EB"/>
    <w:rsid w:val="00C57835"/>
    <w:rsid w:val="00C57855"/>
    <w:rsid w:val="00C57860"/>
    <w:rsid w:val="00C57A98"/>
    <w:rsid w:val="00C57AD1"/>
    <w:rsid w:val="00C57B0B"/>
    <w:rsid w:val="00C57BDB"/>
    <w:rsid w:val="00C57FCC"/>
    <w:rsid w:val="00C6016B"/>
    <w:rsid w:val="00C601CC"/>
    <w:rsid w:val="00C60556"/>
    <w:rsid w:val="00C6061E"/>
    <w:rsid w:val="00C60683"/>
    <w:rsid w:val="00C60763"/>
    <w:rsid w:val="00C60A50"/>
    <w:rsid w:val="00C60A5B"/>
    <w:rsid w:val="00C60CBB"/>
    <w:rsid w:val="00C61039"/>
    <w:rsid w:val="00C61044"/>
    <w:rsid w:val="00C611E5"/>
    <w:rsid w:val="00C612A4"/>
    <w:rsid w:val="00C612C5"/>
    <w:rsid w:val="00C615F7"/>
    <w:rsid w:val="00C6167B"/>
    <w:rsid w:val="00C617E0"/>
    <w:rsid w:val="00C61A6E"/>
    <w:rsid w:val="00C61AD6"/>
    <w:rsid w:val="00C61B65"/>
    <w:rsid w:val="00C61D12"/>
    <w:rsid w:val="00C62333"/>
    <w:rsid w:val="00C62548"/>
    <w:rsid w:val="00C62697"/>
    <w:rsid w:val="00C626F5"/>
    <w:rsid w:val="00C628FD"/>
    <w:rsid w:val="00C62A72"/>
    <w:rsid w:val="00C62DC4"/>
    <w:rsid w:val="00C631F3"/>
    <w:rsid w:val="00C63482"/>
    <w:rsid w:val="00C6378B"/>
    <w:rsid w:val="00C63827"/>
    <w:rsid w:val="00C63A2A"/>
    <w:rsid w:val="00C63B47"/>
    <w:rsid w:val="00C63B7B"/>
    <w:rsid w:val="00C63CBA"/>
    <w:rsid w:val="00C63D35"/>
    <w:rsid w:val="00C63F89"/>
    <w:rsid w:val="00C64074"/>
    <w:rsid w:val="00C643DF"/>
    <w:rsid w:val="00C64448"/>
    <w:rsid w:val="00C6445D"/>
    <w:rsid w:val="00C645DC"/>
    <w:rsid w:val="00C647CD"/>
    <w:rsid w:val="00C6491B"/>
    <w:rsid w:val="00C64B01"/>
    <w:rsid w:val="00C64B4A"/>
    <w:rsid w:val="00C64EB0"/>
    <w:rsid w:val="00C650AB"/>
    <w:rsid w:val="00C651D0"/>
    <w:rsid w:val="00C65335"/>
    <w:rsid w:val="00C653DB"/>
    <w:rsid w:val="00C654E0"/>
    <w:rsid w:val="00C65669"/>
    <w:rsid w:val="00C65897"/>
    <w:rsid w:val="00C65A16"/>
    <w:rsid w:val="00C65A68"/>
    <w:rsid w:val="00C6675B"/>
    <w:rsid w:val="00C668C8"/>
    <w:rsid w:val="00C66971"/>
    <w:rsid w:val="00C66B92"/>
    <w:rsid w:val="00C66BB4"/>
    <w:rsid w:val="00C6707F"/>
    <w:rsid w:val="00C670D2"/>
    <w:rsid w:val="00C67159"/>
    <w:rsid w:val="00C673A1"/>
    <w:rsid w:val="00C6746A"/>
    <w:rsid w:val="00C676AD"/>
    <w:rsid w:val="00C677BB"/>
    <w:rsid w:val="00C67932"/>
    <w:rsid w:val="00C679CB"/>
    <w:rsid w:val="00C67A8C"/>
    <w:rsid w:val="00C67D00"/>
    <w:rsid w:val="00C67DC4"/>
    <w:rsid w:val="00C67F07"/>
    <w:rsid w:val="00C67FA7"/>
    <w:rsid w:val="00C703DE"/>
    <w:rsid w:val="00C704C3"/>
    <w:rsid w:val="00C70889"/>
    <w:rsid w:val="00C70D8D"/>
    <w:rsid w:val="00C70E9D"/>
    <w:rsid w:val="00C70F24"/>
    <w:rsid w:val="00C70FBB"/>
    <w:rsid w:val="00C71037"/>
    <w:rsid w:val="00C7172F"/>
    <w:rsid w:val="00C717BC"/>
    <w:rsid w:val="00C71946"/>
    <w:rsid w:val="00C71AC0"/>
    <w:rsid w:val="00C71B97"/>
    <w:rsid w:val="00C71FC5"/>
    <w:rsid w:val="00C7247E"/>
    <w:rsid w:val="00C725EC"/>
    <w:rsid w:val="00C72659"/>
    <w:rsid w:val="00C7282B"/>
    <w:rsid w:val="00C72884"/>
    <w:rsid w:val="00C728A4"/>
    <w:rsid w:val="00C72983"/>
    <w:rsid w:val="00C729B5"/>
    <w:rsid w:val="00C72B66"/>
    <w:rsid w:val="00C72BAA"/>
    <w:rsid w:val="00C72D6E"/>
    <w:rsid w:val="00C72E71"/>
    <w:rsid w:val="00C72FC3"/>
    <w:rsid w:val="00C7302F"/>
    <w:rsid w:val="00C73422"/>
    <w:rsid w:val="00C73773"/>
    <w:rsid w:val="00C739D6"/>
    <w:rsid w:val="00C73AD6"/>
    <w:rsid w:val="00C73B47"/>
    <w:rsid w:val="00C73B48"/>
    <w:rsid w:val="00C73CD2"/>
    <w:rsid w:val="00C73F59"/>
    <w:rsid w:val="00C73FCD"/>
    <w:rsid w:val="00C74097"/>
    <w:rsid w:val="00C7410E"/>
    <w:rsid w:val="00C74226"/>
    <w:rsid w:val="00C7425E"/>
    <w:rsid w:val="00C74EA0"/>
    <w:rsid w:val="00C752B0"/>
    <w:rsid w:val="00C754AA"/>
    <w:rsid w:val="00C754DB"/>
    <w:rsid w:val="00C755B0"/>
    <w:rsid w:val="00C759A4"/>
    <w:rsid w:val="00C75C3F"/>
    <w:rsid w:val="00C75F96"/>
    <w:rsid w:val="00C75FFA"/>
    <w:rsid w:val="00C7623F"/>
    <w:rsid w:val="00C76334"/>
    <w:rsid w:val="00C763A9"/>
    <w:rsid w:val="00C764B2"/>
    <w:rsid w:val="00C765A9"/>
    <w:rsid w:val="00C76787"/>
    <w:rsid w:val="00C767A9"/>
    <w:rsid w:val="00C76BA2"/>
    <w:rsid w:val="00C76C4B"/>
    <w:rsid w:val="00C76E48"/>
    <w:rsid w:val="00C76F1D"/>
    <w:rsid w:val="00C771FB"/>
    <w:rsid w:val="00C773A8"/>
    <w:rsid w:val="00C7750A"/>
    <w:rsid w:val="00C77597"/>
    <w:rsid w:val="00C775B4"/>
    <w:rsid w:val="00C77767"/>
    <w:rsid w:val="00C778BC"/>
    <w:rsid w:val="00C77E6F"/>
    <w:rsid w:val="00C800BB"/>
    <w:rsid w:val="00C800C3"/>
    <w:rsid w:val="00C80134"/>
    <w:rsid w:val="00C801F2"/>
    <w:rsid w:val="00C80AB2"/>
    <w:rsid w:val="00C80D15"/>
    <w:rsid w:val="00C80E13"/>
    <w:rsid w:val="00C8117C"/>
    <w:rsid w:val="00C811A2"/>
    <w:rsid w:val="00C811B1"/>
    <w:rsid w:val="00C813E8"/>
    <w:rsid w:val="00C8155B"/>
    <w:rsid w:val="00C81754"/>
    <w:rsid w:val="00C81787"/>
    <w:rsid w:val="00C817FE"/>
    <w:rsid w:val="00C81F63"/>
    <w:rsid w:val="00C8203E"/>
    <w:rsid w:val="00C82156"/>
    <w:rsid w:val="00C82184"/>
    <w:rsid w:val="00C8218C"/>
    <w:rsid w:val="00C82190"/>
    <w:rsid w:val="00C8231E"/>
    <w:rsid w:val="00C82479"/>
    <w:rsid w:val="00C82501"/>
    <w:rsid w:val="00C829EF"/>
    <w:rsid w:val="00C82B92"/>
    <w:rsid w:val="00C82C93"/>
    <w:rsid w:val="00C82DDB"/>
    <w:rsid w:val="00C82EEB"/>
    <w:rsid w:val="00C82F2F"/>
    <w:rsid w:val="00C831C3"/>
    <w:rsid w:val="00C83418"/>
    <w:rsid w:val="00C835CC"/>
    <w:rsid w:val="00C83911"/>
    <w:rsid w:val="00C83937"/>
    <w:rsid w:val="00C83C83"/>
    <w:rsid w:val="00C83D9A"/>
    <w:rsid w:val="00C83E80"/>
    <w:rsid w:val="00C83ED0"/>
    <w:rsid w:val="00C83FEC"/>
    <w:rsid w:val="00C842E6"/>
    <w:rsid w:val="00C845B5"/>
    <w:rsid w:val="00C846EF"/>
    <w:rsid w:val="00C84962"/>
    <w:rsid w:val="00C84B22"/>
    <w:rsid w:val="00C84D06"/>
    <w:rsid w:val="00C84E1F"/>
    <w:rsid w:val="00C8503A"/>
    <w:rsid w:val="00C8516B"/>
    <w:rsid w:val="00C853D4"/>
    <w:rsid w:val="00C854D7"/>
    <w:rsid w:val="00C85511"/>
    <w:rsid w:val="00C8555D"/>
    <w:rsid w:val="00C8589A"/>
    <w:rsid w:val="00C859F5"/>
    <w:rsid w:val="00C85CFC"/>
    <w:rsid w:val="00C85F3C"/>
    <w:rsid w:val="00C85FD5"/>
    <w:rsid w:val="00C86037"/>
    <w:rsid w:val="00C8650A"/>
    <w:rsid w:val="00C86651"/>
    <w:rsid w:val="00C86820"/>
    <w:rsid w:val="00C868E9"/>
    <w:rsid w:val="00C86FE8"/>
    <w:rsid w:val="00C870C0"/>
    <w:rsid w:val="00C872E2"/>
    <w:rsid w:val="00C875E7"/>
    <w:rsid w:val="00C875FE"/>
    <w:rsid w:val="00C8760E"/>
    <w:rsid w:val="00C87B87"/>
    <w:rsid w:val="00C87D10"/>
    <w:rsid w:val="00C87FA0"/>
    <w:rsid w:val="00C90485"/>
    <w:rsid w:val="00C905E0"/>
    <w:rsid w:val="00C907E8"/>
    <w:rsid w:val="00C9089B"/>
    <w:rsid w:val="00C90BA5"/>
    <w:rsid w:val="00C90C04"/>
    <w:rsid w:val="00C90CFD"/>
    <w:rsid w:val="00C90D12"/>
    <w:rsid w:val="00C914EC"/>
    <w:rsid w:val="00C916D2"/>
    <w:rsid w:val="00C91BBD"/>
    <w:rsid w:val="00C91C2B"/>
    <w:rsid w:val="00C91C7B"/>
    <w:rsid w:val="00C91CDD"/>
    <w:rsid w:val="00C91F6F"/>
    <w:rsid w:val="00C91FE2"/>
    <w:rsid w:val="00C92144"/>
    <w:rsid w:val="00C9217E"/>
    <w:rsid w:val="00C92252"/>
    <w:rsid w:val="00C922BF"/>
    <w:rsid w:val="00C92475"/>
    <w:rsid w:val="00C92806"/>
    <w:rsid w:val="00C92BE1"/>
    <w:rsid w:val="00C92C16"/>
    <w:rsid w:val="00C92C66"/>
    <w:rsid w:val="00C92CA4"/>
    <w:rsid w:val="00C92EE9"/>
    <w:rsid w:val="00C93174"/>
    <w:rsid w:val="00C931BD"/>
    <w:rsid w:val="00C934E1"/>
    <w:rsid w:val="00C93774"/>
    <w:rsid w:val="00C939D5"/>
    <w:rsid w:val="00C93A02"/>
    <w:rsid w:val="00C93AF2"/>
    <w:rsid w:val="00C93AFC"/>
    <w:rsid w:val="00C93B39"/>
    <w:rsid w:val="00C93BAD"/>
    <w:rsid w:val="00C93C81"/>
    <w:rsid w:val="00C93FC1"/>
    <w:rsid w:val="00C941FE"/>
    <w:rsid w:val="00C94301"/>
    <w:rsid w:val="00C944F1"/>
    <w:rsid w:val="00C94540"/>
    <w:rsid w:val="00C94546"/>
    <w:rsid w:val="00C949AC"/>
    <w:rsid w:val="00C94B62"/>
    <w:rsid w:val="00C94C14"/>
    <w:rsid w:val="00C94E1B"/>
    <w:rsid w:val="00C94EC6"/>
    <w:rsid w:val="00C950CF"/>
    <w:rsid w:val="00C95155"/>
    <w:rsid w:val="00C9535D"/>
    <w:rsid w:val="00C953B4"/>
    <w:rsid w:val="00C953E7"/>
    <w:rsid w:val="00C95785"/>
    <w:rsid w:val="00C957FB"/>
    <w:rsid w:val="00C9582F"/>
    <w:rsid w:val="00C9586E"/>
    <w:rsid w:val="00C95D11"/>
    <w:rsid w:val="00C95F3D"/>
    <w:rsid w:val="00C96525"/>
    <w:rsid w:val="00C96D06"/>
    <w:rsid w:val="00C96D37"/>
    <w:rsid w:val="00C96F8D"/>
    <w:rsid w:val="00C96F99"/>
    <w:rsid w:val="00C971DC"/>
    <w:rsid w:val="00C97521"/>
    <w:rsid w:val="00C97A25"/>
    <w:rsid w:val="00C97C9C"/>
    <w:rsid w:val="00C97CA6"/>
    <w:rsid w:val="00CA0140"/>
    <w:rsid w:val="00CA0383"/>
    <w:rsid w:val="00CA0988"/>
    <w:rsid w:val="00CA0C1B"/>
    <w:rsid w:val="00CA0D64"/>
    <w:rsid w:val="00CA0FCA"/>
    <w:rsid w:val="00CA0FF8"/>
    <w:rsid w:val="00CA10ED"/>
    <w:rsid w:val="00CA1269"/>
    <w:rsid w:val="00CA1319"/>
    <w:rsid w:val="00CA16B7"/>
    <w:rsid w:val="00CA1708"/>
    <w:rsid w:val="00CA1835"/>
    <w:rsid w:val="00CA1A48"/>
    <w:rsid w:val="00CA1C82"/>
    <w:rsid w:val="00CA1E25"/>
    <w:rsid w:val="00CA1F0F"/>
    <w:rsid w:val="00CA21B2"/>
    <w:rsid w:val="00CA21BA"/>
    <w:rsid w:val="00CA2374"/>
    <w:rsid w:val="00CA26BA"/>
    <w:rsid w:val="00CA2DC2"/>
    <w:rsid w:val="00CA2DD6"/>
    <w:rsid w:val="00CA2DF7"/>
    <w:rsid w:val="00CA2E1C"/>
    <w:rsid w:val="00CA32BD"/>
    <w:rsid w:val="00CA352C"/>
    <w:rsid w:val="00CA366B"/>
    <w:rsid w:val="00CA36CD"/>
    <w:rsid w:val="00CA3746"/>
    <w:rsid w:val="00CA37F2"/>
    <w:rsid w:val="00CA38B6"/>
    <w:rsid w:val="00CA3A8C"/>
    <w:rsid w:val="00CA3EDF"/>
    <w:rsid w:val="00CA3FAB"/>
    <w:rsid w:val="00CA4008"/>
    <w:rsid w:val="00CA40CA"/>
    <w:rsid w:val="00CA474E"/>
    <w:rsid w:val="00CA49A8"/>
    <w:rsid w:val="00CA4B36"/>
    <w:rsid w:val="00CA4BE3"/>
    <w:rsid w:val="00CA4D4B"/>
    <w:rsid w:val="00CA5023"/>
    <w:rsid w:val="00CA5024"/>
    <w:rsid w:val="00CA5385"/>
    <w:rsid w:val="00CA5515"/>
    <w:rsid w:val="00CA56D9"/>
    <w:rsid w:val="00CA574B"/>
    <w:rsid w:val="00CA5773"/>
    <w:rsid w:val="00CA57F7"/>
    <w:rsid w:val="00CA58E8"/>
    <w:rsid w:val="00CA5C1E"/>
    <w:rsid w:val="00CA5C72"/>
    <w:rsid w:val="00CA5C92"/>
    <w:rsid w:val="00CA5D1C"/>
    <w:rsid w:val="00CA5DD6"/>
    <w:rsid w:val="00CA601C"/>
    <w:rsid w:val="00CA61AA"/>
    <w:rsid w:val="00CA62AE"/>
    <w:rsid w:val="00CA63E6"/>
    <w:rsid w:val="00CA68A4"/>
    <w:rsid w:val="00CA68B4"/>
    <w:rsid w:val="00CA68EF"/>
    <w:rsid w:val="00CA6976"/>
    <w:rsid w:val="00CA6A43"/>
    <w:rsid w:val="00CA6ACB"/>
    <w:rsid w:val="00CA6AFD"/>
    <w:rsid w:val="00CA6FFD"/>
    <w:rsid w:val="00CA7573"/>
    <w:rsid w:val="00CA7609"/>
    <w:rsid w:val="00CA7659"/>
    <w:rsid w:val="00CA772F"/>
    <w:rsid w:val="00CA79C1"/>
    <w:rsid w:val="00CA7A19"/>
    <w:rsid w:val="00CA7B36"/>
    <w:rsid w:val="00CA7CA8"/>
    <w:rsid w:val="00CA7FA0"/>
    <w:rsid w:val="00CB005A"/>
    <w:rsid w:val="00CB00C6"/>
    <w:rsid w:val="00CB0457"/>
    <w:rsid w:val="00CB056F"/>
    <w:rsid w:val="00CB061B"/>
    <w:rsid w:val="00CB078F"/>
    <w:rsid w:val="00CB082D"/>
    <w:rsid w:val="00CB085B"/>
    <w:rsid w:val="00CB0995"/>
    <w:rsid w:val="00CB0B6D"/>
    <w:rsid w:val="00CB1317"/>
    <w:rsid w:val="00CB1354"/>
    <w:rsid w:val="00CB13E6"/>
    <w:rsid w:val="00CB18B0"/>
    <w:rsid w:val="00CB1A0E"/>
    <w:rsid w:val="00CB1D5A"/>
    <w:rsid w:val="00CB1DBE"/>
    <w:rsid w:val="00CB1F6C"/>
    <w:rsid w:val="00CB2021"/>
    <w:rsid w:val="00CB20F6"/>
    <w:rsid w:val="00CB238C"/>
    <w:rsid w:val="00CB23A2"/>
    <w:rsid w:val="00CB23F1"/>
    <w:rsid w:val="00CB2771"/>
    <w:rsid w:val="00CB27F1"/>
    <w:rsid w:val="00CB28B3"/>
    <w:rsid w:val="00CB29B7"/>
    <w:rsid w:val="00CB2A05"/>
    <w:rsid w:val="00CB2A06"/>
    <w:rsid w:val="00CB2AB7"/>
    <w:rsid w:val="00CB2D32"/>
    <w:rsid w:val="00CB2F91"/>
    <w:rsid w:val="00CB2FED"/>
    <w:rsid w:val="00CB2FF6"/>
    <w:rsid w:val="00CB3279"/>
    <w:rsid w:val="00CB3307"/>
    <w:rsid w:val="00CB3488"/>
    <w:rsid w:val="00CB371F"/>
    <w:rsid w:val="00CB38B0"/>
    <w:rsid w:val="00CB3A2A"/>
    <w:rsid w:val="00CB3CD4"/>
    <w:rsid w:val="00CB3F11"/>
    <w:rsid w:val="00CB4402"/>
    <w:rsid w:val="00CB46E2"/>
    <w:rsid w:val="00CB48F6"/>
    <w:rsid w:val="00CB4BC3"/>
    <w:rsid w:val="00CB4FD2"/>
    <w:rsid w:val="00CB5096"/>
    <w:rsid w:val="00CB50A5"/>
    <w:rsid w:val="00CB57EE"/>
    <w:rsid w:val="00CB5959"/>
    <w:rsid w:val="00CB5B1A"/>
    <w:rsid w:val="00CB5D06"/>
    <w:rsid w:val="00CB5F5F"/>
    <w:rsid w:val="00CB6214"/>
    <w:rsid w:val="00CB62EA"/>
    <w:rsid w:val="00CB6301"/>
    <w:rsid w:val="00CB6474"/>
    <w:rsid w:val="00CB66B0"/>
    <w:rsid w:val="00CB6963"/>
    <w:rsid w:val="00CB69DC"/>
    <w:rsid w:val="00CB6ADA"/>
    <w:rsid w:val="00CB6AE6"/>
    <w:rsid w:val="00CB71B8"/>
    <w:rsid w:val="00CB7385"/>
    <w:rsid w:val="00CB7459"/>
    <w:rsid w:val="00CB7A2A"/>
    <w:rsid w:val="00CB7E1D"/>
    <w:rsid w:val="00CB7E87"/>
    <w:rsid w:val="00CC0311"/>
    <w:rsid w:val="00CC0454"/>
    <w:rsid w:val="00CC0859"/>
    <w:rsid w:val="00CC08CE"/>
    <w:rsid w:val="00CC09BC"/>
    <w:rsid w:val="00CC0D8F"/>
    <w:rsid w:val="00CC0DCB"/>
    <w:rsid w:val="00CC10CA"/>
    <w:rsid w:val="00CC136A"/>
    <w:rsid w:val="00CC15C1"/>
    <w:rsid w:val="00CC1633"/>
    <w:rsid w:val="00CC16B0"/>
    <w:rsid w:val="00CC1AAE"/>
    <w:rsid w:val="00CC1B7B"/>
    <w:rsid w:val="00CC1D1C"/>
    <w:rsid w:val="00CC1E0C"/>
    <w:rsid w:val="00CC220B"/>
    <w:rsid w:val="00CC22E3"/>
    <w:rsid w:val="00CC23B8"/>
    <w:rsid w:val="00CC255A"/>
    <w:rsid w:val="00CC2626"/>
    <w:rsid w:val="00CC2938"/>
    <w:rsid w:val="00CC29BD"/>
    <w:rsid w:val="00CC2A3D"/>
    <w:rsid w:val="00CC2D1F"/>
    <w:rsid w:val="00CC2FAF"/>
    <w:rsid w:val="00CC3097"/>
    <w:rsid w:val="00CC3121"/>
    <w:rsid w:val="00CC38F2"/>
    <w:rsid w:val="00CC41E2"/>
    <w:rsid w:val="00CC4508"/>
    <w:rsid w:val="00CC4614"/>
    <w:rsid w:val="00CC46A4"/>
    <w:rsid w:val="00CC4720"/>
    <w:rsid w:val="00CC48E6"/>
    <w:rsid w:val="00CC494C"/>
    <w:rsid w:val="00CC4A75"/>
    <w:rsid w:val="00CC4C4C"/>
    <w:rsid w:val="00CC4DBD"/>
    <w:rsid w:val="00CC4E63"/>
    <w:rsid w:val="00CC4F24"/>
    <w:rsid w:val="00CC502E"/>
    <w:rsid w:val="00CC509A"/>
    <w:rsid w:val="00CC51A4"/>
    <w:rsid w:val="00CC5642"/>
    <w:rsid w:val="00CC5C43"/>
    <w:rsid w:val="00CC60DC"/>
    <w:rsid w:val="00CC61DC"/>
    <w:rsid w:val="00CC62E1"/>
    <w:rsid w:val="00CC638F"/>
    <w:rsid w:val="00CC6781"/>
    <w:rsid w:val="00CC6B73"/>
    <w:rsid w:val="00CC6D63"/>
    <w:rsid w:val="00CC6E21"/>
    <w:rsid w:val="00CC6ED9"/>
    <w:rsid w:val="00CC727B"/>
    <w:rsid w:val="00CC729E"/>
    <w:rsid w:val="00CC76BD"/>
    <w:rsid w:val="00CC7920"/>
    <w:rsid w:val="00CC79D2"/>
    <w:rsid w:val="00CC7E6F"/>
    <w:rsid w:val="00CC7EEF"/>
    <w:rsid w:val="00CD0050"/>
    <w:rsid w:val="00CD0249"/>
    <w:rsid w:val="00CD0287"/>
    <w:rsid w:val="00CD02AE"/>
    <w:rsid w:val="00CD05E6"/>
    <w:rsid w:val="00CD0692"/>
    <w:rsid w:val="00CD07BA"/>
    <w:rsid w:val="00CD082E"/>
    <w:rsid w:val="00CD0A1F"/>
    <w:rsid w:val="00CD0AE2"/>
    <w:rsid w:val="00CD0C0E"/>
    <w:rsid w:val="00CD0D09"/>
    <w:rsid w:val="00CD0D5D"/>
    <w:rsid w:val="00CD0EB3"/>
    <w:rsid w:val="00CD1286"/>
    <w:rsid w:val="00CD12DF"/>
    <w:rsid w:val="00CD1555"/>
    <w:rsid w:val="00CD1709"/>
    <w:rsid w:val="00CD185C"/>
    <w:rsid w:val="00CD1D00"/>
    <w:rsid w:val="00CD1DF3"/>
    <w:rsid w:val="00CD1E1B"/>
    <w:rsid w:val="00CD20B2"/>
    <w:rsid w:val="00CD20F0"/>
    <w:rsid w:val="00CD2331"/>
    <w:rsid w:val="00CD23DE"/>
    <w:rsid w:val="00CD2A0A"/>
    <w:rsid w:val="00CD2A4F"/>
    <w:rsid w:val="00CD2C8E"/>
    <w:rsid w:val="00CD2D35"/>
    <w:rsid w:val="00CD2D8A"/>
    <w:rsid w:val="00CD3367"/>
    <w:rsid w:val="00CD337A"/>
    <w:rsid w:val="00CD3710"/>
    <w:rsid w:val="00CD39E7"/>
    <w:rsid w:val="00CD3A54"/>
    <w:rsid w:val="00CD3B01"/>
    <w:rsid w:val="00CD3B77"/>
    <w:rsid w:val="00CD3CDC"/>
    <w:rsid w:val="00CD3DB4"/>
    <w:rsid w:val="00CD3E79"/>
    <w:rsid w:val="00CD3FC6"/>
    <w:rsid w:val="00CD4157"/>
    <w:rsid w:val="00CD44AC"/>
    <w:rsid w:val="00CD45FE"/>
    <w:rsid w:val="00CD4843"/>
    <w:rsid w:val="00CD488B"/>
    <w:rsid w:val="00CD4B7F"/>
    <w:rsid w:val="00CD4CF7"/>
    <w:rsid w:val="00CD4D29"/>
    <w:rsid w:val="00CD4DA4"/>
    <w:rsid w:val="00CD520E"/>
    <w:rsid w:val="00CD5223"/>
    <w:rsid w:val="00CD5412"/>
    <w:rsid w:val="00CD5474"/>
    <w:rsid w:val="00CD6017"/>
    <w:rsid w:val="00CD618E"/>
    <w:rsid w:val="00CD6315"/>
    <w:rsid w:val="00CD67AA"/>
    <w:rsid w:val="00CD68CA"/>
    <w:rsid w:val="00CD6A2C"/>
    <w:rsid w:val="00CD6B87"/>
    <w:rsid w:val="00CD6BA2"/>
    <w:rsid w:val="00CD6C0B"/>
    <w:rsid w:val="00CD6E98"/>
    <w:rsid w:val="00CD708C"/>
    <w:rsid w:val="00CD71E0"/>
    <w:rsid w:val="00CD72BC"/>
    <w:rsid w:val="00CD743C"/>
    <w:rsid w:val="00CD75FE"/>
    <w:rsid w:val="00CD78D8"/>
    <w:rsid w:val="00CD7B65"/>
    <w:rsid w:val="00CD7C78"/>
    <w:rsid w:val="00CE01F5"/>
    <w:rsid w:val="00CE026D"/>
    <w:rsid w:val="00CE02DA"/>
    <w:rsid w:val="00CE03CA"/>
    <w:rsid w:val="00CE0A30"/>
    <w:rsid w:val="00CE0BF1"/>
    <w:rsid w:val="00CE10D7"/>
    <w:rsid w:val="00CE11F5"/>
    <w:rsid w:val="00CE149D"/>
    <w:rsid w:val="00CE15D2"/>
    <w:rsid w:val="00CE18BA"/>
    <w:rsid w:val="00CE1C60"/>
    <w:rsid w:val="00CE1F38"/>
    <w:rsid w:val="00CE1FE7"/>
    <w:rsid w:val="00CE22F1"/>
    <w:rsid w:val="00CE23F3"/>
    <w:rsid w:val="00CE25B4"/>
    <w:rsid w:val="00CE2776"/>
    <w:rsid w:val="00CE27A7"/>
    <w:rsid w:val="00CE294E"/>
    <w:rsid w:val="00CE29A9"/>
    <w:rsid w:val="00CE2BE3"/>
    <w:rsid w:val="00CE2C57"/>
    <w:rsid w:val="00CE2DDA"/>
    <w:rsid w:val="00CE2E6E"/>
    <w:rsid w:val="00CE2FB1"/>
    <w:rsid w:val="00CE3108"/>
    <w:rsid w:val="00CE34D2"/>
    <w:rsid w:val="00CE358D"/>
    <w:rsid w:val="00CE3599"/>
    <w:rsid w:val="00CE3623"/>
    <w:rsid w:val="00CE3B7D"/>
    <w:rsid w:val="00CE3C31"/>
    <w:rsid w:val="00CE4288"/>
    <w:rsid w:val="00CE4675"/>
    <w:rsid w:val="00CE46C1"/>
    <w:rsid w:val="00CE48CE"/>
    <w:rsid w:val="00CE4991"/>
    <w:rsid w:val="00CE4A92"/>
    <w:rsid w:val="00CE4B6D"/>
    <w:rsid w:val="00CE4CBA"/>
    <w:rsid w:val="00CE4CCA"/>
    <w:rsid w:val="00CE5095"/>
    <w:rsid w:val="00CE50F2"/>
    <w:rsid w:val="00CE5730"/>
    <w:rsid w:val="00CE5855"/>
    <w:rsid w:val="00CE593A"/>
    <w:rsid w:val="00CE5A3D"/>
    <w:rsid w:val="00CE5C1F"/>
    <w:rsid w:val="00CE5C5E"/>
    <w:rsid w:val="00CE5F65"/>
    <w:rsid w:val="00CE5F7D"/>
    <w:rsid w:val="00CE6127"/>
    <w:rsid w:val="00CE617F"/>
    <w:rsid w:val="00CE638F"/>
    <w:rsid w:val="00CE6502"/>
    <w:rsid w:val="00CE6B80"/>
    <w:rsid w:val="00CE6E68"/>
    <w:rsid w:val="00CE6F9D"/>
    <w:rsid w:val="00CE7267"/>
    <w:rsid w:val="00CE72DA"/>
    <w:rsid w:val="00CE7307"/>
    <w:rsid w:val="00CE78B9"/>
    <w:rsid w:val="00CE7B86"/>
    <w:rsid w:val="00CE7BBE"/>
    <w:rsid w:val="00CE7C19"/>
    <w:rsid w:val="00CE7D54"/>
    <w:rsid w:val="00CF015B"/>
    <w:rsid w:val="00CF039D"/>
    <w:rsid w:val="00CF058C"/>
    <w:rsid w:val="00CF071C"/>
    <w:rsid w:val="00CF087E"/>
    <w:rsid w:val="00CF093B"/>
    <w:rsid w:val="00CF0957"/>
    <w:rsid w:val="00CF0AE3"/>
    <w:rsid w:val="00CF0F8E"/>
    <w:rsid w:val="00CF101B"/>
    <w:rsid w:val="00CF12B4"/>
    <w:rsid w:val="00CF16B1"/>
    <w:rsid w:val="00CF17CF"/>
    <w:rsid w:val="00CF1851"/>
    <w:rsid w:val="00CF188B"/>
    <w:rsid w:val="00CF1925"/>
    <w:rsid w:val="00CF19E8"/>
    <w:rsid w:val="00CF1AA9"/>
    <w:rsid w:val="00CF1C8C"/>
    <w:rsid w:val="00CF1ED7"/>
    <w:rsid w:val="00CF205E"/>
    <w:rsid w:val="00CF25A8"/>
    <w:rsid w:val="00CF265A"/>
    <w:rsid w:val="00CF2FBF"/>
    <w:rsid w:val="00CF3025"/>
    <w:rsid w:val="00CF325C"/>
    <w:rsid w:val="00CF334E"/>
    <w:rsid w:val="00CF3390"/>
    <w:rsid w:val="00CF37C4"/>
    <w:rsid w:val="00CF3CC2"/>
    <w:rsid w:val="00CF3DCD"/>
    <w:rsid w:val="00CF4068"/>
    <w:rsid w:val="00CF40FF"/>
    <w:rsid w:val="00CF4127"/>
    <w:rsid w:val="00CF421A"/>
    <w:rsid w:val="00CF431E"/>
    <w:rsid w:val="00CF4323"/>
    <w:rsid w:val="00CF4557"/>
    <w:rsid w:val="00CF4601"/>
    <w:rsid w:val="00CF47F2"/>
    <w:rsid w:val="00CF49BB"/>
    <w:rsid w:val="00CF51A7"/>
    <w:rsid w:val="00CF56C5"/>
    <w:rsid w:val="00CF572D"/>
    <w:rsid w:val="00CF573D"/>
    <w:rsid w:val="00CF5ED7"/>
    <w:rsid w:val="00CF641D"/>
    <w:rsid w:val="00CF679C"/>
    <w:rsid w:val="00CF6827"/>
    <w:rsid w:val="00CF6983"/>
    <w:rsid w:val="00CF6E00"/>
    <w:rsid w:val="00CF6E17"/>
    <w:rsid w:val="00CF6EF5"/>
    <w:rsid w:val="00CF71B3"/>
    <w:rsid w:val="00CF74A3"/>
    <w:rsid w:val="00CF7516"/>
    <w:rsid w:val="00CF75B6"/>
    <w:rsid w:val="00CF7715"/>
    <w:rsid w:val="00CF794A"/>
    <w:rsid w:val="00CF79D3"/>
    <w:rsid w:val="00CF7D28"/>
    <w:rsid w:val="00CF7D3C"/>
    <w:rsid w:val="00D001EB"/>
    <w:rsid w:val="00D0037F"/>
    <w:rsid w:val="00D003C6"/>
    <w:rsid w:val="00D0045F"/>
    <w:rsid w:val="00D00487"/>
    <w:rsid w:val="00D005BB"/>
    <w:rsid w:val="00D0087E"/>
    <w:rsid w:val="00D00899"/>
    <w:rsid w:val="00D00BEA"/>
    <w:rsid w:val="00D00FEE"/>
    <w:rsid w:val="00D0164D"/>
    <w:rsid w:val="00D01685"/>
    <w:rsid w:val="00D01BDD"/>
    <w:rsid w:val="00D01E87"/>
    <w:rsid w:val="00D0242A"/>
    <w:rsid w:val="00D025CB"/>
    <w:rsid w:val="00D027C9"/>
    <w:rsid w:val="00D027D2"/>
    <w:rsid w:val="00D02826"/>
    <w:rsid w:val="00D02A19"/>
    <w:rsid w:val="00D02A7F"/>
    <w:rsid w:val="00D02C3B"/>
    <w:rsid w:val="00D02CA8"/>
    <w:rsid w:val="00D02D03"/>
    <w:rsid w:val="00D02E62"/>
    <w:rsid w:val="00D03069"/>
    <w:rsid w:val="00D03215"/>
    <w:rsid w:val="00D035B6"/>
    <w:rsid w:val="00D03933"/>
    <w:rsid w:val="00D0395D"/>
    <w:rsid w:val="00D03B16"/>
    <w:rsid w:val="00D03C8F"/>
    <w:rsid w:val="00D03E3A"/>
    <w:rsid w:val="00D03F00"/>
    <w:rsid w:val="00D03FD1"/>
    <w:rsid w:val="00D03FEC"/>
    <w:rsid w:val="00D04770"/>
    <w:rsid w:val="00D0496A"/>
    <w:rsid w:val="00D04B27"/>
    <w:rsid w:val="00D04F7F"/>
    <w:rsid w:val="00D05065"/>
    <w:rsid w:val="00D0512E"/>
    <w:rsid w:val="00D052CB"/>
    <w:rsid w:val="00D05693"/>
    <w:rsid w:val="00D05705"/>
    <w:rsid w:val="00D057E4"/>
    <w:rsid w:val="00D058C8"/>
    <w:rsid w:val="00D05D56"/>
    <w:rsid w:val="00D05FFD"/>
    <w:rsid w:val="00D061CF"/>
    <w:rsid w:val="00D0649C"/>
    <w:rsid w:val="00D06725"/>
    <w:rsid w:val="00D0680A"/>
    <w:rsid w:val="00D0690C"/>
    <w:rsid w:val="00D06912"/>
    <w:rsid w:val="00D0695D"/>
    <w:rsid w:val="00D069B6"/>
    <w:rsid w:val="00D06B01"/>
    <w:rsid w:val="00D06C89"/>
    <w:rsid w:val="00D06E25"/>
    <w:rsid w:val="00D06EAC"/>
    <w:rsid w:val="00D06ED7"/>
    <w:rsid w:val="00D06F18"/>
    <w:rsid w:val="00D071DC"/>
    <w:rsid w:val="00D07398"/>
    <w:rsid w:val="00D0781B"/>
    <w:rsid w:val="00D078DB"/>
    <w:rsid w:val="00D07E86"/>
    <w:rsid w:val="00D10286"/>
    <w:rsid w:val="00D108A3"/>
    <w:rsid w:val="00D1097F"/>
    <w:rsid w:val="00D109AA"/>
    <w:rsid w:val="00D10A0C"/>
    <w:rsid w:val="00D10D46"/>
    <w:rsid w:val="00D10E73"/>
    <w:rsid w:val="00D10F1D"/>
    <w:rsid w:val="00D1116E"/>
    <w:rsid w:val="00D112AE"/>
    <w:rsid w:val="00D1134B"/>
    <w:rsid w:val="00D1149E"/>
    <w:rsid w:val="00D11646"/>
    <w:rsid w:val="00D117A4"/>
    <w:rsid w:val="00D1188D"/>
    <w:rsid w:val="00D11BCD"/>
    <w:rsid w:val="00D12230"/>
    <w:rsid w:val="00D12489"/>
    <w:rsid w:val="00D12A28"/>
    <w:rsid w:val="00D12A9F"/>
    <w:rsid w:val="00D12D84"/>
    <w:rsid w:val="00D13153"/>
    <w:rsid w:val="00D1341C"/>
    <w:rsid w:val="00D1341D"/>
    <w:rsid w:val="00D134B8"/>
    <w:rsid w:val="00D13569"/>
    <w:rsid w:val="00D137AA"/>
    <w:rsid w:val="00D138DB"/>
    <w:rsid w:val="00D13998"/>
    <w:rsid w:val="00D13A6E"/>
    <w:rsid w:val="00D13BB0"/>
    <w:rsid w:val="00D13F6B"/>
    <w:rsid w:val="00D14038"/>
    <w:rsid w:val="00D1419F"/>
    <w:rsid w:val="00D143E0"/>
    <w:rsid w:val="00D14665"/>
    <w:rsid w:val="00D147EB"/>
    <w:rsid w:val="00D14E68"/>
    <w:rsid w:val="00D14E8D"/>
    <w:rsid w:val="00D1509B"/>
    <w:rsid w:val="00D1513A"/>
    <w:rsid w:val="00D1515E"/>
    <w:rsid w:val="00D1540E"/>
    <w:rsid w:val="00D1541C"/>
    <w:rsid w:val="00D15579"/>
    <w:rsid w:val="00D15585"/>
    <w:rsid w:val="00D155A4"/>
    <w:rsid w:val="00D1568A"/>
    <w:rsid w:val="00D15793"/>
    <w:rsid w:val="00D15D76"/>
    <w:rsid w:val="00D16192"/>
    <w:rsid w:val="00D1627E"/>
    <w:rsid w:val="00D165B7"/>
    <w:rsid w:val="00D16A84"/>
    <w:rsid w:val="00D16CE8"/>
    <w:rsid w:val="00D17092"/>
    <w:rsid w:val="00D17164"/>
    <w:rsid w:val="00D17277"/>
    <w:rsid w:val="00D175C8"/>
    <w:rsid w:val="00D17E67"/>
    <w:rsid w:val="00D20295"/>
    <w:rsid w:val="00D208E1"/>
    <w:rsid w:val="00D20903"/>
    <w:rsid w:val="00D20AAC"/>
    <w:rsid w:val="00D20F40"/>
    <w:rsid w:val="00D20FBE"/>
    <w:rsid w:val="00D21049"/>
    <w:rsid w:val="00D216C5"/>
    <w:rsid w:val="00D21747"/>
    <w:rsid w:val="00D219BE"/>
    <w:rsid w:val="00D219CB"/>
    <w:rsid w:val="00D21B12"/>
    <w:rsid w:val="00D21D14"/>
    <w:rsid w:val="00D21F84"/>
    <w:rsid w:val="00D21FA4"/>
    <w:rsid w:val="00D22142"/>
    <w:rsid w:val="00D2234E"/>
    <w:rsid w:val="00D2277A"/>
    <w:rsid w:val="00D22965"/>
    <w:rsid w:val="00D22B99"/>
    <w:rsid w:val="00D22CC1"/>
    <w:rsid w:val="00D22DFE"/>
    <w:rsid w:val="00D22F6E"/>
    <w:rsid w:val="00D23151"/>
    <w:rsid w:val="00D23242"/>
    <w:rsid w:val="00D2327B"/>
    <w:rsid w:val="00D2346E"/>
    <w:rsid w:val="00D23953"/>
    <w:rsid w:val="00D23C40"/>
    <w:rsid w:val="00D23E16"/>
    <w:rsid w:val="00D241E8"/>
    <w:rsid w:val="00D241F9"/>
    <w:rsid w:val="00D2433E"/>
    <w:rsid w:val="00D2455F"/>
    <w:rsid w:val="00D24563"/>
    <w:rsid w:val="00D246E0"/>
    <w:rsid w:val="00D24858"/>
    <w:rsid w:val="00D248E7"/>
    <w:rsid w:val="00D24A81"/>
    <w:rsid w:val="00D24E34"/>
    <w:rsid w:val="00D25F57"/>
    <w:rsid w:val="00D2626C"/>
    <w:rsid w:val="00D26311"/>
    <w:rsid w:val="00D26320"/>
    <w:rsid w:val="00D26591"/>
    <w:rsid w:val="00D265D0"/>
    <w:rsid w:val="00D265E2"/>
    <w:rsid w:val="00D2673A"/>
    <w:rsid w:val="00D26C3D"/>
    <w:rsid w:val="00D26F56"/>
    <w:rsid w:val="00D27721"/>
    <w:rsid w:val="00D278DE"/>
    <w:rsid w:val="00D27B54"/>
    <w:rsid w:val="00D27C3C"/>
    <w:rsid w:val="00D27E61"/>
    <w:rsid w:val="00D3043A"/>
    <w:rsid w:val="00D305A0"/>
    <w:rsid w:val="00D305F0"/>
    <w:rsid w:val="00D30603"/>
    <w:rsid w:val="00D307C3"/>
    <w:rsid w:val="00D30854"/>
    <w:rsid w:val="00D30A40"/>
    <w:rsid w:val="00D30B18"/>
    <w:rsid w:val="00D312DC"/>
    <w:rsid w:val="00D31463"/>
    <w:rsid w:val="00D3146C"/>
    <w:rsid w:val="00D315F9"/>
    <w:rsid w:val="00D3167F"/>
    <w:rsid w:val="00D316E3"/>
    <w:rsid w:val="00D31AC8"/>
    <w:rsid w:val="00D31B71"/>
    <w:rsid w:val="00D31C8B"/>
    <w:rsid w:val="00D31F66"/>
    <w:rsid w:val="00D32122"/>
    <w:rsid w:val="00D322E7"/>
    <w:rsid w:val="00D32601"/>
    <w:rsid w:val="00D32620"/>
    <w:rsid w:val="00D326D3"/>
    <w:rsid w:val="00D3276E"/>
    <w:rsid w:val="00D3288E"/>
    <w:rsid w:val="00D328C8"/>
    <w:rsid w:val="00D32B67"/>
    <w:rsid w:val="00D32BDF"/>
    <w:rsid w:val="00D32BF5"/>
    <w:rsid w:val="00D32C63"/>
    <w:rsid w:val="00D3300B"/>
    <w:rsid w:val="00D3328D"/>
    <w:rsid w:val="00D3358F"/>
    <w:rsid w:val="00D33703"/>
    <w:rsid w:val="00D3379B"/>
    <w:rsid w:val="00D3379C"/>
    <w:rsid w:val="00D33C83"/>
    <w:rsid w:val="00D33CC0"/>
    <w:rsid w:val="00D33CE5"/>
    <w:rsid w:val="00D34182"/>
    <w:rsid w:val="00D34667"/>
    <w:rsid w:val="00D34891"/>
    <w:rsid w:val="00D34C2A"/>
    <w:rsid w:val="00D34CF7"/>
    <w:rsid w:val="00D34F20"/>
    <w:rsid w:val="00D35705"/>
    <w:rsid w:val="00D358A5"/>
    <w:rsid w:val="00D35D0B"/>
    <w:rsid w:val="00D35D0F"/>
    <w:rsid w:val="00D35FFE"/>
    <w:rsid w:val="00D36292"/>
    <w:rsid w:val="00D3640C"/>
    <w:rsid w:val="00D364B6"/>
    <w:rsid w:val="00D3652D"/>
    <w:rsid w:val="00D368AF"/>
    <w:rsid w:val="00D369F7"/>
    <w:rsid w:val="00D36C87"/>
    <w:rsid w:val="00D36C88"/>
    <w:rsid w:val="00D36F35"/>
    <w:rsid w:val="00D36FCD"/>
    <w:rsid w:val="00D3704B"/>
    <w:rsid w:val="00D370FE"/>
    <w:rsid w:val="00D3738A"/>
    <w:rsid w:val="00D37478"/>
    <w:rsid w:val="00D37704"/>
    <w:rsid w:val="00D3770C"/>
    <w:rsid w:val="00D3772D"/>
    <w:rsid w:val="00D3791F"/>
    <w:rsid w:val="00D37A30"/>
    <w:rsid w:val="00D37B55"/>
    <w:rsid w:val="00D37BAD"/>
    <w:rsid w:val="00D40170"/>
    <w:rsid w:val="00D401E1"/>
    <w:rsid w:val="00D4047B"/>
    <w:rsid w:val="00D408B4"/>
    <w:rsid w:val="00D40A06"/>
    <w:rsid w:val="00D40CF3"/>
    <w:rsid w:val="00D40F4C"/>
    <w:rsid w:val="00D4116C"/>
    <w:rsid w:val="00D412AB"/>
    <w:rsid w:val="00D4132E"/>
    <w:rsid w:val="00D414A4"/>
    <w:rsid w:val="00D41523"/>
    <w:rsid w:val="00D417DC"/>
    <w:rsid w:val="00D41840"/>
    <w:rsid w:val="00D418FF"/>
    <w:rsid w:val="00D41BB1"/>
    <w:rsid w:val="00D41CC7"/>
    <w:rsid w:val="00D41E22"/>
    <w:rsid w:val="00D4209B"/>
    <w:rsid w:val="00D420EC"/>
    <w:rsid w:val="00D423B1"/>
    <w:rsid w:val="00D4248A"/>
    <w:rsid w:val="00D42594"/>
    <w:rsid w:val="00D4260F"/>
    <w:rsid w:val="00D426AC"/>
    <w:rsid w:val="00D429B3"/>
    <w:rsid w:val="00D42D82"/>
    <w:rsid w:val="00D42EBD"/>
    <w:rsid w:val="00D42EDF"/>
    <w:rsid w:val="00D43189"/>
    <w:rsid w:val="00D43540"/>
    <w:rsid w:val="00D4369C"/>
    <w:rsid w:val="00D436C8"/>
    <w:rsid w:val="00D4378D"/>
    <w:rsid w:val="00D437C3"/>
    <w:rsid w:val="00D4389F"/>
    <w:rsid w:val="00D4394C"/>
    <w:rsid w:val="00D43CDE"/>
    <w:rsid w:val="00D43CF2"/>
    <w:rsid w:val="00D444CD"/>
    <w:rsid w:val="00D44B89"/>
    <w:rsid w:val="00D44F6D"/>
    <w:rsid w:val="00D45093"/>
    <w:rsid w:val="00D4559C"/>
    <w:rsid w:val="00D456B1"/>
    <w:rsid w:val="00D45ACB"/>
    <w:rsid w:val="00D45D94"/>
    <w:rsid w:val="00D45FF1"/>
    <w:rsid w:val="00D46223"/>
    <w:rsid w:val="00D46435"/>
    <w:rsid w:val="00D464A4"/>
    <w:rsid w:val="00D465B5"/>
    <w:rsid w:val="00D46857"/>
    <w:rsid w:val="00D46A0D"/>
    <w:rsid w:val="00D46D0A"/>
    <w:rsid w:val="00D4702D"/>
    <w:rsid w:val="00D471AE"/>
    <w:rsid w:val="00D4722F"/>
    <w:rsid w:val="00D47DD3"/>
    <w:rsid w:val="00D47F9D"/>
    <w:rsid w:val="00D50040"/>
    <w:rsid w:val="00D50113"/>
    <w:rsid w:val="00D501C5"/>
    <w:rsid w:val="00D503E8"/>
    <w:rsid w:val="00D50405"/>
    <w:rsid w:val="00D506DD"/>
    <w:rsid w:val="00D50B45"/>
    <w:rsid w:val="00D50BAD"/>
    <w:rsid w:val="00D50F6F"/>
    <w:rsid w:val="00D51062"/>
    <w:rsid w:val="00D511C1"/>
    <w:rsid w:val="00D5127E"/>
    <w:rsid w:val="00D512E3"/>
    <w:rsid w:val="00D515ED"/>
    <w:rsid w:val="00D515F6"/>
    <w:rsid w:val="00D51627"/>
    <w:rsid w:val="00D518A5"/>
    <w:rsid w:val="00D518B5"/>
    <w:rsid w:val="00D51917"/>
    <w:rsid w:val="00D51C0E"/>
    <w:rsid w:val="00D51CFF"/>
    <w:rsid w:val="00D51EF4"/>
    <w:rsid w:val="00D51FA0"/>
    <w:rsid w:val="00D52497"/>
    <w:rsid w:val="00D524C8"/>
    <w:rsid w:val="00D52821"/>
    <w:rsid w:val="00D52C1E"/>
    <w:rsid w:val="00D52E51"/>
    <w:rsid w:val="00D52E82"/>
    <w:rsid w:val="00D52F33"/>
    <w:rsid w:val="00D533A4"/>
    <w:rsid w:val="00D5343D"/>
    <w:rsid w:val="00D536AB"/>
    <w:rsid w:val="00D53718"/>
    <w:rsid w:val="00D53C85"/>
    <w:rsid w:val="00D5423C"/>
    <w:rsid w:val="00D543F1"/>
    <w:rsid w:val="00D543F7"/>
    <w:rsid w:val="00D5449F"/>
    <w:rsid w:val="00D548F6"/>
    <w:rsid w:val="00D54BBD"/>
    <w:rsid w:val="00D5518E"/>
    <w:rsid w:val="00D555DC"/>
    <w:rsid w:val="00D55977"/>
    <w:rsid w:val="00D55C21"/>
    <w:rsid w:val="00D55CC0"/>
    <w:rsid w:val="00D55D1C"/>
    <w:rsid w:val="00D56116"/>
    <w:rsid w:val="00D5627C"/>
    <w:rsid w:val="00D564B4"/>
    <w:rsid w:val="00D56503"/>
    <w:rsid w:val="00D56687"/>
    <w:rsid w:val="00D56A0E"/>
    <w:rsid w:val="00D56AF9"/>
    <w:rsid w:val="00D56D94"/>
    <w:rsid w:val="00D5737F"/>
    <w:rsid w:val="00D5776F"/>
    <w:rsid w:val="00D57B87"/>
    <w:rsid w:val="00D57BC7"/>
    <w:rsid w:val="00D57CE8"/>
    <w:rsid w:val="00D57D41"/>
    <w:rsid w:val="00D57D86"/>
    <w:rsid w:val="00D57E30"/>
    <w:rsid w:val="00D57EDE"/>
    <w:rsid w:val="00D603D1"/>
    <w:rsid w:val="00D6047B"/>
    <w:rsid w:val="00D60797"/>
    <w:rsid w:val="00D607A5"/>
    <w:rsid w:val="00D607BB"/>
    <w:rsid w:val="00D60978"/>
    <w:rsid w:val="00D60A71"/>
    <w:rsid w:val="00D60E25"/>
    <w:rsid w:val="00D60FA3"/>
    <w:rsid w:val="00D610C4"/>
    <w:rsid w:val="00D61195"/>
    <w:rsid w:val="00D61235"/>
    <w:rsid w:val="00D61291"/>
    <w:rsid w:val="00D612C8"/>
    <w:rsid w:val="00D61389"/>
    <w:rsid w:val="00D61679"/>
    <w:rsid w:val="00D6172A"/>
    <w:rsid w:val="00D617B5"/>
    <w:rsid w:val="00D618D4"/>
    <w:rsid w:val="00D61A93"/>
    <w:rsid w:val="00D61C5D"/>
    <w:rsid w:val="00D62353"/>
    <w:rsid w:val="00D62395"/>
    <w:rsid w:val="00D623B1"/>
    <w:rsid w:val="00D623B9"/>
    <w:rsid w:val="00D62469"/>
    <w:rsid w:val="00D6247A"/>
    <w:rsid w:val="00D62896"/>
    <w:rsid w:val="00D6298A"/>
    <w:rsid w:val="00D62DA0"/>
    <w:rsid w:val="00D62E81"/>
    <w:rsid w:val="00D63116"/>
    <w:rsid w:val="00D631F0"/>
    <w:rsid w:val="00D63250"/>
    <w:rsid w:val="00D6328E"/>
    <w:rsid w:val="00D63980"/>
    <w:rsid w:val="00D63A21"/>
    <w:rsid w:val="00D63E1B"/>
    <w:rsid w:val="00D640C2"/>
    <w:rsid w:val="00D6443E"/>
    <w:rsid w:val="00D644E1"/>
    <w:rsid w:val="00D6456E"/>
    <w:rsid w:val="00D646FA"/>
    <w:rsid w:val="00D646FF"/>
    <w:rsid w:val="00D647C4"/>
    <w:rsid w:val="00D64C45"/>
    <w:rsid w:val="00D64E0B"/>
    <w:rsid w:val="00D64F2B"/>
    <w:rsid w:val="00D64F3C"/>
    <w:rsid w:val="00D65048"/>
    <w:rsid w:val="00D65455"/>
    <w:rsid w:val="00D658E3"/>
    <w:rsid w:val="00D65904"/>
    <w:rsid w:val="00D65A99"/>
    <w:rsid w:val="00D65CCF"/>
    <w:rsid w:val="00D65D20"/>
    <w:rsid w:val="00D66018"/>
    <w:rsid w:val="00D6604C"/>
    <w:rsid w:val="00D66083"/>
    <w:rsid w:val="00D6624D"/>
    <w:rsid w:val="00D66328"/>
    <w:rsid w:val="00D66384"/>
    <w:rsid w:val="00D665BB"/>
    <w:rsid w:val="00D6671D"/>
    <w:rsid w:val="00D66993"/>
    <w:rsid w:val="00D66BEB"/>
    <w:rsid w:val="00D66D2E"/>
    <w:rsid w:val="00D66D31"/>
    <w:rsid w:val="00D66E56"/>
    <w:rsid w:val="00D66E76"/>
    <w:rsid w:val="00D673DD"/>
    <w:rsid w:val="00D67516"/>
    <w:rsid w:val="00D677BB"/>
    <w:rsid w:val="00D67810"/>
    <w:rsid w:val="00D67E4E"/>
    <w:rsid w:val="00D67E7B"/>
    <w:rsid w:val="00D67F36"/>
    <w:rsid w:val="00D67FF0"/>
    <w:rsid w:val="00D70286"/>
    <w:rsid w:val="00D702A2"/>
    <w:rsid w:val="00D7030E"/>
    <w:rsid w:val="00D70389"/>
    <w:rsid w:val="00D70508"/>
    <w:rsid w:val="00D707B1"/>
    <w:rsid w:val="00D70AD7"/>
    <w:rsid w:val="00D70E24"/>
    <w:rsid w:val="00D71078"/>
    <w:rsid w:val="00D710EF"/>
    <w:rsid w:val="00D71935"/>
    <w:rsid w:val="00D71A02"/>
    <w:rsid w:val="00D71C90"/>
    <w:rsid w:val="00D71D29"/>
    <w:rsid w:val="00D71E5D"/>
    <w:rsid w:val="00D72104"/>
    <w:rsid w:val="00D721FA"/>
    <w:rsid w:val="00D7223A"/>
    <w:rsid w:val="00D725FC"/>
    <w:rsid w:val="00D72686"/>
    <w:rsid w:val="00D72711"/>
    <w:rsid w:val="00D7289D"/>
    <w:rsid w:val="00D728BD"/>
    <w:rsid w:val="00D72A3A"/>
    <w:rsid w:val="00D72B61"/>
    <w:rsid w:val="00D7319B"/>
    <w:rsid w:val="00D7327F"/>
    <w:rsid w:val="00D732D8"/>
    <w:rsid w:val="00D73314"/>
    <w:rsid w:val="00D73316"/>
    <w:rsid w:val="00D73378"/>
    <w:rsid w:val="00D735D3"/>
    <w:rsid w:val="00D7365C"/>
    <w:rsid w:val="00D73723"/>
    <w:rsid w:val="00D7385A"/>
    <w:rsid w:val="00D73931"/>
    <w:rsid w:val="00D739C5"/>
    <w:rsid w:val="00D73D3B"/>
    <w:rsid w:val="00D73E43"/>
    <w:rsid w:val="00D74117"/>
    <w:rsid w:val="00D74348"/>
    <w:rsid w:val="00D7440B"/>
    <w:rsid w:val="00D74763"/>
    <w:rsid w:val="00D74B68"/>
    <w:rsid w:val="00D74D4C"/>
    <w:rsid w:val="00D752D8"/>
    <w:rsid w:val="00D75302"/>
    <w:rsid w:val="00D753A6"/>
    <w:rsid w:val="00D755CE"/>
    <w:rsid w:val="00D75883"/>
    <w:rsid w:val="00D75904"/>
    <w:rsid w:val="00D7593C"/>
    <w:rsid w:val="00D75C57"/>
    <w:rsid w:val="00D75D3D"/>
    <w:rsid w:val="00D76236"/>
    <w:rsid w:val="00D765DF"/>
    <w:rsid w:val="00D7663C"/>
    <w:rsid w:val="00D7674B"/>
    <w:rsid w:val="00D76855"/>
    <w:rsid w:val="00D76A93"/>
    <w:rsid w:val="00D771E3"/>
    <w:rsid w:val="00D77299"/>
    <w:rsid w:val="00D7749E"/>
    <w:rsid w:val="00D775EB"/>
    <w:rsid w:val="00D7772D"/>
    <w:rsid w:val="00D7780A"/>
    <w:rsid w:val="00D77ED9"/>
    <w:rsid w:val="00D77EE0"/>
    <w:rsid w:val="00D77EE8"/>
    <w:rsid w:val="00D80040"/>
    <w:rsid w:val="00D8004B"/>
    <w:rsid w:val="00D802A8"/>
    <w:rsid w:val="00D802B7"/>
    <w:rsid w:val="00D802FD"/>
    <w:rsid w:val="00D80461"/>
    <w:rsid w:val="00D8065F"/>
    <w:rsid w:val="00D80881"/>
    <w:rsid w:val="00D80978"/>
    <w:rsid w:val="00D809FC"/>
    <w:rsid w:val="00D80CC1"/>
    <w:rsid w:val="00D80EA6"/>
    <w:rsid w:val="00D8107E"/>
    <w:rsid w:val="00D810B6"/>
    <w:rsid w:val="00D81502"/>
    <w:rsid w:val="00D81BD0"/>
    <w:rsid w:val="00D81FDA"/>
    <w:rsid w:val="00D8205D"/>
    <w:rsid w:val="00D820D2"/>
    <w:rsid w:val="00D8219B"/>
    <w:rsid w:val="00D827C7"/>
    <w:rsid w:val="00D82BBE"/>
    <w:rsid w:val="00D82D8F"/>
    <w:rsid w:val="00D8338C"/>
    <w:rsid w:val="00D836C2"/>
    <w:rsid w:val="00D836E5"/>
    <w:rsid w:val="00D8376A"/>
    <w:rsid w:val="00D839EC"/>
    <w:rsid w:val="00D83A24"/>
    <w:rsid w:val="00D83B3E"/>
    <w:rsid w:val="00D83BC5"/>
    <w:rsid w:val="00D83E3C"/>
    <w:rsid w:val="00D84842"/>
    <w:rsid w:val="00D84BC8"/>
    <w:rsid w:val="00D84D5B"/>
    <w:rsid w:val="00D84D5D"/>
    <w:rsid w:val="00D84E48"/>
    <w:rsid w:val="00D85394"/>
    <w:rsid w:val="00D85459"/>
    <w:rsid w:val="00D854DE"/>
    <w:rsid w:val="00D856CA"/>
    <w:rsid w:val="00D85718"/>
    <w:rsid w:val="00D858ED"/>
    <w:rsid w:val="00D85B17"/>
    <w:rsid w:val="00D85F47"/>
    <w:rsid w:val="00D86373"/>
    <w:rsid w:val="00D86388"/>
    <w:rsid w:val="00D8677A"/>
    <w:rsid w:val="00D867DE"/>
    <w:rsid w:val="00D86980"/>
    <w:rsid w:val="00D86BE6"/>
    <w:rsid w:val="00D86D8D"/>
    <w:rsid w:val="00D86D9F"/>
    <w:rsid w:val="00D86E49"/>
    <w:rsid w:val="00D87003"/>
    <w:rsid w:val="00D870EF"/>
    <w:rsid w:val="00D877D0"/>
    <w:rsid w:val="00D87A71"/>
    <w:rsid w:val="00D90260"/>
    <w:rsid w:val="00D90726"/>
    <w:rsid w:val="00D907FE"/>
    <w:rsid w:val="00D909E1"/>
    <w:rsid w:val="00D90A71"/>
    <w:rsid w:val="00D90ABB"/>
    <w:rsid w:val="00D90ACB"/>
    <w:rsid w:val="00D90D32"/>
    <w:rsid w:val="00D90F04"/>
    <w:rsid w:val="00D90F1F"/>
    <w:rsid w:val="00D91107"/>
    <w:rsid w:val="00D91352"/>
    <w:rsid w:val="00D913E5"/>
    <w:rsid w:val="00D91429"/>
    <w:rsid w:val="00D9167E"/>
    <w:rsid w:val="00D916A0"/>
    <w:rsid w:val="00D91A53"/>
    <w:rsid w:val="00D91BDC"/>
    <w:rsid w:val="00D91C36"/>
    <w:rsid w:val="00D91CCB"/>
    <w:rsid w:val="00D91DBF"/>
    <w:rsid w:val="00D91DD4"/>
    <w:rsid w:val="00D91EBD"/>
    <w:rsid w:val="00D921E4"/>
    <w:rsid w:val="00D9259A"/>
    <w:rsid w:val="00D92ABA"/>
    <w:rsid w:val="00D92B38"/>
    <w:rsid w:val="00D92BA2"/>
    <w:rsid w:val="00D92C64"/>
    <w:rsid w:val="00D92D84"/>
    <w:rsid w:val="00D9311B"/>
    <w:rsid w:val="00D931B7"/>
    <w:rsid w:val="00D932CB"/>
    <w:rsid w:val="00D9355A"/>
    <w:rsid w:val="00D9355E"/>
    <w:rsid w:val="00D93604"/>
    <w:rsid w:val="00D93C48"/>
    <w:rsid w:val="00D93FCE"/>
    <w:rsid w:val="00D9404E"/>
    <w:rsid w:val="00D943E7"/>
    <w:rsid w:val="00D94458"/>
    <w:rsid w:val="00D94597"/>
    <w:rsid w:val="00D946B7"/>
    <w:rsid w:val="00D946DD"/>
    <w:rsid w:val="00D947B2"/>
    <w:rsid w:val="00D94ADE"/>
    <w:rsid w:val="00D94E85"/>
    <w:rsid w:val="00D94F53"/>
    <w:rsid w:val="00D95115"/>
    <w:rsid w:val="00D955C1"/>
    <w:rsid w:val="00D955FF"/>
    <w:rsid w:val="00D95915"/>
    <w:rsid w:val="00D95F2F"/>
    <w:rsid w:val="00D95FE4"/>
    <w:rsid w:val="00D96080"/>
    <w:rsid w:val="00D96441"/>
    <w:rsid w:val="00D964F8"/>
    <w:rsid w:val="00D96916"/>
    <w:rsid w:val="00D9695F"/>
    <w:rsid w:val="00D96A7B"/>
    <w:rsid w:val="00D96B26"/>
    <w:rsid w:val="00D96CB1"/>
    <w:rsid w:val="00D96F00"/>
    <w:rsid w:val="00D96FC9"/>
    <w:rsid w:val="00D9707F"/>
    <w:rsid w:val="00D977DD"/>
    <w:rsid w:val="00D97944"/>
    <w:rsid w:val="00D97AEB"/>
    <w:rsid w:val="00D97BCB"/>
    <w:rsid w:val="00D97EAA"/>
    <w:rsid w:val="00DA001C"/>
    <w:rsid w:val="00DA010A"/>
    <w:rsid w:val="00DA08AC"/>
    <w:rsid w:val="00DA0A46"/>
    <w:rsid w:val="00DA0E8A"/>
    <w:rsid w:val="00DA1773"/>
    <w:rsid w:val="00DA177A"/>
    <w:rsid w:val="00DA1B2C"/>
    <w:rsid w:val="00DA1B54"/>
    <w:rsid w:val="00DA1B63"/>
    <w:rsid w:val="00DA1E0A"/>
    <w:rsid w:val="00DA2451"/>
    <w:rsid w:val="00DA29DE"/>
    <w:rsid w:val="00DA2ABC"/>
    <w:rsid w:val="00DA2B44"/>
    <w:rsid w:val="00DA2E97"/>
    <w:rsid w:val="00DA344F"/>
    <w:rsid w:val="00DA3550"/>
    <w:rsid w:val="00DA367F"/>
    <w:rsid w:val="00DA3A81"/>
    <w:rsid w:val="00DA3D1D"/>
    <w:rsid w:val="00DA3F9C"/>
    <w:rsid w:val="00DA41BF"/>
    <w:rsid w:val="00DA47E9"/>
    <w:rsid w:val="00DA48F9"/>
    <w:rsid w:val="00DA4E08"/>
    <w:rsid w:val="00DA51F4"/>
    <w:rsid w:val="00DA52E0"/>
    <w:rsid w:val="00DA54CE"/>
    <w:rsid w:val="00DA558B"/>
    <w:rsid w:val="00DA56DE"/>
    <w:rsid w:val="00DA5773"/>
    <w:rsid w:val="00DA587B"/>
    <w:rsid w:val="00DA5A62"/>
    <w:rsid w:val="00DA5A8E"/>
    <w:rsid w:val="00DA5C1A"/>
    <w:rsid w:val="00DA5CBD"/>
    <w:rsid w:val="00DA5F0F"/>
    <w:rsid w:val="00DA5F3E"/>
    <w:rsid w:val="00DA6152"/>
    <w:rsid w:val="00DA61A6"/>
    <w:rsid w:val="00DA61D3"/>
    <w:rsid w:val="00DA632C"/>
    <w:rsid w:val="00DA636D"/>
    <w:rsid w:val="00DA68E0"/>
    <w:rsid w:val="00DA6A18"/>
    <w:rsid w:val="00DA6C26"/>
    <w:rsid w:val="00DA6C78"/>
    <w:rsid w:val="00DA6ED9"/>
    <w:rsid w:val="00DA704D"/>
    <w:rsid w:val="00DA7091"/>
    <w:rsid w:val="00DA7167"/>
    <w:rsid w:val="00DA717E"/>
    <w:rsid w:val="00DA71E5"/>
    <w:rsid w:val="00DA72AD"/>
    <w:rsid w:val="00DA7551"/>
    <w:rsid w:val="00DA757D"/>
    <w:rsid w:val="00DA76E5"/>
    <w:rsid w:val="00DA7739"/>
    <w:rsid w:val="00DA7801"/>
    <w:rsid w:val="00DA794D"/>
    <w:rsid w:val="00DA7AAA"/>
    <w:rsid w:val="00DA7B8F"/>
    <w:rsid w:val="00DA7C13"/>
    <w:rsid w:val="00DA7DF5"/>
    <w:rsid w:val="00DA7E7D"/>
    <w:rsid w:val="00DB00FB"/>
    <w:rsid w:val="00DB0138"/>
    <w:rsid w:val="00DB0289"/>
    <w:rsid w:val="00DB02AE"/>
    <w:rsid w:val="00DB02E3"/>
    <w:rsid w:val="00DB068A"/>
    <w:rsid w:val="00DB06EE"/>
    <w:rsid w:val="00DB08B2"/>
    <w:rsid w:val="00DB08B3"/>
    <w:rsid w:val="00DB0994"/>
    <w:rsid w:val="00DB0C7A"/>
    <w:rsid w:val="00DB0FC1"/>
    <w:rsid w:val="00DB10CF"/>
    <w:rsid w:val="00DB1379"/>
    <w:rsid w:val="00DB1390"/>
    <w:rsid w:val="00DB15E6"/>
    <w:rsid w:val="00DB16DE"/>
    <w:rsid w:val="00DB1822"/>
    <w:rsid w:val="00DB19FD"/>
    <w:rsid w:val="00DB1ABA"/>
    <w:rsid w:val="00DB1AF7"/>
    <w:rsid w:val="00DB1B8E"/>
    <w:rsid w:val="00DB1DE4"/>
    <w:rsid w:val="00DB1E2D"/>
    <w:rsid w:val="00DB249E"/>
    <w:rsid w:val="00DB259F"/>
    <w:rsid w:val="00DB263D"/>
    <w:rsid w:val="00DB2654"/>
    <w:rsid w:val="00DB2A5B"/>
    <w:rsid w:val="00DB2AD4"/>
    <w:rsid w:val="00DB31CC"/>
    <w:rsid w:val="00DB33BA"/>
    <w:rsid w:val="00DB3406"/>
    <w:rsid w:val="00DB3528"/>
    <w:rsid w:val="00DB39E5"/>
    <w:rsid w:val="00DB3B91"/>
    <w:rsid w:val="00DB3C03"/>
    <w:rsid w:val="00DB3D6A"/>
    <w:rsid w:val="00DB408C"/>
    <w:rsid w:val="00DB41BF"/>
    <w:rsid w:val="00DB41F6"/>
    <w:rsid w:val="00DB4708"/>
    <w:rsid w:val="00DB47C7"/>
    <w:rsid w:val="00DB47DA"/>
    <w:rsid w:val="00DB4844"/>
    <w:rsid w:val="00DB4D48"/>
    <w:rsid w:val="00DB4DBC"/>
    <w:rsid w:val="00DB4DBD"/>
    <w:rsid w:val="00DB4F9C"/>
    <w:rsid w:val="00DB4FFD"/>
    <w:rsid w:val="00DB5004"/>
    <w:rsid w:val="00DB5016"/>
    <w:rsid w:val="00DB50EB"/>
    <w:rsid w:val="00DB522B"/>
    <w:rsid w:val="00DB54B5"/>
    <w:rsid w:val="00DB575A"/>
    <w:rsid w:val="00DB5FF5"/>
    <w:rsid w:val="00DB61AF"/>
    <w:rsid w:val="00DB6286"/>
    <w:rsid w:val="00DB6322"/>
    <w:rsid w:val="00DB645F"/>
    <w:rsid w:val="00DB69D2"/>
    <w:rsid w:val="00DB70C7"/>
    <w:rsid w:val="00DB750F"/>
    <w:rsid w:val="00DB7514"/>
    <w:rsid w:val="00DB75F4"/>
    <w:rsid w:val="00DB76E9"/>
    <w:rsid w:val="00DB7CB7"/>
    <w:rsid w:val="00DB7D35"/>
    <w:rsid w:val="00DC00AF"/>
    <w:rsid w:val="00DC02C7"/>
    <w:rsid w:val="00DC02F4"/>
    <w:rsid w:val="00DC02FD"/>
    <w:rsid w:val="00DC0483"/>
    <w:rsid w:val="00DC05E5"/>
    <w:rsid w:val="00DC0666"/>
    <w:rsid w:val="00DC0A67"/>
    <w:rsid w:val="00DC0CE8"/>
    <w:rsid w:val="00DC0E4B"/>
    <w:rsid w:val="00DC1279"/>
    <w:rsid w:val="00DC12A5"/>
    <w:rsid w:val="00DC138C"/>
    <w:rsid w:val="00DC1774"/>
    <w:rsid w:val="00DC1892"/>
    <w:rsid w:val="00DC19AE"/>
    <w:rsid w:val="00DC1D5E"/>
    <w:rsid w:val="00DC1E2C"/>
    <w:rsid w:val="00DC1E58"/>
    <w:rsid w:val="00DC1EFE"/>
    <w:rsid w:val="00DC1F17"/>
    <w:rsid w:val="00DC2031"/>
    <w:rsid w:val="00DC207C"/>
    <w:rsid w:val="00DC2313"/>
    <w:rsid w:val="00DC231D"/>
    <w:rsid w:val="00DC235A"/>
    <w:rsid w:val="00DC250C"/>
    <w:rsid w:val="00DC270C"/>
    <w:rsid w:val="00DC28CE"/>
    <w:rsid w:val="00DC2BE3"/>
    <w:rsid w:val="00DC2DAE"/>
    <w:rsid w:val="00DC2FC9"/>
    <w:rsid w:val="00DC3021"/>
    <w:rsid w:val="00DC3333"/>
    <w:rsid w:val="00DC3479"/>
    <w:rsid w:val="00DC36A7"/>
    <w:rsid w:val="00DC3951"/>
    <w:rsid w:val="00DC406B"/>
    <w:rsid w:val="00DC4452"/>
    <w:rsid w:val="00DC445A"/>
    <w:rsid w:val="00DC473B"/>
    <w:rsid w:val="00DC4921"/>
    <w:rsid w:val="00DC4A25"/>
    <w:rsid w:val="00DC4B36"/>
    <w:rsid w:val="00DC4BCA"/>
    <w:rsid w:val="00DC4C78"/>
    <w:rsid w:val="00DC4FFF"/>
    <w:rsid w:val="00DC5218"/>
    <w:rsid w:val="00DC5220"/>
    <w:rsid w:val="00DC5302"/>
    <w:rsid w:val="00DC5457"/>
    <w:rsid w:val="00DC5A32"/>
    <w:rsid w:val="00DC5BAE"/>
    <w:rsid w:val="00DC5BAF"/>
    <w:rsid w:val="00DC5C21"/>
    <w:rsid w:val="00DC5E5A"/>
    <w:rsid w:val="00DC6083"/>
    <w:rsid w:val="00DC63A8"/>
    <w:rsid w:val="00DC6BE8"/>
    <w:rsid w:val="00DC6D85"/>
    <w:rsid w:val="00DC6FF9"/>
    <w:rsid w:val="00DC7065"/>
    <w:rsid w:val="00DC7201"/>
    <w:rsid w:val="00DC730F"/>
    <w:rsid w:val="00DC7910"/>
    <w:rsid w:val="00DC7CAA"/>
    <w:rsid w:val="00DC7D42"/>
    <w:rsid w:val="00DD00FB"/>
    <w:rsid w:val="00DD017A"/>
    <w:rsid w:val="00DD0204"/>
    <w:rsid w:val="00DD02E9"/>
    <w:rsid w:val="00DD030B"/>
    <w:rsid w:val="00DD0372"/>
    <w:rsid w:val="00DD0901"/>
    <w:rsid w:val="00DD099B"/>
    <w:rsid w:val="00DD0A83"/>
    <w:rsid w:val="00DD0BE4"/>
    <w:rsid w:val="00DD0D0C"/>
    <w:rsid w:val="00DD0DF4"/>
    <w:rsid w:val="00DD10E5"/>
    <w:rsid w:val="00DD10E6"/>
    <w:rsid w:val="00DD1C27"/>
    <w:rsid w:val="00DD1EBE"/>
    <w:rsid w:val="00DD1EEB"/>
    <w:rsid w:val="00DD2061"/>
    <w:rsid w:val="00DD23DD"/>
    <w:rsid w:val="00DD26B5"/>
    <w:rsid w:val="00DD2978"/>
    <w:rsid w:val="00DD29D6"/>
    <w:rsid w:val="00DD2CE4"/>
    <w:rsid w:val="00DD2DCE"/>
    <w:rsid w:val="00DD2FAB"/>
    <w:rsid w:val="00DD32CC"/>
    <w:rsid w:val="00DD3468"/>
    <w:rsid w:val="00DD35C5"/>
    <w:rsid w:val="00DD364D"/>
    <w:rsid w:val="00DD37EF"/>
    <w:rsid w:val="00DD3A96"/>
    <w:rsid w:val="00DD40CF"/>
    <w:rsid w:val="00DD4574"/>
    <w:rsid w:val="00DD462D"/>
    <w:rsid w:val="00DD46A4"/>
    <w:rsid w:val="00DD46C5"/>
    <w:rsid w:val="00DD49CF"/>
    <w:rsid w:val="00DD4CA2"/>
    <w:rsid w:val="00DD4FD0"/>
    <w:rsid w:val="00DD51A5"/>
    <w:rsid w:val="00DD51CA"/>
    <w:rsid w:val="00DD52BD"/>
    <w:rsid w:val="00DD5445"/>
    <w:rsid w:val="00DD5592"/>
    <w:rsid w:val="00DD5676"/>
    <w:rsid w:val="00DD596C"/>
    <w:rsid w:val="00DD59A0"/>
    <w:rsid w:val="00DD613E"/>
    <w:rsid w:val="00DD62BA"/>
    <w:rsid w:val="00DD6577"/>
    <w:rsid w:val="00DD658A"/>
    <w:rsid w:val="00DD676A"/>
    <w:rsid w:val="00DD6906"/>
    <w:rsid w:val="00DD6A69"/>
    <w:rsid w:val="00DD6B43"/>
    <w:rsid w:val="00DD6E2A"/>
    <w:rsid w:val="00DD7046"/>
    <w:rsid w:val="00DD70A7"/>
    <w:rsid w:val="00DD70EB"/>
    <w:rsid w:val="00DD71EC"/>
    <w:rsid w:val="00DD71F1"/>
    <w:rsid w:val="00DD725D"/>
    <w:rsid w:val="00DD7419"/>
    <w:rsid w:val="00DD7633"/>
    <w:rsid w:val="00DD775B"/>
    <w:rsid w:val="00DD7938"/>
    <w:rsid w:val="00DD7986"/>
    <w:rsid w:val="00DD79E4"/>
    <w:rsid w:val="00DD7DAB"/>
    <w:rsid w:val="00DD7DD6"/>
    <w:rsid w:val="00DE0080"/>
    <w:rsid w:val="00DE0145"/>
    <w:rsid w:val="00DE035D"/>
    <w:rsid w:val="00DE057F"/>
    <w:rsid w:val="00DE06C1"/>
    <w:rsid w:val="00DE06DE"/>
    <w:rsid w:val="00DE07E8"/>
    <w:rsid w:val="00DE0836"/>
    <w:rsid w:val="00DE0A4F"/>
    <w:rsid w:val="00DE0F55"/>
    <w:rsid w:val="00DE1101"/>
    <w:rsid w:val="00DE1272"/>
    <w:rsid w:val="00DE12B3"/>
    <w:rsid w:val="00DE144D"/>
    <w:rsid w:val="00DE17EA"/>
    <w:rsid w:val="00DE1C99"/>
    <w:rsid w:val="00DE1D5A"/>
    <w:rsid w:val="00DE1ECA"/>
    <w:rsid w:val="00DE1EFB"/>
    <w:rsid w:val="00DE2132"/>
    <w:rsid w:val="00DE2325"/>
    <w:rsid w:val="00DE240B"/>
    <w:rsid w:val="00DE26E2"/>
    <w:rsid w:val="00DE27FE"/>
    <w:rsid w:val="00DE2E99"/>
    <w:rsid w:val="00DE3355"/>
    <w:rsid w:val="00DE34F6"/>
    <w:rsid w:val="00DE3668"/>
    <w:rsid w:val="00DE366D"/>
    <w:rsid w:val="00DE3B4E"/>
    <w:rsid w:val="00DE3BF5"/>
    <w:rsid w:val="00DE3E27"/>
    <w:rsid w:val="00DE3F05"/>
    <w:rsid w:val="00DE3F1E"/>
    <w:rsid w:val="00DE410C"/>
    <w:rsid w:val="00DE41B7"/>
    <w:rsid w:val="00DE424B"/>
    <w:rsid w:val="00DE438F"/>
    <w:rsid w:val="00DE44BD"/>
    <w:rsid w:val="00DE469B"/>
    <w:rsid w:val="00DE47C9"/>
    <w:rsid w:val="00DE495A"/>
    <w:rsid w:val="00DE4D01"/>
    <w:rsid w:val="00DE50A4"/>
    <w:rsid w:val="00DE5328"/>
    <w:rsid w:val="00DE5673"/>
    <w:rsid w:val="00DE59B2"/>
    <w:rsid w:val="00DE5CE9"/>
    <w:rsid w:val="00DE5DD6"/>
    <w:rsid w:val="00DE5E0E"/>
    <w:rsid w:val="00DE5F75"/>
    <w:rsid w:val="00DE5F7C"/>
    <w:rsid w:val="00DE62EE"/>
    <w:rsid w:val="00DE62FF"/>
    <w:rsid w:val="00DE6314"/>
    <w:rsid w:val="00DE64E4"/>
    <w:rsid w:val="00DE6759"/>
    <w:rsid w:val="00DE67A8"/>
    <w:rsid w:val="00DE68FC"/>
    <w:rsid w:val="00DE6D6E"/>
    <w:rsid w:val="00DE6DAA"/>
    <w:rsid w:val="00DE6DAD"/>
    <w:rsid w:val="00DE6F01"/>
    <w:rsid w:val="00DE73DB"/>
    <w:rsid w:val="00DE74AA"/>
    <w:rsid w:val="00DE779C"/>
    <w:rsid w:val="00DE7971"/>
    <w:rsid w:val="00DE7C36"/>
    <w:rsid w:val="00DF0030"/>
    <w:rsid w:val="00DF00B2"/>
    <w:rsid w:val="00DF0297"/>
    <w:rsid w:val="00DF03B0"/>
    <w:rsid w:val="00DF0733"/>
    <w:rsid w:val="00DF0CAD"/>
    <w:rsid w:val="00DF142F"/>
    <w:rsid w:val="00DF1680"/>
    <w:rsid w:val="00DF18E8"/>
    <w:rsid w:val="00DF19F3"/>
    <w:rsid w:val="00DF1B1F"/>
    <w:rsid w:val="00DF1F7B"/>
    <w:rsid w:val="00DF2041"/>
    <w:rsid w:val="00DF2123"/>
    <w:rsid w:val="00DF26C8"/>
    <w:rsid w:val="00DF296E"/>
    <w:rsid w:val="00DF2A7C"/>
    <w:rsid w:val="00DF2B39"/>
    <w:rsid w:val="00DF2C4E"/>
    <w:rsid w:val="00DF30A0"/>
    <w:rsid w:val="00DF31D4"/>
    <w:rsid w:val="00DF31E0"/>
    <w:rsid w:val="00DF3232"/>
    <w:rsid w:val="00DF35F0"/>
    <w:rsid w:val="00DF366F"/>
    <w:rsid w:val="00DF385F"/>
    <w:rsid w:val="00DF38F8"/>
    <w:rsid w:val="00DF398D"/>
    <w:rsid w:val="00DF3C3C"/>
    <w:rsid w:val="00DF3D0E"/>
    <w:rsid w:val="00DF3DDB"/>
    <w:rsid w:val="00DF3FF5"/>
    <w:rsid w:val="00DF40A0"/>
    <w:rsid w:val="00DF428B"/>
    <w:rsid w:val="00DF43C9"/>
    <w:rsid w:val="00DF45C6"/>
    <w:rsid w:val="00DF4772"/>
    <w:rsid w:val="00DF4845"/>
    <w:rsid w:val="00DF486F"/>
    <w:rsid w:val="00DF495F"/>
    <w:rsid w:val="00DF49A9"/>
    <w:rsid w:val="00DF4AB2"/>
    <w:rsid w:val="00DF4C79"/>
    <w:rsid w:val="00DF4C8F"/>
    <w:rsid w:val="00DF4D6B"/>
    <w:rsid w:val="00DF5488"/>
    <w:rsid w:val="00DF550B"/>
    <w:rsid w:val="00DF55B0"/>
    <w:rsid w:val="00DF562C"/>
    <w:rsid w:val="00DF5B5B"/>
    <w:rsid w:val="00DF6279"/>
    <w:rsid w:val="00DF6334"/>
    <w:rsid w:val="00DF6497"/>
    <w:rsid w:val="00DF66DE"/>
    <w:rsid w:val="00DF67AA"/>
    <w:rsid w:val="00DF6881"/>
    <w:rsid w:val="00DF68B4"/>
    <w:rsid w:val="00DF69B0"/>
    <w:rsid w:val="00DF6ABD"/>
    <w:rsid w:val="00DF6B09"/>
    <w:rsid w:val="00DF6CA2"/>
    <w:rsid w:val="00DF6ECF"/>
    <w:rsid w:val="00DF6EF6"/>
    <w:rsid w:val="00DF6F25"/>
    <w:rsid w:val="00DF6FE8"/>
    <w:rsid w:val="00DF7306"/>
    <w:rsid w:val="00DF735F"/>
    <w:rsid w:val="00DF7407"/>
    <w:rsid w:val="00DF75FF"/>
    <w:rsid w:val="00DF7619"/>
    <w:rsid w:val="00DF77A9"/>
    <w:rsid w:val="00DF788F"/>
    <w:rsid w:val="00DF7BFD"/>
    <w:rsid w:val="00DF7CB2"/>
    <w:rsid w:val="00DF7D1C"/>
    <w:rsid w:val="00DF7E34"/>
    <w:rsid w:val="00DF7EE8"/>
    <w:rsid w:val="00E00189"/>
    <w:rsid w:val="00E0032C"/>
    <w:rsid w:val="00E00A95"/>
    <w:rsid w:val="00E00E2F"/>
    <w:rsid w:val="00E01124"/>
    <w:rsid w:val="00E01381"/>
    <w:rsid w:val="00E0151A"/>
    <w:rsid w:val="00E0154C"/>
    <w:rsid w:val="00E017D3"/>
    <w:rsid w:val="00E01912"/>
    <w:rsid w:val="00E01A20"/>
    <w:rsid w:val="00E01B8E"/>
    <w:rsid w:val="00E01E67"/>
    <w:rsid w:val="00E01F27"/>
    <w:rsid w:val="00E02172"/>
    <w:rsid w:val="00E022E5"/>
    <w:rsid w:val="00E02473"/>
    <w:rsid w:val="00E02506"/>
    <w:rsid w:val="00E02778"/>
    <w:rsid w:val="00E0280C"/>
    <w:rsid w:val="00E02953"/>
    <w:rsid w:val="00E02A82"/>
    <w:rsid w:val="00E02EBB"/>
    <w:rsid w:val="00E02EE3"/>
    <w:rsid w:val="00E03373"/>
    <w:rsid w:val="00E03533"/>
    <w:rsid w:val="00E036AE"/>
    <w:rsid w:val="00E036FF"/>
    <w:rsid w:val="00E03AE0"/>
    <w:rsid w:val="00E03C32"/>
    <w:rsid w:val="00E03DF6"/>
    <w:rsid w:val="00E04128"/>
    <w:rsid w:val="00E042D8"/>
    <w:rsid w:val="00E04304"/>
    <w:rsid w:val="00E0472C"/>
    <w:rsid w:val="00E04B6E"/>
    <w:rsid w:val="00E04C9F"/>
    <w:rsid w:val="00E05390"/>
    <w:rsid w:val="00E05482"/>
    <w:rsid w:val="00E05490"/>
    <w:rsid w:val="00E05697"/>
    <w:rsid w:val="00E057F1"/>
    <w:rsid w:val="00E058AB"/>
    <w:rsid w:val="00E05937"/>
    <w:rsid w:val="00E059DC"/>
    <w:rsid w:val="00E059E2"/>
    <w:rsid w:val="00E05C4F"/>
    <w:rsid w:val="00E05EB5"/>
    <w:rsid w:val="00E05F61"/>
    <w:rsid w:val="00E05FFE"/>
    <w:rsid w:val="00E06133"/>
    <w:rsid w:val="00E062A7"/>
    <w:rsid w:val="00E063E8"/>
    <w:rsid w:val="00E064F2"/>
    <w:rsid w:val="00E065E6"/>
    <w:rsid w:val="00E06607"/>
    <w:rsid w:val="00E06720"/>
    <w:rsid w:val="00E06ADA"/>
    <w:rsid w:val="00E06B0B"/>
    <w:rsid w:val="00E06D71"/>
    <w:rsid w:val="00E070AA"/>
    <w:rsid w:val="00E07223"/>
    <w:rsid w:val="00E077CB"/>
    <w:rsid w:val="00E078E7"/>
    <w:rsid w:val="00E07A4B"/>
    <w:rsid w:val="00E07BD0"/>
    <w:rsid w:val="00E07EE7"/>
    <w:rsid w:val="00E07FB8"/>
    <w:rsid w:val="00E07FCA"/>
    <w:rsid w:val="00E100ED"/>
    <w:rsid w:val="00E10169"/>
    <w:rsid w:val="00E10540"/>
    <w:rsid w:val="00E105C6"/>
    <w:rsid w:val="00E10A12"/>
    <w:rsid w:val="00E10AEF"/>
    <w:rsid w:val="00E10C89"/>
    <w:rsid w:val="00E1103B"/>
    <w:rsid w:val="00E111DB"/>
    <w:rsid w:val="00E1122F"/>
    <w:rsid w:val="00E1169B"/>
    <w:rsid w:val="00E11828"/>
    <w:rsid w:val="00E11A2C"/>
    <w:rsid w:val="00E11AE8"/>
    <w:rsid w:val="00E11BF2"/>
    <w:rsid w:val="00E11CD2"/>
    <w:rsid w:val="00E11F5B"/>
    <w:rsid w:val="00E11FF8"/>
    <w:rsid w:val="00E12027"/>
    <w:rsid w:val="00E12171"/>
    <w:rsid w:val="00E12599"/>
    <w:rsid w:val="00E1262F"/>
    <w:rsid w:val="00E12C23"/>
    <w:rsid w:val="00E12D55"/>
    <w:rsid w:val="00E12DB7"/>
    <w:rsid w:val="00E12DBF"/>
    <w:rsid w:val="00E12E54"/>
    <w:rsid w:val="00E13486"/>
    <w:rsid w:val="00E13699"/>
    <w:rsid w:val="00E1396C"/>
    <w:rsid w:val="00E13BAF"/>
    <w:rsid w:val="00E13BB0"/>
    <w:rsid w:val="00E13E0F"/>
    <w:rsid w:val="00E13EC8"/>
    <w:rsid w:val="00E14170"/>
    <w:rsid w:val="00E141FF"/>
    <w:rsid w:val="00E142CD"/>
    <w:rsid w:val="00E144F9"/>
    <w:rsid w:val="00E14507"/>
    <w:rsid w:val="00E1472E"/>
    <w:rsid w:val="00E149F8"/>
    <w:rsid w:val="00E14B54"/>
    <w:rsid w:val="00E14C01"/>
    <w:rsid w:val="00E14E1F"/>
    <w:rsid w:val="00E15179"/>
    <w:rsid w:val="00E1530C"/>
    <w:rsid w:val="00E153F7"/>
    <w:rsid w:val="00E15653"/>
    <w:rsid w:val="00E15874"/>
    <w:rsid w:val="00E15A43"/>
    <w:rsid w:val="00E15AC0"/>
    <w:rsid w:val="00E15C66"/>
    <w:rsid w:val="00E15D80"/>
    <w:rsid w:val="00E15DA7"/>
    <w:rsid w:val="00E1622D"/>
    <w:rsid w:val="00E1626B"/>
    <w:rsid w:val="00E163E2"/>
    <w:rsid w:val="00E163EE"/>
    <w:rsid w:val="00E16646"/>
    <w:rsid w:val="00E16755"/>
    <w:rsid w:val="00E16881"/>
    <w:rsid w:val="00E168CE"/>
    <w:rsid w:val="00E169D8"/>
    <w:rsid w:val="00E16B6E"/>
    <w:rsid w:val="00E16B8F"/>
    <w:rsid w:val="00E16BE4"/>
    <w:rsid w:val="00E16E93"/>
    <w:rsid w:val="00E1710D"/>
    <w:rsid w:val="00E174F3"/>
    <w:rsid w:val="00E178E4"/>
    <w:rsid w:val="00E17AC8"/>
    <w:rsid w:val="00E17B44"/>
    <w:rsid w:val="00E17D8E"/>
    <w:rsid w:val="00E17DB1"/>
    <w:rsid w:val="00E17F11"/>
    <w:rsid w:val="00E17F7B"/>
    <w:rsid w:val="00E20854"/>
    <w:rsid w:val="00E20A62"/>
    <w:rsid w:val="00E20A75"/>
    <w:rsid w:val="00E20E3E"/>
    <w:rsid w:val="00E20FB7"/>
    <w:rsid w:val="00E2115E"/>
    <w:rsid w:val="00E213B3"/>
    <w:rsid w:val="00E21616"/>
    <w:rsid w:val="00E21639"/>
    <w:rsid w:val="00E2190B"/>
    <w:rsid w:val="00E21950"/>
    <w:rsid w:val="00E21B75"/>
    <w:rsid w:val="00E21CB6"/>
    <w:rsid w:val="00E225AA"/>
    <w:rsid w:val="00E22602"/>
    <w:rsid w:val="00E229E3"/>
    <w:rsid w:val="00E22A7C"/>
    <w:rsid w:val="00E22B3D"/>
    <w:rsid w:val="00E22BBC"/>
    <w:rsid w:val="00E22DFB"/>
    <w:rsid w:val="00E22EC7"/>
    <w:rsid w:val="00E23050"/>
    <w:rsid w:val="00E23184"/>
    <w:rsid w:val="00E231EB"/>
    <w:rsid w:val="00E23327"/>
    <w:rsid w:val="00E23631"/>
    <w:rsid w:val="00E236EB"/>
    <w:rsid w:val="00E239AD"/>
    <w:rsid w:val="00E23AD3"/>
    <w:rsid w:val="00E23CBD"/>
    <w:rsid w:val="00E23CED"/>
    <w:rsid w:val="00E23EF8"/>
    <w:rsid w:val="00E24482"/>
    <w:rsid w:val="00E24628"/>
    <w:rsid w:val="00E24868"/>
    <w:rsid w:val="00E24A9E"/>
    <w:rsid w:val="00E24DD7"/>
    <w:rsid w:val="00E24E4D"/>
    <w:rsid w:val="00E24FDB"/>
    <w:rsid w:val="00E2506E"/>
    <w:rsid w:val="00E2507A"/>
    <w:rsid w:val="00E25181"/>
    <w:rsid w:val="00E25629"/>
    <w:rsid w:val="00E25A8B"/>
    <w:rsid w:val="00E25BD0"/>
    <w:rsid w:val="00E262DE"/>
    <w:rsid w:val="00E2669A"/>
    <w:rsid w:val="00E26783"/>
    <w:rsid w:val="00E26802"/>
    <w:rsid w:val="00E26832"/>
    <w:rsid w:val="00E268FF"/>
    <w:rsid w:val="00E269C7"/>
    <w:rsid w:val="00E26EC7"/>
    <w:rsid w:val="00E270AC"/>
    <w:rsid w:val="00E27118"/>
    <w:rsid w:val="00E271AA"/>
    <w:rsid w:val="00E27414"/>
    <w:rsid w:val="00E27917"/>
    <w:rsid w:val="00E27965"/>
    <w:rsid w:val="00E27A77"/>
    <w:rsid w:val="00E27B7C"/>
    <w:rsid w:val="00E27BF6"/>
    <w:rsid w:val="00E27C6B"/>
    <w:rsid w:val="00E27E35"/>
    <w:rsid w:val="00E27F4C"/>
    <w:rsid w:val="00E27F79"/>
    <w:rsid w:val="00E27FEA"/>
    <w:rsid w:val="00E30096"/>
    <w:rsid w:val="00E304D8"/>
    <w:rsid w:val="00E304E6"/>
    <w:rsid w:val="00E30647"/>
    <w:rsid w:val="00E306F8"/>
    <w:rsid w:val="00E30744"/>
    <w:rsid w:val="00E30845"/>
    <w:rsid w:val="00E30ABE"/>
    <w:rsid w:val="00E30B07"/>
    <w:rsid w:val="00E30EE3"/>
    <w:rsid w:val="00E30F41"/>
    <w:rsid w:val="00E3110C"/>
    <w:rsid w:val="00E31124"/>
    <w:rsid w:val="00E31198"/>
    <w:rsid w:val="00E31220"/>
    <w:rsid w:val="00E312B9"/>
    <w:rsid w:val="00E3164C"/>
    <w:rsid w:val="00E3182F"/>
    <w:rsid w:val="00E31948"/>
    <w:rsid w:val="00E31973"/>
    <w:rsid w:val="00E31993"/>
    <w:rsid w:val="00E31A2A"/>
    <w:rsid w:val="00E31C22"/>
    <w:rsid w:val="00E31F9E"/>
    <w:rsid w:val="00E322C7"/>
    <w:rsid w:val="00E32350"/>
    <w:rsid w:val="00E32592"/>
    <w:rsid w:val="00E325EA"/>
    <w:rsid w:val="00E32621"/>
    <w:rsid w:val="00E32722"/>
    <w:rsid w:val="00E32831"/>
    <w:rsid w:val="00E3287D"/>
    <w:rsid w:val="00E32DFF"/>
    <w:rsid w:val="00E32E46"/>
    <w:rsid w:val="00E32F30"/>
    <w:rsid w:val="00E32F77"/>
    <w:rsid w:val="00E33048"/>
    <w:rsid w:val="00E330E1"/>
    <w:rsid w:val="00E3329B"/>
    <w:rsid w:val="00E3344B"/>
    <w:rsid w:val="00E334BD"/>
    <w:rsid w:val="00E33623"/>
    <w:rsid w:val="00E338DC"/>
    <w:rsid w:val="00E33A78"/>
    <w:rsid w:val="00E34014"/>
    <w:rsid w:val="00E34048"/>
    <w:rsid w:val="00E34090"/>
    <w:rsid w:val="00E34128"/>
    <w:rsid w:val="00E3466E"/>
    <w:rsid w:val="00E34763"/>
    <w:rsid w:val="00E348C2"/>
    <w:rsid w:val="00E349BB"/>
    <w:rsid w:val="00E34A30"/>
    <w:rsid w:val="00E34AAF"/>
    <w:rsid w:val="00E34B10"/>
    <w:rsid w:val="00E34D3A"/>
    <w:rsid w:val="00E34DD9"/>
    <w:rsid w:val="00E350CA"/>
    <w:rsid w:val="00E35120"/>
    <w:rsid w:val="00E35239"/>
    <w:rsid w:val="00E35333"/>
    <w:rsid w:val="00E353B6"/>
    <w:rsid w:val="00E3555E"/>
    <w:rsid w:val="00E35563"/>
    <w:rsid w:val="00E3556B"/>
    <w:rsid w:val="00E3570A"/>
    <w:rsid w:val="00E35784"/>
    <w:rsid w:val="00E3581D"/>
    <w:rsid w:val="00E358D6"/>
    <w:rsid w:val="00E35971"/>
    <w:rsid w:val="00E35F3C"/>
    <w:rsid w:val="00E360C0"/>
    <w:rsid w:val="00E360DE"/>
    <w:rsid w:val="00E361D4"/>
    <w:rsid w:val="00E3648A"/>
    <w:rsid w:val="00E36A34"/>
    <w:rsid w:val="00E36BB3"/>
    <w:rsid w:val="00E371ED"/>
    <w:rsid w:val="00E3750B"/>
    <w:rsid w:val="00E37590"/>
    <w:rsid w:val="00E37875"/>
    <w:rsid w:val="00E378A4"/>
    <w:rsid w:val="00E379B4"/>
    <w:rsid w:val="00E37EDB"/>
    <w:rsid w:val="00E37F7A"/>
    <w:rsid w:val="00E400F0"/>
    <w:rsid w:val="00E4086F"/>
    <w:rsid w:val="00E4088A"/>
    <w:rsid w:val="00E40CB6"/>
    <w:rsid w:val="00E414B3"/>
    <w:rsid w:val="00E4174B"/>
    <w:rsid w:val="00E41767"/>
    <w:rsid w:val="00E417DC"/>
    <w:rsid w:val="00E417F1"/>
    <w:rsid w:val="00E41932"/>
    <w:rsid w:val="00E41A7C"/>
    <w:rsid w:val="00E41DC8"/>
    <w:rsid w:val="00E41E38"/>
    <w:rsid w:val="00E41E72"/>
    <w:rsid w:val="00E41F54"/>
    <w:rsid w:val="00E41F7D"/>
    <w:rsid w:val="00E41FE9"/>
    <w:rsid w:val="00E42069"/>
    <w:rsid w:val="00E4229B"/>
    <w:rsid w:val="00E422A0"/>
    <w:rsid w:val="00E423C4"/>
    <w:rsid w:val="00E4246E"/>
    <w:rsid w:val="00E424D5"/>
    <w:rsid w:val="00E42737"/>
    <w:rsid w:val="00E4283E"/>
    <w:rsid w:val="00E42977"/>
    <w:rsid w:val="00E42C21"/>
    <w:rsid w:val="00E42CF7"/>
    <w:rsid w:val="00E42F89"/>
    <w:rsid w:val="00E43142"/>
    <w:rsid w:val="00E4332E"/>
    <w:rsid w:val="00E433AB"/>
    <w:rsid w:val="00E433BA"/>
    <w:rsid w:val="00E4365B"/>
    <w:rsid w:val="00E436BB"/>
    <w:rsid w:val="00E436BC"/>
    <w:rsid w:val="00E43711"/>
    <w:rsid w:val="00E4399C"/>
    <w:rsid w:val="00E43B3C"/>
    <w:rsid w:val="00E43C30"/>
    <w:rsid w:val="00E43EBA"/>
    <w:rsid w:val="00E44096"/>
    <w:rsid w:val="00E44465"/>
    <w:rsid w:val="00E4453C"/>
    <w:rsid w:val="00E44833"/>
    <w:rsid w:val="00E44C9F"/>
    <w:rsid w:val="00E44E9E"/>
    <w:rsid w:val="00E44FE3"/>
    <w:rsid w:val="00E45183"/>
    <w:rsid w:val="00E45381"/>
    <w:rsid w:val="00E454B4"/>
    <w:rsid w:val="00E457B3"/>
    <w:rsid w:val="00E45956"/>
    <w:rsid w:val="00E45C13"/>
    <w:rsid w:val="00E45CC9"/>
    <w:rsid w:val="00E45EAA"/>
    <w:rsid w:val="00E45FDC"/>
    <w:rsid w:val="00E45FE7"/>
    <w:rsid w:val="00E460E1"/>
    <w:rsid w:val="00E46660"/>
    <w:rsid w:val="00E4668A"/>
    <w:rsid w:val="00E466B6"/>
    <w:rsid w:val="00E469C9"/>
    <w:rsid w:val="00E46A95"/>
    <w:rsid w:val="00E46C74"/>
    <w:rsid w:val="00E46D4B"/>
    <w:rsid w:val="00E476F8"/>
    <w:rsid w:val="00E4772E"/>
    <w:rsid w:val="00E478DD"/>
    <w:rsid w:val="00E47DB0"/>
    <w:rsid w:val="00E50188"/>
    <w:rsid w:val="00E501C6"/>
    <w:rsid w:val="00E50523"/>
    <w:rsid w:val="00E50562"/>
    <w:rsid w:val="00E505C5"/>
    <w:rsid w:val="00E5065E"/>
    <w:rsid w:val="00E50A22"/>
    <w:rsid w:val="00E50A44"/>
    <w:rsid w:val="00E50B1A"/>
    <w:rsid w:val="00E50C95"/>
    <w:rsid w:val="00E50D21"/>
    <w:rsid w:val="00E50DA5"/>
    <w:rsid w:val="00E50FF9"/>
    <w:rsid w:val="00E512B7"/>
    <w:rsid w:val="00E515CB"/>
    <w:rsid w:val="00E517B2"/>
    <w:rsid w:val="00E51ACF"/>
    <w:rsid w:val="00E5202E"/>
    <w:rsid w:val="00E5205F"/>
    <w:rsid w:val="00E520E6"/>
    <w:rsid w:val="00E5212D"/>
    <w:rsid w:val="00E52257"/>
    <w:rsid w:val="00E52260"/>
    <w:rsid w:val="00E523B7"/>
    <w:rsid w:val="00E52515"/>
    <w:rsid w:val="00E5278C"/>
    <w:rsid w:val="00E527D0"/>
    <w:rsid w:val="00E528F0"/>
    <w:rsid w:val="00E529C2"/>
    <w:rsid w:val="00E52C01"/>
    <w:rsid w:val="00E52FEE"/>
    <w:rsid w:val="00E5320C"/>
    <w:rsid w:val="00E5330A"/>
    <w:rsid w:val="00E533FB"/>
    <w:rsid w:val="00E534E1"/>
    <w:rsid w:val="00E53560"/>
    <w:rsid w:val="00E537ED"/>
    <w:rsid w:val="00E5384F"/>
    <w:rsid w:val="00E5391B"/>
    <w:rsid w:val="00E53B3C"/>
    <w:rsid w:val="00E53B64"/>
    <w:rsid w:val="00E53CD0"/>
    <w:rsid w:val="00E53DD1"/>
    <w:rsid w:val="00E53F7B"/>
    <w:rsid w:val="00E53FBE"/>
    <w:rsid w:val="00E541AA"/>
    <w:rsid w:val="00E5423F"/>
    <w:rsid w:val="00E542C8"/>
    <w:rsid w:val="00E542E2"/>
    <w:rsid w:val="00E54306"/>
    <w:rsid w:val="00E5434A"/>
    <w:rsid w:val="00E54447"/>
    <w:rsid w:val="00E54495"/>
    <w:rsid w:val="00E54708"/>
    <w:rsid w:val="00E54823"/>
    <w:rsid w:val="00E54A46"/>
    <w:rsid w:val="00E54AE3"/>
    <w:rsid w:val="00E54D2B"/>
    <w:rsid w:val="00E55144"/>
    <w:rsid w:val="00E556FD"/>
    <w:rsid w:val="00E55860"/>
    <w:rsid w:val="00E558C0"/>
    <w:rsid w:val="00E55A23"/>
    <w:rsid w:val="00E55ACC"/>
    <w:rsid w:val="00E55DF5"/>
    <w:rsid w:val="00E55F46"/>
    <w:rsid w:val="00E565DC"/>
    <w:rsid w:val="00E56652"/>
    <w:rsid w:val="00E568E9"/>
    <w:rsid w:val="00E56C91"/>
    <w:rsid w:val="00E570CF"/>
    <w:rsid w:val="00E571EE"/>
    <w:rsid w:val="00E573B1"/>
    <w:rsid w:val="00E57426"/>
    <w:rsid w:val="00E57573"/>
    <w:rsid w:val="00E576F5"/>
    <w:rsid w:val="00E578CF"/>
    <w:rsid w:val="00E57AA0"/>
    <w:rsid w:val="00E57AB5"/>
    <w:rsid w:val="00E57AD8"/>
    <w:rsid w:val="00E57D65"/>
    <w:rsid w:val="00E57EE3"/>
    <w:rsid w:val="00E57EFD"/>
    <w:rsid w:val="00E57F19"/>
    <w:rsid w:val="00E60203"/>
    <w:rsid w:val="00E603CC"/>
    <w:rsid w:val="00E606B8"/>
    <w:rsid w:val="00E60739"/>
    <w:rsid w:val="00E609F2"/>
    <w:rsid w:val="00E60A52"/>
    <w:rsid w:val="00E60B2C"/>
    <w:rsid w:val="00E60C80"/>
    <w:rsid w:val="00E60D52"/>
    <w:rsid w:val="00E60DCE"/>
    <w:rsid w:val="00E60E44"/>
    <w:rsid w:val="00E61079"/>
    <w:rsid w:val="00E610A3"/>
    <w:rsid w:val="00E6115D"/>
    <w:rsid w:val="00E6174A"/>
    <w:rsid w:val="00E61BA9"/>
    <w:rsid w:val="00E61F44"/>
    <w:rsid w:val="00E621AD"/>
    <w:rsid w:val="00E62351"/>
    <w:rsid w:val="00E625D0"/>
    <w:rsid w:val="00E62A9B"/>
    <w:rsid w:val="00E62B19"/>
    <w:rsid w:val="00E62E39"/>
    <w:rsid w:val="00E62F79"/>
    <w:rsid w:val="00E6303C"/>
    <w:rsid w:val="00E631B2"/>
    <w:rsid w:val="00E63473"/>
    <w:rsid w:val="00E636CB"/>
    <w:rsid w:val="00E639B6"/>
    <w:rsid w:val="00E63B00"/>
    <w:rsid w:val="00E63B74"/>
    <w:rsid w:val="00E63CF8"/>
    <w:rsid w:val="00E6434B"/>
    <w:rsid w:val="00E6439B"/>
    <w:rsid w:val="00E6463D"/>
    <w:rsid w:val="00E64676"/>
    <w:rsid w:val="00E647A9"/>
    <w:rsid w:val="00E64A1F"/>
    <w:rsid w:val="00E64A96"/>
    <w:rsid w:val="00E64CC6"/>
    <w:rsid w:val="00E64EC4"/>
    <w:rsid w:val="00E65340"/>
    <w:rsid w:val="00E654F1"/>
    <w:rsid w:val="00E6565B"/>
    <w:rsid w:val="00E65D0D"/>
    <w:rsid w:val="00E65ECA"/>
    <w:rsid w:val="00E65F92"/>
    <w:rsid w:val="00E6609A"/>
    <w:rsid w:val="00E660DC"/>
    <w:rsid w:val="00E6610C"/>
    <w:rsid w:val="00E6637A"/>
    <w:rsid w:val="00E6639F"/>
    <w:rsid w:val="00E664BA"/>
    <w:rsid w:val="00E665A0"/>
    <w:rsid w:val="00E6689F"/>
    <w:rsid w:val="00E66995"/>
    <w:rsid w:val="00E66A01"/>
    <w:rsid w:val="00E66AB9"/>
    <w:rsid w:val="00E66D77"/>
    <w:rsid w:val="00E66ECF"/>
    <w:rsid w:val="00E67238"/>
    <w:rsid w:val="00E673E5"/>
    <w:rsid w:val="00E6753B"/>
    <w:rsid w:val="00E679BA"/>
    <w:rsid w:val="00E67BC2"/>
    <w:rsid w:val="00E67CAE"/>
    <w:rsid w:val="00E67DC7"/>
    <w:rsid w:val="00E67F3D"/>
    <w:rsid w:val="00E67F41"/>
    <w:rsid w:val="00E70014"/>
    <w:rsid w:val="00E700E6"/>
    <w:rsid w:val="00E70130"/>
    <w:rsid w:val="00E704C1"/>
    <w:rsid w:val="00E70807"/>
    <w:rsid w:val="00E70C50"/>
    <w:rsid w:val="00E70D0A"/>
    <w:rsid w:val="00E70EF9"/>
    <w:rsid w:val="00E70FAA"/>
    <w:rsid w:val="00E70FF4"/>
    <w:rsid w:val="00E7165E"/>
    <w:rsid w:val="00E716D0"/>
    <w:rsid w:val="00E719C3"/>
    <w:rsid w:val="00E71B31"/>
    <w:rsid w:val="00E71B5F"/>
    <w:rsid w:val="00E71D14"/>
    <w:rsid w:val="00E71D8A"/>
    <w:rsid w:val="00E71DCC"/>
    <w:rsid w:val="00E71EAC"/>
    <w:rsid w:val="00E7208E"/>
    <w:rsid w:val="00E72439"/>
    <w:rsid w:val="00E7256A"/>
    <w:rsid w:val="00E72818"/>
    <w:rsid w:val="00E72923"/>
    <w:rsid w:val="00E72E97"/>
    <w:rsid w:val="00E72E9B"/>
    <w:rsid w:val="00E72FB5"/>
    <w:rsid w:val="00E72FEC"/>
    <w:rsid w:val="00E73165"/>
    <w:rsid w:val="00E7361B"/>
    <w:rsid w:val="00E7388B"/>
    <w:rsid w:val="00E73A08"/>
    <w:rsid w:val="00E73B77"/>
    <w:rsid w:val="00E73E1D"/>
    <w:rsid w:val="00E73EC0"/>
    <w:rsid w:val="00E7406C"/>
    <w:rsid w:val="00E74246"/>
    <w:rsid w:val="00E7453C"/>
    <w:rsid w:val="00E748A0"/>
    <w:rsid w:val="00E74949"/>
    <w:rsid w:val="00E74A69"/>
    <w:rsid w:val="00E74D19"/>
    <w:rsid w:val="00E74DC1"/>
    <w:rsid w:val="00E75201"/>
    <w:rsid w:val="00E75232"/>
    <w:rsid w:val="00E75381"/>
    <w:rsid w:val="00E753C0"/>
    <w:rsid w:val="00E75856"/>
    <w:rsid w:val="00E75A8C"/>
    <w:rsid w:val="00E75B6D"/>
    <w:rsid w:val="00E75D36"/>
    <w:rsid w:val="00E75E69"/>
    <w:rsid w:val="00E75EAB"/>
    <w:rsid w:val="00E760CF"/>
    <w:rsid w:val="00E76190"/>
    <w:rsid w:val="00E76399"/>
    <w:rsid w:val="00E76969"/>
    <w:rsid w:val="00E76AF6"/>
    <w:rsid w:val="00E76D3A"/>
    <w:rsid w:val="00E76F30"/>
    <w:rsid w:val="00E771B3"/>
    <w:rsid w:val="00E774DB"/>
    <w:rsid w:val="00E77899"/>
    <w:rsid w:val="00E7796E"/>
    <w:rsid w:val="00E779A1"/>
    <w:rsid w:val="00E77B82"/>
    <w:rsid w:val="00E77C6C"/>
    <w:rsid w:val="00E77D2F"/>
    <w:rsid w:val="00E77F00"/>
    <w:rsid w:val="00E77F8C"/>
    <w:rsid w:val="00E800F1"/>
    <w:rsid w:val="00E801C7"/>
    <w:rsid w:val="00E80695"/>
    <w:rsid w:val="00E80736"/>
    <w:rsid w:val="00E80943"/>
    <w:rsid w:val="00E80946"/>
    <w:rsid w:val="00E80A0D"/>
    <w:rsid w:val="00E80B9A"/>
    <w:rsid w:val="00E80EA5"/>
    <w:rsid w:val="00E80F4B"/>
    <w:rsid w:val="00E81039"/>
    <w:rsid w:val="00E811C3"/>
    <w:rsid w:val="00E811D4"/>
    <w:rsid w:val="00E813B0"/>
    <w:rsid w:val="00E814BB"/>
    <w:rsid w:val="00E816AA"/>
    <w:rsid w:val="00E816CC"/>
    <w:rsid w:val="00E81750"/>
    <w:rsid w:val="00E817E8"/>
    <w:rsid w:val="00E81CEB"/>
    <w:rsid w:val="00E81E08"/>
    <w:rsid w:val="00E8220D"/>
    <w:rsid w:val="00E8227E"/>
    <w:rsid w:val="00E822B1"/>
    <w:rsid w:val="00E82469"/>
    <w:rsid w:val="00E824C8"/>
    <w:rsid w:val="00E82506"/>
    <w:rsid w:val="00E82576"/>
    <w:rsid w:val="00E825C7"/>
    <w:rsid w:val="00E82632"/>
    <w:rsid w:val="00E8264B"/>
    <w:rsid w:val="00E828D2"/>
    <w:rsid w:val="00E82907"/>
    <w:rsid w:val="00E82953"/>
    <w:rsid w:val="00E82AA5"/>
    <w:rsid w:val="00E82DAD"/>
    <w:rsid w:val="00E82F95"/>
    <w:rsid w:val="00E830B3"/>
    <w:rsid w:val="00E83290"/>
    <w:rsid w:val="00E8360C"/>
    <w:rsid w:val="00E836C4"/>
    <w:rsid w:val="00E838AA"/>
    <w:rsid w:val="00E8391A"/>
    <w:rsid w:val="00E83A28"/>
    <w:rsid w:val="00E83B32"/>
    <w:rsid w:val="00E83BE3"/>
    <w:rsid w:val="00E84046"/>
    <w:rsid w:val="00E840A3"/>
    <w:rsid w:val="00E840D2"/>
    <w:rsid w:val="00E84160"/>
    <w:rsid w:val="00E84241"/>
    <w:rsid w:val="00E847B5"/>
    <w:rsid w:val="00E8496C"/>
    <w:rsid w:val="00E849DA"/>
    <w:rsid w:val="00E849F0"/>
    <w:rsid w:val="00E84AB6"/>
    <w:rsid w:val="00E84B4B"/>
    <w:rsid w:val="00E850CC"/>
    <w:rsid w:val="00E850FD"/>
    <w:rsid w:val="00E855BA"/>
    <w:rsid w:val="00E858D0"/>
    <w:rsid w:val="00E85A8F"/>
    <w:rsid w:val="00E85AA7"/>
    <w:rsid w:val="00E85ACB"/>
    <w:rsid w:val="00E85D61"/>
    <w:rsid w:val="00E85EB6"/>
    <w:rsid w:val="00E85EEE"/>
    <w:rsid w:val="00E86462"/>
    <w:rsid w:val="00E86544"/>
    <w:rsid w:val="00E869CD"/>
    <w:rsid w:val="00E86A07"/>
    <w:rsid w:val="00E86D04"/>
    <w:rsid w:val="00E86ED1"/>
    <w:rsid w:val="00E86F8A"/>
    <w:rsid w:val="00E87954"/>
    <w:rsid w:val="00E879ED"/>
    <w:rsid w:val="00E87A4F"/>
    <w:rsid w:val="00E87BB7"/>
    <w:rsid w:val="00E87DFF"/>
    <w:rsid w:val="00E87E17"/>
    <w:rsid w:val="00E87ED7"/>
    <w:rsid w:val="00E87FEF"/>
    <w:rsid w:val="00E9013A"/>
    <w:rsid w:val="00E904E3"/>
    <w:rsid w:val="00E90649"/>
    <w:rsid w:val="00E906EE"/>
    <w:rsid w:val="00E9089F"/>
    <w:rsid w:val="00E9096D"/>
    <w:rsid w:val="00E90983"/>
    <w:rsid w:val="00E90BB2"/>
    <w:rsid w:val="00E90CFC"/>
    <w:rsid w:val="00E90D53"/>
    <w:rsid w:val="00E90F4A"/>
    <w:rsid w:val="00E91172"/>
    <w:rsid w:val="00E91250"/>
    <w:rsid w:val="00E91450"/>
    <w:rsid w:val="00E914EA"/>
    <w:rsid w:val="00E915D9"/>
    <w:rsid w:val="00E91AD3"/>
    <w:rsid w:val="00E91FFC"/>
    <w:rsid w:val="00E9210A"/>
    <w:rsid w:val="00E9214E"/>
    <w:rsid w:val="00E92456"/>
    <w:rsid w:val="00E92540"/>
    <w:rsid w:val="00E926C7"/>
    <w:rsid w:val="00E9275A"/>
    <w:rsid w:val="00E929A0"/>
    <w:rsid w:val="00E929C0"/>
    <w:rsid w:val="00E92F64"/>
    <w:rsid w:val="00E93243"/>
    <w:rsid w:val="00E9345D"/>
    <w:rsid w:val="00E935B7"/>
    <w:rsid w:val="00E936E1"/>
    <w:rsid w:val="00E937A7"/>
    <w:rsid w:val="00E93D29"/>
    <w:rsid w:val="00E93D95"/>
    <w:rsid w:val="00E93DFC"/>
    <w:rsid w:val="00E93E9F"/>
    <w:rsid w:val="00E94023"/>
    <w:rsid w:val="00E94059"/>
    <w:rsid w:val="00E941B0"/>
    <w:rsid w:val="00E94283"/>
    <w:rsid w:val="00E94481"/>
    <w:rsid w:val="00E94564"/>
    <w:rsid w:val="00E9462E"/>
    <w:rsid w:val="00E94747"/>
    <w:rsid w:val="00E94CC7"/>
    <w:rsid w:val="00E94EA1"/>
    <w:rsid w:val="00E94FBD"/>
    <w:rsid w:val="00E95011"/>
    <w:rsid w:val="00E95167"/>
    <w:rsid w:val="00E95224"/>
    <w:rsid w:val="00E952A7"/>
    <w:rsid w:val="00E9532F"/>
    <w:rsid w:val="00E95830"/>
    <w:rsid w:val="00E95B47"/>
    <w:rsid w:val="00E95D2B"/>
    <w:rsid w:val="00E95DD7"/>
    <w:rsid w:val="00E95E3E"/>
    <w:rsid w:val="00E95EAC"/>
    <w:rsid w:val="00E96086"/>
    <w:rsid w:val="00E96459"/>
    <w:rsid w:val="00E964EE"/>
    <w:rsid w:val="00E96564"/>
    <w:rsid w:val="00E96597"/>
    <w:rsid w:val="00E96777"/>
    <w:rsid w:val="00E969DC"/>
    <w:rsid w:val="00E96C03"/>
    <w:rsid w:val="00E96C04"/>
    <w:rsid w:val="00E96CEA"/>
    <w:rsid w:val="00E96ED4"/>
    <w:rsid w:val="00E970D7"/>
    <w:rsid w:val="00E97156"/>
    <w:rsid w:val="00E97373"/>
    <w:rsid w:val="00E973DC"/>
    <w:rsid w:val="00E975B8"/>
    <w:rsid w:val="00E976F7"/>
    <w:rsid w:val="00E97862"/>
    <w:rsid w:val="00E97A5E"/>
    <w:rsid w:val="00E97C2A"/>
    <w:rsid w:val="00E97E45"/>
    <w:rsid w:val="00EA04BC"/>
    <w:rsid w:val="00EA0535"/>
    <w:rsid w:val="00EA08DC"/>
    <w:rsid w:val="00EA0AE3"/>
    <w:rsid w:val="00EA0B0F"/>
    <w:rsid w:val="00EA0B81"/>
    <w:rsid w:val="00EA0BC2"/>
    <w:rsid w:val="00EA0C7D"/>
    <w:rsid w:val="00EA0D2F"/>
    <w:rsid w:val="00EA0D56"/>
    <w:rsid w:val="00EA0F5F"/>
    <w:rsid w:val="00EA0F68"/>
    <w:rsid w:val="00EA12BC"/>
    <w:rsid w:val="00EA1412"/>
    <w:rsid w:val="00EA17D9"/>
    <w:rsid w:val="00EA1A5B"/>
    <w:rsid w:val="00EA1E34"/>
    <w:rsid w:val="00EA25BC"/>
    <w:rsid w:val="00EA260A"/>
    <w:rsid w:val="00EA272A"/>
    <w:rsid w:val="00EA2879"/>
    <w:rsid w:val="00EA2E8F"/>
    <w:rsid w:val="00EA2F10"/>
    <w:rsid w:val="00EA36FF"/>
    <w:rsid w:val="00EA3703"/>
    <w:rsid w:val="00EA393A"/>
    <w:rsid w:val="00EA3968"/>
    <w:rsid w:val="00EA399A"/>
    <w:rsid w:val="00EA3EFD"/>
    <w:rsid w:val="00EA41CF"/>
    <w:rsid w:val="00EA4320"/>
    <w:rsid w:val="00EA449F"/>
    <w:rsid w:val="00EA4586"/>
    <w:rsid w:val="00EA45F5"/>
    <w:rsid w:val="00EA470E"/>
    <w:rsid w:val="00EA474E"/>
    <w:rsid w:val="00EA475B"/>
    <w:rsid w:val="00EA47A7"/>
    <w:rsid w:val="00EA488B"/>
    <w:rsid w:val="00EA4901"/>
    <w:rsid w:val="00EA498C"/>
    <w:rsid w:val="00EA4C04"/>
    <w:rsid w:val="00EA4F1A"/>
    <w:rsid w:val="00EA4F85"/>
    <w:rsid w:val="00EA53D6"/>
    <w:rsid w:val="00EA56F3"/>
    <w:rsid w:val="00EA57EB"/>
    <w:rsid w:val="00EA5C26"/>
    <w:rsid w:val="00EA5F50"/>
    <w:rsid w:val="00EA6096"/>
    <w:rsid w:val="00EA6286"/>
    <w:rsid w:val="00EA6359"/>
    <w:rsid w:val="00EA63BA"/>
    <w:rsid w:val="00EA6677"/>
    <w:rsid w:val="00EA689A"/>
    <w:rsid w:val="00EA6BDA"/>
    <w:rsid w:val="00EA6BE1"/>
    <w:rsid w:val="00EA6C00"/>
    <w:rsid w:val="00EA6DCC"/>
    <w:rsid w:val="00EA6FE4"/>
    <w:rsid w:val="00EA73F1"/>
    <w:rsid w:val="00EA74F1"/>
    <w:rsid w:val="00EA7636"/>
    <w:rsid w:val="00EA787D"/>
    <w:rsid w:val="00EA7BEF"/>
    <w:rsid w:val="00EA7CBC"/>
    <w:rsid w:val="00EB0072"/>
    <w:rsid w:val="00EB036C"/>
    <w:rsid w:val="00EB0400"/>
    <w:rsid w:val="00EB044E"/>
    <w:rsid w:val="00EB054C"/>
    <w:rsid w:val="00EB0CB1"/>
    <w:rsid w:val="00EB0CBF"/>
    <w:rsid w:val="00EB0CCA"/>
    <w:rsid w:val="00EB0D95"/>
    <w:rsid w:val="00EB0FE0"/>
    <w:rsid w:val="00EB0FF5"/>
    <w:rsid w:val="00EB10FB"/>
    <w:rsid w:val="00EB128C"/>
    <w:rsid w:val="00EB13B1"/>
    <w:rsid w:val="00EB1520"/>
    <w:rsid w:val="00EB162B"/>
    <w:rsid w:val="00EB19DF"/>
    <w:rsid w:val="00EB1A15"/>
    <w:rsid w:val="00EB1E43"/>
    <w:rsid w:val="00EB1F6F"/>
    <w:rsid w:val="00EB253D"/>
    <w:rsid w:val="00EB2657"/>
    <w:rsid w:val="00EB2691"/>
    <w:rsid w:val="00EB2713"/>
    <w:rsid w:val="00EB284A"/>
    <w:rsid w:val="00EB2886"/>
    <w:rsid w:val="00EB2A41"/>
    <w:rsid w:val="00EB2CCD"/>
    <w:rsid w:val="00EB2EE3"/>
    <w:rsid w:val="00EB31E2"/>
    <w:rsid w:val="00EB3226"/>
    <w:rsid w:val="00EB3228"/>
    <w:rsid w:val="00EB342E"/>
    <w:rsid w:val="00EB356E"/>
    <w:rsid w:val="00EB3601"/>
    <w:rsid w:val="00EB3794"/>
    <w:rsid w:val="00EB3965"/>
    <w:rsid w:val="00EB3A3E"/>
    <w:rsid w:val="00EB3BC0"/>
    <w:rsid w:val="00EB3E60"/>
    <w:rsid w:val="00EB41A8"/>
    <w:rsid w:val="00EB41D8"/>
    <w:rsid w:val="00EB42A0"/>
    <w:rsid w:val="00EB4540"/>
    <w:rsid w:val="00EB47B5"/>
    <w:rsid w:val="00EB47CD"/>
    <w:rsid w:val="00EB47EF"/>
    <w:rsid w:val="00EB4B49"/>
    <w:rsid w:val="00EB4C2F"/>
    <w:rsid w:val="00EB4F86"/>
    <w:rsid w:val="00EB59C5"/>
    <w:rsid w:val="00EB5AE6"/>
    <w:rsid w:val="00EB5AF2"/>
    <w:rsid w:val="00EB5C24"/>
    <w:rsid w:val="00EB5EF5"/>
    <w:rsid w:val="00EB6264"/>
    <w:rsid w:val="00EB63A4"/>
    <w:rsid w:val="00EB6417"/>
    <w:rsid w:val="00EB6459"/>
    <w:rsid w:val="00EB6524"/>
    <w:rsid w:val="00EB655D"/>
    <w:rsid w:val="00EB66CB"/>
    <w:rsid w:val="00EB6B26"/>
    <w:rsid w:val="00EB6B4C"/>
    <w:rsid w:val="00EB6FEC"/>
    <w:rsid w:val="00EB72CB"/>
    <w:rsid w:val="00EB7438"/>
    <w:rsid w:val="00EB7476"/>
    <w:rsid w:val="00EB7746"/>
    <w:rsid w:val="00EB774C"/>
    <w:rsid w:val="00EB77F9"/>
    <w:rsid w:val="00EB7966"/>
    <w:rsid w:val="00EB7979"/>
    <w:rsid w:val="00EB7ACA"/>
    <w:rsid w:val="00EB7C94"/>
    <w:rsid w:val="00EC00F3"/>
    <w:rsid w:val="00EC0156"/>
    <w:rsid w:val="00EC06B8"/>
    <w:rsid w:val="00EC0786"/>
    <w:rsid w:val="00EC088E"/>
    <w:rsid w:val="00EC0A30"/>
    <w:rsid w:val="00EC0B50"/>
    <w:rsid w:val="00EC0B6A"/>
    <w:rsid w:val="00EC114D"/>
    <w:rsid w:val="00EC1181"/>
    <w:rsid w:val="00EC13F9"/>
    <w:rsid w:val="00EC1555"/>
    <w:rsid w:val="00EC17D2"/>
    <w:rsid w:val="00EC1902"/>
    <w:rsid w:val="00EC19F7"/>
    <w:rsid w:val="00EC1A48"/>
    <w:rsid w:val="00EC1C3D"/>
    <w:rsid w:val="00EC213A"/>
    <w:rsid w:val="00EC2268"/>
    <w:rsid w:val="00EC22D5"/>
    <w:rsid w:val="00EC2485"/>
    <w:rsid w:val="00EC2C40"/>
    <w:rsid w:val="00EC2D16"/>
    <w:rsid w:val="00EC2D3B"/>
    <w:rsid w:val="00EC2D74"/>
    <w:rsid w:val="00EC2EA5"/>
    <w:rsid w:val="00EC30B6"/>
    <w:rsid w:val="00EC30BC"/>
    <w:rsid w:val="00EC332A"/>
    <w:rsid w:val="00EC37B7"/>
    <w:rsid w:val="00EC3987"/>
    <w:rsid w:val="00EC3B27"/>
    <w:rsid w:val="00EC3B2C"/>
    <w:rsid w:val="00EC3DBE"/>
    <w:rsid w:val="00EC3E1B"/>
    <w:rsid w:val="00EC40C7"/>
    <w:rsid w:val="00EC40C8"/>
    <w:rsid w:val="00EC425E"/>
    <w:rsid w:val="00EC4342"/>
    <w:rsid w:val="00EC4594"/>
    <w:rsid w:val="00EC48BE"/>
    <w:rsid w:val="00EC49EF"/>
    <w:rsid w:val="00EC4ADA"/>
    <w:rsid w:val="00EC4BD0"/>
    <w:rsid w:val="00EC4F59"/>
    <w:rsid w:val="00EC4F7D"/>
    <w:rsid w:val="00EC500A"/>
    <w:rsid w:val="00EC5042"/>
    <w:rsid w:val="00EC5074"/>
    <w:rsid w:val="00EC52B2"/>
    <w:rsid w:val="00EC5757"/>
    <w:rsid w:val="00EC5CD6"/>
    <w:rsid w:val="00EC5DDA"/>
    <w:rsid w:val="00EC5DFE"/>
    <w:rsid w:val="00EC5F47"/>
    <w:rsid w:val="00EC642D"/>
    <w:rsid w:val="00EC6450"/>
    <w:rsid w:val="00EC6603"/>
    <w:rsid w:val="00EC6690"/>
    <w:rsid w:val="00EC67CB"/>
    <w:rsid w:val="00EC6907"/>
    <w:rsid w:val="00EC6B59"/>
    <w:rsid w:val="00EC6DE1"/>
    <w:rsid w:val="00EC7070"/>
    <w:rsid w:val="00EC72F1"/>
    <w:rsid w:val="00EC731F"/>
    <w:rsid w:val="00EC734A"/>
    <w:rsid w:val="00EC743F"/>
    <w:rsid w:val="00EC7653"/>
    <w:rsid w:val="00EC7744"/>
    <w:rsid w:val="00EC785B"/>
    <w:rsid w:val="00EC7A7B"/>
    <w:rsid w:val="00EC7C41"/>
    <w:rsid w:val="00EC7DC9"/>
    <w:rsid w:val="00EC7F2A"/>
    <w:rsid w:val="00EC7F69"/>
    <w:rsid w:val="00ED02A6"/>
    <w:rsid w:val="00ED0412"/>
    <w:rsid w:val="00ED052F"/>
    <w:rsid w:val="00ED0712"/>
    <w:rsid w:val="00ED0816"/>
    <w:rsid w:val="00ED08B2"/>
    <w:rsid w:val="00ED0AF2"/>
    <w:rsid w:val="00ED0CCB"/>
    <w:rsid w:val="00ED0D01"/>
    <w:rsid w:val="00ED0DAD"/>
    <w:rsid w:val="00ED0E1E"/>
    <w:rsid w:val="00ED0F46"/>
    <w:rsid w:val="00ED0FAB"/>
    <w:rsid w:val="00ED1074"/>
    <w:rsid w:val="00ED1102"/>
    <w:rsid w:val="00ED12A2"/>
    <w:rsid w:val="00ED14C3"/>
    <w:rsid w:val="00ED156F"/>
    <w:rsid w:val="00ED17B7"/>
    <w:rsid w:val="00ED1B16"/>
    <w:rsid w:val="00ED1D3A"/>
    <w:rsid w:val="00ED1FC2"/>
    <w:rsid w:val="00ED20F6"/>
    <w:rsid w:val="00ED215D"/>
    <w:rsid w:val="00ED218D"/>
    <w:rsid w:val="00ED2373"/>
    <w:rsid w:val="00ED243F"/>
    <w:rsid w:val="00ED25E7"/>
    <w:rsid w:val="00ED263E"/>
    <w:rsid w:val="00ED2667"/>
    <w:rsid w:val="00ED268D"/>
    <w:rsid w:val="00ED27A4"/>
    <w:rsid w:val="00ED28B2"/>
    <w:rsid w:val="00ED2A19"/>
    <w:rsid w:val="00ED2B31"/>
    <w:rsid w:val="00ED2D44"/>
    <w:rsid w:val="00ED2D8C"/>
    <w:rsid w:val="00ED2E5F"/>
    <w:rsid w:val="00ED329D"/>
    <w:rsid w:val="00ED3560"/>
    <w:rsid w:val="00ED37EA"/>
    <w:rsid w:val="00ED394F"/>
    <w:rsid w:val="00ED39BB"/>
    <w:rsid w:val="00ED39E3"/>
    <w:rsid w:val="00ED3C0F"/>
    <w:rsid w:val="00ED3CF1"/>
    <w:rsid w:val="00ED3DA4"/>
    <w:rsid w:val="00ED40F5"/>
    <w:rsid w:val="00ED42FD"/>
    <w:rsid w:val="00ED4662"/>
    <w:rsid w:val="00ED4829"/>
    <w:rsid w:val="00ED4885"/>
    <w:rsid w:val="00ED4960"/>
    <w:rsid w:val="00ED4A5F"/>
    <w:rsid w:val="00ED4AC8"/>
    <w:rsid w:val="00ED5328"/>
    <w:rsid w:val="00ED53D7"/>
    <w:rsid w:val="00ED55B1"/>
    <w:rsid w:val="00ED5ADA"/>
    <w:rsid w:val="00ED5B07"/>
    <w:rsid w:val="00ED5B30"/>
    <w:rsid w:val="00ED5D30"/>
    <w:rsid w:val="00ED5E98"/>
    <w:rsid w:val="00ED5ED6"/>
    <w:rsid w:val="00ED679F"/>
    <w:rsid w:val="00ED6A1A"/>
    <w:rsid w:val="00ED6F1C"/>
    <w:rsid w:val="00ED6FF2"/>
    <w:rsid w:val="00ED72C5"/>
    <w:rsid w:val="00ED7372"/>
    <w:rsid w:val="00ED73EE"/>
    <w:rsid w:val="00ED76C1"/>
    <w:rsid w:val="00ED7891"/>
    <w:rsid w:val="00ED78E4"/>
    <w:rsid w:val="00ED79B4"/>
    <w:rsid w:val="00ED79CC"/>
    <w:rsid w:val="00ED7DC0"/>
    <w:rsid w:val="00ED7EA0"/>
    <w:rsid w:val="00EE0117"/>
    <w:rsid w:val="00EE01B7"/>
    <w:rsid w:val="00EE01C2"/>
    <w:rsid w:val="00EE01F5"/>
    <w:rsid w:val="00EE0346"/>
    <w:rsid w:val="00EE0373"/>
    <w:rsid w:val="00EE03BF"/>
    <w:rsid w:val="00EE04B7"/>
    <w:rsid w:val="00EE0692"/>
    <w:rsid w:val="00EE0773"/>
    <w:rsid w:val="00EE086F"/>
    <w:rsid w:val="00EE09CD"/>
    <w:rsid w:val="00EE0B7B"/>
    <w:rsid w:val="00EE0FC0"/>
    <w:rsid w:val="00EE1114"/>
    <w:rsid w:val="00EE136A"/>
    <w:rsid w:val="00EE1416"/>
    <w:rsid w:val="00EE1527"/>
    <w:rsid w:val="00EE15CA"/>
    <w:rsid w:val="00EE1672"/>
    <w:rsid w:val="00EE182E"/>
    <w:rsid w:val="00EE1916"/>
    <w:rsid w:val="00EE1922"/>
    <w:rsid w:val="00EE208B"/>
    <w:rsid w:val="00EE20A7"/>
    <w:rsid w:val="00EE20B7"/>
    <w:rsid w:val="00EE20F0"/>
    <w:rsid w:val="00EE249B"/>
    <w:rsid w:val="00EE2A2A"/>
    <w:rsid w:val="00EE2A4B"/>
    <w:rsid w:val="00EE2A85"/>
    <w:rsid w:val="00EE2B22"/>
    <w:rsid w:val="00EE2B74"/>
    <w:rsid w:val="00EE2BB2"/>
    <w:rsid w:val="00EE2D02"/>
    <w:rsid w:val="00EE2D81"/>
    <w:rsid w:val="00EE2D99"/>
    <w:rsid w:val="00EE2DED"/>
    <w:rsid w:val="00EE31CC"/>
    <w:rsid w:val="00EE33B4"/>
    <w:rsid w:val="00EE3ABB"/>
    <w:rsid w:val="00EE3DDB"/>
    <w:rsid w:val="00EE3E8A"/>
    <w:rsid w:val="00EE4154"/>
    <w:rsid w:val="00EE41F3"/>
    <w:rsid w:val="00EE43CB"/>
    <w:rsid w:val="00EE43E5"/>
    <w:rsid w:val="00EE4464"/>
    <w:rsid w:val="00EE468F"/>
    <w:rsid w:val="00EE46EA"/>
    <w:rsid w:val="00EE47E7"/>
    <w:rsid w:val="00EE4B52"/>
    <w:rsid w:val="00EE4B9A"/>
    <w:rsid w:val="00EE4BC5"/>
    <w:rsid w:val="00EE4CD5"/>
    <w:rsid w:val="00EE4CFA"/>
    <w:rsid w:val="00EE4F80"/>
    <w:rsid w:val="00EE4F82"/>
    <w:rsid w:val="00EE5316"/>
    <w:rsid w:val="00EE5318"/>
    <w:rsid w:val="00EE5342"/>
    <w:rsid w:val="00EE57AD"/>
    <w:rsid w:val="00EE57C3"/>
    <w:rsid w:val="00EE598A"/>
    <w:rsid w:val="00EE5B23"/>
    <w:rsid w:val="00EE5C68"/>
    <w:rsid w:val="00EE5CB5"/>
    <w:rsid w:val="00EE60AD"/>
    <w:rsid w:val="00EE6125"/>
    <w:rsid w:val="00EE6175"/>
    <w:rsid w:val="00EE64C0"/>
    <w:rsid w:val="00EE6935"/>
    <w:rsid w:val="00EE6945"/>
    <w:rsid w:val="00EE69EB"/>
    <w:rsid w:val="00EE6A5B"/>
    <w:rsid w:val="00EE6AF5"/>
    <w:rsid w:val="00EE6D3E"/>
    <w:rsid w:val="00EE6DA5"/>
    <w:rsid w:val="00EE6E8A"/>
    <w:rsid w:val="00EE6E93"/>
    <w:rsid w:val="00EE702D"/>
    <w:rsid w:val="00EE7BB8"/>
    <w:rsid w:val="00EE7D5E"/>
    <w:rsid w:val="00EE7DD5"/>
    <w:rsid w:val="00EE7EA6"/>
    <w:rsid w:val="00EE7EF8"/>
    <w:rsid w:val="00EF006B"/>
    <w:rsid w:val="00EF00F8"/>
    <w:rsid w:val="00EF01ED"/>
    <w:rsid w:val="00EF06E5"/>
    <w:rsid w:val="00EF090A"/>
    <w:rsid w:val="00EF0AF2"/>
    <w:rsid w:val="00EF0D30"/>
    <w:rsid w:val="00EF1249"/>
    <w:rsid w:val="00EF134C"/>
    <w:rsid w:val="00EF13BE"/>
    <w:rsid w:val="00EF14CF"/>
    <w:rsid w:val="00EF160B"/>
    <w:rsid w:val="00EF163B"/>
    <w:rsid w:val="00EF17A3"/>
    <w:rsid w:val="00EF1A40"/>
    <w:rsid w:val="00EF1BFF"/>
    <w:rsid w:val="00EF1E72"/>
    <w:rsid w:val="00EF21FE"/>
    <w:rsid w:val="00EF24C6"/>
    <w:rsid w:val="00EF2A33"/>
    <w:rsid w:val="00EF3247"/>
    <w:rsid w:val="00EF3913"/>
    <w:rsid w:val="00EF3A73"/>
    <w:rsid w:val="00EF3BD4"/>
    <w:rsid w:val="00EF3C43"/>
    <w:rsid w:val="00EF3D8C"/>
    <w:rsid w:val="00EF40B2"/>
    <w:rsid w:val="00EF41D5"/>
    <w:rsid w:val="00EF4243"/>
    <w:rsid w:val="00EF4913"/>
    <w:rsid w:val="00EF494B"/>
    <w:rsid w:val="00EF4EF8"/>
    <w:rsid w:val="00EF51E7"/>
    <w:rsid w:val="00EF5852"/>
    <w:rsid w:val="00EF59BB"/>
    <w:rsid w:val="00EF5E78"/>
    <w:rsid w:val="00EF5FC4"/>
    <w:rsid w:val="00EF611B"/>
    <w:rsid w:val="00EF6322"/>
    <w:rsid w:val="00EF6383"/>
    <w:rsid w:val="00EF6ECA"/>
    <w:rsid w:val="00EF6F84"/>
    <w:rsid w:val="00EF71FA"/>
    <w:rsid w:val="00EF750E"/>
    <w:rsid w:val="00EF7707"/>
    <w:rsid w:val="00EF7AD7"/>
    <w:rsid w:val="00EF7FB6"/>
    <w:rsid w:val="00EF7FED"/>
    <w:rsid w:val="00F0017F"/>
    <w:rsid w:val="00F001B2"/>
    <w:rsid w:val="00F0022B"/>
    <w:rsid w:val="00F006E9"/>
    <w:rsid w:val="00F008D1"/>
    <w:rsid w:val="00F008F8"/>
    <w:rsid w:val="00F00D0B"/>
    <w:rsid w:val="00F00D67"/>
    <w:rsid w:val="00F0172F"/>
    <w:rsid w:val="00F01801"/>
    <w:rsid w:val="00F018B1"/>
    <w:rsid w:val="00F019A2"/>
    <w:rsid w:val="00F019E5"/>
    <w:rsid w:val="00F01D1C"/>
    <w:rsid w:val="00F022C6"/>
    <w:rsid w:val="00F0241D"/>
    <w:rsid w:val="00F024E1"/>
    <w:rsid w:val="00F0258F"/>
    <w:rsid w:val="00F02740"/>
    <w:rsid w:val="00F028D9"/>
    <w:rsid w:val="00F02A24"/>
    <w:rsid w:val="00F02C65"/>
    <w:rsid w:val="00F02EF0"/>
    <w:rsid w:val="00F030E6"/>
    <w:rsid w:val="00F03310"/>
    <w:rsid w:val="00F036C7"/>
    <w:rsid w:val="00F03763"/>
    <w:rsid w:val="00F03B6F"/>
    <w:rsid w:val="00F03B7F"/>
    <w:rsid w:val="00F03C54"/>
    <w:rsid w:val="00F03DB6"/>
    <w:rsid w:val="00F04202"/>
    <w:rsid w:val="00F042B7"/>
    <w:rsid w:val="00F044DD"/>
    <w:rsid w:val="00F049F6"/>
    <w:rsid w:val="00F04C30"/>
    <w:rsid w:val="00F04C48"/>
    <w:rsid w:val="00F04F32"/>
    <w:rsid w:val="00F053E3"/>
    <w:rsid w:val="00F05894"/>
    <w:rsid w:val="00F05A58"/>
    <w:rsid w:val="00F05B58"/>
    <w:rsid w:val="00F05C3F"/>
    <w:rsid w:val="00F05D26"/>
    <w:rsid w:val="00F062E0"/>
    <w:rsid w:val="00F064EC"/>
    <w:rsid w:val="00F065D6"/>
    <w:rsid w:val="00F066A2"/>
    <w:rsid w:val="00F066E9"/>
    <w:rsid w:val="00F06888"/>
    <w:rsid w:val="00F06B93"/>
    <w:rsid w:val="00F06C10"/>
    <w:rsid w:val="00F06C9A"/>
    <w:rsid w:val="00F06CB0"/>
    <w:rsid w:val="00F06D6A"/>
    <w:rsid w:val="00F06E0D"/>
    <w:rsid w:val="00F06E1F"/>
    <w:rsid w:val="00F07069"/>
    <w:rsid w:val="00F072AA"/>
    <w:rsid w:val="00F07334"/>
    <w:rsid w:val="00F0778A"/>
    <w:rsid w:val="00F07C74"/>
    <w:rsid w:val="00F07EC4"/>
    <w:rsid w:val="00F07F48"/>
    <w:rsid w:val="00F1007D"/>
    <w:rsid w:val="00F1021E"/>
    <w:rsid w:val="00F10278"/>
    <w:rsid w:val="00F1029B"/>
    <w:rsid w:val="00F105AD"/>
    <w:rsid w:val="00F10902"/>
    <w:rsid w:val="00F1096F"/>
    <w:rsid w:val="00F10B43"/>
    <w:rsid w:val="00F10C96"/>
    <w:rsid w:val="00F10E02"/>
    <w:rsid w:val="00F10EFD"/>
    <w:rsid w:val="00F11328"/>
    <w:rsid w:val="00F1154F"/>
    <w:rsid w:val="00F1180F"/>
    <w:rsid w:val="00F11899"/>
    <w:rsid w:val="00F11BAF"/>
    <w:rsid w:val="00F11F9E"/>
    <w:rsid w:val="00F1244F"/>
    <w:rsid w:val="00F124F0"/>
    <w:rsid w:val="00F1251D"/>
    <w:rsid w:val="00F12589"/>
    <w:rsid w:val="00F12595"/>
    <w:rsid w:val="00F12874"/>
    <w:rsid w:val="00F12D3D"/>
    <w:rsid w:val="00F12D77"/>
    <w:rsid w:val="00F1319F"/>
    <w:rsid w:val="00F132DB"/>
    <w:rsid w:val="00F134D9"/>
    <w:rsid w:val="00F135DF"/>
    <w:rsid w:val="00F136FA"/>
    <w:rsid w:val="00F13DD7"/>
    <w:rsid w:val="00F13E39"/>
    <w:rsid w:val="00F13E96"/>
    <w:rsid w:val="00F13F94"/>
    <w:rsid w:val="00F14014"/>
    <w:rsid w:val="00F1403D"/>
    <w:rsid w:val="00F1409C"/>
    <w:rsid w:val="00F142B5"/>
    <w:rsid w:val="00F1463F"/>
    <w:rsid w:val="00F1492C"/>
    <w:rsid w:val="00F14A17"/>
    <w:rsid w:val="00F14B38"/>
    <w:rsid w:val="00F14EE4"/>
    <w:rsid w:val="00F153EB"/>
    <w:rsid w:val="00F1541B"/>
    <w:rsid w:val="00F154E7"/>
    <w:rsid w:val="00F155F2"/>
    <w:rsid w:val="00F15AC1"/>
    <w:rsid w:val="00F15C74"/>
    <w:rsid w:val="00F15DA0"/>
    <w:rsid w:val="00F15F42"/>
    <w:rsid w:val="00F15F97"/>
    <w:rsid w:val="00F162D5"/>
    <w:rsid w:val="00F1646A"/>
    <w:rsid w:val="00F16636"/>
    <w:rsid w:val="00F16B61"/>
    <w:rsid w:val="00F16C25"/>
    <w:rsid w:val="00F16FC5"/>
    <w:rsid w:val="00F1716A"/>
    <w:rsid w:val="00F1735F"/>
    <w:rsid w:val="00F178BE"/>
    <w:rsid w:val="00F17B7C"/>
    <w:rsid w:val="00F17C45"/>
    <w:rsid w:val="00F17CE8"/>
    <w:rsid w:val="00F17D77"/>
    <w:rsid w:val="00F208D8"/>
    <w:rsid w:val="00F20A0C"/>
    <w:rsid w:val="00F20A13"/>
    <w:rsid w:val="00F20EF5"/>
    <w:rsid w:val="00F2127C"/>
    <w:rsid w:val="00F2129D"/>
    <w:rsid w:val="00F21302"/>
    <w:rsid w:val="00F21761"/>
    <w:rsid w:val="00F21AB5"/>
    <w:rsid w:val="00F21B1D"/>
    <w:rsid w:val="00F21BB3"/>
    <w:rsid w:val="00F22199"/>
    <w:rsid w:val="00F223C3"/>
    <w:rsid w:val="00F223E1"/>
    <w:rsid w:val="00F2254B"/>
    <w:rsid w:val="00F227EC"/>
    <w:rsid w:val="00F229CC"/>
    <w:rsid w:val="00F22FDA"/>
    <w:rsid w:val="00F230A3"/>
    <w:rsid w:val="00F233B8"/>
    <w:rsid w:val="00F234C7"/>
    <w:rsid w:val="00F23731"/>
    <w:rsid w:val="00F237D3"/>
    <w:rsid w:val="00F23A1C"/>
    <w:rsid w:val="00F23E34"/>
    <w:rsid w:val="00F240A8"/>
    <w:rsid w:val="00F240E7"/>
    <w:rsid w:val="00F244AA"/>
    <w:rsid w:val="00F24560"/>
    <w:rsid w:val="00F24631"/>
    <w:rsid w:val="00F248AA"/>
    <w:rsid w:val="00F24945"/>
    <w:rsid w:val="00F24959"/>
    <w:rsid w:val="00F24B07"/>
    <w:rsid w:val="00F25049"/>
    <w:rsid w:val="00F252A5"/>
    <w:rsid w:val="00F252B7"/>
    <w:rsid w:val="00F25844"/>
    <w:rsid w:val="00F26141"/>
    <w:rsid w:val="00F26364"/>
    <w:rsid w:val="00F26403"/>
    <w:rsid w:val="00F26C66"/>
    <w:rsid w:val="00F26D8E"/>
    <w:rsid w:val="00F26DB6"/>
    <w:rsid w:val="00F26EB6"/>
    <w:rsid w:val="00F26F12"/>
    <w:rsid w:val="00F270B7"/>
    <w:rsid w:val="00F27112"/>
    <w:rsid w:val="00F273A7"/>
    <w:rsid w:val="00F27519"/>
    <w:rsid w:val="00F276F8"/>
    <w:rsid w:val="00F278BB"/>
    <w:rsid w:val="00F27AA0"/>
    <w:rsid w:val="00F27BDF"/>
    <w:rsid w:val="00F27CBC"/>
    <w:rsid w:val="00F27CCF"/>
    <w:rsid w:val="00F27DFF"/>
    <w:rsid w:val="00F27E65"/>
    <w:rsid w:val="00F3034A"/>
    <w:rsid w:val="00F30357"/>
    <w:rsid w:val="00F30AC1"/>
    <w:rsid w:val="00F30BC5"/>
    <w:rsid w:val="00F31688"/>
    <w:rsid w:val="00F31AF4"/>
    <w:rsid w:val="00F31B8B"/>
    <w:rsid w:val="00F31E0B"/>
    <w:rsid w:val="00F31FC3"/>
    <w:rsid w:val="00F31FF0"/>
    <w:rsid w:val="00F321DE"/>
    <w:rsid w:val="00F32226"/>
    <w:rsid w:val="00F3235B"/>
    <w:rsid w:val="00F3277D"/>
    <w:rsid w:val="00F32912"/>
    <w:rsid w:val="00F32B1F"/>
    <w:rsid w:val="00F32B65"/>
    <w:rsid w:val="00F32D55"/>
    <w:rsid w:val="00F32E0F"/>
    <w:rsid w:val="00F32E48"/>
    <w:rsid w:val="00F3328F"/>
    <w:rsid w:val="00F333A3"/>
    <w:rsid w:val="00F33664"/>
    <w:rsid w:val="00F33751"/>
    <w:rsid w:val="00F33777"/>
    <w:rsid w:val="00F337EE"/>
    <w:rsid w:val="00F33FDD"/>
    <w:rsid w:val="00F34006"/>
    <w:rsid w:val="00F34032"/>
    <w:rsid w:val="00F343F0"/>
    <w:rsid w:val="00F345FA"/>
    <w:rsid w:val="00F34606"/>
    <w:rsid w:val="00F347FB"/>
    <w:rsid w:val="00F348E4"/>
    <w:rsid w:val="00F349D0"/>
    <w:rsid w:val="00F34C17"/>
    <w:rsid w:val="00F34C5F"/>
    <w:rsid w:val="00F34C6E"/>
    <w:rsid w:val="00F34E12"/>
    <w:rsid w:val="00F34FD9"/>
    <w:rsid w:val="00F34FF0"/>
    <w:rsid w:val="00F35009"/>
    <w:rsid w:val="00F352B0"/>
    <w:rsid w:val="00F352DC"/>
    <w:rsid w:val="00F354F3"/>
    <w:rsid w:val="00F3560D"/>
    <w:rsid w:val="00F3572C"/>
    <w:rsid w:val="00F358CE"/>
    <w:rsid w:val="00F35AC7"/>
    <w:rsid w:val="00F35CC5"/>
    <w:rsid w:val="00F35E7E"/>
    <w:rsid w:val="00F35F0E"/>
    <w:rsid w:val="00F35F25"/>
    <w:rsid w:val="00F360F9"/>
    <w:rsid w:val="00F36482"/>
    <w:rsid w:val="00F36483"/>
    <w:rsid w:val="00F3655D"/>
    <w:rsid w:val="00F36D0D"/>
    <w:rsid w:val="00F36D7C"/>
    <w:rsid w:val="00F36E0F"/>
    <w:rsid w:val="00F36F57"/>
    <w:rsid w:val="00F37612"/>
    <w:rsid w:val="00F376B6"/>
    <w:rsid w:val="00F37862"/>
    <w:rsid w:val="00F37AA4"/>
    <w:rsid w:val="00F37CA0"/>
    <w:rsid w:val="00F37FA0"/>
    <w:rsid w:val="00F400B2"/>
    <w:rsid w:val="00F401EE"/>
    <w:rsid w:val="00F40274"/>
    <w:rsid w:val="00F40397"/>
    <w:rsid w:val="00F403EE"/>
    <w:rsid w:val="00F404A6"/>
    <w:rsid w:val="00F405E6"/>
    <w:rsid w:val="00F40648"/>
    <w:rsid w:val="00F4069D"/>
    <w:rsid w:val="00F40CCB"/>
    <w:rsid w:val="00F40D41"/>
    <w:rsid w:val="00F40E17"/>
    <w:rsid w:val="00F40ED8"/>
    <w:rsid w:val="00F41007"/>
    <w:rsid w:val="00F4186A"/>
    <w:rsid w:val="00F4194C"/>
    <w:rsid w:val="00F4196D"/>
    <w:rsid w:val="00F4204E"/>
    <w:rsid w:val="00F4218B"/>
    <w:rsid w:val="00F423E1"/>
    <w:rsid w:val="00F425D0"/>
    <w:rsid w:val="00F42831"/>
    <w:rsid w:val="00F4289E"/>
    <w:rsid w:val="00F429A5"/>
    <w:rsid w:val="00F42A48"/>
    <w:rsid w:val="00F42C94"/>
    <w:rsid w:val="00F42CAF"/>
    <w:rsid w:val="00F42D11"/>
    <w:rsid w:val="00F42F7C"/>
    <w:rsid w:val="00F42FA3"/>
    <w:rsid w:val="00F43242"/>
    <w:rsid w:val="00F434EA"/>
    <w:rsid w:val="00F43608"/>
    <w:rsid w:val="00F439AD"/>
    <w:rsid w:val="00F43CDD"/>
    <w:rsid w:val="00F43DB8"/>
    <w:rsid w:val="00F43F1D"/>
    <w:rsid w:val="00F43F9E"/>
    <w:rsid w:val="00F4402A"/>
    <w:rsid w:val="00F443AE"/>
    <w:rsid w:val="00F4441F"/>
    <w:rsid w:val="00F4443B"/>
    <w:rsid w:val="00F44534"/>
    <w:rsid w:val="00F44ECD"/>
    <w:rsid w:val="00F44ED4"/>
    <w:rsid w:val="00F450A8"/>
    <w:rsid w:val="00F450AE"/>
    <w:rsid w:val="00F452CA"/>
    <w:rsid w:val="00F4531E"/>
    <w:rsid w:val="00F459BF"/>
    <w:rsid w:val="00F45D3D"/>
    <w:rsid w:val="00F45D54"/>
    <w:rsid w:val="00F45D63"/>
    <w:rsid w:val="00F45E5F"/>
    <w:rsid w:val="00F45E67"/>
    <w:rsid w:val="00F46177"/>
    <w:rsid w:val="00F4625D"/>
    <w:rsid w:val="00F46C6F"/>
    <w:rsid w:val="00F46CE7"/>
    <w:rsid w:val="00F46F2B"/>
    <w:rsid w:val="00F47025"/>
    <w:rsid w:val="00F471D6"/>
    <w:rsid w:val="00F47216"/>
    <w:rsid w:val="00F474F9"/>
    <w:rsid w:val="00F4752D"/>
    <w:rsid w:val="00F4768C"/>
    <w:rsid w:val="00F47767"/>
    <w:rsid w:val="00F477F5"/>
    <w:rsid w:val="00F479FE"/>
    <w:rsid w:val="00F47B76"/>
    <w:rsid w:val="00F47BD7"/>
    <w:rsid w:val="00F47C04"/>
    <w:rsid w:val="00F47DA2"/>
    <w:rsid w:val="00F47DA7"/>
    <w:rsid w:val="00F47F9D"/>
    <w:rsid w:val="00F50028"/>
    <w:rsid w:val="00F504FA"/>
    <w:rsid w:val="00F5050B"/>
    <w:rsid w:val="00F507B4"/>
    <w:rsid w:val="00F5096A"/>
    <w:rsid w:val="00F50A8A"/>
    <w:rsid w:val="00F50C4A"/>
    <w:rsid w:val="00F50E60"/>
    <w:rsid w:val="00F50F50"/>
    <w:rsid w:val="00F5124B"/>
    <w:rsid w:val="00F513BF"/>
    <w:rsid w:val="00F516BE"/>
    <w:rsid w:val="00F518B7"/>
    <w:rsid w:val="00F519FC"/>
    <w:rsid w:val="00F51BE9"/>
    <w:rsid w:val="00F51F81"/>
    <w:rsid w:val="00F52238"/>
    <w:rsid w:val="00F52318"/>
    <w:rsid w:val="00F52388"/>
    <w:rsid w:val="00F52527"/>
    <w:rsid w:val="00F52AC7"/>
    <w:rsid w:val="00F52ADA"/>
    <w:rsid w:val="00F52B46"/>
    <w:rsid w:val="00F530BD"/>
    <w:rsid w:val="00F5315D"/>
    <w:rsid w:val="00F5317C"/>
    <w:rsid w:val="00F53236"/>
    <w:rsid w:val="00F53569"/>
    <w:rsid w:val="00F5362F"/>
    <w:rsid w:val="00F537D0"/>
    <w:rsid w:val="00F53842"/>
    <w:rsid w:val="00F538CC"/>
    <w:rsid w:val="00F53985"/>
    <w:rsid w:val="00F539C1"/>
    <w:rsid w:val="00F53BA6"/>
    <w:rsid w:val="00F53BD0"/>
    <w:rsid w:val="00F53D77"/>
    <w:rsid w:val="00F5405F"/>
    <w:rsid w:val="00F54297"/>
    <w:rsid w:val="00F542A4"/>
    <w:rsid w:val="00F54399"/>
    <w:rsid w:val="00F54701"/>
    <w:rsid w:val="00F5482D"/>
    <w:rsid w:val="00F548E5"/>
    <w:rsid w:val="00F54960"/>
    <w:rsid w:val="00F54B72"/>
    <w:rsid w:val="00F54CED"/>
    <w:rsid w:val="00F54D39"/>
    <w:rsid w:val="00F54D5E"/>
    <w:rsid w:val="00F54DA6"/>
    <w:rsid w:val="00F54E7F"/>
    <w:rsid w:val="00F55372"/>
    <w:rsid w:val="00F554DE"/>
    <w:rsid w:val="00F55A7D"/>
    <w:rsid w:val="00F55B3A"/>
    <w:rsid w:val="00F55D22"/>
    <w:rsid w:val="00F55D74"/>
    <w:rsid w:val="00F560D8"/>
    <w:rsid w:val="00F56670"/>
    <w:rsid w:val="00F5671A"/>
    <w:rsid w:val="00F569CA"/>
    <w:rsid w:val="00F56AB3"/>
    <w:rsid w:val="00F56B96"/>
    <w:rsid w:val="00F56BD0"/>
    <w:rsid w:val="00F56E4B"/>
    <w:rsid w:val="00F56E9C"/>
    <w:rsid w:val="00F56EF7"/>
    <w:rsid w:val="00F57152"/>
    <w:rsid w:val="00F57269"/>
    <w:rsid w:val="00F57915"/>
    <w:rsid w:val="00F5799D"/>
    <w:rsid w:val="00F57A52"/>
    <w:rsid w:val="00F57C12"/>
    <w:rsid w:val="00F57C84"/>
    <w:rsid w:val="00F57F74"/>
    <w:rsid w:val="00F6004A"/>
    <w:rsid w:val="00F603EA"/>
    <w:rsid w:val="00F604A8"/>
    <w:rsid w:val="00F608A8"/>
    <w:rsid w:val="00F60C7B"/>
    <w:rsid w:val="00F60DD5"/>
    <w:rsid w:val="00F60DEB"/>
    <w:rsid w:val="00F60E62"/>
    <w:rsid w:val="00F60F84"/>
    <w:rsid w:val="00F614FE"/>
    <w:rsid w:val="00F61677"/>
    <w:rsid w:val="00F61855"/>
    <w:rsid w:val="00F61CDE"/>
    <w:rsid w:val="00F61E20"/>
    <w:rsid w:val="00F62053"/>
    <w:rsid w:val="00F6239D"/>
    <w:rsid w:val="00F625C4"/>
    <w:rsid w:val="00F627B3"/>
    <w:rsid w:val="00F62C23"/>
    <w:rsid w:val="00F62CC6"/>
    <w:rsid w:val="00F62CD3"/>
    <w:rsid w:val="00F62FDF"/>
    <w:rsid w:val="00F630C1"/>
    <w:rsid w:val="00F63263"/>
    <w:rsid w:val="00F6329D"/>
    <w:rsid w:val="00F632DB"/>
    <w:rsid w:val="00F633B8"/>
    <w:rsid w:val="00F6354C"/>
    <w:rsid w:val="00F63587"/>
    <w:rsid w:val="00F635D7"/>
    <w:rsid w:val="00F6365C"/>
    <w:rsid w:val="00F63BAE"/>
    <w:rsid w:val="00F63CBD"/>
    <w:rsid w:val="00F643AD"/>
    <w:rsid w:val="00F6458D"/>
    <w:rsid w:val="00F6478D"/>
    <w:rsid w:val="00F6479C"/>
    <w:rsid w:val="00F649B0"/>
    <w:rsid w:val="00F64A54"/>
    <w:rsid w:val="00F64AE0"/>
    <w:rsid w:val="00F64BDE"/>
    <w:rsid w:val="00F64C15"/>
    <w:rsid w:val="00F64C4D"/>
    <w:rsid w:val="00F64D3C"/>
    <w:rsid w:val="00F64E30"/>
    <w:rsid w:val="00F64E8B"/>
    <w:rsid w:val="00F64EB3"/>
    <w:rsid w:val="00F6526F"/>
    <w:rsid w:val="00F653FD"/>
    <w:rsid w:val="00F655EC"/>
    <w:rsid w:val="00F65605"/>
    <w:rsid w:val="00F6580F"/>
    <w:rsid w:val="00F65F6C"/>
    <w:rsid w:val="00F66006"/>
    <w:rsid w:val="00F66486"/>
    <w:rsid w:val="00F66527"/>
    <w:rsid w:val="00F6665F"/>
    <w:rsid w:val="00F666F0"/>
    <w:rsid w:val="00F66715"/>
    <w:rsid w:val="00F66885"/>
    <w:rsid w:val="00F66AC8"/>
    <w:rsid w:val="00F66C25"/>
    <w:rsid w:val="00F671DA"/>
    <w:rsid w:val="00F67422"/>
    <w:rsid w:val="00F674DE"/>
    <w:rsid w:val="00F67548"/>
    <w:rsid w:val="00F676D1"/>
    <w:rsid w:val="00F67C36"/>
    <w:rsid w:val="00F67E6F"/>
    <w:rsid w:val="00F67F05"/>
    <w:rsid w:val="00F7026F"/>
    <w:rsid w:val="00F707CE"/>
    <w:rsid w:val="00F707EE"/>
    <w:rsid w:val="00F70C9E"/>
    <w:rsid w:val="00F70E11"/>
    <w:rsid w:val="00F70EB3"/>
    <w:rsid w:val="00F71155"/>
    <w:rsid w:val="00F713C7"/>
    <w:rsid w:val="00F71468"/>
    <w:rsid w:val="00F715D2"/>
    <w:rsid w:val="00F71675"/>
    <w:rsid w:val="00F71DA5"/>
    <w:rsid w:val="00F71F51"/>
    <w:rsid w:val="00F7207E"/>
    <w:rsid w:val="00F7244D"/>
    <w:rsid w:val="00F725BE"/>
    <w:rsid w:val="00F7265F"/>
    <w:rsid w:val="00F7274A"/>
    <w:rsid w:val="00F7274F"/>
    <w:rsid w:val="00F72BFC"/>
    <w:rsid w:val="00F72BFD"/>
    <w:rsid w:val="00F72C63"/>
    <w:rsid w:val="00F72C75"/>
    <w:rsid w:val="00F72DA6"/>
    <w:rsid w:val="00F72DE1"/>
    <w:rsid w:val="00F72E2F"/>
    <w:rsid w:val="00F7331D"/>
    <w:rsid w:val="00F7344E"/>
    <w:rsid w:val="00F734F4"/>
    <w:rsid w:val="00F735E6"/>
    <w:rsid w:val="00F737FB"/>
    <w:rsid w:val="00F73CB0"/>
    <w:rsid w:val="00F73DB1"/>
    <w:rsid w:val="00F73E1E"/>
    <w:rsid w:val="00F73F65"/>
    <w:rsid w:val="00F741DC"/>
    <w:rsid w:val="00F745A4"/>
    <w:rsid w:val="00F74A03"/>
    <w:rsid w:val="00F74C28"/>
    <w:rsid w:val="00F74DDE"/>
    <w:rsid w:val="00F750BC"/>
    <w:rsid w:val="00F751C0"/>
    <w:rsid w:val="00F753A1"/>
    <w:rsid w:val="00F75652"/>
    <w:rsid w:val="00F7571F"/>
    <w:rsid w:val="00F757B1"/>
    <w:rsid w:val="00F75842"/>
    <w:rsid w:val="00F75A0C"/>
    <w:rsid w:val="00F75B7C"/>
    <w:rsid w:val="00F75C76"/>
    <w:rsid w:val="00F75CE4"/>
    <w:rsid w:val="00F75D54"/>
    <w:rsid w:val="00F7655A"/>
    <w:rsid w:val="00F765A3"/>
    <w:rsid w:val="00F767B9"/>
    <w:rsid w:val="00F7680C"/>
    <w:rsid w:val="00F76D1D"/>
    <w:rsid w:val="00F76D51"/>
    <w:rsid w:val="00F76FA8"/>
    <w:rsid w:val="00F77040"/>
    <w:rsid w:val="00F7718D"/>
    <w:rsid w:val="00F772B9"/>
    <w:rsid w:val="00F7736A"/>
    <w:rsid w:val="00F776CB"/>
    <w:rsid w:val="00F77936"/>
    <w:rsid w:val="00F7799F"/>
    <w:rsid w:val="00F77B1B"/>
    <w:rsid w:val="00F77BF0"/>
    <w:rsid w:val="00F77D7D"/>
    <w:rsid w:val="00F77D8D"/>
    <w:rsid w:val="00F77EA7"/>
    <w:rsid w:val="00F77EAD"/>
    <w:rsid w:val="00F77F1D"/>
    <w:rsid w:val="00F80968"/>
    <w:rsid w:val="00F809CA"/>
    <w:rsid w:val="00F80AD3"/>
    <w:rsid w:val="00F80B26"/>
    <w:rsid w:val="00F80B38"/>
    <w:rsid w:val="00F80F3D"/>
    <w:rsid w:val="00F81237"/>
    <w:rsid w:val="00F812E4"/>
    <w:rsid w:val="00F81525"/>
    <w:rsid w:val="00F817E0"/>
    <w:rsid w:val="00F817E6"/>
    <w:rsid w:val="00F8194C"/>
    <w:rsid w:val="00F81A0D"/>
    <w:rsid w:val="00F81A29"/>
    <w:rsid w:val="00F81CCD"/>
    <w:rsid w:val="00F81DCE"/>
    <w:rsid w:val="00F81FB0"/>
    <w:rsid w:val="00F82102"/>
    <w:rsid w:val="00F82155"/>
    <w:rsid w:val="00F8218E"/>
    <w:rsid w:val="00F8246E"/>
    <w:rsid w:val="00F8248C"/>
    <w:rsid w:val="00F8250F"/>
    <w:rsid w:val="00F8264A"/>
    <w:rsid w:val="00F82C43"/>
    <w:rsid w:val="00F82E1C"/>
    <w:rsid w:val="00F82E9A"/>
    <w:rsid w:val="00F83847"/>
    <w:rsid w:val="00F83D58"/>
    <w:rsid w:val="00F83F06"/>
    <w:rsid w:val="00F83FDA"/>
    <w:rsid w:val="00F84011"/>
    <w:rsid w:val="00F84019"/>
    <w:rsid w:val="00F8407C"/>
    <w:rsid w:val="00F84515"/>
    <w:rsid w:val="00F84786"/>
    <w:rsid w:val="00F84A0F"/>
    <w:rsid w:val="00F84D00"/>
    <w:rsid w:val="00F84DE6"/>
    <w:rsid w:val="00F84FD4"/>
    <w:rsid w:val="00F85072"/>
    <w:rsid w:val="00F850A5"/>
    <w:rsid w:val="00F8519E"/>
    <w:rsid w:val="00F85354"/>
    <w:rsid w:val="00F8535D"/>
    <w:rsid w:val="00F8538C"/>
    <w:rsid w:val="00F85567"/>
    <w:rsid w:val="00F855A9"/>
    <w:rsid w:val="00F855BA"/>
    <w:rsid w:val="00F8576C"/>
    <w:rsid w:val="00F857E3"/>
    <w:rsid w:val="00F858DC"/>
    <w:rsid w:val="00F85AB7"/>
    <w:rsid w:val="00F85B39"/>
    <w:rsid w:val="00F85C5A"/>
    <w:rsid w:val="00F85C83"/>
    <w:rsid w:val="00F8622A"/>
    <w:rsid w:val="00F86343"/>
    <w:rsid w:val="00F86393"/>
    <w:rsid w:val="00F86595"/>
    <w:rsid w:val="00F865A0"/>
    <w:rsid w:val="00F86C7E"/>
    <w:rsid w:val="00F86E6F"/>
    <w:rsid w:val="00F86F38"/>
    <w:rsid w:val="00F87048"/>
    <w:rsid w:val="00F870F1"/>
    <w:rsid w:val="00F87144"/>
    <w:rsid w:val="00F87190"/>
    <w:rsid w:val="00F871A1"/>
    <w:rsid w:val="00F873DF"/>
    <w:rsid w:val="00F875F3"/>
    <w:rsid w:val="00F87B7C"/>
    <w:rsid w:val="00F87C65"/>
    <w:rsid w:val="00F87DA1"/>
    <w:rsid w:val="00F87EBF"/>
    <w:rsid w:val="00F9000B"/>
    <w:rsid w:val="00F90394"/>
    <w:rsid w:val="00F9045F"/>
    <w:rsid w:val="00F9055D"/>
    <w:rsid w:val="00F905D9"/>
    <w:rsid w:val="00F90E00"/>
    <w:rsid w:val="00F90FD1"/>
    <w:rsid w:val="00F91034"/>
    <w:rsid w:val="00F91042"/>
    <w:rsid w:val="00F914CC"/>
    <w:rsid w:val="00F91528"/>
    <w:rsid w:val="00F915E9"/>
    <w:rsid w:val="00F9197D"/>
    <w:rsid w:val="00F91B04"/>
    <w:rsid w:val="00F91B45"/>
    <w:rsid w:val="00F91BBB"/>
    <w:rsid w:val="00F91C3C"/>
    <w:rsid w:val="00F91E09"/>
    <w:rsid w:val="00F92043"/>
    <w:rsid w:val="00F92178"/>
    <w:rsid w:val="00F921C7"/>
    <w:rsid w:val="00F92299"/>
    <w:rsid w:val="00F926E8"/>
    <w:rsid w:val="00F92707"/>
    <w:rsid w:val="00F93327"/>
    <w:rsid w:val="00F9338D"/>
    <w:rsid w:val="00F9369F"/>
    <w:rsid w:val="00F93992"/>
    <w:rsid w:val="00F93C17"/>
    <w:rsid w:val="00F93C60"/>
    <w:rsid w:val="00F93C9E"/>
    <w:rsid w:val="00F93CCE"/>
    <w:rsid w:val="00F93F08"/>
    <w:rsid w:val="00F9408F"/>
    <w:rsid w:val="00F94090"/>
    <w:rsid w:val="00F94281"/>
    <w:rsid w:val="00F9430C"/>
    <w:rsid w:val="00F943C1"/>
    <w:rsid w:val="00F944AE"/>
    <w:rsid w:val="00F94734"/>
    <w:rsid w:val="00F94BFC"/>
    <w:rsid w:val="00F94CED"/>
    <w:rsid w:val="00F94E52"/>
    <w:rsid w:val="00F94E99"/>
    <w:rsid w:val="00F94EB0"/>
    <w:rsid w:val="00F95172"/>
    <w:rsid w:val="00F9517D"/>
    <w:rsid w:val="00F952A8"/>
    <w:rsid w:val="00F952C4"/>
    <w:rsid w:val="00F95A80"/>
    <w:rsid w:val="00F95B90"/>
    <w:rsid w:val="00F95BF8"/>
    <w:rsid w:val="00F95D63"/>
    <w:rsid w:val="00F95DF1"/>
    <w:rsid w:val="00F95F73"/>
    <w:rsid w:val="00F962DC"/>
    <w:rsid w:val="00F964B6"/>
    <w:rsid w:val="00F9650E"/>
    <w:rsid w:val="00F9655A"/>
    <w:rsid w:val="00F96576"/>
    <w:rsid w:val="00F96660"/>
    <w:rsid w:val="00F966D6"/>
    <w:rsid w:val="00F96829"/>
    <w:rsid w:val="00F9696E"/>
    <w:rsid w:val="00F96A17"/>
    <w:rsid w:val="00F96D3C"/>
    <w:rsid w:val="00F96DCF"/>
    <w:rsid w:val="00F9718A"/>
    <w:rsid w:val="00F97317"/>
    <w:rsid w:val="00F97549"/>
    <w:rsid w:val="00F975AF"/>
    <w:rsid w:val="00F9764E"/>
    <w:rsid w:val="00F97685"/>
    <w:rsid w:val="00F9784A"/>
    <w:rsid w:val="00F97985"/>
    <w:rsid w:val="00F97C6E"/>
    <w:rsid w:val="00F97CBB"/>
    <w:rsid w:val="00F97CF9"/>
    <w:rsid w:val="00F97E2A"/>
    <w:rsid w:val="00F97E87"/>
    <w:rsid w:val="00F97E8A"/>
    <w:rsid w:val="00FA0401"/>
    <w:rsid w:val="00FA0557"/>
    <w:rsid w:val="00FA0701"/>
    <w:rsid w:val="00FA0A98"/>
    <w:rsid w:val="00FA0B84"/>
    <w:rsid w:val="00FA0DAD"/>
    <w:rsid w:val="00FA1032"/>
    <w:rsid w:val="00FA130C"/>
    <w:rsid w:val="00FA13BE"/>
    <w:rsid w:val="00FA18B0"/>
    <w:rsid w:val="00FA18E8"/>
    <w:rsid w:val="00FA18FC"/>
    <w:rsid w:val="00FA19BE"/>
    <w:rsid w:val="00FA2395"/>
    <w:rsid w:val="00FA2403"/>
    <w:rsid w:val="00FA25B9"/>
    <w:rsid w:val="00FA2639"/>
    <w:rsid w:val="00FA2772"/>
    <w:rsid w:val="00FA2846"/>
    <w:rsid w:val="00FA2C04"/>
    <w:rsid w:val="00FA2C76"/>
    <w:rsid w:val="00FA2CEE"/>
    <w:rsid w:val="00FA2DAD"/>
    <w:rsid w:val="00FA2E51"/>
    <w:rsid w:val="00FA2F09"/>
    <w:rsid w:val="00FA318C"/>
    <w:rsid w:val="00FA35F9"/>
    <w:rsid w:val="00FA3601"/>
    <w:rsid w:val="00FA3945"/>
    <w:rsid w:val="00FA3C2D"/>
    <w:rsid w:val="00FA3DC0"/>
    <w:rsid w:val="00FA4788"/>
    <w:rsid w:val="00FA49E6"/>
    <w:rsid w:val="00FA4B74"/>
    <w:rsid w:val="00FA4CA7"/>
    <w:rsid w:val="00FA5234"/>
    <w:rsid w:val="00FA5503"/>
    <w:rsid w:val="00FA577A"/>
    <w:rsid w:val="00FA5BB0"/>
    <w:rsid w:val="00FA5C12"/>
    <w:rsid w:val="00FA5E53"/>
    <w:rsid w:val="00FA62D3"/>
    <w:rsid w:val="00FA6395"/>
    <w:rsid w:val="00FA6646"/>
    <w:rsid w:val="00FA665C"/>
    <w:rsid w:val="00FA68DE"/>
    <w:rsid w:val="00FA6CD4"/>
    <w:rsid w:val="00FA6FA9"/>
    <w:rsid w:val="00FA6FEF"/>
    <w:rsid w:val="00FA7295"/>
    <w:rsid w:val="00FA73A8"/>
    <w:rsid w:val="00FA7504"/>
    <w:rsid w:val="00FA75CF"/>
    <w:rsid w:val="00FA761B"/>
    <w:rsid w:val="00FA770C"/>
    <w:rsid w:val="00FA77BF"/>
    <w:rsid w:val="00FA79BD"/>
    <w:rsid w:val="00FA79FE"/>
    <w:rsid w:val="00FA7A25"/>
    <w:rsid w:val="00FA7D27"/>
    <w:rsid w:val="00FB006E"/>
    <w:rsid w:val="00FB059C"/>
    <w:rsid w:val="00FB06BE"/>
    <w:rsid w:val="00FB09F3"/>
    <w:rsid w:val="00FB0C05"/>
    <w:rsid w:val="00FB0E2D"/>
    <w:rsid w:val="00FB0E8B"/>
    <w:rsid w:val="00FB1089"/>
    <w:rsid w:val="00FB12B0"/>
    <w:rsid w:val="00FB1361"/>
    <w:rsid w:val="00FB1427"/>
    <w:rsid w:val="00FB1692"/>
    <w:rsid w:val="00FB1835"/>
    <w:rsid w:val="00FB19EE"/>
    <w:rsid w:val="00FB1A59"/>
    <w:rsid w:val="00FB1D01"/>
    <w:rsid w:val="00FB1FD3"/>
    <w:rsid w:val="00FB207B"/>
    <w:rsid w:val="00FB239B"/>
    <w:rsid w:val="00FB24C2"/>
    <w:rsid w:val="00FB27CE"/>
    <w:rsid w:val="00FB284C"/>
    <w:rsid w:val="00FB28BF"/>
    <w:rsid w:val="00FB327B"/>
    <w:rsid w:val="00FB343E"/>
    <w:rsid w:val="00FB3836"/>
    <w:rsid w:val="00FB3A94"/>
    <w:rsid w:val="00FB3B40"/>
    <w:rsid w:val="00FB411B"/>
    <w:rsid w:val="00FB4418"/>
    <w:rsid w:val="00FB452E"/>
    <w:rsid w:val="00FB474B"/>
    <w:rsid w:val="00FB489C"/>
    <w:rsid w:val="00FB4921"/>
    <w:rsid w:val="00FB4E1D"/>
    <w:rsid w:val="00FB5030"/>
    <w:rsid w:val="00FB53C1"/>
    <w:rsid w:val="00FB5601"/>
    <w:rsid w:val="00FB5DCD"/>
    <w:rsid w:val="00FB6308"/>
    <w:rsid w:val="00FB6711"/>
    <w:rsid w:val="00FB6A43"/>
    <w:rsid w:val="00FB6D0D"/>
    <w:rsid w:val="00FB6EA8"/>
    <w:rsid w:val="00FB6F92"/>
    <w:rsid w:val="00FB7506"/>
    <w:rsid w:val="00FB7539"/>
    <w:rsid w:val="00FB75F0"/>
    <w:rsid w:val="00FB769F"/>
    <w:rsid w:val="00FB781A"/>
    <w:rsid w:val="00FB7949"/>
    <w:rsid w:val="00FB7ACA"/>
    <w:rsid w:val="00FB7B43"/>
    <w:rsid w:val="00FB7C97"/>
    <w:rsid w:val="00FB7F3A"/>
    <w:rsid w:val="00FC026E"/>
    <w:rsid w:val="00FC0370"/>
    <w:rsid w:val="00FC0517"/>
    <w:rsid w:val="00FC07ED"/>
    <w:rsid w:val="00FC098D"/>
    <w:rsid w:val="00FC09BC"/>
    <w:rsid w:val="00FC09C4"/>
    <w:rsid w:val="00FC0A91"/>
    <w:rsid w:val="00FC0BFD"/>
    <w:rsid w:val="00FC1032"/>
    <w:rsid w:val="00FC1405"/>
    <w:rsid w:val="00FC18DF"/>
    <w:rsid w:val="00FC1A2E"/>
    <w:rsid w:val="00FC1B14"/>
    <w:rsid w:val="00FC1C49"/>
    <w:rsid w:val="00FC1E0E"/>
    <w:rsid w:val="00FC1E19"/>
    <w:rsid w:val="00FC1E43"/>
    <w:rsid w:val="00FC2099"/>
    <w:rsid w:val="00FC20C0"/>
    <w:rsid w:val="00FC2176"/>
    <w:rsid w:val="00FC231D"/>
    <w:rsid w:val="00FC23D5"/>
    <w:rsid w:val="00FC245E"/>
    <w:rsid w:val="00FC28F7"/>
    <w:rsid w:val="00FC2C0B"/>
    <w:rsid w:val="00FC3085"/>
    <w:rsid w:val="00FC3123"/>
    <w:rsid w:val="00FC3497"/>
    <w:rsid w:val="00FC3A42"/>
    <w:rsid w:val="00FC3B61"/>
    <w:rsid w:val="00FC4127"/>
    <w:rsid w:val="00FC443B"/>
    <w:rsid w:val="00FC450A"/>
    <w:rsid w:val="00FC46FF"/>
    <w:rsid w:val="00FC4BA1"/>
    <w:rsid w:val="00FC4BFF"/>
    <w:rsid w:val="00FC4DB3"/>
    <w:rsid w:val="00FC4DEE"/>
    <w:rsid w:val="00FC4F0C"/>
    <w:rsid w:val="00FC509A"/>
    <w:rsid w:val="00FC5124"/>
    <w:rsid w:val="00FC5420"/>
    <w:rsid w:val="00FC5724"/>
    <w:rsid w:val="00FC5961"/>
    <w:rsid w:val="00FC5D53"/>
    <w:rsid w:val="00FC5D89"/>
    <w:rsid w:val="00FC5E56"/>
    <w:rsid w:val="00FC5F71"/>
    <w:rsid w:val="00FC63B0"/>
    <w:rsid w:val="00FC6815"/>
    <w:rsid w:val="00FC6AA2"/>
    <w:rsid w:val="00FC6FC4"/>
    <w:rsid w:val="00FC7297"/>
    <w:rsid w:val="00FC72ED"/>
    <w:rsid w:val="00FC7384"/>
    <w:rsid w:val="00FC75EE"/>
    <w:rsid w:val="00FC76D2"/>
    <w:rsid w:val="00FC7778"/>
    <w:rsid w:val="00FC7B84"/>
    <w:rsid w:val="00FC7EB5"/>
    <w:rsid w:val="00FD0126"/>
    <w:rsid w:val="00FD0151"/>
    <w:rsid w:val="00FD01DA"/>
    <w:rsid w:val="00FD045D"/>
    <w:rsid w:val="00FD0CD5"/>
    <w:rsid w:val="00FD133D"/>
    <w:rsid w:val="00FD136A"/>
    <w:rsid w:val="00FD14ED"/>
    <w:rsid w:val="00FD1629"/>
    <w:rsid w:val="00FD1666"/>
    <w:rsid w:val="00FD16C3"/>
    <w:rsid w:val="00FD1715"/>
    <w:rsid w:val="00FD1779"/>
    <w:rsid w:val="00FD191D"/>
    <w:rsid w:val="00FD1BE5"/>
    <w:rsid w:val="00FD1CA7"/>
    <w:rsid w:val="00FD1D14"/>
    <w:rsid w:val="00FD1D9C"/>
    <w:rsid w:val="00FD1EAA"/>
    <w:rsid w:val="00FD1F51"/>
    <w:rsid w:val="00FD20B4"/>
    <w:rsid w:val="00FD22AC"/>
    <w:rsid w:val="00FD2355"/>
    <w:rsid w:val="00FD2437"/>
    <w:rsid w:val="00FD27C8"/>
    <w:rsid w:val="00FD28C8"/>
    <w:rsid w:val="00FD29F5"/>
    <w:rsid w:val="00FD2A1D"/>
    <w:rsid w:val="00FD2AB1"/>
    <w:rsid w:val="00FD2F5C"/>
    <w:rsid w:val="00FD3A8E"/>
    <w:rsid w:val="00FD3B1F"/>
    <w:rsid w:val="00FD3B79"/>
    <w:rsid w:val="00FD3C1F"/>
    <w:rsid w:val="00FD3C29"/>
    <w:rsid w:val="00FD3D83"/>
    <w:rsid w:val="00FD3EE3"/>
    <w:rsid w:val="00FD4143"/>
    <w:rsid w:val="00FD4278"/>
    <w:rsid w:val="00FD436D"/>
    <w:rsid w:val="00FD465F"/>
    <w:rsid w:val="00FD4695"/>
    <w:rsid w:val="00FD4731"/>
    <w:rsid w:val="00FD4D50"/>
    <w:rsid w:val="00FD4E1E"/>
    <w:rsid w:val="00FD4F28"/>
    <w:rsid w:val="00FD527D"/>
    <w:rsid w:val="00FD5744"/>
    <w:rsid w:val="00FD5D24"/>
    <w:rsid w:val="00FD5DA5"/>
    <w:rsid w:val="00FD5E22"/>
    <w:rsid w:val="00FD6039"/>
    <w:rsid w:val="00FD608B"/>
    <w:rsid w:val="00FD6406"/>
    <w:rsid w:val="00FD6415"/>
    <w:rsid w:val="00FD646F"/>
    <w:rsid w:val="00FD64CD"/>
    <w:rsid w:val="00FD6751"/>
    <w:rsid w:val="00FD6B1C"/>
    <w:rsid w:val="00FD6C81"/>
    <w:rsid w:val="00FD6CD7"/>
    <w:rsid w:val="00FD6D85"/>
    <w:rsid w:val="00FD6E75"/>
    <w:rsid w:val="00FD6E90"/>
    <w:rsid w:val="00FD6F57"/>
    <w:rsid w:val="00FD6FA9"/>
    <w:rsid w:val="00FD7221"/>
    <w:rsid w:val="00FD726E"/>
    <w:rsid w:val="00FD72A7"/>
    <w:rsid w:val="00FD7439"/>
    <w:rsid w:val="00FD7977"/>
    <w:rsid w:val="00FD79D5"/>
    <w:rsid w:val="00FD7A8C"/>
    <w:rsid w:val="00FE03BF"/>
    <w:rsid w:val="00FE043E"/>
    <w:rsid w:val="00FE04E1"/>
    <w:rsid w:val="00FE0534"/>
    <w:rsid w:val="00FE06F8"/>
    <w:rsid w:val="00FE0968"/>
    <w:rsid w:val="00FE09F7"/>
    <w:rsid w:val="00FE0B36"/>
    <w:rsid w:val="00FE0BD6"/>
    <w:rsid w:val="00FE0C7A"/>
    <w:rsid w:val="00FE0EDA"/>
    <w:rsid w:val="00FE0F15"/>
    <w:rsid w:val="00FE1262"/>
    <w:rsid w:val="00FE127C"/>
    <w:rsid w:val="00FE17A9"/>
    <w:rsid w:val="00FE1A1E"/>
    <w:rsid w:val="00FE1B97"/>
    <w:rsid w:val="00FE1BB1"/>
    <w:rsid w:val="00FE1C9B"/>
    <w:rsid w:val="00FE1FC4"/>
    <w:rsid w:val="00FE292F"/>
    <w:rsid w:val="00FE2987"/>
    <w:rsid w:val="00FE2995"/>
    <w:rsid w:val="00FE2AA4"/>
    <w:rsid w:val="00FE2CCE"/>
    <w:rsid w:val="00FE2D57"/>
    <w:rsid w:val="00FE308C"/>
    <w:rsid w:val="00FE3452"/>
    <w:rsid w:val="00FE389F"/>
    <w:rsid w:val="00FE397E"/>
    <w:rsid w:val="00FE3E7E"/>
    <w:rsid w:val="00FE4151"/>
    <w:rsid w:val="00FE42A5"/>
    <w:rsid w:val="00FE4340"/>
    <w:rsid w:val="00FE45F1"/>
    <w:rsid w:val="00FE49F1"/>
    <w:rsid w:val="00FE4BF2"/>
    <w:rsid w:val="00FE4EB3"/>
    <w:rsid w:val="00FE4F14"/>
    <w:rsid w:val="00FE50E1"/>
    <w:rsid w:val="00FE51F9"/>
    <w:rsid w:val="00FE5698"/>
    <w:rsid w:val="00FE5B77"/>
    <w:rsid w:val="00FE5BD5"/>
    <w:rsid w:val="00FE5F27"/>
    <w:rsid w:val="00FE5F5B"/>
    <w:rsid w:val="00FE6006"/>
    <w:rsid w:val="00FE6093"/>
    <w:rsid w:val="00FE6104"/>
    <w:rsid w:val="00FE645E"/>
    <w:rsid w:val="00FE668D"/>
    <w:rsid w:val="00FE6690"/>
    <w:rsid w:val="00FE6768"/>
    <w:rsid w:val="00FE6934"/>
    <w:rsid w:val="00FE6DC1"/>
    <w:rsid w:val="00FE6DF9"/>
    <w:rsid w:val="00FE6F96"/>
    <w:rsid w:val="00FE7091"/>
    <w:rsid w:val="00FE712C"/>
    <w:rsid w:val="00FE738C"/>
    <w:rsid w:val="00FE7414"/>
    <w:rsid w:val="00FE7526"/>
    <w:rsid w:val="00FE7AFB"/>
    <w:rsid w:val="00FE7D28"/>
    <w:rsid w:val="00FE7D4E"/>
    <w:rsid w:val="00FE7F8D"/>
    <w:rsid w:val="00FF0018"/>
    <w:rsid w:val="00FF01D0"/>
    <w:rsid w:val="00FF0322"/>
    <w:rsid w:val="00FF044D"/>
    <w:rsid w:val="00FF0582"/>
    <w:rsid w:val="00FF06B6"/>
    <w:rsid w:val="00FF0AB0"/>
    <w:rsid w:val="00FF0BD8"/>
    <w:rsid w:val="00FF0D40"/>
    <w:rsid w:val="00FF0D41"/>
    <w:rsid w:val="00FF0DE1"/>
    <w:rsid w:val="00FF104E"/>
    <w:rsid w:val="00FF1302"/>
    <w:rsid w:val="00FF13CE"/>
    <w:rsid w:val="00FF14D6"/>
    <w:rsid w:val="00FF159A"/>
    <w:rsid w:val="00FF15C6"/>
    <w:rsid w:val="00FF1DF6"/>
    <w:rsid w:val="00FF1E13"/>
    <w:rsid w:val="00FF1F0F"/>
    <w:rsid w:val="00FF1F40"/>
    <w:rsid w:val="00FF1F88"/>
    <w:rsid w:val="00FF2078"/>
    <w:rsid w:val="00FF20C0"/>
    <w:rsid w:val="00FF21BA"/>
    <w:rsid w:val="00FF2697"/>
    <w:rsid w:val="00FF275F"/>
    <w:rsid w:val="00FF280F"/>
    <w:rsid w:val="00FF28AC"/>
    <w:rsid w:val="00FF2A67"/>
    <w:rsid w:val="00FF2ABD"/>
    <w:rsid w:val="00FF2E6E"/>
    <w:rsid w:val="00FF30F3"/>
    <w:rsid w:val="00FF324B"/>
    <w:rsid w:val="00FF3291"/>
    <w:rsid w:val="00FF32AF"/>
    <w:rsid w:val="00FF3650"/>
    <w:rsid w:val="00FF37E3"/>
    <w:rsid w:val="00FF3B3D"/>
    <w:rsid w:val="00FF4117"/>
    <w:rsid w:val="00FF434C"/>
    <w:rsid w:val="00FF44A4"/>
    <w:rsid w:val="00FF44B7"/>
    <w:rsid w:val="00FF44C9"/>
    <w:rsid w:val="00FF4797"/>
    <w:rsid w:val="00FF47A6"/>
    <w:rsid w:val="00FF4839"/>
    <w:rsid w:val="00FF4E5F"/>
    <w:rsid w:val="00FF507E"/>
    <w:rsid w:val="00FF51B1"/>
    <w:rsid w:val="00FF51CC"/>
    <w:rsid w:val="00FF5343"/>
    <w:rsid w:val="00FF546B"/>
    <w:rsid w:val="00FF5574"/>
    <w:rsid w:val="00FF561C"/>
    <w:rsid w:val="00FF5662"/>
    <w:rsid w:val="00FF575F"/>
    <w:rsid w:val="00FF57CF"/>
    <w:rsid w:val="00FF5823"/>
    <w:rsid w:val="00FF58C0"/>
    <w:rsid w:val="00FF5BFD"/>
    <w:rsid w:val="00FF5EBC"/>
    <w:rsid w:val="00FF5F85"/>
    <w:rsid w:val="00FF6056"/>
    <w:rsid w:val="00FF6058"/>
    <w:rsid w:val="00FF60D1"/>
    <w:rsid w:val="00FF615D"/>
    <w:rsid w:val="00FF6183"/>
    <w:rsid w:val="00FF6393"/>
    <w:rsid w:val="00FF66A9"/>
    <w:rsid w:val="00FF6A10"/>
    <w:rsid w:val="00FF6ACD"/>
    <w:rsid w:val="00FF6FDB"/>
    <w:rsid w:val="00FF7040"/>
    <w:rsid w:val="00FF7337"/>
    <w:rsid w:val="00FF748E"/>
    <w:rsid w:val="00FF76FB"/>
    <w:rsid w:val="00FF770C"/>
    <w:rsid w:val="00FF7792"/>
    <w:rsid w:val="00FF7B98"/>
    <w:rsid w:val="00FF7C82"/>
    <w:rsid w:val="00FF7CB9"/>
    <w:rsid w:val="00FF7D33"/>
    <w:rsid w:val="00FF7D4D"/>
    <w:rsid w:val="00FF7F62"/>
    <w:rsid w:val="018D711E"/>
    <w:rsid w:val="021F5C04"/>
    <w:rsid w:val="02719F7C"/>
    <w:rsid w:val="02FF653B"/>
    <w:rsid w:val="03190C7D"/>
    <w:rsid w:val="03555F89"/>
    <w:rsid w:val="036B9628"/>
    <w:rsid w:val="038E4C19"/>
    <w:rsid w:val="03AC03A4"/>
    <w:rsid w:val="03D1A38A"/>
    <w:rsid w:val="03EA309B"/>
    <w:rsid w:val="042D9BC0"/>
    <w:rsid w:val="0443C57D"/>
    <w:rsid w:val="044CB961"/>
    <w:rsid w:val="04D1FC61"/>
    <w:rsid w:val="04D7B1FC"/>
    <w:rsid w:val="05264449"/>
    <w:rsid w:val="052D30A0"/>
    <w:rsid w:val="057FA69E"/>
    <w:rsid w:val="05885450"/>
    <w:rsid w:val="05BF4CC7"/>
    <w:rsid w:val="05C78B41"/>
    <w:rsid w:val="05D86670"/>
    <w:rsid w:val="0636620E"/>
    <w:rsid w:val="06C9E051"/>
    <w:rsid w:val="07839024"/>
    <w:rsid w:val="07AC8491"/>
    <w:rsid w:val="07FD3A43"/>
    <w:rsid w:val="081BBFB0"/>
    <w:rsid w:val="08323C2A"/>
    <w:rsid w:val="08482ABE"/>
    <w:rsid w:val="085C7F85"/>
    <w:rsid w:val="086A3B91"/>
    <w:rsid w:val="08783DA6"/>
    <w:rsid w:val="087EC2C8"/>
    <w:rsid w:val="0883832F"/>
    <w:rsid w:val="08BCCD7D"/>
    <w:rsid w:val="08C3327C"/>
    <w:rsid w:val="08CE79A5"/>
    <w:rsid w:val="08DE2D52"/>
    <w:rsid w:val="08EB4C34"/>
    <w:rsid w:val="091D0A91"/>
    <w:rsid w:val="0997B9C3"/>
    <w:rsid w:val="09D8B75D"/>
    <w:rsid w:val="09DF2789"/>
    <w:rsid w:val="0A1E956B"/>
    <w:rsid w:val="0A2F589F"/>
    <w:rsid w:val="0A453975"/>
    <w:rsid w:val="0A52DBCE"/>
    <w:rsid w:val="0B2644FC"/>
    <w:rsid w:val="0B3CB90F"/>
    <w:rsid w:val="0B63C4D7"/>
    <w:rsid w:val="0B920124"/>
    <w:rsid w:val="0B9A51FB"/>
    <w:rsid w:val="0BC1E17E"/>
    <w:rsid w:val="0BD66936"/>
    <w:rsid w:val="0C01B8DB"/>
    <w:rsid w:val="0C220A18"/>
    <w:rsid w:val="0C71EE1E"/>
    <w:rsid w:val="0C77E719"/>
    <w:rsid w:val="0C8DA4D9"/>
    <w:rsid w:val="0CA3D127"/>
    <w:rsid w:val="0CC36860"/>
    <w:rsid w:val="0CCB6212"/>
    <w:rsid w:val="0CCC1ED8"/>
    <w:rsid w:val="0CE99C9E"/>
    <w:rsid w:val="0D1A214B"/>
    <w:rsid w:val="0D4D0B10"/>
    <w:rsid w:val="0D7EFA3E"/>
    <w:rsid w:val="0E429464"/>
    <w:rsid w:val="0E524933"/>
    <w:rsid w:val="0E6BF052"/>
    <w:rsid w:val="0E885DB1"/>
    <w:rsid w:val="0EB298AC"/>
    <w:rsid w:val="0EBD35DD"/>
    <w:rsid w:val="0EDF63C1"/>
    <w:rsid w:val="0F967449"/>
    <w:rsid w:val="0F9B74C5"/>
    <w:rsid w:val="0FA7DA26"/>
    <w:rsid w:val="0FB7E5CE"/>
    <w:rsid w:val="0FD970E8"/>
    <w:rsid w:val="0FE357E8"/>
    <w:rsid w:val="1017D29D"/>
    <w:rsid w:val="10305A53"/>
    <w:rsid w:val="1045FEBF"/>
    <w:rsid w:val="10E8C858"/>
    <w:rsid w:val="110BBBED"/>
    <w:rsid w:val="11601381"/>
    <w:rsid w:val="11AEF27B"/>
    <w:rsid w:val="11BBA373"/>
    <w:rsid w:val="11D13323"/>
    <w:rsid w:val="1275B964"/>
    <w:rsid w:val="129AA428"/>
    <w:rsid w:val="12AB7820"/>
    <w:rsid w:val="12B02967"/>
    <w:rsid w:val="13146BD3"/>
    <w:rsid w:val="131F169E"/>
    <w:rsid w:val="1327E963"/>
    <w:rsid w:val="135BCC28"/>
    <w:rsid w:val="1427EB5E"/>
    <w:rsid w:val="142B711D"/>
    <w:rsid w:val="14374E34"/>
    <w:rsid w:val="146C04CA"/>
    <w:rsid w:val="14AE5A39"/>
    <w:rsid w:val="14C41FBA"/>
    <w:rsid w:val="14FC1489"/>
    <w:rsid w:val="1522D0B6"/>
    <w:rsid w:val="15435DF2"/>
    <w:rsid w:val="157268C6"/>
    <w:rsid w:val="157A9D94"/>
    <w:rsid w:val="15C24F2D"/>
    <w:rsid w:val="15DDBAB8"/>
    <w:rsid w:val="1621A47E"/>
    <w:rsid w:val="1628DB84"/>
    <w:rsid w:val="16A52AF9"/>
    <w:rsid w:val="16D3907A"/>
    <w:rsid w:val="16DCECDC"/>
    <w:rsid w:val="172F288A"/>
    <w:rsid w:val="1791A3D2"/>
    <w:rsid w:val="182E276F"/>
    <w:rsid w:val="182EAF25"/>
    <w:rsid w:val="1896DC7D"/>
    <w:rsid w:val="18A3535F"/>
    <w:rsid w:val="18B2D71B"/>
    <w:rsid w:val="18C8B611"/>
    <w:rsid w:val="19011F68"/>
    <w:rsid w:val="19018860"/>
    <w:rsid w:val="1919B86D"/>
    <w:rsid w:val="19439C8C"/>
    <w:rsid w:val="198532F2"/>
    <w:rsid w:val="1A1BD468"/>
    <w:rsid w:val="1A3E45A2"/>
    <w:rsid w:val="1AB1CEB5"/>
    <w:rsid w:val="1B19FB56"/>
    <w:rsid w:val="1B34EF80"/>
    <w:rsid w:val="1B4B8CD9"/>
    <w:rsid w:val="1B83B867"/>
    <w:rsid w:val="1BAC639B"/>
    <w:rsid w:val="1BCAEC67"/>
    <w:rsid w:val="1BF5A2EC"/>
    <w:rsid w:val="1BFDDC4F"/>
    <w:rsid w:val="1C70E983"/>
    <w:rsid w:val="1D0438F6"/>
    <w:rsid w:val="1D5FAC0E"/>
    <w:rsid w:val="1D89DC71"/>
    <w:rsid w:val="1DA78750"/>
    <w:rsid w:val="1DEE911F"/>
    <w:rsid w:val="1DF947A7"/>
    <w:rsid w:val="1E0163C9"/>
    <w:rsid w:val="1E2679CD"/>
    <w:rsid w:val="1E348330"/>
    <w:rsid w:val="1E44A93B"/>
    <w:rsid w:val="1E79E8F8"/>
    <w:rsid w:val="1E96D228"/>
    <w:rsid w:val="1E9865D4"/>
    <w:rsid w:val="1EB8B6BA"/>
    <w:rsid w:val="1EC9211D"/>
    <w:rsid w:val="1EE512C4"/>
    <w:rsid w:val="1EEA49D2"/>
    <w:rsid w:val="1F13816E"/>
    <w:rsid w:val="1F742E7B"/>
    <w:rsid w:val="1F78B76A"/>
    <w:rsid w:val="1FA2A563"/>
    <w:rsid w:val="1FCEFD40"/>
    <w:rsid w:val="20764D9F"/>
    <w:rsid w:val="20797C2D"/>
    <w:rsid w:val="2099714B"/>
    <w:rsid w:val="20B24D49"/>
    <w:rsid w:val="20C2EBD6"/>
    <w:rsid w:val="20DB38ED"/>
    <w:rsid w:val="214C3EF7"/>
    <w:rsid w:val="218B7950"/>
    <w:rsid w:val="21C66FF4"/>
    <w:rsid w:val="21D655B5"/>
    <w:rsid w:val="21D90BE1"/>
    <w:rsid w:val="2261CBDD"/>
    <w:rsid w:val="22B4DE61"/>
    <w:rsid w:val="22C0B2CC"/>
    <w:rsid w:val="22C3D1DF"/>
    <w:rsid w:val="22CE2BE3"/>
    <w:rsid w:val="2313E6B1"/>
    <w:rsid w:val="23165443"/>
    <w:rsid w:val="23558F7E"/>
    <w:rsid w:val="2362B22E"/>
    <w:rsid w:val="237D0A63"/>
    <w:rsid w:val="239CD2DF"/>
    <w:rsid w:val="23ED1D23"/>
    <w:rsid w:val="24992118"/>
    <w:rsid w:val="24B5FD86"/>
    <w:rsid w:val="24D016C1"/>
    <w:rsid w:val="24FDE876"/>
    <w:rsid w:val="25481BBC"/>
    <w:rsid w:val="2572E28F"/>
    <w:rsid w:val="257FED92"/>
    <w:rsid w:val="25A0B9C3"/>
    <w:rsid w:val="25ABFEB9"/>
    <w:rsid w:val="25C1B81D"/>
    <w:rsid w:val="25E3149F"/>
    <w:rsid w:val="265B453A"/>
    <w:rsid w:val="265EE8F4"/>
    <w:rsid w:val="2697768F"/>
    <w:rsid w:val="26D633EB"/>
    <w:rsid w:val="271FD33B"/>
    <w:rsid w:val="275C545B"/>
    <w:rsid w:val="2783C94F"/>
    <w:rsid w:val="279F607A"/>
    <w:rsid w:val="27C3ECA7"/>
    <w:rsid w:val="27EDCB72"/>
    <w:rsid w:val="282490F6"/>
    <w:rsid w:val="2835E5DA"/>
    <w:rsid w:val="284047C7"/>
    <w:rsid w:val="28550472"/>
    <w:rsid w:val="285D10FC"/>
    <w:rsid w:val="28B40DCF"/>
    <w:rsid w:val="296220B0"/>
    <w:rsid w:val="299AC58B"/>
    <w:rsid w:val="299CC424"/>
    <w:rsid w:val="29B452DD"/>
    <w:rsid w:val="29B7A3CD"/>
    <w:rsid w:val="29C5EA61"/>
    <w:rsid w:val="2A591D34"/>
    <w:rsid w:val="2A9139AE"/>
    <w:rsid w:val="2AEC0D77"/>
    <w:rsid w:val="2AF7EB3E"/>
    <w:rsid w:val="2B049415"/>
    <w:rsid w:val="2B0C6FEC"/>
    <w:rsid w:val="2B100DBD"/>
    <w:rsid w:val="2B92C600"/>
    <w:rsid w:val="2B93E4F6"/>
    <w:rsid w:val="2BA73132"/>
    <w:rsid w:val="2BAC3118"/>
    <w:rsid w:val="2BC97046"/>
    <w:rsid w:val="2C0B2AFB"/>
    <w:rsid w:val="2C1F6743"/>
    <w:rsid w:val="2C2E0C39"/>
    <w:rsid w:val="2C4C51FB"/>
    <w:rsid w:val="2C63E48D"/>
    <w:rsid w:val="2CD14436"/>
    <w:rsid w:val="2D08776B"/>
    <w:rsid w:val="2D1970C8"/>
    <w:rsid w:val="2D6AC871"/>
    <w:rsid w:val="2DA1BCF8"/>
    <w:rsid w:val="2DAE2CEF"/>
    <w:rsid w:val="2DC060BC"/>
    <w:rsid w:val="2DD93BDD"/>
    <w:rsid w:val="2E60A926"/>
    <w:rsid w:val="2E731145"/>
    <w:rsid w:val="2E8930C6"/>
    <w:rsid w:val="2E8A926A"/>
    <w:rsid w:val="2EABE5D9"/>
    <w:rsid w:val="2F129322"/>
    <w:rsid w:val="2F3C163F"/>
    <w:rsid w:val="2F789926"/>
    <w:rsid w:val="2F8C17FF"/>
    <w:rsid w:val="2F905445"/>
    <w:rsid w:val="2F9B8671"/>
    <w:rsid w:val="2FDAE4E6"/>
    <w:rsid w:val="2FE50EFC"/>
    <w:rsid w:val="2FF0098B"/>
    <w:rsid w:val="30066FAB"/>
    <w:rsid w:val="302E9566"/>
    <w:rsid w:val="3050148C"/>
    <w:rsid w:val="306CAEF5"/>
    <w:rsid w:val="3076FC15"/>
    <w:rsid w:val="30A71FC8"/>
    <w:rsid w:val="30FDA319"/>
    <w:rsid w:val="3101038B"/>
    <w:rsid w:val="3198B7DD"/>
    <w:rsid w:val="31C32A7F"/>
    <w:rsid w:val="326555A7"/>
    <w:rsid w:val="32DBF3F5"/>
    <w:rsid w:val="33342B4E"/>
    <w:rsid w:val="3334615E"/>
    <w:rsid w:val="333CB008"/>
    <w:rsid w:val="337C5DFF"/>
    <w:rsid w:val="339F82CF"/>
    <w:rsid w:val="33DBBF41"/>
    <w:rsid w:val="342E920E"/>
    <w:rsid w:val="3438ECFD"/>
    <w:rsid w:val="34AE5A0A"/>
    <w:rsid w:val="34B1DBAF"/>
    <w:rsid w:val="34C652F3"/>
    <w:rsid w:val="35357E9B"/>
    <w:rsid w:val="356D57B7"/>
    <w:rsid w:val="3593A5B1"/>
    <w:rsid w:val="36084780"/>
    <w:rsid w:val="3614BB94"/>
    <w:rsid w:val="3646AE57"/>
    <w:rsid w:val="36606ECF"/>
    <w:rsid w:val="36724180"/>
    <w:rsid w:val="367C8D7E"/>
    <w:rsid w:val="3698A3CF"/>
    <w:rsid w:val="36C4835E"/>
    <w:rsid w:val="373043D7"/>
    <w:rsid w:val="3739F8A0"/>
    <w:rsid w:val="37770C10"/>
    <w:rsid w:val="37F7533E"/>
    <w:rsid w:val="382C5F73"/>
    <w:rsid w:val="3855FA86"/>
    <w:rsid w:val="385B5F52"/>
    <w:rsid w:val="38963F12"/>
    <w:rsid w:val="38B84FAE"/>
    <w:rsid w:val="38C52152"/>
    <w:rsid w:val="38C98B64"/>
    <w:rsid w:val="390B2F71"/>
    <w:rsid w:val="393FE474"/>
    <w:rsid w:val="39759E99"/>
    <w:rsid w:val="397A0093"/>
    <w:rsid w:val="39877ABD"/>
    <w:rsid w:val="39C41420"/>
    <w:rsid w:val="39C778DF"/>
    <w:rsid w:val="39D424DA"/>
    <w:rsid w:val="39EC097C"/>
    <w:rsid w:val="39F6CE20"/>
    <w:rsid w:val="3A2037FD"/>
    <w:rsid w:val="3A7046C0"/>
    <w:rsid w:val="3A79C87E"/>
    <w:rsid w:val="3A7D4CDD"/>
    <w:rsid w:val="3AB08618"/>
    <w:rsid w:val="3AB0D005"/>
    <w:rsid w:val="3AB7F6BA"/>
    <w:rsid w:val="3B104B1A"/>
    <w:rsid w:val="3B1CC66E"/>
    <w:rsid w:val="3B275E97"/>
    <w:rsid w:val="3B386AD7"/>
    <w:rsid w:val="3B766B75"/>
    <w:rsid w:val="3BAD74DC"/>
    <w:rsid w:val="3BAF22AF"/>
    <w:rsid w:val="3BE0A201"/>
    <w:rsid w:val="3BF63015"/>
    <w:rsid w:val="3C663845"/>
    <w:rsid w:val="3C80056C"/>
    <w:rsid w:val="3C97FDDE"/>
    <w:rsid w:val="3CB74370"/>
    <w:rsid w:val="3CC96E8A"/>
    <w:rsid w:val="3CE9EF8F"/>
    <w:rsid w:val="3D1B7A34"/>
    <w:rsid w:val="3D38C6DA"/>
    <w:rsid w:val="3D8722FB"/>
    <w:rsid w:val="3D93E513"/>
    <w:rsid w:val="3DA64B00"/>
    <w:rsid w:val="3DC3F153"/>
    <w:rsid w:val="3E0CB920"/>
    <w:rsid w:val="3E50AA9E"/>
    <w:rsid w:val="3E63AA79"/>
    <w:rsid w:val="3E6D0050"/>
    <w:rsid w:val="3EA2AF4E"/>
    <w:rsid w:val="3EA5F552"/>
    <w:rsid w:val="3EC1AB18"/>
    <w:rsid w:val="3EE794E6"/>
    <w:rsid w:val="3F1AC1CA"/>
    <w:rsid w:val="3F4C2677"/>
    <w:rsid w:val="3F520248"/>
    <w:rsid w:val="3F65E56D"/>
    <w:rsid w:val="3F89A90E"/>
    <w:rsid w:val="3FB42702"/>
    <w:rsid w:val="3FE1D691"/>
    <w:rsid w:val="3FF86C22"/>
    <w:rsid w:val="40161C86"/>
    <w:rsid w:val="40ACC353"/>
    <w:rsid w:val="40B2C32C"/>
    <w:rsid w:val="41A3CA58"/>
    <w:rsid w:val="41FB5957"/>
    <w:rsid w:val="4203296D"/>
    <w:rsid w:val="421BF3D8"/>
    <w:rsid w:val="426E3A77"/>
    <w:rsid w:val="42880D10"/>
    <w:rsid w:val="42C1AB62"/>
    <w:rsid w:val="42F02029"/>
    <w:rsid w:val="43C08AD6"/>
    <w:rsid w:val="43DE06CB"/>
    <w:rsid w:val="43E1BCD3"/>
    <w:rsid w:val="43FE79F5"/>
    <w:rsid w:val="4417801C"/>
    <w:rsid w:val="44188C35"/>
    <w:rsid w:val="4457BD48"/>
    <w:rsid w:val="44718CFC"/>
    <w:rsid w:val="4491D4EC"/>
    <w:rsid w:val="44F2B53C"/>
    <w:rsid w:val="44FA0918"/>
    <w:rsid w:val="456CA253"/>
    <w:rsid w:val="45806B29"/>
    <w:rsid w:val="4584B410"/>
    <w:rsid w:val="45A2FA52"/>
    <w:rsid w:val="45DABF9E"/>
    <w:rsid w:val="45E1EDC7"/>
    <w:rsid w:val="463D8954"/>
    <w:rsid w:val="465FA058"/>
    <w:rsid w:val="4698E8DE"/>
    <w:rsid w:val="469C7D14"/>
    <w:rsid w:val="46D5B2BB"/>
    <w:rsid w:val="46DAD2AF"/>
    <w:rsid w:val="46F7A3D9"/>
    <w:rsid w:val="47458F0A"/>
    <w:rsid w:val="479D8940"/>
    <w:rsid w:val="48CF74A7"/>
    <w:rsid w:val="4916B84C"/>
    <w:rsid w:val="49790AEA"/>
    <w:rsid w:val="4983070A"/>
    <w:rsid w:val="49995760"/>
    <w:rsid w:val="49BF2DFE"/>
    <w:rsid w:val="49CDC2DB"/>
    <w:rsid w:val="49D4341E"/>
    <w:rsid w:val="4A142897"/>
    <w:rsid w:val="4A18C636"/>
    <w:rsid w:val="4A2AE526"/>
    <w:rsid w:val="4A4B5EE6"/>
    <w:rsid w:val="4AB3A4B3"/>
    <w:rsid w:val="4B49F55E"/>
    <w:rsid w:val="4B6E1AB6"/>
    <w:rsid w:val="4BAF6EDD"/>
    <w:rsid w:val="4C13BE80"/>
    <w:rsid w:val="4C290116"/>
    <w:rsid w:val="4C48576E"/>
    <w:rsid w:val="4C5E295F"/>
    <w:rsid w:val="4C5E7C86"/>
    <w:rsid w:val="4C673D5E"/>
    <w:rsid w:val="4C69F888"/>
    <w:rsid w:val="4C79BE03"/>
    <w:rsid w:val="4D04F73B"/>
    <w:rsid w:val="4D2CFBCD"/>
    <w:rsid w:val="4D93F4CB"/>
    <w:rsid w:val="4DB555F8"/>
    <w:rsid w:val="4E262732"/>
    <w:rsid w:val="4E477A66"/>
    <w:rsid w:val="4E5F87FD"/>
    <w:rsid w:val="4EA70DAE"/>
    <w:rsid w:val="4EE0E721"/>
    <w:rsid w:val="4EEAF47D"/>
    <w:rsid w:val="4F26B215"/>
    <w:rsid w:val="501EC543"/>
    <w:rsid w:val="5038358A"/>
    <w:rsid w:val="507C9501"/>
    <w:rsid w:val="50FCF399"/>
    <w:rsid w:val="5109C3B8"/>
    <w:rsid w:val="51373595"/>
    <w:rsid w:val="516E3ADB"/>
    <w:rsid w:val="518305F0"/>
    <w:rsid w:val="518E460F"/>
    <w:rsid w:val="51D851BC"/>
    <w:rsid w:val="524BABE2"/>
    <w:rsid w:val="526F8A65"/>
    <w:rsid w:val="52B58A23"/>
    <w:rsid w:val="52D7D056"/>
    <w:rsid w:val="52F3276D"/>
    <w:rsid w:val="53115BF0"/>
    <w:rsid w:val="5317EC42"/>
    <w:rsid w:val="53395D8E"/>
    <w:rsid w:val="536E5FDA"/>
    <w:rsid w:val="53E3F033"/>
    <w:rsid w:val="54165732"/>
    <w:rsid w:val="54761677"/>
    <w:rsid w:val="5476ED34"/>
    <w:rsid w:val="548D4548"/>
    <w:rsid w:val="54909549"/>
    <w:rsid w:val="54A97696"/>
    <w:rsid w:val="54D3B507"/>
    <w:rsid w:val="55214311"/>
    <w:rsid w:val="554EB4B2"/>
    <w:rsid w:val="55791376"/>
    <w:rsid w:val="55A8045D"/>
    <w:rsid w:val="55CCAF88"/>
    <w:rsid w:val="55E535E8"/>
    <w:rsid w:val="55EB02EC"/>
    <w:rsid w:val="5643571E"/>
    <w:rsid w:val="5643C917"/>
    <w:rsid w:val="568A5F34"/>
    <w:rsid w:val="56A89F7C"/>
    <w:rsid w:val="56AE0050"/>
    <w:rsid w:val="56DAE5F5"/>
    <w:rsid w:val="57139C40"/>
    <w:rsid w:val="572434D3"/>
    <w:rsid w:val="5760B6D6"/>
    <w:rsid w:val="5772A21B"/>
    <w:rsid w:val="5792575A"/>
    <w:rsid w:val="579C0A26"/>
    <w:rsid w:val="57AF0C2E"/>
    <w:rsid w:val="57D902B4"/>
    <w:rsid w:val="57F9C1B1"/>
    <w:rsid w:val="5884B16B"/>
    <w:rsid w:val="589F080B"/>
    <w:rsid w:val="58B37673"/>
    <w:rsid w:val="58C109C7"/>
    <w:rsid w:val="58D08C17"/>
    <w:rsid w:val="58D45EB3"/>
    <w:rsid w:val="58EE96F2"/>
    <w:rsid w:val="593C2DE3"/>
    <w:rsid w:val="5951F463"/>
    <w:rsid w:val="59543A78"/>
    <w:rsid w:val="5959635B"/>
    <w:rsid w:val="5A0E1117"/>
    <w:rsid w:val="5A56046F"/>
    <w:rsid w:val="5A592C2B"/>
    <w:rsid w:val="5A95661F"/>
    <w:rsid w:val="5AB0C6B0"/>
    <w:rsid w:val="5AC6A7C8"/>
    <w:rsid w:val="5ACBB1ED"/>
    <w:rsid w:val="5AD96B6E"/>
    <w:rsid w:val="5AFD4511"/>
    <w:rsid w:val="5B0B172F"/>
    <w:rsid w:val="5B530F1A"/>
    <w:rsid w:val="5B5DC5E1"/>
    <w:rsid w:val="5B7E4086"/>
    <w:rsid w:val="5B8DC232"/>
    <w:rsid w:val="5BA679F7"/>
    <w:rsid w:val="5BA8C9D8"/>
    <w:rsid w:val="5BDF01A2"/>
    <w:rsid w:val="5C2E50F1"/>
    <w:rsid w:val="5C5CBA7F"/>
    <w:rsid w:val="5C87BC23"/>
    <w:rsid w:val="5CA1B37A"/>
    <w:rsid w:val="5CDAC6BD"/>
    <w:rsid w:val="5D03F02F"/>
    <w:rsid w:val="5D0A40C7"/>
    <w:rsid w:val="5D5A774E"/>
    <w:rsid w:val="5D92A8FE"/>
    <w:rsid w:val="5E7BA328"/>
    <w:rsid w:val="5E987441"/>
    <w:rsid w:val="5EA61A1D"/>
    <w:rsid w:val="5EEEFC3B"/>
    <w:rsid w:val="5EFED5F0"/>
    <w:rsid w:val="5F0D132A"/>
    <w:rsid w:val="5F12D752"/>
    <w:rsid w:val="5F164FFB"/>
    <w:rsid w:val="5F26C0C9"/>
    <w:rsid w:val="5F37AED9"/>
    <w:rsid w:val="5F664E04"/>
    <w:rsid w:val="5F7F446E"/>
    <w:rsid w:val="5F93FD8A"/>
    <w:rsid w:val="5FD97288"/>
    <w:rsid w:val="60220E89"/>
    <w:rsid w:val="6097AA49"/>
    <w:rsid w:val="60DADCD7"/>
    <w:rsid w:val="60EA7A94"/>
    <w:rsid w:val="612D129C"/>
    <w:rsid w:val="614099DB"/>
    <w:rsid w:val="6177F7F7"/>
    <w:rsid w:val="619E6463"/>
    <w:rsid w:val="61BBB8A0"/>
    <w:rsid w:val="62241F4F"/>
    <w:rsid w:val="6229221A"/>
    <w:rsid w:val="62518422"/>
    <w:rsid w:val="6273AC02"/>
    <w:rsid w:val="62981073"/>
    <w:rsid w:val="62BE06B0"/>
    <w:rsid w:val="62D2BDF2"/>
    <w:rsid w:val="62E278E8"/>
    <w:rsid w:val="62EE1A56"/>
    <w:rsid w:val="6384C714"/>
    <w:rsid w:val="638FB664"/>
    <w:rsid w:val="639E4E99"/>
    <w:rsid w:val="63A2CA3B"/>
    <w:rsid w:val="63DE7728"/>
    <w:rsid w:val="64467CB0"/>
    <w:rsid w:val="644F9694"/>
    <w:rsid w:val="6462C692"/>
    <w:rsid w:val="64CF2C4C"/>
    <w:rsid w:val="6507F67B"/>
    <w:rsid w:val="6518DF1C"/>
    <w:rsid w:val="6557BB41"/>
    <w:rsid w:val="65951E77"/>
    <w:rsid w:val="65B60F46"/>
    <w:rsid w:val="65C11CC7"/>
    <w:rsid w:val="66348BF8"/>
    <w:rsid w:val="665AF19B"/>
    <w:rsid w:val="666365FD"/>
    <w:rsid w:val="66AC46A2"/>
    <w:rsid w:val="66CB4D78"/>
    <w:rsid w:val="6726D2DC"/>
    <w:rsid w:val="6727803C"/>
    <w:rsid w:val="6753722F"/>
    <w:rsid w:val="679B3F6A"/>
    <w:rsid w:val="67DC86B3"/>
    <w:rsid w:val="6827F0B5"/>
    <w:rsid w:val="68380A24"/>
    <w:rsid w:val="68978772"/>
    <w:rsid w:val="68DAA243"/>
    <w:rsid w:val="695E8A2B"/>
    <w:rsid w:val="6983A323"/>
    <w:rsid w:val="699F3B2D"/>
    <w:rsid w:val="69EB62BD"/>
    <w:rsid w:val="69F90AB9"/>
    <w:rsid w:val="6A032C02"/>
    <w:rsid w:val="6A321F14"/>
    <w:rsid w:val="6A7672A4"/>
    <w:rsid w:val="6A8DE11C"/>
    <w:rsid w:val="6AB5FAAF"/>
    <w:rsid w:val="6ACB6629"/>
    <w:rsid w:val="6ADF099B"/>
    <w:rsid w:val="6AEED6FE"/>
    <w:rsid w:val="6B575B73"/>
    <w:rsid w:val="6B82361E"/>
    <w:rsid w:val="6BA8E2E4"/>
    <w:rsid w:val="6BC12EEC"/>
    <w:rsid w:val="6C0F9BE3"/>
    <w:rsid w:val="6C15C269"/>
    <w:rsid w:val="6C737E47"/>
    <w:rsid w:val="6CC4E805"/>
    <w:rsid w:val="6D285994"/>
    <w:rsid w:val="6D40B6F5"/>
    <w:rsid w:val="6D565CBC"/>
    <w:rsid w:val="6D7A710E"/>
    <w:rsid w:val="6D7CFC61"/>
    <w:rsid w:val="6D882AEF"/>
    <w:rsid w:val="6DD55DDD"/>
    <w:rsid w:val="6DF8071A"/>
    <w:rsid w:val="6E20AF98"/>
    <w:rsid w:val="6E9C5146"/>
    <w:rsid w:val="6EE8E77D"/>
    <w:rsid w:val="6F286225"/>
    <w:rsid w:val="6F6B0426"/>
    <w:rsid w:val="6FDC55FC"/>
    <w:rsid w:val="6FE80D15"/>
    <w:rsid w:val="7023E561"/>
    <w:rsid w:val="702C1724"/>
    <w:rsid w:val="70574238"/>
    <w:rsid w:val="7099FE49"/>
    <w:rsid w:val="70F4921A"/>
    <w:rsid w:val="71082307"/>
    <w:rsid w:val="712AE313"/>
    <w:rsid w:val="713C520E"/>
    <w:rsid w:val="715629DE"/>
    <w:rsid w:val="71627238"/>
    <w:rsid w:val="7200A978"/>
    <w:rsid w:val="7208F043"/>
    <w:rsid w:val="7214D7C4"/>
    <w:rsid w:val="723F6052"/>
    <w:rsid w:val="7257B9C8"/>
    <w:rsid w:val="725B9156"/>
    <w:rsid w:val="726CB3FB"/>
    <w:rsid w:val="72833063"/>
    <w:rsid w:val="72926893"/>
    <w:rsid w:val="73013C51"/>
    <w:rsid w:val="732C99D3"/>
    <w:rsid w:val="732EF5E4"/>
    <w:rsid w:val="734F0D76"/>
    <w:rsid w:val="73ACE502"/>
    <w:rsid w:val="73D80302"/>
    <w:rsid w:val="73FBB255"/>
    <w:rsid w:val="74071F20"/>
    <w:rsid w:val="740B6171"/>
    <w:rsid w:val="74186977"/>
    <w:rsid w:val="7453FCE2"/>
    <w:rsid w:val="7454ED57"/>
    <w:rsid w:val="74661517"/>
    <w:rsid w:val="7468C56D"/>
    <w:rsid w:val="746A8C27"/>
    <w:rsid w:val="74A351B1"/>
    <w:rsid w:val="74D73394"/>
    <w:rsid w:val="74E634C2"/>
    <w:rsid w:val="74FF69C1"/>
    <w:rsid w:val="754B331A"/>
    <w:rsid w:val="7561DFD2"/>
    <w:rsid w:val="75C61C55"/>
    <w:rsid w:val="75CFDC39"/>
    <w:rsid w:val="75E4F4BC"/>
    <w:rsid w:val="762A942E"/>
    <w:rsid w:val="76B7A0E9"/>
    <w:rsid w:val="76D614F4"/>
    <w:rsid w:val="76FBADF3"/>
    <w:rsid w:val="770A47D9"/>
    <w:rsid w:val="771EDF6F"/>
    <w:rsid w:val="774892FA"/>
    <w:rsid w:val="775298C7"/>
    <w:rsid w:val="77A7FCC6"/>
    <w:rsid w:val="77BC9180"/>
    <w:rsid w:val="77D60681"/>
    <w:rsid w:val="7810C983"/>
    <w:rsid w:val="7822CE65"/>
    <w:rsid w:val="784AF6F9"/>
    <w:rsid w:val="7855C430"/>
    <w:rsid w:val="786498F9"/>
    <w:rsid w:val="78919C70"/>
    <w:rsid w:val="78B1FC2F"/>
    <w:rsid w:val="78BAB7AA"/>
    <w:rsid w:val="78BBA885"/>
    <w:rsid w:val="78C4C22F"/>
    <w:rsid w:val="78C539ED"/>
    <w:rsid w:val="793A4A3C"/>
    <w:rsid w:val="794F6F55"/>
    <w:rsid w:val="7975408B"/>
    <w:rsid w:val="79990D98"/>
    <w:rsid w:val="7A092EA3"/>
    <w:rsid w:val="7A478E91"/>
    <w:rsid w:val="7A5BF0A6"/>
    <w:rsid w:val="7AC92C67"/>
    <w:rsid w:val="7ACADF96"/>
    <w:rsid w:val="7ACD6499"/>
    <w:rsid w:val="7AD955DF"/>
    <w:rsid w:val="7AE2A8BB"/>
    <w:rsid w:val="7B45E1B0"/>
    <w:rsid w:val="7B67E850"/>
    <w:rsid w:val="7B972AA9"/>
    <w:rsid w:val="7BCA8AA3"/>
    <w:rsid w:val="7BF19700"/>
    <w:rsid w:val="7C1FC2D5"/>
    <w:rsid w:val="7C7BB9B8"/>
    <w:rsid w:val="7C94DBC6"/>
    <w:rsid w:val="7CE43E1C"/>
    <w:rsid w:val="7CFBCB4E"/>
    <w:rsid w:val="7D11A4EB"/>
    <w:rsid w:val="7D53E5EC"/>
    <w:rsid w:val="7D79895D"/>
    <w:rsid w:val="7D807D45"/>
    <w:rsid w:val="7D89E99C"/>
    <w:rsid w:val="7DA236A2"/>
    <w:rsid w:val="7DF7796D"/>
    <w:rsid w:val="7DFE9955"/>
    <w:rsid w:val="7E00C39C"/>
    <w:rsid w:val="7E503AC1"/>
    <w:rsid w:val="7E654E80"/>
    <w:rsid w:val="7E8508CC"/>
    <w:rsid w:val="7E93BA9D"/>
    <w:rsid w:val="7EAC8BEF"/>
    <w:rsid w:val="7EE2AE31"/>
    <w:rsid w:val="7EEC8E0A"/>
    <w:rsid w:val="7F06AE9D"/>
    <w:rsid w:val="7F36067B"/>
    <w:rsid w:val="7F3F9BCD"/>
    <w:rsid w:val="7FC56703"/>
    <w:rsid w:val="7FF7506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70E735"/>
  <w15:docId w15:val="{B8689BE6-18EA-4D35-8E92-C2DCE66D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6F4F12"/>
    <w:pPr>
      <w:spacing w:before="120" w:after="200" w:line="276" w:lineRule="auto"/>
    </w:pPr>
    <w:rPr>
      <w:rFonts w:ascii="Arial" w:hAnsi="Arial"/>
      <w:bCs/>
      <w:color w:val="1E1545" w:themeColor="text1"/>
      <w:sz w:val="24"/>
      <w:szCs w:val="18"/>
      <w:lang w:eastAsia="en-US"/>
    </w:rPr>
  </w:style>
  <w:style w:type="paragraph" w:styleId="Heading1">
    <w:name w:val="heading 1"/>
    <w:next w:val="Normal"/>
    <w:link w:val="Heading1Char"/>
    <w:qFormat/>
    <w:rsid w:val="00EC3B27"/>
    <w:pPr>
      <w:keepNext/>
      <w:numPr>
        <w:numId w:val="26"/>
      </w:numPr>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qFormat/>
    <w:rsid w:val="009C1802"/>
    <w:pPr>
      <w:keepNext/>
      <w:numPr>
        <w:ilvl w:val="1"/>
        <w:numId w:val="26"/>
      </w:numPr>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numPr>
        <w:ilvl w:val="3"/>
        <w:numId w:val="26"/>
      </w:numPr>
      <w:spacing w:before="240" w:after="60"/>
      <w:ind w:left="2880" w:hanging="360"/>
      <w:outlineLvl w:val="3"/>
    </w:pPr>
    <w:rPr>
      <w:rFonts w:ascii="Arial" w:hAnsi="Arial"/>
      <w:b/>
      <w:bCs/>
      <w:iCs/>
      <w:color w:val="1E1545" w:themeColor="text1"/>
      <w:sz w:val="24"/>
      <w:szCs w:val="24"/>
      <w:lang w:eastAsia="en-US"/>
    </w:rPr>
  </w:style>
  <w:style w:type="paragraph" w:styleId="Heading5">
    <w:name w:val="heading 5"/>
    <w:next w:val="Normal"/>
    <w:rsid w:val="00AA723B"/>
    <w:pPr>
      <w:keepNext/>
      <w:numPr>
        <w:ilvl w:val="4"/>
        <w:numId w:val="26"/>
      </w:numPr>
      <w:spacing w:before="120" w:line="276" w:lineRule="auto"/>
      <w:ind w:left="3600" w:hanging="360"/>
      <w:outlineLvl w:val="4"/>
    </w:pPr>
    <w:rPr>
      <w:rFonts w:ascii="Arial" w:hAnsi="Arial"/>
      <w:bCs/>
      <w:iCs/>
      <w:color w:val="1E1545" w:themeColor="text1"/>
      <w:sz w:val="24"/>
      <w:szCs w:val="26"/>
      <w:lang w:eastAsia="en-US"/>
    </w:rPr>
  </w:style>
  <w:style w:type="paragraph" w:styleId="Heading6">
    <w:name w:val="heading 6"/>
    <w:next w:val="Normal"/>
    <w:rsid w:val="00BF7AD7"/>
    <w:pPr>
      <w:keepNext/>
      <w:numPr>
        <w:ilvl w:val="5"/>
        <w:numId w:val="26"/>
      </w:numPr>
      <w:spacing w:before="240" w:after="60"/>
      <w:ind w:left="4320" w:hanging="3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numPr>
        <w:ilvl w:val="6"/>
        <w:numId w:val="26"/>
      </w:numPr>
      <w:spacing w:before="40"/>
      <w:ind w:left="5040" w:hanging="36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4437D0"/>
    <w:pPr>
      <w:keepNext/>
      <w:keepLines/>
      <w:numPr>
        <w:ilvl w:val="7"/>
        <w:numId w:val="26"/>
      </w:numPr>
      <w:spacing w:before="40" w:after="0"/>
      <w:ind w:left="5760" w:hanging="36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4437D0"/>
    <w:pPr>
      <w:keepNext/>
      <w:keepLines/>
      <w:numPr>
        <w:ilvl w:val="8"/>
        <w:numId w:val="26"/>
      </w:numPr>
      <w:spacing w:before="40" w:after="0"/>
      <w:ind w:left="6480" w:hanging="36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0"/>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dot point 1,Recommendation,List Paragraph1,List Paragraph11,L,#List Paragraph,Bullet point,Bullets,CV text,Dot pt,F5 List Paragraph,FooterText,List Paragraph111,List Paragraph2,Medium Grid 1 - Accent 21,NAST Quote,NFP GP Bulleted List,列,l"/>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val="0"/>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val="0"/>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val="0"/>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uiPriority w:val="35"/>
    <w:unhideWhenUsed/>
    <w:qFormat/>
    <w:rsid w:val="00AE73DB"/>
    <w:rPr>
      <w:b/>
      <w:bCs w:val="0"/>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val="0"/>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7"/>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bCs/>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bCs/>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val="0"/>
      <w:color w:val="F1F2F2" w:themeColor="background1"/>
      <w:sz w:val="80"/>
      <w:szCs w:val="80"/>
    </w:rPr>
  </w:style>
  <w:style w:type="numbering" w:customStyle="1" w:styleId="Style2">
    <w:name w:val="Style2"/>
    <w:uiPriority w:val="99"/>
    <w:rsid w:val="0029727B"/>
    <w:pPr>
      <w:numPr>
        <w:numId w:val="28"/>
      </w:numPr>
    </w:pPr>
  </w:style>
  <w:style w:type="numbering" w:customStyle="1" w:styleId="CurrentList1">
    <w:name w:val="Current List1"/>
    <w:uiPriority w:val="99"/>
    <w:rsid w:val="008E6354"/>
    <w:pPr>
      <w:numPr>
        <w:numId w:val="25"/>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A32366"/>
    <w:pPr>
      <w:pBdr>
        <w:top w:val="single" w:sz="6" w:space="1" w:color="2AB1BB" w:themeColor="accent1"/>
        <w:bottom w:val="single" w:sz="6" w:space="1" w:color="2AB1BB" w:themeColor="accent1"/>
        <w:between w:val="single" w:sz="6" w:space="1" w:color="2AB1BB" w:themeColor="accent1"/>
      </w:pBdr>
      <w:tabs>
        <w:tab w:val="left" w:pos="480"/>
        <w:tab w:val="right" w:pos="9061"/>
      </w:tabs>
    </w:pPr>
    <w:rPr>
      <w:b/>
      <w:bCs w:val="0"/>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styleId="ListBullet">
    <w:name w:val="List Bullet"/>
    <w:basedOn w:val="Normal"/>
    <w:uiPriority w:val="99"/>
    <w:unhideWhenUsed/>
    <w:qFormat/>
    <w:rsid w:val="00124767"/>
    <w:pPr>
      <w:numPr>
        <w:numId w:val="20"/>
      </w:numPr>
      <w:contextualSpacing/>
    </w:pPr>
  </w:style>
  <w:style w:type="character" w:styleId="CommentReference">
    <w:name w:val="annotation reference"/>
    <w:basedOn w:val="DefaultParagraphFont"/>
    <w:uiPriority w:val="99"/>
    <w:semiHidden/>
    <w:unhideWhenUsed/>
    <w:rsid w:val="00CF205E"/>
    <w:rPr>
      <w:sz w:val="16"/>
      <w:szCs w:val="16"/>
    </w:rPr>
  </w:style>
  <w:style w:type="paragraph" w:styleId="CommentText">
    <w:name w:val="annotation text"/>
    <w:basedOn w:val="Normal"/>
    <w:link w:val="CommentTextChar"/>
    <w:uiPriority w:val="99"/>
    <w:unhideWhenUsed/>
    <w:rsid w:val="00CF205E"/>
    <w:pPr>
      <w:spacing w:line="240" w:lineRule="auto"/>
    </w:pPr>
    <w:rPr>
      <w:sz w:val="20"/>
      <w:szCs w:val="20"/>
    </w:rPr>
  </w:style>
  <w:style w:type="character" w:customStyle="1" w:styleId="CommentTextChar">
    <w:name w:val="Comment Text Char"/>
    <w:basedOn w:val="DefaultParagraphFont"/>
    <w:link w:val="CommentText"/>
    <w:uiPriority w:val="99"/>
    <w:rsid w:val="00CF205E"/>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CF205E"/>
    <w:rPr>
      <w:b/>
      <w:bCs w:val="0"/>
    </w:rPr>
  </w:style>
  <w:style w:type="character" w:customStyle="1" w:styleId="CommentSubjectChar">
    <w:name w:val="Comment Subject Char"/>
    <w:basedOn w:val="CommentTextChar"/>
    <w:link w:val="CommentSubject"/>
    <w:semiHidden/>
    <w:rsid w:val="00CF205E"/>
    <w:rPr>
      <w:rFonts w:ascii="Arial" w:hAnsi="Arial"/>
      <w:b/>
      <w:bCs/>
      <w:color w:val="1E1545" w:themeColor="text1"/>
      <w:lang w:eastAsia="en-US"/>
    </w:rPr>
  </w:style>
  <w:style w:type="paragraph" w:styleId="TableofFigures">
    <w:name w:val="table of figures"/>
    <w:basedOn w:val="Normal"/>
    <w:next w:val="Normal"/>
    <w:uiPriority w:val="99"/>
    <w:unhideWhenUsed/>
    <w:rsid w:val="00976764"/>
    <w:pPr>
      <w:spacing w:after="0"/>
    </w:pPr>
  </w:style>
  <w:style w:type="paragraph" w:customStyle="1" w:styleId="TableParagraphbold">
    <w:name w:val="Table Paragraph (bold)"/>
    <w:basedOn w:val="Normal"/>
    <w:uiPriority w:val="1"/>
    <w:qFormat/>
    <w:rsid w:val="00B71B27"/>
    <w:pPr>
      <w:widowControl w:val="0"/>
      <w:autoSpaceDE w:val="0"/>
      <w:autoSpaceDN w:val="0"/>
      <w:spacing w:before="40" w:after="0" w:line="240" w:lineRule="auto"/>
    </w:pPr>
    <w:rPr>
      <w:rFonts w:eastAsia="Degular" w:cs="Degular"/>
      <w:b/>
      <w:color w:val="auto"/>
      <w:sz w:val="20"/>
      <w:szCs w:val="22"/>
      <w:lang w:val="en-US"/>
    </w:rPr>
  </w:style>
  <w:style w:type="paragraph" w:styleId="TableofAuthorities">
    <w:name w:val="table of authorities"/>
    <w:next w:val="Normal"/>
    <w:unhideWhenUsed/>
    <w:rsid w:val="00B71B27"/>
    <w:pPr>
      <w:spacing w:before="20" w:after="20"/>
    </w:pPr>
    <w:rPr>
      <w:rFonts w:ascii="Arial" w:hAnsi="Arial"/>
      <w:color w:val="1E1545" w:themeColor="text1"/>
      <w:szCs w:val="24"/>
      <w:lang w:eastAsia="en-US"/>
    </w:rPr>
  </w:style>
  <w:style w:type="character" w:customStyle="1" w:styleId="Heading8Char">
    <w:name w:val="Heading 8 Char"/>
    <w:basedOn w:val="DefaultParagraphFont"/>
    <w:link w:val="Heading8"/>
    <w:semiHidden/>
    <w:rsid w:val="004437D0"/>
    <w:rPr>
      <w:rFonts w:asciiTheme="majorHAnsi" w:eastAsiaTheme="majorEastAsia" w:hAnsiTheme="majorHAnsi" w:cstheme="majorBidi"/>
      <w:bCs/>
      <w:color w:val="332476" w:themeColor="text1" w:themeTint="D8"/>
      <w:sz w:val="21"/>
      <w:szCs w:val="21"/>
      <w:lang w:eastAsia="en-US"/>
    </w:rPr>
  </w:style>
  <w:style w:type="character" w:customStyle="1" w:styleId="Heading9Char">
    <w:name w:val="Heading 9 Char"/>
    <w:basedOn w:val="DefaultParagraphFont"/>
    <w:link w:val="Heading9"/>
    <w:semiHidden/>
    <w:rsid w:val="004437D0"/>
    <w:rPr>
      <w:rFonts w:asciiTheme="majorHAnsi" w:eastAsiaTheme="majorEastAsia" w:hAnsiTheme="majorHAnsi" w:cstheme="majorBidi"/>
      <w:bCs/>
      <w:i/>
      <w:iCs/>
      <w:color w:val="332476" w:themeColor="text1" w:themeTint="D8"/>
      <w:sz w:val="21"/>
      <w:szCs w:val="21"/>
      <w:lang w:eastAsia="en-US"/>
    </w:rPr>
  </w:style>
  <w:style w:type="paragraph" w:customStyle="1" w:styleId="Footnotetextlist">
    <w:name w:val="Footnote text (list)"/>
    <w:basedOn w:val="FootnoteText"/>
    <w:link w:val="FootnotetextlistChar"/>
    <w:qFormat/>
    <w:rsid w:val="00727E8E"/>
    <w:pPr>
      <w:numPr>
        <w:numId w:val="10"/>
      </w:numPr>
      <w:contextualSpacing/>
    </w:pPr>
    <w:rPr>
      <w:sz w:val="18"/>
    </w:rPr>
  </w:style>
  <w:style w:type="character" w:customStyle="1" w:styleId="FootnotetextlistChar">
    <w:name w:val="Footnote text (list) Char"/>
    <w:basedOn w:val="FootnoteTextChar"/>
    <w:link w:val="Footnotetextlist"/>
    <w:rsid w:val="00727E8E"/>
    <w:rPr>
      <w:rFonts w:ascii="Arial" w:hAnsi="Arial"/>
      <w:sz w:val="18"/>
      <w:lang w:eastAsia="en-US"/>
    </w:rPr>
  </w:style>
  <w:style w:type="paragraph" w:customStyle="1" w:styleId="Heading2nonumbers">
    <w:name w:val="Heading 2 (no numbers)"/>
    <w:link w:val="Heading2nonumbersChar"/>
    <w:qFormat/>
    <w:rsid w:val="00537588"/>
    <w:pPr>
      <w:keepNext/>
      <w:spacing w:before="120" w:after="120"/>
      <w:outlineLvl w:val="1"/>
    </w:pPr>
    <w:rPr>
      <w:rFonts w:ascii="Arial" w:hAnsi="Arial" w:cs="Arial"/>
      <w:b/>
      <w:bCs/>
      <w:iCs/>
      <w:color w:val="1E1545" w:themeColor="text1"/>
      <w:sz w:val="32"/>
      <w:szCs w:val="28"/>
      <w:lang w:eastAsia="en-US"/>
    </w:rPr>
  </w:style>
  <w:style w:type="character" w:customStyle="1" w:styleId="Heading2nonumbersChar">
    <w:name w:val="Heading 2 (no numbers) Char"/>
    <w:basedOn w:val="DefaultParagraphFont"/>
    <w:link w:val="Heading2nonumbers"/>
    <w:rsid w:val="00537588"/>
    <w:rPr>
      <w:rFonts w:ascii="Arial" w:hAnsi="Arial" w:cs="Arial"/>
      <w:b/>
      <w:bCs/>
      <w:iCs/>
      <w:color w:val="1E1545" w:themeColor="text1"/>
      <w:sz w:val="32"/>
      <w:szCs w:val="28"/>
      <w:lang w:eastAsia="en-US"/>
    </w:rPr>
  </w:style>
  <w:style w:type="paragraph" w:customStyle="1" w:styleId="Heading1nonumber">
    <w:name w:val="Heading 1 (no number)"/>
    <w:basedOn w:val="Heading1"/>
    <w:link w:val="Heading1nonumberChar"/>
    <w:qFormat/>
    <w:rsid w:val="009B311D"/>
    <w:pPr>
      <w:ind w:left="0" w:firstLine="0"/>
    </w:pPr>
  </w:style>
  <w:style w:type="character" w:customStyle="1" w:styleId="Heading1nonumberChar">
    <w:name w:val="Heading 1 (no number) Char"/>
    <w:basedOn w:val="DefaultParagraphFont"/>
    <w:link w:val="Heading1nonumber"/>
    <w:rsid w:val="009B311D"/>
    <w:rPr>
      <w:rFonts w:ascii="Arial" w:hAnsi="Arial" w:cs="Arial"/>
      <w:b/>
      <w:bCs/>
      <w:color w:val="1E1545" w:themeColor="text1"/>
      <w:kern w:val="28"/>
      <w:sz w:val="60"/>
      <w:szCs w:val="36"/>
      <w:lang w:eastAsia="en-US"/>
    </w:rPr>
  </w:style>
  <w:style w:type="paragraph" w:styleId="ListBullet3">
    <w:name w:val="List Bullet 3"/>
    <w:basedOn w:val="Normal"/>
    <w:unhideWhenUsed/>
    <w:rsid w:val="0046425D"/>
    <w:pPr>
      <w:ind w:left="720" w:hanging="360"/>
      <w:contextualSpacing/>
    </w:pPr>
  </w:style>
  <w:style w:type="character" w:styleId="Mention">
    <w:name w:val="Mention"/>
    <w:basedOn w:val="DefaultParagraphFont"/>
    <w:uiPriority w:val="99"/>
    <w:unhideWhenUsed/>
    <w:rsid w:val="006A0E91"/>
    <w:rPr>
      <w:color w:val="2B579A"/>
      <w:shd w:val="clear" w:color="auto" w:fill="E1DFDD"/>
    </w:rPr>
  </w:style>
  <w:style w:type="character" w:styleId="FootnoteReference">
    <w:name w:val="footnote reference"/>
    <w:basedOn w:val="DefaultParagraphFont"/>
    <w:semiHidden/>
    <w:unhideWhenUsed/>
    <w:rsid w:val="000777EB"/>
    <w:rPr>
      <w:vertAlign w:val="superscript"/>
    </w:rPr>
  </w:style>
  <w:style w:type="paragraph" w:styleId="Revision">
    <w:name w:val="Revision"/>
    <w:hidden/>
    <w:uiPriority w:val="99"/>
    <w:semiHidden/>
    <w:rsid w:val="00F7571F"/>
    <w:rPr>
      <w:rFonts w:ascii="Arial" w:hAnsi="Arial"/>
      <w:bCs/>
      <w:color w:val="1E1545" w:themeColor="text1"/>
      <w:sz w:val="24"/>
      <w:szCs w:val="18"/>
      <w:lang w:eastAsia="en-US"/>
    </w:rPr>
  </w:style>
  <w:style w:type="paragraph" w:customStyle="1" w:styleId="pf0">
    <w:name w:val="pf0"/>
    <w:basedOn w:val="Normal"/>
    <w:rsid w:val="00F7571F"/>
    <w:pPr>
      <w:spacing w:before="100" w:beforeAutospacing="1" w:after="100" w:afterAutospacing="1" w:line="240" w:lineRule="auto"/>
    </w:pPr>
    <w:rPr>
      <w:rFonts w:ascii="Times New Roman" w:hAnsi="Times New Roman"/>
      <w:bCs w:val="0"/>
      <w:color w:val="auto"/>
      <w:szCs w:val="24"/>
      <w:lang w:eastAsia="en-AU"/>
    </w:rPr>
  </w:style>
  <w:style w:type="character" w:customStyle="1" w:styleId="cf01">
    <w:name w:val="cf01"/>
    <w:basedOn w:val="DefaultParagraphFont"/>
    <w:rsid w:val="00F7571F"/>
    <w:rPr>
      <w:rFonts w:ascii="Segoe UI" w:hAnsi="Segoe UI" w:cs="Segoe UI" w:hint="default"/>
      <w:color w:val="1E1545"/>
      <w:sz w:val="18"/>
      <w:szCs w:val="18"/>
    </w:rPr>
  </w:style>
  <w:style w:type="character" w:styleId="UnresolvedMention">
    <w:name w:val="Unresolved Mention"/>
    <w:basedOn w:val="DefaultParagraphFont"/>
    <w:uiPriority w:val="99"/>
    <w:semiHidden/>
    <w:unhideWhenUsed/>
    <w:rsid w:val="001F0616"/>
    <w:rPr>
      <w:color w:val="605E5C"/>
      <w:shd w:val="clear" w:color="auto" w:fill="E1DFDD"/>
    </w:rPr>
  </w:style>
  <w:style w:type="character" w:styleId="FollowedHyperlink">
    <w:name w:val="FollowedHyperlink"/>
    <w:basedOn w:val="DefaultParagraphFont"/>
    <w:uiPriority w:val="99"/>
    <w:semiHidden/>
    <w:unhideWhenUsed/>
    <w:rsid w:val="00CA0FF8"/>
    <w:rPr>
      <w:color w:val="000000" w:themeColor="followedHyperlink"/>
      <w:u w:val="single"/>
    </w:rPr>
  </w:style>
  <w:style w:type="paragraph" w:customStyle="1" w:styleId="Mist">
    <w:name w:val="Mist"/>
    <w:basedOn w:val="Boxtype"/>
    <w:link w:val="MistChar"/>
    <w:qFormat/>
    <w:rsid w:val="003F159F"/>
    <w:pPr>
      <w:pBdr>
        <w:top w:val="single" w:sz="48" w:space="1" w:color="F1F2F2" w:themeColor="background2"/>
        <w:left w:val="single" w:sz="48" w:space="4" w:color="F1F2F2" w:themeColor="background2"/>
        <w:bottom w:val="single" w:sz="48" w:space="1" w:color="F1F2F2" w:themeColor="background2"/>
        <w:right w:val="single" w:sz="48" w:space="4" w:color="F1F2F2" w:themeColor="background2"/>
      </w:pBdr>
      <w:shd w:val="clear" w:color="auto" w:fill="F1F2F2" w:themeFill="background2"/>
    </w:pPr>
  </w:style>
  <w:style w:type="character" w:customStyle="1" w:styleId="MistChar">
    <w:name w:val="Mist Char"/>
    <w:basedOn w:val="DefaultParagraphFont"/>
    <w:link w:val="Mist"/>
    <w:rsid w:val="003F159F"/>
    <w:rPr>
      <w:rFonts w:ascii="Arial" w:hAnsi="Arial" w:cs="Arial"/>
      <w:color w:val="1E1545" w:themeColor="text1"/>
      <w:sz w:val="22"/>
      <w:szCs w:val="24"/>
      <w:shd w:val="clear" w:color="auto" w:fill="F1F2F2" w:themeFill="background2"/>
      <w:lang w:val="en" w:eastAsia="en-US"/>
    </w:rPr>
  </w:style>
  <w:style w:type="character" w:customStyle="1" w:styleId="ListParagraphChar">
    <w:name w:val="List Paragraph Char"/>
    <w:aliases w:val="dot point 1 Char,Recommendation Char,List Paragraph1 Char,List Paragraph11 Char,L Char,#List Paragraph Char,Bullet point Char,Bullets Char,CV text Char,Dot pt Char,F5 List Paragraph Char,FooterText Char,List Paragraph111 Char,列 Char"/>
    <w:link w:val="ListParagraph"/>
    <w:uiPriority w:val="34"/>
    <w:qFormat/>
    <w:locked/>
    <w:rsid w:val="001174AD"/>
    <w:rPr>
      <w:rFonts w:ascii="Arial" w:hAnsi="Arial"/>
      <w:bCs/>
      <w:color w:val="1E1545" w:themeColor="text1"/>
      <w:sz w:val="24"/>
      <w:szCs w:val="18"/>
      <w:lang w:eastAsia="en-US"/>
    </w:rPr>
  </w:style>
  <w:style w:type="paragraph" w:styleId="EndnoteText">
    <w:name w:val="endnote text"/>
    <w:basedOn w:val="Normal"/>
    <w:link w:val="EndnoteTextChar"/>
    <w:semiHidden/>
    <w:unhideWhenUsed/>
    <w:rsid w:val="00DC406B"/>
    <w:pPr>
      <w:spacing w:before="0" w:after="0" w:line="240" w:lineRule="auto"/>
    </w:pPr>
    <w:rPr>
      <w:sz w:val="20"/>
      <w:szCs w:val="20"/>
    </w:rPr>
  </w:style>
  <w:style w:type="character" w:customStyle="1" w:styleId="EndnoteTextChar">
    <w:name w:val="Endnote Text Char"/>
    <w:basedOn w:val="DefaultParagraphFont"/>
    <w:link w:val="EndnoteText"/>
    <w:semiHidden/>
    <w:rsid w:val="00DC406B"/>
    <w:rPr>
      <w:rFonts w:ascii="Arial" w:hAnsi="Arial"/>
      <w:bCs/>
      <w:color w:val="1E1545" w:themeColor="text1"/>
      <w:lang w:eastAsia="en-US"/>
    </w:rPr>
  </w:style>
  <w:style w:type="character" w:styleId="EndnoteReference">
    <w:name w:val="endnote reference"/>
    <w:basedOn w:val="DefaultParagraphFont"/>
    <w:semiHidden/>
    <w:unhideWhenUsed/>
    <w:rsid w:val="00DC406B"/>
    <w:rPr>
      <w:vertAlign w:val="superscript"/>
    </w:rPr>
  </w:style>
  <w:style w:type="character" w:customStyle="1" w:styleId="normaltextrun">
    <w:name w:val="normaltextrun"/>
    <w:basedOn w:val="DefaultParagraphFont"/>
    <w:rsid w:val="00E81039"/>
  </w:style>
  <w:style w:type="character" w:customStyle="1" w:styleId="eop">
    <w:name w:val="eop"/>
    <w:basedOn w:val="DefaultParagraphFont"/>
    <w:rsid w:val="00BE7E4F"/>
  </w:style>
  <w:style w:type="character" w:customStyle="1" w:styleId="null1">
    <w:name w:val="null1"/>
    <w:basedOn w:val="DefaultParagraphFont"/>
    <w:rsid w:val="00271935"/>
  </w:style>
  <w:style w:type="character" w:customStyle="1" w:styleId="Heading1Char">
    <w:name w:val="Heading 1 Char"/>
    <w:basedOn w:val="DefaultParagraphFont"/>
    <w:link w:val="Heading1"/>
    <w:rsid w:val="00813EAD"/>
    <w:rPr>
      <w:rFonts w:ascii="Arial" w:hAnsi="Arial" w:cs="Arial"/>
      <w:b/>
      <w:bCs/>
      <w:color w:val="1E1545" w:themeColor="text1"/>
      <w:kern w:val="28"/>
      <w:sz w:val="60"/>
      <w:szCs w:val="36"/>
      <w:lang w:eastAsia="en-US"/>
    </w:rPr>
  </w:style>
  <w:style w:type="paragraph" w:customStyle="1" w:styleId="msonormal0">
    <w:name w:val="msonormal"/>
    <w:basedOn w:val="Normal"/>
    <w:rsid w:val="0058179E"/>
    <w:pPr>
      <w:spacing w:before="100" w:beforeAutospacing="1" w:after="100" w:afterAutospacing="1" w:line="240" w:lineRule="auto"/>
    </w:pPr>
    <w:rPr>
      <w:rFonts w:ascii="Times New Roman" w:hAnsi="Times New Roman"/>
      <w:bCs w:val="0"/>
      <w:color w:val="auto"/>
      <w:szCs w:val="24"/>
      <w:lang w:eastAsia="en-AU"/>
    </w:rPr>
  </w:style>
  <w:style w:type="paragraph" w:customStyle="1" w:styleId="xl66">
    <w:name w:val="xl66"/>
    <w:basedOn w:val="Normal"/>
    <w:rsid w:val="0058179E"/>
    <w:pPr>
      <w:spacing w:before="100" w:beforeAutospacing="1" w:after="100" w:afterAutospacing="1" w:line="240" w:lineRule="auto"/>
    </w:pPr>
    <w:rPr>
      <w:rFonts w:cs="Arial"/>
      <w:bCs w:val="0"/>
      <w:color w:val="auto"/>
      <w:sz w:val="21"/>
      <w:szCs w:val="21"/>
      <w:lang w:eastAsia="en-AU"/>
    </w:rPr>
  </w:style>
  <w:style w:type="paragraph" w:customStyle="1" w:styleId="xl67">
    <w:name w:val="xl67"/>
    <w:basedOn w:val="Normal"/>
    <w:rsid w:val="0058179E"/>
    <w:pPr>
      <w:pBdr>
        <w:top w:val="single" w:sz="12" w:space="0" w:color="1E1545"/>
        <w:bottom w:val="single" w:sz="12" w:space="0" w:color="1E1545"/>
      </w:pBdr>
      <w:shd w:val="clear" w:color="000000" w:fill="1E1545"/>
      <w:spacing w:before="100" w:beforeAutospacing="1" w:after="100" w:afterAutospacing="1" w:line="240" w:lineRule="auto"/>
      <w:textAlignment w:val="center"/>
    </w:pPr>
    <w:rPr>
      <w:rFonts w:cs="Arial"/>
      <w:b/>
      <w:color w:val="F1F2F2"/>
      <w:sz w:val="21"/>
      <w:szCs w:val="21"/>
      <w:lang w:eastAsia="en-AU"/>
    </w:rPr>
  </w:style>
  <w:style w:type="paragraph" w:customStyle="1" w:styleId="xl68">
    <w:name w:val="xl68"/>
    <w:basedOn w:val="Normal"/>
    <w:rsid w:val="0058179E"/>
    <w:pPr>
      <w:pBdr>
        <w:top w:val="single" w:sz="12" w:space="0" w:color="1E1545"/>
        <w:bottom w:val="single" w:sz="12" w:space="0" w:color="1E1545"/>
      </w:pBdr>
      <w:shd w:val="clear" w:color="000000" w:fill="1E1545"/>
      <w:spacing w:before="100" w:beforeAutospacing="1" w:after="100" w:afterAutospacing="1" w:line="240" w:lineRule="auto"/>
      <w:jc w:val="center"/>
      <w:textAlignment w:val="center"/>
    </w:pPr>
    <w:rPr>
      <w:rFonts w:cs="Arial"/>
      <w:b/>
      <w:color w:val="F1F2F2"/>
      <w:sz w:val="21"/>
      <w:szCs w:val="21"/>
      <w:lang w:eastAsia="en-AU"/>
    </w:rPr>
  </w:style>
  <w:style w:type="paragraph" w:customStyle="1" w:styleId="xl69">
    <w:name w:val="xl69"/>
    <w:basedOn w:val="Normal"/>
    <w:rsid w:val="0058179E"/>
    <w:pPr>
      <w:pBdr>
        <w:top w:val="single" w:sz="8" w:space="0" w:color="auto"/>
        <w:bottom w:val="single" w:sz="8" w:space="0" w:color="auto"/>
      </w:pBdr>
      <w:spacing w:before="100" w:beforeAutospacing="1" w:after="100" w:afterAutospacing="1" w:line="240" w:lineRule="auto"/>
    </w:pPr>
    <w:rPr>
      <w:rFonts w:cs="Arial"/>
      <w:bCs w:val="0"/>
      <w:color w:val="auto"/>
      <w:sz w:val="21"/>
      <w:szCs w:val="21"/>
      <w:lang w:eastAsia="en-AU"/>
    </w:rPr>
  </w:style>
  <w:style w:type="paragraph" w:customStyle="1" w:styleId="xl70">
    <w:name w:val="xl70"/>
    <w:basedOn w:val="Normal"/>
    <w:rsid w:val="0058179E"/>
    <w:pPr>
      <w:pBdr>
        <w:bottom w:val="single" w:sz="8" w:space="0" w:color="auto"/>
      </w:pBdr>
      <w:spacing w:before="100" w:beforeAutospacing="1" w:after="100" w:afterAutospacing="1" w:line="240" w:lineRule="auto"/>
      <w:jc w:val="right"/>
      <w:textAlignment w:val="center"/>
    </w:pPr>
    <w:rPr>
      <w:rFonts w:cs="Arial"/>
      <w:bCs w:val="0"/>
      <w:color w:val="auto"/>
      <w:sz w:val="21"/>
      <w:szCs w:val="21"/>
      <w:lang w:eastAsia="en-AU"/>
    </w:rPr>
  </w:style>
  <w:style w:type="paragraph" w:customStyle="1" w:styleId="xl71">
    <w:name w:val="xl71"/>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color w:val="auto"/>
      <w:sz w:val="21"/>
      <w:szCs w:val="21"/>
      <w:lang w:eastAsia="en-AU"/>
    </w:rPr>
  </w:style>
  <w:style w:type="paragraph" w:customStyle="1" w:styleId="xl72">
    <w:name w:val="xl72"/>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i/>
      <w:iCs/>
      <w:color w:val="auto"/>
      <w:sz w:val="21"/>
      <w:szCs w:val="21"/>
      <w:lang w:eastAsia="en-AU"/>
    </w:rPr>
  </w:style>
  <w:style w:type="paragraph" w:customStyle="1" w:styleId="xl73">
    <w:name w:val="xl73"/>
    <w:basedOn w:val="Normal"/>
    <w:rsid w:val="0058179E"/>
    <w:pPr>
      <w:pBdr>
        <w:bottom w:val="single" w:sz="8" w:space="0" w:color="auto"/>
      </w:pBdr>
      <w:spacing w:before="100" w:beforeAutospacing="1" w:after="100" w:afterAutospacing="1" w:line="240" w:lineRule="auto"/>
      <w:jc w:val="right"/>
      <w:textAlignment w:val="center"/>
    </w:pPr>
    <w:rPr>
      <w:rFonts w:cs="Arial"/>
      <w:bCs w:val="0"/>
      <w:color w:val="auto"/>
      <w:sz w:val="21"/>
      <w:szCs w:val="21"/>
      <w:lang w:eastAsia="en-AU"/>
    </w:rPr>
  </w:style>
  <w:style w:type="paragraph" w:customStyle="1" w:styleId="xl74">
    <w:name w:val="xl74"/>
    <w:basedOn w:val="Normal"/>
    <w:rsid w:val="0058179E"/>
    <w:pPr>
      <w:pBdr>
        <w:top w:val="single" w:sz="8" w:space="0" w:color="auto"/>
        <w:bottom w:val="single" w:sz="8" w:space="0" w:color="auto"/>
      </w:pBdr>
      <w:spacing w:before="100" w:beforeAutospacing="1" w:after="100" w:afterAutospacing="1" w:line="240" w:lineRule="auto"/>
      <w:textAlignment w:val="center"/>
    </w:pPr>
    <w:rPr>
      <w:rFonts w:cs="Arial"/>
      <w:b/>
      <w:color w:val="auto"/>
      <w:sz w:val="21"/>
      <w:szCs w:val="21"/>
      <w:lang w:eastAsia="en-AU"/>
    </w:rPr>
  </w:style>
  <w:style w:type="paragraph" w:customStyle="1" w:styleId="xl75">
    <w:name w:val="xl75"/>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6">
    <w:name w:val="xl76"/>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7">
    <w:name w:val="xl77"/>
    <w:basedOn w:val="Normal"/>
    <w:rsid w:val="0058179E"/>
    <w:pPr>
      <w:pBdr>
        <w:top w:val="single" w:sz="8" w:space="0" w:color="auto"/>
        <w:bottom w:val="single" w:sz="8" w:space="0" w:color="auto"/>
      </w:pBdr>
      <w:shd w:val="clear" w:color="000000" w:fill="D8DADA"/>
      <w:spacing w:before="100" w:beforeAutospacing="1" w:after="100" w:afterAutospacing="1" w:line="240" w:lineRule="auto"/>
      <w:textAlignment w:val="center"/>
    </w:pPr>
    <w:rPr>
      <w:rFonts w:cs="Arial"/>
      <w:b/>
      <w:color w:val="auto"/>
      <w:sz w:val="21"/>
      <w:szCs w:val="21"/>
      <w:lang w:eastAsia="en-AU"/>
    </w:rPr>
  </w:style>
  <w:style w:type="paragraph" w:customStyle="1" w:styleId="xl78">
    <w:name w:val="xl78"/>
    <w:basedOn w:val="Normal"/>
    <w:rsid w:val="00A75564"/>
    <w:pPr>
      <w:pBdr>
        <w:top w:val="single" w:sz="8" w:space="0" w:color="auto"/>
        <w:bottom w:val="single" w:sz="8" w:space="0" w:color="auto"/>
      </w:pBdr>
      <w:shd w:val="clear" w:color="000000" w:fill="FFFFFF"/>
      <w:spacing w:before="100" w:beforeAutospacing="1" w:after="100" w:afterAutospacing="1" w:line="240" w:lineRule="auto"/>
      <w:textAlignment w:val="center"/>
    </w:pPr>
    <w:rPr>
      <w:rFonts w:cs="Arial"/>
      <w:b/>
      <w:color w:val="auto"/>
      <w:sz w:val="21"/>
      <w:szCs w:val="21"/>
      <w:lang w:eastAsia="en-AU"/>
    </w:rPr>
  </w:style>
  <w:style w:type="paragraph" w:customStyle="1" w:styleId="xl79">
    <w:name w:val="xl79"/>
    <w:basedOn w:val="Normal"/>
    <w:rsid w:val="00A75564"/>
    <w:pPr>
      <w:pBdr>
        <w:bottom w:val="single" w:sz="8" w:space="0" w:color="auto"/>
      </w:pBdr>
      <w:shd w:val="clear" w:color="000000" w:fill="FFFFFF"/>
      <w:spacing w:before="100" w:beforeAutospacing="1" w:after="100" w:afterAutospacing="1" w:line="240" w:lineRule="auto"/>
      <w:jc w:val="right"/>
      <w:textAlignment w:val="center"/>
    </w:pPr>
    <w:rPr>
      <w:rFonts w:cs="Arial"/>
      <w:b/>
      <w:color w:val="auto"/>
      <w:sz w:val="21"/>
      <w:szCs w:val="21"/>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80728">
      <w:bodyDiv w:val="1"/>
      <w:marLeft w:val="0"/>
      <w:marRight w:val="0"/>
      <w:marTop w:val="0"/>
      <w:marBottom w:val="0"/>
      <w:divBdr>
        <w:top w:val="none" w:sz="0" w:space="0" w:color="auto"/>
        <w:left w:val="none" w:sz="0" w:space="0" w:color="auto"/>
        <w:bottom w:val="none" w:sz="0" w:space="0" w:color="auto"/>
        <w:right w:val="none" w:sz="0" w:space="0" w:color="auto"/>
      </w:divBdr>
    </w:div>
    <w:div w:id="1982256">
      <w:bodyDiv w:val="1"/>
      <w:marLeft w:val="0"/>
      <w:marRight w:val="0"/>
      <w:marTop w:val="0"/>
      <w:marBottom w:val="0"/>
      <w:divBdr>
        <w:top w:val="none" w:sz="0" w:space="0" w:color="auto"/>
        <w:left w:val="none" w:sz="0" w:space="0" w:color="auto"/>
        <w:bottom w:val="none" w:sz="0" w:space="0" w:color="auto"/>
        <w:right w:val="none" w:sz="0" w:space="0" w:color="auto"/>
      </w:divBdr>
    </w:div>
    <w:div w:id="62484532">
      <w:bodyDiv w:val="1"/>
      <w:marLeft w:val="0"/>
      <w:marRight w:val="0"/>
      <w:marTop w:val="0"/>
      <w:marBottom w:val="0"/>
      <w:divBdr>
        <w:top w:val="none" w:sz="0" w:space="0" w:color="auto"/>
        <w:left w:val="none" w:sz="0" w:space="0" w:color="auto"/>
        <w:bottom w:val="none" w:sz="0" w:space="0" w:color="auto"/>
        <w:right w:val="none" w:sz="0" w:space="0" w:color="auto"/>
      </w:divBdr>
    </w:div>
    <w:div w:id="65693611">
      <w:bodyDiv w:val="1"/>
      <w:marLeft w:val="0"/>
      <w:marRight w:val="0"/>
      <w:marTop w:val="0"/>
      <w:marBottom w:val="0"/>
      <w:divBdr>
        <w:top w:val="none" w:sz="0" w:space="0" w:color="auto"/>
        <w:left w:val="none" w:sz="0" w:space="0" w:color="auto"/>
        <w:bottom w:val="none" w:sz="0" w:space="0" w:color="auto"/>
        <w:right w:val="none" w:sz="0" w:space="0" w:color="auto"/>
      </w:divBdr>
    </w:div>
    <w:div w:id="73431637">
      <w:bodyDiv w:val="1"/>
      <w:marLeft w:val="0"/>
      <w:marRight w:val="0"/>
      <w:marTop w:val="0"/>
      <w:marBottom w:val="0"/>
      <w:divBdr>
        <w:top w:val="none" w:sz="0" w:space="0" w:color="auto"/>
        <w:left w:val="none" w:sz="0" w:space="0" w:color="auto"/>
        <w:bottom w:val="none" w:sz="0" w:space="0" w:color="auto"/>
        <w:right w:val="none" w:sz="0" w:space="0" w:color="auto"/>
      </w:divBdr>
    </w:div>
    <w:div w:id="82842926">
      <w:bodyDiv w:val="1"/>
      <w:marLeft w:val="0"/>
      <w:marRight w:val="0"/>
      <w:marTop w:val="0"/>
      <w:marBottom w:val="0"/>
      <w:divBdr>
        <w:top w:val="none" w:sz="0" w:space="0" w:color="auto"/>
        <w:left w:val="none" w:sz="0" w:space="0" w:color="auto"/>
        <w:bottom w:val="none" w:sz="0" w:space="0" w:color="auto"/>
        <w:right w:val="none" w:sz="0" w:space="0" w:color="auto"/>
      </w:divBdr>
    </w:div>
    <w:div w:id="83189911">
      <w:bodyDiv w:val="1"/>
      <w:marLeft w:val="0"/>
      <w:marRight w:val="0"/>
      <w:marTop w:val="0"/>
      <w:marBottom w:val="0"/>
      <w:divBdr>
        <w:top w:val="none" w:sz="0" w:space="0" w:color="auto"/>
        <w:left w:val="none" w:sz="0" w:space="0" w:color="auto"/>
        <w:bottom w:val="none" w:sz="0" w:space="0" w:color="auto"/>
        <w:right w:val="none" w:sz="0" w:space="0" w:color="auto"/>
      </w:divBdr>
    </w:div>
    <w:div w:id="89548737">
      <w:bodyDiv w:val="1"/>
      <w:marLeft w:val="0"/>
      <w:marRight w:val="0"/>
      <w:marTop w:val="0"/>
      <w:marBottom w:val="0"/>
      <w:divBdr>
        <w:top w:val="none" w:sz="0" w:space="0" w:color="auto"/>
        <w:left w:val="none" w:sz="0" w:space="0" w:color="auto"/>
        <w:bottom w:val="none" w:sz="0" w:space="0" w:color="auto"/>
        <w:right w:val="none" w:sz="0" w:space="0" w:color="auto"/>
      </w:divBdr>
    </w:div>
    <w:div w:id="119231257">
      <w:bodyDiv w:val="1"/>
      <w:marLeft w:val="0"/>
      <w:marRight w:val="0"/>
      <w:marTop w:val="0"/>
      <w:marBottom w:val="0"/>
      <w:divBdr>
        <w:top w:val="none" w:sz="0" w:space="0" w:color="auto"/>
        <w:left w:val="none" w:sz="0" w:space="0" w:color="auto"/>
        <w:bottom w:val="none" w:sz="0" w:space="0" w:color="auto"/>
        <w:right w:val="none" w:sz="0" w:space="0" w:color="auto"/>
      </w:divBdr>
    </w:div>
    <w:div w:id="148984723">
      <w:bodyDiv w:val="1"/>
      <w:marLeft w:val="0"/>
      <w:marRight w:val="0"/>
      <w:marTop w:val="0"/>
      <w:marBottom w:val="0"/>
      <w:divBdr>
        <w:top w:val="none" w:sz="0" w:space="0" w:color="auto"/>
        <w:left w:val="none" w:sz="0" w:space="0" w:color="auto"/>
        <w:bottom w:val="none" w:sz="0" w:space="0" w:color="auto"/>
        <w:right w:val="none" w:sz="0" w:space="0" w:color="auto"/>
      </w:divBdr>
      <w:divsChild>
        <w:div w:id="1732774432">
          <w:marLeft w:val="0"/>
          <w:marRight w:val="0"/>
          <w:marTop w:val="0"/>
          <w:marBottom w:val="0"/>
          <w:divBdr>
            <w:top w:val="none" w:sz="0" w:space="0" w:color="auto"/>
            <w:left w:val="none" w:sz="0" w:space="0" w:color="auto"/>
            <w:bottom w:val="none" w:sz="0" w:space="0" w:color="auto"/>
            <w:right w:val="none" w:sz="0" w:space="0" w:color="auto"/>
          </w:divBdr>
        </w:div>
      </w:divsChild>
    </w:div>
    <w:div w:id="155345213">
      <w:bodyDiv w:val="1"/>
      <w:marLeft w:val="0"/>
      <w:marRight w:val="0"/>
      <w:marTop w:val="0"/>
      <w:marBottom w:val="0"/>
      <w:divBdr>
        <w:top w:val="none" w:sz="0" w:space="0" w:color="auto"/>
        <w:left w:val="none" w:sz="0" w:space="0" w:color="auto"/>
        <w:bottom w:val="none" w:sz="0" w:space="0" w:color="auto"/>
        <w:right w:val="none" w:sz="0" w:space="0" w:color="auto"/>
      </w:divBdr>
    </w:div>
    <w:div w:id="175654418">
      <w:bodyDiv w:val="1"/>
      <w:marLeft w:val="0"/>
      <w:marRight w:val="0"/>
      <w:marTop w:val="0"/>
      <w:marBottom w:val="0"/>
      <w:divBdr>
        <w:top w:val="none" w:sz="0" w:space="0" w:color="auto"/>
        <w:left w:val="none" w:sz="0" w:space="0" w:color="auto"/>
        <w:bottom w:val="none" w:sz="0" w:space="0" w:color="auto"/>
        <w:right w:val="none" w:sz="0" w:space="0" w:color="auto"/>
      </w:divBdr>
    </w:div>
    <w:div w:id="193271058">
      <w:bodyDiv w:val="1"/>
      <w:marLeft w:val="0"/>
      <w:marRight w:val="0"/>
      <w:marTop w:val="0"/>
      <w:marBottom w:val="0"/>
      <w:divBdr>
        <w:top w:val="none" w:sz="0" w:space="0" w:color="auto"/>
        <w:left w:val="none" w:sz="0" w:space="0" w:color="auto"/>
        <w:bottom w:val="none" w:sz="0" w:space="0" w:color="auto"/>
        <w:right w:val="none" w:sz="0" w:space="0" w:color="auto"/>
      </w:divBdr>
    </w:div>
    <w:div w:id="199368028">
      <w:bodyDiv w:val="1"/>
      <w:marLeft w:val="0"/>
      <w:marRight w:val="0"/>
      <w:marTop w:val="0"/>
      <w:marBottom w:val="0"/>
      <w:divBdr>
        <w:top w:val="none" w:sz="0" w:space="0" w:color="auto"/>
        <w:left w:val="none" w:sz="0" w:space="0" w:color="auto"/>
        <w:bottom w:val="none" w:sz="0" w:space="0" w:color="auto"/>
        <w:right w:val="none" w:sz="0" w:space="0" w:color="auto"/>
      </w:divBdr>
    </w:div>
    <w:div w:id="205726535">
      <w:bodyDiv w:val="1"/>
      <w:marLeft w:val="0"/>
      <w:marRight w:val="0"/>
      <w:marTop w:val="0"/>
      <w:marBottom w:val="0"/>
      <w:divBdr>
        <w:top w:val="none" w:sz="0" w:space="0" w:color="auto"/>
        <w:left w:val="none" w:sz="0" w:space="0" w:color="auto"/>
        <w:bottom w:val="none" w:sz="0" w:space="0" w:color="auto"/>
        <w:right w:val="none" w:sz="0" w:space="0" w:color="auto"/>
      </w:divBdr>
    </w:div>
    <w:div w:id="239869490">
      <w:bodyDiv w:val="1"/>
      <w:marLeft w:val="0"/>
      <w:marRight w:val="0"/>
      <w:marTop w:val="0"/>
      <w:marBottom w:val="0"/>
      <w:divBdr>
        <w:top w:val="none" w:sz="0" w:space="0" w:color="auto"/>
        <w:left w:val="none" w:sz="0" w:space="0" w:color="auto"/>
        <w:bottom w:val="none" w:sz="0" w:space="0" w:color="auto"/>
        <w:right w:val="none" w:sz="0" w:space="0" w:color="auto"/>
      </w:divBdr>
    </w:div>
    <w:div w:id="248393015">
      <w:bodyDiv w:val="1"/>
      <w:marLeft w:val="0"/>
      <w:marRight w:val="0"/>
      <w:marTop w:val="0"/>
      <w:marBottom w:val="0"/>
      <w:divBdr>
        <w:top w:val="none" w:sz="0" w:space="0" w:color="auto"/>
        <w:left w:val="none" w:sz="0" w:space="0" w:color="auto"/>
        <w:bottom w:val="none" w:sz="0" w:space="0" w:color="auto"/>
        <w:right w:val="none" w:sz="0" w:space="0" w:color="auto"/>
      </w:divBdr>
    </w:div>
    <w:div w:id="286275203">
      <w:bodyDiv w:val="1"/>
      <w:marLeft w:val="0"/>
      <w:marRight w:val="0"/>
      <w:marTop w:val="0"/>
      <w:marBottom w:val="0"/>
      <w:divBdr>
        <w:top w:val="none" w:sz="0" w:space="0" w:color="auto"/>
        <w:left w:val="none" w:sz="0" w:space="0" w:color="auto"/>
        <w:bottom w:val="none" w:sz="0" w:space="0" w:color="auto"/>
        <w:right w:val="none" w:sz="0" w:space="0" w:color="auto"/>
      </w:divBdr>
      <w:divsChild>
        <w:div w:id="600069890">
          <w:marLeft w:val="0"/>
          <w:marRight w:val="0"/>
          <w:marTop w:val="0"/>
          <w:marBottom w:val="0"/>
          <w:divBdr>
            <w:top w:val="none" w:sz="0" w:space="0" w:color="auto"/>
            <w:left w:val="none" w:sz="0" w:space="0" w:color="auto"/>
            <w:bottom w:val="none" w:sz="0" w:space="0" w:color="auto"/>
            <w:right w:val="none" w:sz="0" w:space="0" w:color="auto"/>
          </w:divBdr>
        </w:div>
      </w:divsChild>
    </w:div>
    <w:div w:id="340818280">
      <w:bodyDiv w:val="1"/>
      <w:marLeft w:val="0"/>
      <w:marRight w:val="0"/>
      <w:marTop w:val="0"/>
      <w:marBottom w:val="0"/>
      <w:divBdr>
        <w:top w:val="none" w:sz="0" w:space="0" w:color="auto"/>
        <w:left w:val="none" w:sz="0" w:space="0" w:color="auto"/>
        <w:bottom w:val="none" w:sz="0" w:space="0" w:color="auto"/>
        <w:right w:val="none" w:sz="0" w:space="0" w:color="auto"/>
      </w:divBdr>
    </w:div>
    <w:div w:id="341980877">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64984634">
      <w:bodyDiv w:val="1"/>
      <w:marLeft w:val="0"/>
      <w:marRight w:val="0"/>
      <w:marTop w:val="0"/>
      <w:marBottom w:val="0"/>
      <w:divBdr>
        <w:top w:val="none" w:sz="0" w:space="0" w:color="auto"/>
        <w:left w:val="none" w:sz="0" w:space="0" w:color="auto"/>
        <w:bottom w:val="none" w:sz="0" w:space="0" w:color="auto"/>
        <w:right w:val="none" w:sz="0" w:space="0" w:color="auto"/>
      </w:divBdr>
    </w:div>
    <w:div w:id="376390239">
      <w:bodyDiv w:val="1"/>
      <w:marLeft w:val="0"/>
      <w:marRight w:val="0"/>
      <w:marTop w:val="0"/>
      <w:marBottom w:val="0"/>
      <w:divBdr>
        <w:top w:val="none" w:sz="0" w:space="0" w:color="auto"/>
        <w:left w:val="none" w:sz="0" w:space="0" w:color="auto"/>
        <w:bottom w:val="none" w:sz="0" w:space="0" w:color="auto"/>
        <w:right w:val="none" w:sz="0" w:space="0" w:color="auto"/>
      </w:divBdr>
    </w:div>
    <w:div w:id="379480398">
      <w:bodyDiv w:val="1"/>
      <w:marLeft w:val="0"/>
      <w:marRight w:val="0"/>
      <w:marTop w:val="0"/>
      <w:marBottom w:val="0"/>
      <w:divBdr>
        <w:top w:val="none" w:sz="0" w:space="0" w:color="auto"/>
        <w:left w:val="none" w:sz="0" w:space="0" w:color="auto"/>
        <w:bottom w:val="none" w:sz="0" w:space="0" w:color="auto"/>
        <w:right w:val="none" w:sz="0" w:space="0" w:color="auto"/>
      </w:divBdr>
    </w:div>
    <w:div w:id="396319616">
      <w:bodyDiv w:val="1"/>
      <w:marLeft w:val="0"/>
      <w:marRight w:val="0"/>
      <w:marTop w:val="0"/>
      <w:marBottom w:val="0"/>
      <w:divBdr>
        <w:top w:val="none" w:sz="0" w:space="0" w:color="auto"/>
        <w:left w:val="none" w:sz="0" w:space="0" w:color="auto"/>
        <w:bottom w:val="none" w:sz="0" w:space="0" w:color="auto"/>
        <w:right w:val="none" w:sz="0" w:space="0" w:color="auto"/>
      </w:divBdr>
    </w:div>
    <w:div w:id="401104878">
      <w:bodyDiv w:val="1"/>
      <w:marLeft w:val="0"/>
      <w:marRight w:val="0"/>
      <w:marTop w:val="0"/>
      <w:marBottom w:val="0"/>
      <w:divBdr>
        <w:top w:val="none" w:sz="0" w:space="0" w:color="auto"/>
        <w:left w:val="none" w:sz="0" w:space="0" w:color="auto"/>
        <w:bottom w:val="none" w:sz="0" w:space="0" w:color="auto"/>
        <w:right w:val="none" w:sz="0" w:space="0" w:color="auto"/>
      </w:divBdr>
      <w:divsChild>
        <w:div w:id="850412849">
          <w:marLeft w:val="0"/>
          <w:marRight w:val="0"/>
          <w:marTop w:val="0"/>
          <w:marBottom w:val="0"/>
          <w:divBdr>
            <w:top w:val="none" w:sz="0" w:space="0" w:color="auto"/>
            <w:left w:val="none" w:sz="0" w:space="0" w:color="auto"/>
            <w:bottom w:val="none" w:sz="0" w:space="0" w:color="auto"/>
            <w:right w:val="none" w:sz="0" w:space="0" w:color="auto"/>
          </w:divBdr>
        </w:div>
      </w:divsChild>
    </w:div>
    <w:div w:id="413432010">
      <w:bodyDiv w:val="1"/>
      <w:marLeft w:val="0"/>
      <w:marRight w:val="0"/>
      <w:marTop w:val="0"/>
      <w:marBottom w:val="0"/>
      <w:divBdr>
        <w:top w:val="none" w:sz="0" w:space="0" w:color="auto"/>
        <w:left w:val="none" w:sz="0" w:space="0" w:color="auto"/>
        <w:bottom w:val="none" w:sz="0" w:space="0" w:color="auto"/>
        <w:right w:val="none" w:sz="0" w:space="0" w:color="auto"/>
      </w:divBdr>
    </w:div>
    <w:div w:id="420688769">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41875783">
      <w:bodyDiv w:val="1"/>
      <w:marLeft w:val="0"/>
      <w:marRight w:val="0"/>
      <w:marTop w:val="0"/>
      <w:marBottom w:val="0"/>
      <w:divBdr>
        <w:top w:val="none" w:sz="0" w:space="0" w:color="auto"/>
        <w:left w:val="none" w:sz="0" w:space="0" w:color="auto"/>
        <w:bottom w:val="none" w:sz="0" w:space="0" w:color="auto"/>
        <w:right w:val="none" w:sz="0" w:space="0" w:color="auto"/>
      </w:divBdr>
    </w:div>
    <w:div w:id="456485172">
      <w:bodyDiv w:val="1"/>
      <w:marLeft w:val="0"/>
      <w:marRight w:val="0"/>
      <w:marTop w:val="0"/>
      <w:marBottom w:val="0"/>
      <w:divBdr>
        <w:top w:val="none" w:sz="0" w:space="0" w:color="auto"/>
        <w:left w:val="none" w:sz="0" w:space="0" w:color="auto"/>
        <w:bottom w:val="none" w:sz="0" w:space="0" w:color="auto"/>
        <w:right w:val="none" w:sz="0" w:space="0" w:color="auto"/>
      </w:divBdr>
    </w:div>
    <w:div w:id="466944339">
      <w:bodyDiv w:val="1"/>
      <w:marLeft w:val="0"/>
      <w:marRight w:val="0"/>
      <w:marTop w:val="0"/>
      <w:marBottom w:val="0"/>
      <w:divBdr>
        <w:top w:val="none" w:sz="0" w:space="0" w:color="auto"/>
        <w:left w:val="none" w:sz="0" w:space="0" w:color="auto"/>
        <w:bottom w:val="none" w:sz="0" w:space="0" w:color="auto"/>
        <w:right w:val="none" w:sz="0" w:space="0" w:color="auto"/>
      </w:divBdr>
    </w:div>
    <w:div w:id="480272681">
      <w:bodyDiv w:val="1"/>
      <w:marLeft w:val="0"/>
      <w:marRight w:val="0"/>
      <w:marTop w:val="0"/>
      <w:marBottom w:val="0"/>
      <w:divBdr>
        <w:top w:val="none" w:sz="0" w:space="0" w:color="auto"/>
        <w:left w:val="none" w:sz="0" w:space="0" w:color="auto"/>
        <w:bottom w:val="none" w:sz="0" w:space="0" w:color="auto"/>
        <w:right w:val="none" w:sz="0" w:space="0" w:color="auto"/>
      </w:divBdr>
    </w:div>
    <w:div w:id="480970588">
      <w:bodyDiv w:val="1"/>
      <w:marLeft w:val="0"/>
      <w:marRight w:val="0"/>
      <w:marTop w:val="0"/>
      <w:marBottom w:val="0"/>
      <w:divBdr>
        <w:top w:val="none" w:sz="0" w:space="0" w:color="auto"/>
        <w:left w:val="none" w:sz="0" w:space="0" w:color="auto"/>
        <w:bottom w:val="none" w:sz="0" w:space="0" w:color="auto"/>
        <w:right w:val="none" w:sz="0" w:space="0" w:color="auto"/>
      </w:divBdr>
    </w:div>
    <w:div w:id="495191801">
      <w:bodyDiv w:val="1"/>
      <w:marLeft w:val="0"/>
      <w:marRight w:val="0"/>
      <w:marTop w:val="0"/>
      <w:marBottom w:val="0"/>
      <w:divBdr>
        <w:top w:val="none" w:sz="0" w:space="0" w:color="auto"/>
        <w:left w:val="none" w:sz="0" w:space="0" w:color="auto"/>
        <w:bottom w:val="none" w:sz="0" w:space="0" w:color="auto"/>
        <w:right w:val="none" w:sz="0" w:space="0" w:color="auto"/>
      </w:divBdr>
    </w:div>
    <w:div w:id="498430272">
      <w:bodyDiv w:val="1"/>
      <w:marLeft w:val="0"/>
      <w:marRight w:val="0"/>
      <w:marTop w:val="0"/>
      <w:marBottom w:val="0"/>
      <w:divBdr>
        <w:top w:val="none" w:sz="0" w:space="0" w:color="auto"/>
        <w:left w:val="none" w:sz="0" w:space="0" w:color="auto"/>
        <w:bottom w:val="none" w:sz="0" w:space="0" w:color="auto"/>
        <w:right w:val="none" w:sz="0" w:space="0" w:color="auto"/>
      </w:divBdr>
    </w:div>
    <w:div w:id="525489021">
      <w:bodyDiv w:val="1"/>
      <w:marLeft w:val="0"/>
      <w:marRight w:val="0"/>
      <w:marTop w:val="0"/>
      <w:marBottom w:val="0"/>
      <w:divBdr>
        <w:top w:val="none" w:sz="0" w:space="0" w:color="auto"/>
        <w:left w:val="none" w:sz="0" w:space="0" w:color="auto"/>
        <w:bottom w:val="none" w:sz="0" w:space="0" w:color="auto"/>
        <w:right w:val="none" w:sz="0" w:space="0" w:color="auto"/>
      </w:divBdr>
    </w:div>
    <w:div w:id="529338050">
      <w:bodyDiv w:val="1"/>
      <w:marLeft w:val="0"/>
      <w:marRight w:val="0"/>
      <w:marTop w:val="0"/>
      <w:marBottom w:val="0"/>
      <w:divBdr>
        <w:top w:val="none" w:sz="0" w:space="0" w:color="auto"/>
        <w:left w:val="none" w:sz="0" w:space="0" w:color="auto"/>
        <w:bottom w:val="none" w:sz="0" w:space="0" w:color="auto"/>
        <w:right w:val="none" w:sz="0" w:space="0" w:color="auto"/>
      </w:divBdr>
    </w:div>
    <w:div w:id="563026959">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6643552">
      <w:bodyDiv w:val="1"/>
      <w:marLeft w:val="0"/>
      <w:marRight w:val="0"/>
      <w:marTop w:val="0"/>
      <w:marBottom w:val="0"/>
      <w:divBdr>
        <w:top w:val="none" w:sz="0" w:space="0" w:color="auto"/>
        <w:left w:val="none" w:sz="0" w:space="0" w:color="auto"/>
        <w:bottom w:val="none" w:sz="0" w:space="0" w:color="auto"/>
        <w:right w:val="none" w:sz="0" w:space="0" w:color="auto"/>
      </w:divBdr>
    </w:div>
    <w:div w:id="621351308">
      <w:bodyDiv w:val="1"/>
      <w:marLeft w:val="0"/>
      <w:marRight w:val="0"/>
      <w:marTop w:val="0"/>
      <w:marBottom w:val="0"/>
      <w:divBdr>
        <w:top w:val="none" w:sz="0" w:space="0" w:color="auto"/>
        <w:left w:val="none" w:sz="0" w:space="0" w:color="auto"/>
        <w:bottom w:val="none" w:sz="0" w:space="0" w:color="auto"/>
        <w:right w:val="none" w:sz="0" w:space="0" w:color="auto"/>
      </w:divBdr>
    </w:div>
    <w:div w:id="630015990">
      <w:bodyDiv w:val="1"/>
      <w:marLeft w:val="0"/>
      <w:marRight w:val="0"/>
      <w:marTop w:val="0"/>
      <w:marBottom w:val="0"/>
      <w:divBdr>
        <w:top w:val="none" w:sz="0" w:space="0" w:color="auto"/>
        <w:left w:val="none" w:sz="0" w:space="0" w:color="auto"/>
        <w:bottom w:val="none" w:sz="0" w:space="0" w:color="auto"/>
        <w:right w:val="none" w:sz="0" w:space="0" w:color="auto"/>
      </w:divBdr>
    </w:div>
    <w:div w:id="635645619">
      <w:bodyDiv w:val="1"/>
      <w:marLeft w:val="0"/>
      <w:marRight w:val="0"/>
      <w:marTop w:val="0"/>
      <w:marBottom w:val="0"/>
      <w:divBdr>
        <w:top w:val="none" w:sz="0" w:space="0" w:color="auto"/>
        <w:left w:val="none" w:sz="0" w:space="0" w:color="auto"/>
        <w:bottom w:val="none" w:sz="0" w:space="0" w:color="auto"/>
        <w:right w:val="none" w:sz="0" w:space="0" w:color="auto"/>
      </w:divBdr>
    </w:div>
    <w:div w:id="654188025">
      <w:bodyDiv w:val="1"/>
      <w:marLeft w:val="0"/>
      <w:marRight w:val="0"/>
      <w:marTop w:val="0"/>
      <w:marBottom w:val="0"/>
      <w:divBdr>
        <w:top w:val="none" w:sz="0" w:space="0" w:color="auto"/>
        <w:left w:val="none" w:sz="0" w:space="0" w:color="auto"/>
        <w:bottom w:val="none" w:sz="0" w:space="0" w:color="auto"/>
        <w:right w:val="none" w:sz="0" w:space="0" w:color="auto"/>
      </w:divBdr>
    </w:div>
    <w:div w:id="664629651">
      <w:bodyDiv w:val="1"/>
      <w:marLeft w:val="0"/>
      <w:marRight w:val="0"/>
      <w:marTop w:val="0"/>
      <w:marBottom w:val="0"/>
      <w:divBdr>
        <w:top w:val="none" w:sz="0" w:space="0" w:color="auto"/>
        <w:left w:val="none" w:sz="0" w:space="0" w:color="auto"/>
        <w:bottom w:val="none" w:sz="0" w:space="0" w:color="auto"/>
        <w:right w:val="none" w:sz="0" w:space="0" w:color="auto"/>
      </w:divBdr>
    </w:div>
    <w:div w:id="665594697">
      <w:bodyDiv w:val="1"/>
      <w:marLeft w:val="0"/>
      <w:marRight w:val="0"/>
      <w:marTop w:val="0"/>
      <w:marBottom w:val="0"/>
      <w:divBdr>
        <w:top w:val="none" w:sz="0" w:space="0" w:color="auto"/>
        <w:left w:val="none" w:sz="0" w:space="0" w:color="auto"/>
        <w:bottom w:val="none" w:sz="0" w:space="0" w:color="auto"/>
        <w:right w:val="none" w:sz="0" w:space="0" w:color="auto"/>
      </w:divBdr>
    </w:div>
    <w:div w:id="670716813">
      <w:bodyDiv w:val="1"/>
      <w:marLeft w:val="0"/>
      <w:marRight w:val="0"/>
      <w:marTop w:val="0"/>
      <w:marBottom w:val="0"/>
      <w:divBdr>
        <w:top w:val="none" w:sz="0" w:space="0" w:color="auto"/>
        <w:left w:val="none" w:sz="0" w:space="0" w:color="auto"/>
        <w:bottom w:val="none" w:sz="0" w:space="0" w:color="auto"/>
        <w:right w:val="none" w:sz="0" w:space="0" w:color="auto"/>
      </w:divBdr>
    </w:div>
    <w:div w:id="679818144">
      <w:bodyDiv w:val="1"/>
      <w:marLeft w:val="0"/>
      <w:marRight w:val="0"/>
      <w:marTop w:val="0"/>
      <w:marBottom w:val="0"/>
      <w:divBdr>
        <w:top w:val="none" w:sz="0" w:space="0" w:color="auto"/>
        <w:left w:val="none" w:sz="0" w:space="0" w:color="auto"/>
        <w:bottom w:val="none" w:sz="0" w:space="0" w:color="auto"/>
        <w:right w:val="none" w:sz="0" w:space="0" w:color="auto"/>
      </w:divBdr>
    </w:div>
    <w:div w:id="689373642">
      <w:bodyDiv w:val="1"/>
      <w:marLeft w:val="0"/>
      <w:marRight w:val="0"/>
      <w:marTop w:val="0"/>
      <w:marBottom w:val="0"/>
      <w:divBdr>
        <w:top w:val="none" w:sz="0" w:space="0" w:color="auto"/>
        <w:left w:val="none" w:sz="0" w:space="0" w:color="auto"/>
        <w:bottom w:val="none" w:sz="0" w:space="0" w:color="auto"/>
        <w:right w:val="none" w:sz="0" w:space="0" w:color="auto"/>
      </w:divBdr>
    </w:div>
    <w:div w:id="694311879">
      <w:bodyDiv w:val="1"/>
      <w:marLeft w:val="0"/>
      <w:marRight w:val="0"/>
      <w:marTop w:val="0"/>
      <w:marBottom w:val="0"/>
      <w:divBdr>
        <w:top w:val="none" w:sz="0" w:space="0" w:color="auto"/>
        <w:left w:val="none" w:sz="0" w:space="0" w:color="auto"/>
        <w:bottom w:val="none" w:sz="0" w:space="0" w:color="auto"/>
        <w:right w:val="none" w:sz="0" w:space="0" w:color="auto"/>
      </w:divBdr>
    </w:div>
    <w:div w:id="716202181">
      <w:bodyDiv w:val="1"/>
      <w:marLeft w:val="0"/>
      <w:marRight w:val="0"/>
      <w:marTop w:val="0"/>
      <w:marBottom w:val="0"/>
      <w:divBdr>
        <w:top w:val="none" w:sz="0" w:space="0" w:color="auto"/>
        <w:left w:val="none" w:sz="0" w:space="0" w:color="auto"/>
        <w:bottom w:val="none" w:sz="0" w:space="0" w:color="auto"/>
        <w:right w:val="none" w:sz="0" w:space="0" w:color="auto"/>
      </w:divBdr>
    </w:div>
    <w:div w:id="727724679">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7477277">
      <w:bodyDiv w:val="1"/>
      <w:marLeft w:val="0"/>
      <w:marRight w:val="0"/>
      <w:marTop w:val="0"/>
      <w:marBottom w:val="0"/>
      <w:divBdr>
        <w:top w:val="none" w:sz="0" w:space="0" w:color="auto"/>
        <w:left w:val="none" w:sz="0" w:space="0" w:color="auto"/>
        <w:bottom w:val="none" w:sz="0" w:space="0" w:color="auto"/>
        <w:right w:val="none" w:sz="0" w:space="0" w:color="auto"/>
      </w:divBdr>
    </w:div>
    <w:div w:id="738290781">
      <w:bodyDiv w:val="1"/>
      <w:marLeft w:val="0"/>
      <w:marRight w:val="0"/>
      <w:marTop w:val="0"/>
      <w:marBottom w:val="0"/>
      <w:divBdr>
        <w:top w:val="none" w:sz="0" w:space="0" w:color="auto"/>
        <w:left w:val="none" w:sz="0" w:space="0" w:color="auto"/>
        <w:bottom w:val="none" w:sz="0" w:space="0" w:color="auto"/>
        <w:right w:val="none" w:sz="0" w:space="0" w:color="auto"/>
      </w:divBdr>
    </w:div>
    <w:div w:id="770514191">
      <w:bodyDiv w:val="1"/>
      <w:marLeft w:val="0"/>
      <w:marRight w:val="0"/>
      <w:marTop w:val="0"/>
      <w:marBottom w:val="0"/>
      <w:divBdr>
        <w:top w:val="none" w:sz="0" w:space="0" w:color="auto"/>
        <w:left w:val="none" w:sz="0" w:space="0" w:color="auto"/>
        <w:bottom w:val="none" w:sz="0" w:space="0" w:color="auto"/>
        <w:right w:val="none" w:sz="0" w:space="0" w:color="auto"/>
      </w:divBdr>
    </w:div>
    <w:div w:id="772824598">
      <w:bodyDiv w:val="1"/>
      <w:marLeft w:val="0"/>
      <w:marRight w:val="0"/>
      <w:marTop w:val="0"/>
      <w:marBottom w:val="0"/>
      <w:divBdr>
        <w:top w:val="none" w:sz="0" w:space="0" w:color="auto"/>
        <w:left w:val="none" w:sz="0" w:space="0" w:color="auto"/>
        <w:bottom w:val="none" w:sz="0" w:space="0" w:color="auto"/>
        <w:right w:val="none" w:sz="0" w:space="0" w:color="auto"/>
      </w:divBdr>
    </w:div>
    <w:div w:id="826869494">
      <w:bodyDiv w:val="1"/>
      <w:marLeft w:val="0"/>
      <w:marRight w:val="0"/>
      <w:marTop w:val="0"/>
      <w:marBottom w:val="0"/>
      <w:divBdr>
        <w:top w:val="none" w:sz="0" w:space="0" w:color="auto"/>
        <w:left w:val="none" w:sz="0" w:space="0" w:color="auto"/>
        <w:bottom w:val="none" w:sz="0" w:space="0" w:color="auto"/>
        <w:right w:val="none" w:sz="0" w:space="0" w:color="auto"/>
      </w:divBdr>
    </w:div>
    <w:div w:id="861935981">
      <w:bodyDiv w:val="1"/>
      <w:marLeft w:val="0"/>
      <w:marRight w:val="0"/>
      <w:marTop w:val="0"/>
      <w:marBottom w:val="0"/>
      <w:divBdr>
        <w:top w:val="none" w:sz="0" w:space="0" w:color="auto"/>
        <w:left w:val="none" w:sz="0" w:space="0" w:color="auto"/>
        <w:bottom w:val="none" w:sz="0" w:space="0" w:color="auto"/>
        <w:right w:val="none" w:sz="0" w:space="0" w:color="auto"/>
      </w:divBdr>
    </w:div>
    <w:div w:id="880633601">
      <w:bodyDiv w:val="1"/>
      <w:marLeft w:val="0"/>
      <w:marRight w:val="0"/>
      <w:marTop w:val="0"/>
      <w:marBottom w:val="0"/>
      <w:divBdr>
        <w:top w:val="none" w:sz="0" w:space="0" w:color="auto"/>
        <w:left w:val="none" w:sz="0" w:space="0" w:color="auto"/>
        <w:bottom w:val="none" w:sz="0" w:space="0" w:color="auto"/>
        <w:right w:val="none" w:sz="0" w:space="0" w:color="auto"/>
      </w:divBdr>
    </w:div>
    <w:div w:id="893850025">
      <w:bodyDiv w:val="1"/>
      <w:marLeft w:val="0"/>
      <w:marRight w:val="0"/>
      <w:marTop w:val="0"/>
      <w:marBottom w:val="0"/>
      <w:divBdr>
        <w:top w:val="none" w:sz="0" w:space="0" w:color="auto"/>
        <w:left w:val="none" w:sz="0" w:space="0" w:color="auto"/>
        <w:bottom w:val="none" w:sz="0" w:space="0" w:color="auto"/>
        <w:right w:val="none" w:sz="0" w:space="0" w:color="auto"/>
      </w:divBdr>
    </w:div>
    <w:div w:id="927272711">
      <w:bodyDiv w:val="1"/>
      <w:marLeft w:val="0"/>
      <w:marRight w:val="0"/>
      <w:marTop w:val="0"/>
      <w:marBottom w:val="0"/>
      <w:divBdr>
        <w:top w:val="none" w:sz="0" w:space="0" w:color="auto"/>
        <w:left w:val="none" w:sz="0" w:space="0" w:color="auto"/>
        <w:bottom w:val="none" w:sz="0" w:space="0" w:color="auto"/>
        <w:right w:val="none" w:sz="0" w:space="0" w:color="auto"/>
      </w:divBdr>
    </w:div>
    <w:div w:id="935674869">
      <w:bodyDiv w:val="1"/>
      <w:marLeft w:val="0"/>
      <w:marRight w:val="0"/>
      <w:marTop w:val="0"/>
      <w:marBottom w:val="0"/>
      <w:divBdr>
        <w:top w:val="none" w:sz="0" w:space="0" w:color="auto"/>
        <w:left w:val="none" w:sz="0" w:space="0" w:color="auto"/>
        <w:bottom w:val="none" w:sz="0" w:space="0" w:color="auto"/>
        <w:right w:val="none" w:sz="0" w:space="0" w:color="auto"/>
      </w:divBdr>
    </w:div>
    <w:div w:id="942999041">
      <w:bodyDiv w:val="1"/>
      <w:marLeft w:val="0"/>
      <w:marRight w:val="0"/>
      <w:marTop w:val="0"/>
      <w:marBottom w:val="0"/>
      <w:divBdr>
        <w:top w:val="none" w:sz="0" w:space="0" w:color="auto"/>
        <w:left w:val="none" w:sz="0" w:space="0" w:color="auto"/>
        <w:bottom w:val="none" w:sz="0" w:space="0" w:color="auto"/>
        <w:right w:val="none" w:sz="0" w:space="0" w:color="auto"/>
      </w:divBdr>
    </w:div>
    <w:div w:id="955018759">
      <w:bodyDiv w:val="1"/>
      <w:marLeft w:val="0"/>
      <w:marRight w:val="0"/>
      <w:marTop w:val="0"/>
      <w:marBottom w:val="0"/>
      <w:divBdr>
        <w:top w:val="none" w:sz="0" w:space="0" w:color="auto"/>
        <w:left w:val="none" w:sz="0" w:space="0" w:color="auto"/>
        <w:bottom w:val="none" w:sz="0" w:space="0" w:color="auto"/>
        <w:right w:val="none" w:sz="0" w:space="0" w:color="auto"/>
      </w:divBdr>
    </w:div>
    <w:div w:id="990061896">
      <w:bodyDiv w:val="1"/>
      <w:marLeft w:val="0"/>
      <w:marRight w:val="0"/>
      <w:marTop w:val="0"/>
      <w:marBottom w:val="0"/>
      <w:divBdr>
        <w:top w:val="none" w:sz="0" w:space="0" w:color="auto"/>
        <w:left w:val="none" w:sz="0" w:space="0" w:color="auto"/>
        <w:bottom w:val="none" w:sz="0" w:space="0" w:color="auto"/>
        <w:right w:val="none" w:sz="0" w:space="0" w:color="auto"/>
      </w:divBdr>
    </w:div>
    <w:div w:id="1011494631">
      <w:bodyDiv w:val="1"/>
      <w:marLeft w:val="0"/>
      <w:marRight w:val="0"/>
      <w:marTop w:val="0"/>
      <w:marBottom w:val="0"/>
      <w:divBdr>
        <w:top w:val="none" w:sz="0" w:space="0" w:color="auto"/>
        <w:left w:val="none" w:sz="0" w:space="0" w:color="auto"/>
        <w:bottom w:val="none" w:sz="0" w:space="0" w:color="auto"/>
        <w:right w:val="none" w:sz="0" w:space="0" w:color="auto"/>
      </w:divBdr>
    </w:div>
    <w:div w:id="1016464902">
      <w:bodyDiv w:val="1"/>
      <w:marLeft w:val="0"/>
      <w:marRight w:val="0"/>
      <w:marTop w:val="0"/>
      <w:marBottom w:val="0"/>
      <w:divBdr>
        <w:top w:val="none" w:sz="0" w:space="0" w:color="auto"/>
        <w:left w:val="none" w:sz="0" w:space="0" w:color="auto"/>
        <w:bottom w:val="none" w:sz="0" w:space="0" w:color="auto"/>
        <w:right w:val="none" w:sz="0" w:space="0" w:color="auto"/>
      </w:divBdr>
    </w:div>
    <w:div w:id="1021977009">
      <w:bodyDiv w:val="1"/>
      <w:marLeft w:val="0"/>
      <w:marRight w:val="0"/>
      <w:marTop w:val="0"/>
      <w:marBottom w:val="0"/>
      <w:divBdr>
        <w:top w:val="none" w:sz="0" w:space="0" w:color="auto"/>
        <w:left w:val="none" w:sz="0" w:space="0" w:color="auto"/>
        <w:bottom w:val="none" w:sz="0" w:space="0" w:color="auto"/>
        <w:right w:val="none" w:sz="0" w:space="0" w:color="auto"/>
      </w:divBdr>
    </w:div>
    <w:div w:id="1027873005">
      <w:bodyDiv w:val="1"/>
      <w:marLeft w:val="0"/>
      <w:marRight w:val="0"/>
      <w:marTop w:val="0"/>
      <w:marBottom w:val="0"/>
      <w:divBdr>
        <w:top w:val="none" w:sz="0" w:space="0" w:color="auto"/>
        <w:left w:val="none" w:sz="0" w:space="0" w:color="auto"/>
        <w:bottom w:val="none" w:sz="0" w:space="0" w:color="auto"/>
        <w:right w:val="none" w:sz="0" w:space="0" w:color="auto"/>
      </w:divBdr>
    </w:div>
    <w:div w:id="1028798389">
      <w:bodyDiv w:val="1"/>
      <w:marLeft w:val="0"/>
      <w:marRight w:val="0"/>
      <w:marTop w:val="0"/>
      <w:marBottom w:val="0"/>
      <w:divBdr>
        <w:top w:val="none" w:sz="0" w:space="0" w:color="auto"/>
        <w:left w:val="none" w:sz="0" w:space="0" w:color="auto"/>
        <w:bottom w:val="none" w:sz="0" w:space="0" w:color="auto"/>
        <w:right w:val="none" w:sz="0" w:space="0" w:color="auto"/>
      </w:divBdr>
    </w:div>
    <w:div w:id="1039354101">
      <w:bodyDiv w:val="1"/>
      <w:marLeft w:val="0"/>
      <w:marRight w:val="0"/>
      <w:marTop w:val="0"/>
      <w:marBottom w:val="0"/>
      <w:divBdr>
        <w:top w:val="none" w:sz="0" w:space="0" w:color="auto"/>
        <w:left w:val="none" w:sz="0" w:space="0" w:color="auto"/>
        <w:bottom w:val="none" w:sz="0" w:space="0" w:color="auto"/>
        <w:right w:val="none" w:sz="0" w:space="0" w:color="auto"/>
      </w:divBdr>
    </w:div>
    <w:div w:id="1045375241">
      <w:bodyDiv w:val="1"/>
      <w:marLeft w:val="0"/>
      <w:marRight w:val="0"/>
      <w:marTop w:val="0"/>
      <w:marBottom w:val="0"/>
      <w:divBdr>
        <w:top w:val="none" w:sz="0" w:space="0" w:color="auto"/>
        <w:left w:val="none" w:sz="0" w:space="0" w:color="auto"/>
        <w:bottom w:val="none" w:sz="0" w:space="0" w:color="auto"/>
        <w:right w:val="none" w:sz="0" w:space="0" w:color="auto"/>
      </w:divBdr>
    </w:div>
    <w:div w:id="1057705029">
      <w:bodyDiv w:val="1"/>
      <w:marLeft w:val="0"/>
      <w:marRight w:val="0"/>
      <w:marTop w:val="0"/>
      <w:marBottom w:val="0"/>
      <w:divBdr>
        <w:top w:val="none" w:sz="0" w:space="0" w:color="auto"/>
        <w:left w:val="none" w:sz="0" w:space="0" w:color="auto"/>
        <w:bottom w:val="none" w:sz="0" w:space="0" w:color="auto"/>
        <w:right w:val="none" w:sz="0" w:space="0" w:color="auto"/>
      </w:divBdr>
    </w:div>
    <w:div w:id="1068502043">
      <w:bodyDiv w:val="1"/>
      <w:marLeft w:val="0"/>
      <w:marRight w:val="0"/>
      <w:marTop w:val="0"/>
      <w:marBottom w:val="0"/>
      <w:divBdr>
        <w:top w:val="none" w:sz="0" w:space="0" w:color="auto"/>
        <w:left w:val="none" w:sz="0" w:space="0" w:color="auto"/>
        <w:bottom w:val="none" w:sz="0" w:space="0" w:color="auto"/>
        <w:right w:val="none" w:sz="0" w:space="0" w:color="auto"/>
      </w:divBdr>
    </w:div>
    <w:div w:id="1090586367">
      <w:bodyDiv w:val="1"/>
      <w:marLeft w:val="0"/>
      <w:marRight w:val="0"/>
      <w:marTop w:val="0"/>
      <w:marBottom w:val="0"/>
      <w:divBdr>
        <w:top w:val="none" w:sz="0" w:space="0" w:color="auto"/>
        <w:left w:val="none" w:sz="0" w:space="0" w:color="auto"/>
        <w:bottom w:val="none" w:sz="0" w:space="0" w:color="auto"/>
        <w:right w:val="none" w:sz="0" w:space="0" w:color="auto"/>
      </w:divBdr>
    </w:div>
    <w:div w:id="1124542421">
      <w:bodyDiv w:val="1"/>
      <w:marLeft w:val="0"/>
      <w:marRight w:val="0"/>
      <w:marTop w:val="0"/>
      <w:marBottom w:val="0"/>
      <w:divBdr>
        <w:top w:val="none" w:sz="0" w:space="0" w:color="auto"/>
        <w:left w:val="none" w:sz="0" w:space="0" w:color="auto"/>
        <w:bottom w:val="none" w:sz="0" w:space="0" w:color="auto"/>
        <w:right w:val="none" w:sz="0" w:space="0" w:color="auto"/>
      </w:divBdr>
    </w:div>
    <w:div w:id="1156609079">
      <w:bodyDiv w:val="1"/>
      <w:marLeft w:val="0"/>
      <w:marRight w:val="0"/>
      <w:marTop w:val="0"/>
      <w:marBottom w:val="0"/>
      <w:divBdr>
        <w:top w:val="none" w:sz="0" w:space="0" w:color="auto"/>
        <w:left w:val="none" w:sz="0" w:space="0" w:color="auto"/>
        <w:bottom w:val="none" w:sz="0" w:space="0" w:color="auto"/>
        <w:right w:val="none" w:sz="0" w:space="0" w:color="auto"/>
      </w:divBdr>
    </w:div>
    <w:div w:id="1190873454">
      <w:bodyDiv w:val="1"/>
      <w:marLeft w:val="0"/>
      <w:marRight w:val="0"/>
      <w:marTop w:val="0"/>
      <w:marBottom w:val="0"/>
      <w:divBdr>
        <w:top w:val="none" w:sz="0" w:space="0" w:color="auto"/>
        <w:left w:val="none" w:sz="0" w:space="0" w:color="auto"/>
        <w:bottom w:val="none" w:sz="0" w:space="0" w:color="auto"/>
        <w:right w:val="none" w:sz="0" w:space="0" w:color="auto"/>
      </w:divBdr>
      <w:divsChild>
        <w:div w:id="1087574379">
          <w:marLeft w:val="0"/>
          <w:marRight w:val="0"/>
          <w:marTop w:val="0"/>
          <w:marBottom w:val="0"/>
          <w:divBdr>
            <w:top w:val="none" w:sz="0" w:space="0" w:color="auto"/>
            <w:left w:val="none" w:sz="0" w:space="0" w:color="auto"/>
            <w:bottom w:val="none" w:sz="0" w:space="0" w:color="auto"/>
            <w:right w:val="none" w:sz="0" w:space="0" w:color="auto"/>
          </w:divBdr>
        </w:div>
      </w:divsChild>
    </w:div>
    <w:div w:id="1202982427">
      <w:bodyDiv w:val="1"/>
      <w:marLeft w:val="0"/>
      <w:marRight w:val="0"/>
      <w:marTop w:val="0"/>
      <w:marBottom w:val="0"/>
      <w:divBdr>
        <w:top w:val="none" w:sz="0" w:space="0" w:color="auto"/>
        <w:left w:val="none" w:sz="0" w:space="0" w:color="auto"/>
        <w:bottom w:val="none" w:sz="0" w:space="0" w:color="auto"/>
        <w:right w:val="none" w:sz="0" w:space="0" w:color="auto"/>
      </w:divBdr>
    </w:div>
    <w:div w:id="1221286004">
      <w:bodyDiv w:val="1"/>
      <w:marLeft w:val="0"/>
      <w:marRight w:val="0"/>
      <w:marTop w:val="0"/>
      <w:marBottom w:val="0"/>
      <w:divBdr>
        <w:top w:val="none" w:sz="0" w:space="0" w:color="auto"/>
        <w:left w:val="none" w:sz="0" w:space="0" w:color="auto"/>
        <w:bottom w:val="none" w:sz="0" w:space="0" w:color="auto"/>
        <w:right w:val="none" w:sz="0" w:space="0" w:color="auto"/>
      </w:divBdr>
    </w:div>
    <w:div w:id="1224634143">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81762544">
      <w:bodyDiv w:val="1"/>
      <w:marLeft w:val="0"/>
      <w:marRight w:val="0"/>
      <w:marTop w:val="0"/>
      <w:marBottom w:val="0"/>
      <w:divBdr>
        <w:top w:val="none" w:sz="0" w:space="0" w:color="auto"/>
        <w:left w:val="none" w:sz="0" w:space="0" w:color="auto"/>
        <w:bottom w:val="none" w:sz="0" w:space="0" w:color="auto"/>
        <w:right w:val="none" w:sz="0" w:space="0" w:color="auto"/>
      </w:divBdr>
    </w:div>
    <w:div w:id="1298805339">
      <w:bodyDiv w:val="1"/>
      <w:marLeft w:val="0"/>
      <w:marRight w:val="0"/>
      <w:marTop w:val="0"/>
      <w:marBottom w:val="0"/>
      <w:divBdr>
        <w:top w:val="none" w:sz="0" w:space="0" w:color="auto"/>
        <w:left w:val="none" w:sz="0" w:space="0" w:color="auto"/>
        <w:bottom w:val="none" w:sz="0" w:space="0" w:color="auto"/>
        <w:right w:val="none" w:sz="0" w:space="0" w:color="auto"/>
      </w:divBdr>
    </w:div>
    <w:div w:id="1304891719">
      <w:bodyDiv w:val="1"/>
      <w:marLeft w:val="0"/>
      <w:marRight w:val="0"/>
      <w:marTop w:val="0"/>
      <w:marBottom w:val="0"/>
      <w:divBdr>
        <w:top w:val="none" w:sz="0" w:space="0" w:color="auto"/>
        <w:left w:val="none" w:sz="0" w:space="0" w:color="auto"/>
        <w:bottom w:val="none" w:sz="0" w:space="0" w:color="auto"/>
        <w:right w:val="none" w:sz="0" w:space="0" w:color="auto"/>
      </w:divBdr>
    </w:div>
    <w:div w:id="1331954975">
      <w:bodyDiv w:val="1"/>
      <w:marLeft w:val="0"/>
      <w:marRight w:val="0"/>
      <w:marTop w:val="0"/>
      <w:marBottom w:val="0"/>
      <w:divBdr>
        <w:top w:val="none" w:sz="0" w:space="0" w:color="auto"/>
        <w:left w:val="none" w:sz="0" w:space="0" w:color="auto"/>
        <w:bottom w:val="none" w:sz="0" w:space="0" w:color="auto"/>
        <w:right w:val="none" w:sz="0" w:space="0" w:color="auto"/>
      </w:divBdr>
    </w:div>
    <w:div w:id="1340808990">
      <w:bodyDiv w:val="1"/>
      <w:marLeft w:val="0"/>
      <w:marRight w:val="0"/>
      <w:marTop w:val="0"/>
      <w:marBottom w:val="0"/>
      <w:divBdr>
        <w:top w:val="none" w:sz="0" w:space="0" w:color="auto"/>
        <w:left w:val="none" w:sz="0" w:space="0" w:color="auto"/>
        <w:bottom w:val="none" w:sz="0" w:space="0" w:color="auto"/>
        <w:right w:val="none" w:sz="0" w:space="0" w:color="auto"/>
      </w:divBdr>
    </w:div>
    <w:div w:id="1348285444">
      <w:bodyDiv w:val="1"/>
      <w:marLeft w:val="0"/>
      <w:marRight w:val="0"/>
      <w:marTop w:val="0"/>
      <w:marBottom w:val="0"/>
      <w:divBdr>
        <w:top w:val="none" w:sz="0" w:space="0" w:color="auto"/>
        <w:left w:val="none" w:sz="0" w:space="0" w:color="auto"/>
        <w:bottom w:val="none" w:sz="0" w:space="0" w:color="auto"/>
        <w:right w:val="none" w:sz="0" w:space="0" w:color="auto"/>
      </w:divBdr>
    </w:div>
    <w:div w:id="1350452826">
      <w:bodyDiv w:val="1"/>
      <w:marLeft w:val="0"/>
      <w:marRight w:val="0"/>
      <w:marTop w:val="0"/>
      <w:marBottom w:val="0"/>
      <w:divBdr>
        <w:top w:val="none" w:sz="0" w:space="0" w:color="auto"/>
        <w:left w:val="none" w:sz="0" w:space="0" w:color="auto"/>
        <w:bottom w:val="none" w:sz="0" w:space="0" w:color="auto"/>
        <w:right w:val="none" w:sz="0" w:space="0" w:color="auto"/>
      </w:divBdr>
    </w:div>
    <w:div w:id="1436440644">
      <w:bodyDiv w:val="1"/>
      <w:marLeft w:val="0"/>
      <w:marRight w:val="0"/>
      <w:marTop w:val="0"/>
      <w:marBottom w:val="0"/>
      <w:divBdr>
        <w:top w:val="none" w:sz="0" w:space="0" w:color="auto"/>
        <w:left w:val="none" w:sz="0" w:space="0" w:color="auto"/>
        <w:bottom w:val="none" w:sz="0" w:space="0" w:color="auto"/>
        <w:right w:val="none" w:sz="0" w:space="0" w:color="auto"/>
      </w:divBdr>
    </w:div>
    <w:div w:id="1451319299">
      <w:bodyDiv w:val="1"/>
      <w:marLeft w:val="0"/>
      <w:marRight w:val="0"/>
      <w:marTop w:val="0"/>
      <w:marBottom w:val="0"/>
      <w:divBdr>
        <w:top w:val="none" w:sz="0" w:space="0" w:color="auto"/>
        <w:left w:val="none" w:sz="0" w:space="0" w:color="auto"/>
        <w:bottom w:val="none" w:sz="0" w:space="0" w:color="auto"/>
        <w:right w:val="none" w:sz="0" w:space="0" w:color="auto"/>
      </w:divBdr>
      <w:divsChild>
        <w:div w:id="332535258">
          <w:marLeft w:val="0"/>
          <w:marRight w:val="0"/>
          <w:marTop w:val="0"/>
          <w:marBottom w:val="0"/>
          <w:divBdr>
            <w:top w:val="none" w:sz="0" w:space="0" w:color="auto"/>
            <w:left w:val="none" w:sz="0" w:space="0" w:color="auto"/>
            <w:bottom w:val="none" w:sz="0" w:space="0" w:color="auto"/>
            <w:right w:val="none" w:sz="0" w:space="0" w:color="auto"/>
          </w:divBdr>
        </w:div>
      </w:divsChild>
    </w:div>
    <w:div w:id="1453670395">
      <w:bodyDiv w:val="1"/>
      <w:marLeft w:val="0"/>
      <w:marRight w:val="0"/>
      <w:marTop w:val="0"/>
      <w:marBottom w:val="0"/>
      <w:divBdr>
        <w:top w:val="none" w:sz="0" w:space="0" w:color="auto"/>
        <w:left w:val="none" w:sz="0" w:space="0" w:color="auto"/>
        <w:bottom w:val="none" w:sz="0" w:space="0" w:color="auto"/>
        <w:right w:val="none" w:sz="0" w:space="0" w:color="auto"/>
      </w:divBdr>
    </w:div>
    <w:div w:id="1465661997">
      <w:bodyDiv w:val="1"/>
      <w:marLeft w:val="0"/>
      <w:marRight w:val="0"/>
      <w:marTop w:val="0"/>
      <w:marBottom w:val="0"/>
      <w:divBdr>
        <w:top w:val="none" w:sz="0" w:space="0" w:color="auto"/>
        <w:left w:val="none" w:sz="0" w:space="0" w:color="auto"/>
        <w:bottom w:val="none" w:sz="0" w:space="0" w:color="auto"/>
        <w:right w:val="none" w:sz="0" w:space="0" w:color="auto"/>
      </w:divBdr>
      <w:divsChild>
        <w:div w:id="584001064">
          <w:marLeft w:val="0"/>
          <w:marRight w:val="0"/>
          <w:marTop w:val="0"/>
          <w:marBottom w:val="0"/>
          <w:divBdr>
            <w:top w:val="none" w:sz="0" w:space="0" w:color="auto"/>
            <w:left w:val="none" w:sz="0" w:space="0" w:color="auto"/>
            <w:bottom w:val="none" w:sz="0" w:space="0" w:color="auto"/>
            <w:right w:val="none" w:sz="0" w:space="0" w:color="auto"/>
          </w:divBdr>
        </w:div>
      </w:divsChild>
    </w:div>
    <w:div w:id="1470436417">
      <w:bodyDiv w:val="1"/>
      <w:marLeft w:val="0"/>
      <w:marRight w:val="0"/>
      <w:marTop w:val="0"/>
      <w:marBottom w:val="0"/>
      <w:divBdr>
        <w:top w:val="none" w:sz="0" w:space="0" w:color="auto"/>
        <w:left w:val="none" w:sz="0" w:space="0" w:color="auto"/>
        <w:bottom w:val="none" w:sz="0" w:space="0" w:color="auto"/>
        <w:right w:val="none" w:sz="0" w:space="0" w:color="auto"/>
      </w:divBdr>
    </w:div>
    <w:div w:id="1473906704">
      <w:bodyDiv w:val="1"/>
      <w:marLeft w:val="0"/>
      <w:marRight w:val="0"/>
      <w:marTop w:val="0"/>
      <w:marBottom w:val="0"/>
      <w:divBdr>
        <w:top w:val="none" w:sz="0" w:space="0" w:color="auto"/>
        <w:left w:val="none" w:sz="0" w:space="0" w:color="auto"/>
        <w:bottom w:val="none" w:sz="0" w:space="0" w:color="auto"/>
        <w:right w:val="none" w:sz="0" w:space="0" w:color="auto"/>
      </w:divBdr>
    </w:div>
    <w:div w:id="1502429902">
      <w:bodyDiv w:val="1"/>
      <w:marLeft w:val="0"/>
      <w:marRight w:val="0"/>
      <w:marTop w:val="0"/>
      <w:marBottom w:val="0"/>
      <w:divBdr>
        <w:top w:val="none" w:sz="0" w:space="0" w:color="auto"/>
        <w:left w:val="none" w:sz="0" w:space="0" w:color="auto"/>
        <w:bottom w:val="none" w:sz="0" w:space="0" w:color="auto"/>
        <w:right w:val="none" w:sz="0" w:space="0" w:color="auto"/>
      </w:divBdr>
    </w:div>
    <w:div w:id="1510170659">
      <w:bodyDiv w:val="1"/>
      <w:marLeft w:val="0"/>
      <w:marRight w:val="0"/>
      <w:marTop w:val="0"/>
      <w:marBottom w:val="0"/>
      <w:divBdr>
        <w:top w:val="none" w:sz="0" w:space="0" w:color="auto"/>
        <w:left w:val="none" w:sz="0" w:space="0" w:color="auto"/>
        <w:bottom w:val="none" w:sz="0" w:space="0" w:color="auto"/>
        <w:right w:val="none" w:sz="0" w:space="0" w:color="auto"/>
      </w:divBdr>
    </w:div>
    <w:div w:id="1512990016">
      <w:bodyDiv w:val="1"/>
      <w:marLeft w:val="0"/>
      <w:marRight w:val="0"/>
      <w:marTop w:val="0"/>
      <w:marBottom w:val="0"/>
      <w:divBdr>
        <w:top w:val="none" w:sz="0" w:space="0" w:color="auto"/>
        <w:left w:val="none" w:sz="0" w:space="0" w:color="auto"/>
        <w:bottom w:val="none" w:sz="0" w:space="0" w:color="auto"/>
        <w:right w:val="none" w:sz="0" w:space="0" w:color="auto"/>
      </w:divBdr>
    </w:div>
    <w:div w:id="1515614192">
      <w:bodyDiv w:val="1"/>
      <w:marLeft w:val="0"/>
      <w:marRight w:val="0"/>
      <w:marTop w:val="0"/>
      <w:marBottom w:val="0"/>
      <w:divBdr>
        <w:top w:val="none" w:sz="0" w:space="0" w:color="auto"/>
        <w:left w:val="none" w:sz="0" w:space="0" w:color="auto"/>
        <w:bottom w:val="none" w:sz="0" w:space="0" w:color="auto"/>
        <w:right w:val="none" w:sz="0" w:space="0" w:color="auto"/>
      </w:divBdr>
    </w:div>
    <w:div w:id="1525170303">
      <w:bodyDiv w:val="1"/>
      <w:marLeft w:val="0"/>
      <w:marRight w:val="0"/>
      <w:marTop w:val="0"/>
      <w:marBottom w:val="0"/>
      <w:divBdr>
        <w:top w:val="none" w:sz="0" w:space="0" w:color="auto"/>
        <w:left w:val="none" w:sz="0" w:space="0" w:color="auto"/>
        <w:bottom w:val="none" w:sz="0" w:space="0" w:color="auto"/>
        <w:right w:val="none" w:sz="0" w:space="0" w:color="auto"/>
      </w:divBdr>
    </w:div>
    <w:div w:id="1544947762">
      <w:bodyDiv w:val="1"/>
      <w:marLeft w:val="0"/>
      <w:marRight w:val="0"/>
      <w:marTop w:val="0"/>
      <w:marBottom w:val="0"/>
      <w:divBdr>
        <w:top w:val="none" w:sz="0" w:space="0" w:color="auto"/>
        <w:left w:val="none" w:sz="0" w:space="0" w:color="auto"/>
        <w:bottom w:val="none" w:sz="0" w:space="0" w:color="auto"/>
        <w:right w:val="none" w:sz="0" w:space="0" w:color="auto"/>
      </w:divBdr>
    </w:div>
    <w:div w:id="1570337533">
      <w:bodyDiv w:val="1"/>
      <w:marLeft w:val="0"/>
      <w:marRight w:val="0"/>
      <w:marTop w:val="0"/>
      <w:marBottom w:val="0"/>
      <w:divBdr>
        <w:top w:val="none" w:sz="0" w:space="0" w:color="auto"/>
        <w:left w:val="none" w:sz="0" w:space="0" w:color="auto"/>
        <w:bottom w:val="none" w:sz="0" w:space="0" w:color="auto"/>
        <w:right w:val="none" w:sz="0" w:space="0" w:color="auto"/>
      </w:divBdr>
    </w:div>
    <w:div w:id="1574390764">
      <w:bodyDiv w:val="1"/>
      <w:marLeft w:val="0"/>
      <w:marRight w:val="0"/>
      <w:marTop w:val="0"/>
      <w:marBottom w:val="0"/>
      <w:divBdr>
        <w:top w:val="none" w:sz="0" w:space="0" w:color="auto"/>
        <w:left w:val="none" w:sz="0" w:space="0" w:color="auto"/>
        <w:bottom w:val="none" w:sz="0" w:space="0" w:color="auto"/>
        <w:right w:val="none" w:sz="0" w:space="0" w:color="auto"/>
      </w:divBdr>
    </w:div>
    <w:div w:id="1581791135">
      <w:bodyDiv w:val="1"/>
      <w:marLeft w:val="0"/>
      <w:marRight w:val="0"/>
      <w:marTop w:val="0"/>
      <w:marBottom w:val="0"/>
      <w:divBdr>
        <w:top w:val="none" w:sz="0" w:space="0" w:color="auto"/>
        <w:left w:val="none" w:sz="0" w:space="0" w:color="auto"/>
        <w:bottom w:val="none" w:sz="0" w:space="0" w:color="auto"/>
        <w:right w:val="none" w:sz="0" w:space="0" w:color="auto"/>
      </w:divBdr>
    </w:div>
    <w:div w:id="1632056843">
      <w:bodyDiv w:val="1"/>
      <w:marLeft w:val="0"/>
      <w:marRight w:val="0"/>
      <w:marTop w:val="0"/>
      <w:marBottom w:val="0"/>
      <w:divBdr>
        <w:top w:val="none" w:sz="0" w:space="0" w:color="auto"/>
        <w:left w:val="none" w:sz="0" w:space="0" w:color="auto"/>
        <w:bottom w:val="none" w:sz="0" w:space="0" w:color="auto"/>
        <w:right w:val="none" w:sz="0" w:space="0" w:color="auto"/>
      </w:divBdr>
    </w:div>
    <w:div w:id="1660766058">
      <w:bodyDiv w:val="1"/>
      <w:marLeft w:val="0"/>
      <w:marRight w:val="0"/>
      <w:marTop w:val="0"/>
      <w:marBottom w:val="0"/>
      <w:divBdr>
        <w:top w:val="none" w:sz="0" w:space="0" w:color="auto"/>
        <w:left w:val="none" w:sz="0" w:space="0" w:color="auto"/>
        <w:bottom w:val="none" w:sz="0" w:space="0" w:color="auto"/>
        <w:right w:val="none" w:sz="0" w:space="0" w:color="auto"/>
      </w:divBdr>
    </w:div>
    <w:div w:id="1670792783">
      <w:bodyDiv w:val="1"/>
      <w:marLeft w:val="0"/>
      <w:marRight w:val="0"/>
      <w:marTop w:val="0"/>
      <w:marBottom w:val="0"/>
      <w:divBdr>
        <w:top w:val="none" w:sz="0" w:space="0" w:color="auto"/>
        <w:left w:val="none" w:sz="0" w:space="0" w:color="auto"/>
        <w:bottom w:val="none" w:sz="0" w:space="0" w:color="auto"/>
        <w:right w:val="none" w:sz="0" w:space="0" w:color="auto"/>
      </w:divBdr>
    </w:div>
    <w:div w:id="1694916905">
      <w:bodyDiv w:val="1"/>
      <w:marLeft w:val="0"/>
      <w:marRight w:val="0"/>
      <w:marTop w:val="0"/>
      <w:marBottom w:val="0"/>
      <w:divBdr>
        <w:top w:val="none" w:sz="0" w:space="0" w:color="auto"/>
        <w:left w:val="none" w:sz="0" w:space="0" w:color="auto"/>
        <w:bottom w:val="none" w:sz="0" w:space="0" w:color="auto"/>
        <w:right w:val="none" w:sz="0" w:space="0" w:color="auto"/>
      </w:divBdr>
    </w:div>
    <w:div w:id="1730761314">
      <w:bodyDiv w:val="1"/>
      <w:marLeft w:val="0"/>
      <w:marRight w:val="0"/>
      <w:marTop w:val="0"/>
      <w:marBottom w:val="0"/>
      <w:divBdr>
        <w:top w:val="none" w:sz="0" w:space="0" w:color="auto"/>
        <w:left w:val="none" w:sz="0" w:space="0" w:color="auto"/>
        <w:bottom w:val="none" w:sz="0" w:space="0" w:color="auto"/>
        <w:right w:val="none" w:sz="0" w:space="0" w:color="auto"/>
      </w:divBdr>
    </w:div>
    <w:div w:id="1791820636">
      <w:bodyDiv w:val="1"/>
      <w:marLeft w:val="0"/>
      <w:marRight w:val="0"/>
      <w:marTop w:val="0"/>
      <w:marBottom w:val="0"/>
      <w:divBdr>
        <w:top w:val="none" w:sz="0" w:space="0" w:color="auto"/>
        <w:left w:val="none" w:sz="0" w:space="0" w:color="auto"/>
        <w:bottom w:val="none" w:sz="0" w:space="0" w:color="auto"/>
        <w:right w:val="none" w:sz="0" w:space="0" w:color="auto"/>
      </w:divBdr>
    </w:div>
    <w:div w:id="1805468216">
      <w:bodyDiv w:val="1"/>
      <w:marLeft w:val="0"/>
      <w:marRight w:val="0"/>
      <w:marTop w:val="0"/>
      <w:marBottom w:val="0"/>
      <w:divBdr>
        <w:top w:val="none" w:sz="0" w:space="0" w:color="auto"/>
        <w:left w:val="none" w:sz="0" w:space="0" w:color="auto"/>
        <w:bottom w:val="none" w:sz="0" w:space="0" w:color="auto"/>
        <w:right w:val="none" w:sz="0" w:space="0" w:color="auto"/>
      </w:divBdr>
    </w:div>
    <w:div w:id="1811708594">
      <w:bodyDiv w:val="1"/>
      <w:marLeft w:val="0"/>
      <w:marRight w:val="0"/>
      <w:marTop w:val="0"/>
      <w:marBottom w:val="0"/>
      <w:divBdr>
        <w:top w:val="none" w:sz="0" w:space="0" w:color="auto"/>
        <w:left w:val="none" w:sz="0" w:space="0" w:color="auto"/>
        <w:bottom w:val="none" w:sz="0" w:space="0" w:color="auto"/>
        <w:right w:val="none" w:sz="0" w:space="0" w:color="auto"/>
      </w:divBdr>
    </w:div>
    <w:div w:id="1812555709">
      <w:bodyDiv w:val="1"/>
      <w:marLeft w:val="0"/>
      <w:marRight w:val="0"/>
      <w:marTop w:val="0"/>
      <w:marBottom w:val="0"/>
      <w:divBdr>
        <w:top w:val="none" w:sz="0" w:space="0" w:color="auto"/>
        <w:left w:val="none" w:sz="0" w:space="0" w:color="auto"/>
        <w:bottom w:val="none" w:sz="0" w:space="0" w:color="auto"/>
        <w:right w:val="none" w:sz="0" w:space="0" w:color="auto"/>
      </w:divBdr>
    </w:div>
    <w:div w:id="1819959509">
      <w:bodyDiv w:val="1"/>
      <w:marLeft w:val="0"/>
      <w:marRight w:val="0"/>
      <w:marTop w:val="0"/>
      <w:marBottom w:val="0"/>
      <w:divBdr>
        <w:top w:val="none" w:sz="0" w:space="0" w:color="auto"/>
        <w:left w:val="none" w:sz="0" w:space="0" w:color="auto"/>
        <w:bottom w:val="none" w:sz="0" w:space="0" w:color="auto"/>
        <w:right w:val="none" w:sz="0" w:space="0" w:color="auto"/>
      </w:divBdr>
    </w:div>
    <w:div w:id="1828864199">
      <w:bodyDiv w:val="1"/>
      <w:marLeft w:val="0"/>
      <w:marRight w:val="0"/>
      <w:marTop w:val="0"/>
      <w:marBottom w:val="0"/>
      <w:divBdr>
        <w:top w:val="none" w:sz="0" w:space="0" w:color="auto"/>
        <w:left w:val="none" w:sz="0" w:space="0" w:color="auto"/>
        <w:bottom w:val="none" w:sz="0" w:space="0" w:color="auto"/>
        <w:right w:val="none" w:sz="0" w:space="0" w:color="auto"/>
      </w:divBdr>
    </w:div>
    <w:div w:id="1832406907">
      <w:bodyDiv w:val="1"/>
      <w:marLeft w:val="0"/>
      <w:marRight w:val="0"/>
      <w:marTop w:val="0"/>
      <w:marBottom w:val="0"/>
      <w:divBdr>
        <w:top w:val="none" w:sz="0" w:space="0" w:color="auto"/>
        <w:left w:val="none" w:sz="0" w:space="0" w:color="auto"/>
        <w:bottom w:val="none" w:sz="0" w:space="0" w:color="auto"/>
        <w:right w:val="none" w:sz="0" w:space="0" w:color="auto"/>
      </w:divBdr>
    </w:div>
    <w:div w:id="1865166980">
      <w:bodyDiv w:val="1"/>
      <w:marLeft w:val="0"/>
      <w:marRight w:val="0"/>
      <w:marTop w:val="0"/>
      <w:marBottom w:val="0"/>
      <w:divBdr>
        <w:top w:val="none" w:sz="0" w:space="0" w:color="auto"/>
        <w:left w:val="none" w:sz="0" w:space="0" w:color="auto"/>
        <w:bottom w:val="none" w:sz="0" w:space="0" w:color="auto"/>
        <w:right w:val="none" w:sz="0" w:space="0" w:color="auto"/>
      </w:divBdr>
    </w:div>
    <w:div w:id="1868833304">
      <w:bodyDiv w:val="1"/>
      <w:marLeft w:val="0"/>
      <w:marRight w:val="0"/>
      <w:marTop w:val="0"/>
      <w:marBottom w:val="0"/>
      <w:divBdr>
        <w:top w:val="none" w:sz="0" w:space="0" w:color="auto"/>
        <w:left w:val="none" w:sz="0" w:space="0" w:color="auto"/>
        <w:bottom w:val="none" w:sz="0" w:space="0" w:color="auto"/>
        <w:right w:val="none" w:sz="0" w:space="0" w:color="auto"/>
      </w:divBdr>
    </w:div>
    <w:div w:id="1900438754">
      <w:bodyDiv w:val="1"/>
      <w:marLeft w:val="0"/>
      <w:marRight w:val="0"/>
      <w:marTop w:val="0"/>
      <w:marBottom w:val="0"/>
      <w:divBdr>
        <w:top w:val="none" w:sz="0" w:space="0" w:color="auto"/>
        <w:left w:val="none" w:sz="0" w:space="0" w:color="auto"/>
        <w:bottom w:val="none" w:sz="0" w:space="0" w:color="auto"/>
        <w:right w:val="none" w:sz="0" w:space="0" w:color="auto"/>
      </w:divBdr>
    </w:div>
    <w:div w:id="1903759155">
      <w:bodyDiv w:val="1"/>
      <w:marLeft w:val="0"/>
      <w:marRight w:val="0"/>
      <w:marTop w:val="0"/>
      <w:marBottom w:val="0"/>
      <w:divBdr>
        <w:top w:val="none" w:sz="0" w:space="0" w:color="auto"/>
        <w:left w:val="none" w:sz="0" w:space="0" w:color="auto"/>
        <w:bottom w:val="none" w:sz="0" w:space="0" w:color="auto"/>
        <w:right w:val="none" w:sz="0" w:space="0" w:color="auto"/>
      </w:divBdr>
    </w:div>
    <w:div w:id="1921131867">
      <w:bodyDiv w:val="1"/>
      <w:marLeft w:val="0"/>
      <w:marRight w:val="0"/>
      <w:marTop w:val="0"/>
      <w:marBottom w:val="0"/>
      <w:divBdr>
        <w:top w:val="none" w:sz="0" w:space="0" w:color="auto"/>
        <w:left w:val="none" w:sz="0" w:space="0" w:color="auto"/>
        <w:bottom w:val="none" w:sz="0" w:space="0" w:color="auto"/>
        <w:right w:val="none" w:sz="0" w:space="0" w:color="auto"/>
      </w:divBdr>
    </w:div>
    <w:div w:id="1940603113">
      <w:bodyDiv w:val="1"/>
      <w:marLeft w:val="0"/>
      <w:marRight w:val="0"/>
      <w:marTop w:val="0"/>
      <w:marBottom w:val="0"/>
      <w:divBdr>
        <w:top w:val="none" w:sz="0" w:space="0" w:color="auto"/>
        <w:left w:val="none" w:sz="0" w:space="0" w:color="auto"/>
        <w:bottom w:val="none" w:sz="0" w:space="0" w:color="auto"/>
        <w:right w:val="none" w:sz="0" w:space="0" w:color="auto"/>
      </w:divBdr>
    </w:div>
    <w:div w:id="1966425554">
      <w:bodyDiv w:val="1"/>
      <w:marLeft w:val="0"/>
      <w:marRight w:val="0"/>
      <w:marTop w:val="0"/>
      <w:marBottom w:val="0"/>
      <w:divBdr>
        <w:top w:val="none" w:sz="0" w:space="0" w:color="auto"/>
        <w:left w:val="none" w:sz="0" w:space="0" w:color="auto"/>
        <w:bottom w:val="none" w:sz="0" w:space="0" w:color="auto"/>
        <w:right w:val="none" w:sz="0" w:space="0" w:color="auto"/>
      </w:divBdr>
    </w:div>
    <w:div w:id="1977103276">
      <w:bodyDiv w:val="1"/>
      <w:marLeft w:val="0"/>
      <w:marRight w:val="0"/>
      <w:marTop w:val="0"/>
      <w:marBottom w:val="0"/>
      <w:divBdr>
        <w:top w:val="none" w:sz="0" w:space="0" w:color="auto"/>
        <w:left w:val="none" w:sz="0" w:space="0" w:color="auto"/>
        <w:bottom w:val="none" w:sz="0" w:space="0" w:color="auto"/>
        <w:right w:val="none" w:sz="0" w:space="0" w:color="auto"/>
      </w:divBdr>
    </w:div>
    <w:div w:id="2013217191">
      <w:bodyDiv w:val="1"/>
      <w:marLeft w:val="0"/>
      <w:marRight w:val="0"/>
      <w:marTop w:val="0"/>
      <w:marBottom w:val="0"/>
      <w:divBdr>
        <w:top w:val="none" w:sz="0" w:space="0" w:color="auto"/>
        <w:left w:val="none" w:sz="0" w:space="0" w:color="auto"/>
        <w:bottom w:val="none" w:sz="0" w:space="0" w:color="auto"/>
        <w:right w:val="none" w:sz="0" w:space="0" w:color="auto"/>
      </w:divBdr>
    </w:div>
    <w:div w:id="2050912572">
      <w:bodyDiv w:val="1"/>
      <w:marLeft w:val="0"/>
      <w:marRight w:val="0"/>
      <w:marTop w:val="0"/>
      <w:marBottom w:val="0"/>
      <w:divBdr>
        <w:top w:val="none" w:sz="0" w:space="0" w:color="auto"/>
        <w:left w:val="none" w:sz="0" w:space="0" w:color="auto"/>
        <w:bottom w:val="none" w:sz="0" w:space="0" w:color="auto"/>
        <w:right w:val="none" w:sz="0" w:space="0" w:color="auto"/>
      </w:divBdr>
    </w:div>
    <w:div w:id="2060857263">
      <w:bodyDiv w:val="1"/>
      <w:marLeft w:val="0"/>
      <w:marRight w:val="0"/>
      <w:marTop w:val="0"/>
      <w:marBottom w:val="0"/>
      <w:divBdr>
        <w:top w:val="none" w:sz="0" w:space="0" w:color="auto"/>
        <w:left w:val="none" w:sz="0" w:space="0" w:color="auto"/>
        <w:bottom w:val="none" w:sz="0" w:space="0" w:color="auto"/>
        <w:right w:val="none" w:sz="0" w:space="0" w:color="auto"/>
      </w:divBdr>
    </w:div>
    <w:div w:id="2061393521">
      <w:bodyDiv w:val="1"/>
      <w:marLeft w:val="0"/>
      <w:marRight w:val="0"/>
      <w:marTop w:val="0"/>
      <w:marBottom w:val="0"/>
      <w:divBdr>
        <w:top w:val="none" w:sz="0" w:space="0" w:color="auto"/>
        <w:left w:val="none" w:sz="0" w:space="0" w:color="auto"/>
        <w:bottom w:val="none" w:sz="0" w:space="0" w:color="auto"/>
        <w:right w:val="none" w:sz="0" w:space="0" w:color="auto"/>
      </w:divBdr>
    </w:div>
    <w:div w:id="2094473598">
      <w:bodyDiv w:val="1"/>
      <w:marLeft w:val="0"/>
      <w:marRight w:val="0"/>
      <w:marTop w:val="0"/>
      <w:marBottom w:val="0"/>
      <w:divBdr>
        <w:top w:val="none" w:sz="0" w:space="0" w:color="auto"/>
        <w:left w:val="none" w:sz="0" w:space="0" w:color="auto"/>
        <w:bottom w:val="none" w:sz="0" w:space="0" w:color="auto"/>
        <w:right w:val="none" w:sz="0" w:space="0" w:color="auto"/>
      </w:divBdr>
    </w:div>
    <w:div w:id="2115440868">
      <w:bodyDiv w:val="1"/>
      <w:marLeft w:val="0"/>
      <w:marRight w:val="0"/>
      <w:marTop w:val="0"/>
      <w:marBottom w:val="0"/>
      <w:divBdr>
        <w:top w:val="none" w:sz="0" w:space="0" w:color="auto"/>
        <w:left w:val="none" w:sz="0" w:space="0" w:color="auto"/>
        <w:bottom w:val="none" w:sz="0" w:space="0" w:color="auto"/>
        <w:right w:val="none" w:sz="0" w:space="0" w:color="auto"/>
      </w:divBdr>
    </w:div>
    <w:div w:id="214689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eader" Target="header22.xml"/><Relationship Id="rId21" Type="http://schemas.openxmlformats.org/officeDocument/2006/relationships/footer" Target="footer4.xml"/><Relationship Id="rId42" Type="http://schemas.openxmlformats.org/officeDocument/2006/relationships/image" Target="media/image15.png"/><Relationship Id="rId47" Type="http://schemas.openxmlformats.org/officeDocument/2006/relationships/header" Target="header10.xml"/><Relationship Id="rId63" Type="http://schemas.openxmlformats.org/officeDocument/2006/relationships/footer" Target="footer8.xml"/><Relationship Id="rId68" Type="http://schemas.openxmlformats.org/officeDocument/2006/relationships/image" Target="media/image31.png"/><Relationship Id="rId84" Type="http://schemas.openxmlformats.org/officeDocument/2006/relationships/image" Target="media/image44.png"/><Relationship Id="rId89" Type="http://schemas.openxmlformats.org/officeDocument/2006/relationships/header" Target="header18.xml"/><Relationship Id="rId112" Type="http://schemas.openxmlformats.org/officeDocument/2006/relationships/footer" Target="footer10.xml"/><Relationship Id="rId133" Type="http://schemas.openxmlformats.org/officeDocument/2006/relationships/image" Target="media/image81.png"/><Relationship Id="rId138" Type="http://schemas.openxmlformats.org/officeDocument/2006/relationships/header" Target="header27.xml"/><Relationship Id="rId154" Type="http://schemas.openxmlformats.org/officeDocument/2006/relationships/header" Target="header33.xml"/><Relationship Id="rId16" Type="http://schemas.openxmlformats.org/officeDocument/2006/relationships/header" Target="header3.xml"/><Relationship Id="rId107" Type="http://schemas.openxmlformats.org/officeDocument/2006/relationships/image" Target="media/image63.png"/><Relationship Id="rId11" Type="http://schemas.openxmlformats.org/officeDocument/2006/relationships/image" Target="media/image1.png"/><Relationship Id="rId32" Type="http://schemas.openxmlformats.org/officeDocument/2006/relationships/header" Target="header8.xml"/><Relationship Id="rId37" Type="http://schemas.openxmlformats.org/officeDocument/2006/relationships/image" Target="media/image10.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58.png"/><Relationship Id="rId123" Type="http://schemas.openxmlformats.org/officeDocument/2006/relationships/image" Target="media/image71.png"/><Relationship Id="rId128" Type="http://schemas.openxmlformats.org/officeDocument/2006/relationships/image" Target="media/image76.png"/><Relationship Id="rId144" Type="http://schemas.openxmlformats.org/officeDocument/2006/relationships/header" Target="header29.xml"/><Relationship Id="rId149" Type="http://schemas.openxmlformats.org/officeDocument/2006/relationships/hyperlink" Target="mailto:agedcaremarket@health.gov.au" TargetMode="External"/><Relationship Id="rId5" Type="http://schemas.openxmlformats.org/officeDocument/2006/relationships/numbering" Target="numbering.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header" Target="header6.xml"/><Relationship Id="rId27" Type="http://schemas.openxmlformats.org/officeDocument/2006/relationships/hyperlink" Target="https://www.health.gov.au/our-work/AN-ACC/funding-higher-wages-in-residential-aged-care" TargetMode="External"/><Relationship Id="rId43" Type="http://schemas.openxmlformats.org/officeDocument/2006/relationships/image" Target="media/image16.png"/><Relationship Id="rId48" Type="http://schemas.openxmlformats.org/officeDocument/2006/relationships/header" Target="header11.xml"/><Relationship Id="rId64" Type="http://schemas.openxmlformats.org/officeDocument/2006/relationships/header" Target="header15.xml"/><Relationship Id="rId69" Type="http://schemas.openxmlformats.org/officeDocument/2006/relationships/hyperlink" Target="https://www.health.gov.au/resources/publications/quarterly-financial-snapshot-of-the-aged-care-sector-quarter-2-2023-24-october-to-december-2023?language=en" TargetMode="External"/><Relationship Id="rId113" Type="http://schemas.openxmlformats.org/officeDocument/2006/relationships/header" Target="header21.xml"/><Relationship Id="rId118" Type="http://schemas.openxmlformats.org/officeDocument/2006/relationships/header" Target="header23.xml"/><Relationship Id="rId134" Type="http://schemas.openxmlformats.org/officeDocument/2006/relationships/header" Target="header25.xml"/><Relationship Id="rId139" Type="http://schemas.openxmlformats.org/officeDocument/2006/relationships/image" Target="media/image82.jpg"/><Relationship Id="rId80" Type="http://schemas.openxmlformats.org/officeDocument/2006/relationships/image" Target="media/image40.png"/><Relationship Id="rId85" Type="http://schemas.openxmlformats.org/officeDocument/2006/relationships/image" Target="media/image45.png"/><Relationship Id="rId150" Type="http://schemas.openxmlformats.org/officeDocument/2006/relationships/header" Target="header31.xml"/><Relationship Id="rId155"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png"/><Relationship Id="rId33" Type="http://schemas.openxmlformats.org/officeDocument/2006/relationships/footer" Target="footer5.xml"/><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27.png"/><Relationship Id="rId67" Type="http://schemas.openxmlformats.org/officeDocument/2006/relationships/image" Target="media/image30.png"/><Relationship Id="rId103" Type="http://schemas.openxmlformats.org/officeDocument/2006/relationships/image" Target="media/image59.png"/><Relationship Id="rId108" Type="http://schemas.openxmlformats.org/officeDocument/2006/relationships/image" Target="media/image64.png"/><Relationship Id="rId116" Type="http://schemas.openxmlformats.org/officeDocument/2006/relationships/image" Target="media/image68.png"/><Relationship Id="rId124" Type="http://schemas.openxmlformats.org/officeDocument/2006/relationships/image" Target="media/image72.png"/><Relationship Id="rId129" Type="http://schemas.openxmlformats.org/officeDocument/2006/relationships/image" Target="media/image77.png"/><Relationship Id="rId137" Type="http://schemas.openxmlformats.org/officeDocument/2006/relationships/footer" Target="footer13.xml"/><Relationship Id="rId20" Type="http://schemas.openxmlformats.org/officeDocument/2006/relationships/header" Target="header5.xml"/><Relationship Id="rId41" Type="http://schemas.openxmlformats.org/officeDocument/2006/relationships/image" Target="media/image14.png"/><Relationship Id="rId54" Type="http://schemas.openxmlformats.org/officeDocument/2006/relationships/image" Target="media/image22.png"/><Relationship Id="rId62" Type="http://schemas.openxmlformats.org/officeDocument/2006/relationships/footer" Target="footer7.xml"/><Relationship Id="rId70" Type="http://schemas.openxmlformats.org/officeDocument/2006/relationships/hyperlink" Target="https://www.health.gov.au/our-work/places-to-people-embedding-choice-in-residential-aged-care" TargetMode="External"/><Relationship Id="rId75" Type="http://schemas.openxmlformats.org/officeDocument/2006/relationships/image" Target="media/image35.png"/><Relationship Id="rId83" Type="http://schemas.openxmlformats.org/officeDocument/2006/relationships/image" Target="media/image43.png"/><Relationship Id="rId88" Type="http://schemas.openxmlformats.org/officeDocument/2006/relationships/footer" Target="footer9.xml"/><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header" Target="header20.xml"/><Relationship Id="rId132" Type="http://schemas.openxmlformats.org/officeDocument/2006/relationships/image" Target="media/image80.png"/><Relationship Id="rId140" Type="http://schemas.openxmlformats.org/officeDocument/2006/relationships/hyperlink" Target="https://www.gen-agedcaredata.gov.au/" TargetMode="External"/><Relationship Id="rId145" Type="http://schemas.openxmlformats.org/officeDocument/2006/relationships/footer" Target="footer15.xml"/><Relationship Id="rId153"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health.gov.au/resources/collections/aged-care-data-and-digital-strategy-2024-2029" TargetMode="External"/><Relationship Id="rId28" Type="http://schemas.openxmlformats.org/officeDocument/2006/relationships/hyperlink" Target="https://www.health.gov.au/our-work/national-aboriginal-and-torres-strait-islander-flexible-aged-care-program" TargetMode="External"/><Relationship Id="rId36" Type="http://schemas.openxmlformats.org/officeDocument/2006/relationships/image" Target="media/image9.png"/><Relationship Id="rId49" Type="http://schemas.openxmlformats.org/officeDocument/2006/relationships/footer" Target="footer6.xml"/><Relationship Id="rId57" Type="http://schemas.openxmlformats.org/officeDocument/2006/relationships/image" Target="media/image25.png"/><Relationship Id="rId106" Type="http://schemas.openxmlformats.org/officeDocument/2006/relationships/image" Target="media/image62.png"/><Relationship Id="rId114" Type="http://schemas.openxmlformats.org/officeDocument/2006/relationships/image" Target="media/image66.png"/><Relationship Id="rId119" Type="http://schemas.openxmlformats.org/officeDocument/2006/relationships/footer" Target="footer11.xml"/><Relationship Id="rId127" Type="http://schemas.openxmlformats.org/officeDocument/2006/relationships/image" Target="media/image75.png"/><Relationship Id="rId10" Type="http://schemas.openxmlformats.org/officeDocument/2006/relationships/endnotes" Target="endnotes.xml"/><Relationship Id="rId31" Type="http://schemas.openxmlformats.org/officeDocument/2006/relationships/header" Target="header7.xml"/><Relationship Id="rId44" Type="http://schemas.openxmlformats.org/officeDocument/2006/relationships/image" Target="media/image17.png"/><Relationship Id="rId52" Type="http://schemas.openxmlformats.org/officeDocument/2006/relationships/hyperlink" Target="https://www.health.gov.au/resources/publications/quarterly-financial-snapshot-of-the-aged-care-sector-quarter-2-2023-24-october-to-december-2023?language=en" TargetMode="External"/><Relationship Id="rId60" Type="http://schemas.openxmlformats.org/officeDocument/2006/relationships/header" Target="header13.xml"/><Relationship Id="rId65" Type="http://schemas.openxmlformats.org/officeDocument/2006/relationships/image" Target="media/image28.pn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header" Target="header16.xml"/><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0.png"/><Relationship Id="rId130" Type="http://schemas.openxmlformats.org/officeDocument/2006/relationships/image" Target="media/image78.png"/><Relationship Id="rId135" Type="http://schemas.openxmlformats.org/officeDocument/2006/relationships/header" Target="header26.xml"/><Relationship Id="rId143" Type="http://schemas.openxmlformats.org/officeDocument/2006/relationships/header" Target="header28.xml"/><Relationship Id="rId148" Type="http://schemas.openxmlformats.org/officeDocument/2006/relationships/hyperlink" Target="https://www.health.gov.au/resources/collections/financial-performance-of-the-australian-aged-care-sector" TargetMode="External"/><Relationship Id="rId151" Type="http://schemas.openxmlformats.org/officeDocument/2006/relationships/header" Target="header32.xml"/><Relationship Id="rId15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12.png"/><Relationship Id="rId109" Type="http://schemas.openxmlformats.org/officeDocument/2006/relationships/image" Target="media/image65.png"/><Relationship Id="rId34" Type="http://schemas.openxmlformats.org/officeDocument/2006/relationships/header" Target="header9.xml"/><Relationship Id="rId50" Type="http://schemas.openxmlformats.org/officeDocument/2006/relationships/header" Target="header12.xml"/><Relationship Id="rId55" Type="http://schemas.openxmlformats.org/officeDocument/2006/relationships/image" Target="media/image23.png"/><Relationship Id="rId76" Type="http://schemas.openxmlformats.org/officeDocument/2006/relationships/image" Target="media/image36.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header" Target="header24.xml"/><Relationship Id="rId125" Type="http://schemas.openxmlformats.org/officeDocument/2006/relationships/image" Target="media/image73.png"/><Relationship Id="rId141" Type="http://schemas.openxmlformats.org/officeDocument/2006/relationships/image" Target="media/image83.png"/><Relationship Id="rId146" Type="http://schemas.openxmlformats.org/officeDocument/2006/relationships/footer" Target="footer16.xml"/><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hyperlink" Target="https://www.health.gov.au/our-work/interim-first-nations-aged-care-commissioner" TargetMode="External"/><Relationship Id="rId24" Type="http://schemas.openxmlformats.org/officeDocument/2006/relationships/image" Target="media/image5.png"/><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29.png"/><Relationship Id="rId87" Type="http://schemas.openxmlformats.org/officeDocument/2006/relationships/header" Target="header17.xml"/><Relationship Id="rId110" Type="http://schemas.openxmlformats.org/officeDocument/2006/relationships/header" Target="header19.xml"/><Relationship Id="rId115" Type="http://schemas.openxmlformats.org/officeDocument/2006/relationships/image" Target="media/image67.png"/><Relationship Id="rId131" Type="http://schemas.openxmlformats.org/officeDocument/2006/relationships/image" Target="media/image79.png"/><Relationship Id="rId136" Type="http://schemas.openxmlformats.org/officeDocument/2006/relationships/footer" Target="footer12.xml"/><Relationship Id="rId61" Type="http://schemas.openxmlformats.org/officeDocument/2006/relationships/header" Target="header14.xml"/><Relationship Id="rId82" Type="http://schemas.openxmlformats.org/officeDocument/2006/relationships/image" Target="media/image42.png"/><Relationship Id="rId152" Type="http://schemas.openxmlformats.org/officeDocument/2006/relationships/footer" Target="footer17.xml"/><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hyperlink" Target="https://www.health.gov.au/resources/publications/budget-2024-25-quality-aged-care?language=en" TargetMode="External"/><Relationship Id="rId35" Type="http://schemas.openxmlformats.org/officeDocument/2006/relationships/image" Target="media/image8.png"/><Relationship Id="rId56" Type="http://schemas.openxmlformats.org/officeDocument/2006/relationships/image" Target="media/image24.png"/><Relationship Id="rId77" Type="http://schemas.openxmlformats.org/officeDocument/2006/relationships/image" Target="media/image37.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74.png"/><Relationship Id="rId147" Type="http://schemas.openxmlformats.org/officeDocument/2006/relationships/header" Target="header30.xm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hyperlink" Target="https://www.myagedcare.gov.au/find-a-provider/" TargetMode="External"/><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69.jpg"/><Relationship Id="rId142" Type="http://schemas.openxmlformats.org/officeDocument/2006/relationships/footer" Target="footer14.xml"/><Relationship Id="rId3" Type="http://schemas.openxmlformats.org/officeDocument/2006/relationships/customXml" Target="../customXml/item3.xml"/></Relationships>
</file>

<file path=word/_rels/footer17.xml.rels><?xml version="1.0" encoding="UTF-8" standalone="yes"?>
<Relationships xmlns="http://schemas.openxmlformats.org/package/2006/relationships"><Relationship Id="rId2" Type="http://schemas.openxmlformats.org/officeDocument/2006/relationships/image" Target="media/image85.png"/><Relationship Id="rId1" Type="http://schemas.openxmlformats.org/officeDocument/2006/relationships/image" Target="media/image84.png"/></Relationships>
</file>

<file path=word/_rels/footer18.xml.rels><?xml version="1.0" encoding="UTF-8" standalone="yes"?>
<Relationships xmlns="http://schemas.openxmlformats.org/package/2006/relationships"><Relationship Id="rId2" Type="http://schemas.openxmlformats.org/officeDocument/2006/relationships/image" Target="media/image85.png"/><Relationship Id="rId1" Type="http://schemas.openxmlformats.org/officeDocument/2006/relationships/image" Target="media/image84.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win\Downloads\AGED_CARE_A4_REPORT_TEAL%20(3).dotx" TargetMode="External"/></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2c0b4a26-a0a6-442a-a800-f5fe1d9f3f5b" xsi:nil="true"/>
    <SharedWithUsers xmlns="2c0b4a26-a0a6-442a-a800-f5fe1d9f3f5b">
      <UserInfo>
        <DisplayName>MCCULLOCH, Edwina</DisplayName>
        <AccountId>179</AccountId>
        <AccountType/>
      </UserInfo>
      <UserInfo>
        <DisplayName>ARNOLD, Timothy</DisplayName>
        <AccountId>41</AccountId>
        <AccountType/>
      </UserInfo>
      <UserInfo>
        <DisplayName>DAVIDSON, Tim</DisplayName>
        <AccountId>366</AccountId>
        <AccountType/>
      </UserInfo>
      <UserInfo>
        <DisplayName>NARANKHUU, Annie</DisplayName>
        <AccountId>221</AccountId>
        <AccountType/>
      </UserInfo>
      <UserInfo>
        <DisplayName>DONOHOE, Shane</DisplayName>
        <AccountId>495</AccountId>
        <AccountType/>
      </UserInfo>
      <UserInfo>
        <DisplayName>BENEDETTI, Felicity</DisplayName>
        <AccountId>496</AccountId>
        <AccountType/>
      </UserInfo>
      <UserInfo>
        <DisplayName>LEE, Gabriel</DisplayName>
        <AccountId>497</AccountId>
        <AccountType/>
      </UserInfo>
      <UserInfo>
        <DisplayName>DEMPSEY, Martin</DisplayName>
        <AccountId>498</AccountId>
        <AccountType/>
      </UserInfo>
      <UserInfo>
        <DisplayName>ROGERS, Brett</DisplayName>
        <AccountId>206</AccountId>
        <AccountType/>
      </UserInfo>
      <UserInfo>
        <DisplayName>BAILEY, Jaron</DisplayName>
        <AccountId>188</AccountId>
        <AccountType/>
      </UserInfo>
      <UserInfo>
        <DisplayName>SMITH, Martin</DisplayName>
        <AccountId>178</AccountId>
        <AccountType/>
      </UserInfo>
      <UserInfo>
        <DisplayName>ZHU, Wenting</DisplayName>
        <AccountId>48</AccountId>
        <AccountType/>
      </UserInfo>
    </SharedWithUsers>
    <lcf76f155ced4ddcb4097134ff3c332f xmlns="b8d296df-c91f-46ec-882c-a5f320b081a8">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EAD95CDC3CF6F4BB024108E1E74F34E" ma:contentTypeVersion="17" ma:contentTypeDescription="Create a new document." ma:contentTypeScope="" ma:versionID="cefcb6a6f9e2b986ba0d7049db336b78">
  <xsd:schema xmlns:xsd="http://www.w3.org/2001/XMLSchema" xmlns:xs="http://www.w3.org/2001/XMLSchema" xmlns:p="http://schemas.microsoft.com/office/2006/metadata/properties" xmlns:ns2="b8d296df-c91f-46ec-882c-a5f320b081a8" xmlns:ns3="2c0b4a26-a0a6-442a-a800-f5fe1d9f3f5b" targetNamespace="http://schemas.microsoft.com/office/2006/metadata/properties" ma:root="true" ma:fieldsID="7fc2c6cfcfc13878055ac2f3980c2e04" ns2:_="" ns3:_="">
    <xsd:import namespace="b8d296df-c91f-46ec-882c-a5f320b081a8"/>
    <xsd:import namespace="2c0b4a26-a0a6-442a-a800-f5fe1d9f3f5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d296df-c91f-46ec-882c-a5f320b081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c0b4a26-a0a6-442a-a800-f5fe1d9f3f5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8eff34dd-cd16-418c-a046-53030a506218}" ma:internalName="TaxCatchAll" ma:showField="CatchAllData" ma:web="2c0b4a26-a0a6-442a-a800-f5fe1d9f3f5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D20C6417-ADBB-487B-9091-DC3471F064BF}">
  <ds:schemaRefs>
    <ds:schemaRef ds:uri="http://schemas.microsoft.com/office/2006/documentManagement/types"/>
    <ds:schemaRef ds:uri="b8d296df-c91f-46ec-882c-a5f320b081a8"/>
    <ds:schemaRef ds:uri="http://purl.org/dc/elements/1.1/"/>
    <ds:schemaRef ds:uri="http://schemas.microsoft.com/office/2006/metadata/properties"/>
    <ds:schemaRef ds:uri="2c0b4a26-a0a6-442a-a800-f5fe1d9f3f5b"/>
    <ds:schemaRef ds:uri="http://schemas.microsoft.com/office/infopath/2007/PartnerControls"/>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9CAFDAD1-D500-4413-B265-5895690F02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d296df-c91f-46ec-882c-a5f320b081a8"/>
    <ds:schemaRef ds:uri="2c0b4a26-a0a6-442a-a800-f5fe1d9f3f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AGED_CARE_A4_REPORT_TEAL (3).dotx</Template>
  <TotalTime>13</TotalTime>
  <Pages>41</Pages>
  <Words>37121</Words>
  <Characters>201941</Characters>
  <Application>Microsoft Office Word</Application>
  <DocSecurity>0</DocSecurity>
  <Lines>9616</Lines>
  <Paragraphs>7244</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Financial Report on the Australian Aged Care Sector 2022–23</vt:lpstr>
      <vt:lpstr/>
      <vt:lpstr>Introduction</vt:lpstr>
      <vt:lpstr>Report summary</vt:lpstr>
      <vt:lpstr>Summary of findings</vt:lpstr>
      <vt:lpstr>Reforming Australia’s aged care system</vt:lpstr>
      <vt:lpstr>Home care</vt:lpstr>
      <vt:lpstr>    Recipients</vt:lpstr>
      <vt:lpstr>    Funding</vt:lpstr>
      <vt:lpstr>    Financial summary</vt:lpstr>
      <vt:lpstr>    Financial performance – revenue</vt:lpstr>
      <vt:lpstr>    Financial performance – expenditure</vt:lpstr>
      <vt:lpstr>    Operating performance</vt:lpstr>
      <vt:lpstr>Residential care: residents and providers</vt:lpstr>
      <vt:lpstr>    Residents</vt:lpstr>
      <vt:lpstr>    Providers</vt:lpstr>
      <vt:lpstr>Residential care: financial performance</vt:lpstr>
      <vt:lpstr>    Operational funding</vt:lpstr>
      <vt:lpstr>    Financial summary</vt:lpstr>
      <vt:lpstr>    Financial performance – revenue</vt:lpstr>
    </vt:vector>
  </TitlesOfParts>
  <Manager/>
  <Company/>
  <LinksUpToDate>false</LinksUpToDate>
  <CharactersWithSpaces>231818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Financial Report on the Australian Aged Care Sector 2022–23</dc:title>
  <dc:subject>Aged Care</dc:subject>
  <dc:creator>Australian Government Department of Health and Aged Care</dc:creator>
  <cp:keywords>Aged Care</cp:keywords>
  <dc:description/>
  <cp:revision>12</cp:revision>
  <cp:lastPrinted>2024-08-01T08:42:00Z</cp:lastPrinted>
  <dcterms:created xsi:type="dcterms:W3CDTF">2024-08-02T02:08:00Z</dcterms:created>
  <dcterms:modified xsi:type="dcterms:W3CDTF">2024-08-02T02:23:00Z</dcterms:modified>
  <cp:category>Aged Care</cp:category>
</cp:coreProperties>
</file>