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FA2DEC" w14:textId="034B87EF" w:rsidR="00886398" w:rsidRPr="00AC57C8" w:rsidRDefault="00414E31" w:rsidP="00AC57C8">
      <w:r w:rsidRPr="00AC57C8">
        <w:rPr>
          <w:noProof/>
        </w:rPr>
        <w:drawing>
          <wp:inline distT="0" distB="0" distL="0" distR="0" wp14:anchorId="3EFA2EB8" wp14:editId="42A6FEDF">
            <wp:extent cx="3027165" cy="556355"/>
            <wp:effectExtent l="0" t="0" r="0" b="0"/>
            <wp:docPr id="1" name="Image 1" descr="Australian Government Department of health and Aged Car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descr="Australian Government Department of health and Aged Care"/>
                    <pic:cNvPicPr/>
                  </pic:nvPicPr>
                  <pic:blipFill>
                    <a:blip r:embed="rId11" cstate="print"/>
                    <a:stretch>
                      <a:fillRect/>
                    </a:stretch>
                  </pic:blipFill>
                  <pic:spPr>
                    <a:xfrm>
                      <a:off x="0" y="0"/>
                      <a:ext cx="3027165" cy="556355"/>
                    </a:xfrm>
                    <a:prstGeom prst="rect">
                      <a:avLst/>
                    </a:prstGeom>
                  </pic:spPr>
                </pic:pic>
              </a:graphicData>
            </a:graphic>
          </wp:inline>
        </w:drawing>
      </w:r>
    </w:p>
    <w:p w14:paraId="3EFA2DEE" w14:textId="1D898A29" w:rsidR="00886398" w:rsidRPr="00B91913" w:rsidRDefault="00414E31" w:rsidP="00B91913">
      <w:pPr>
        <w:pStyle w:val="Title"/>
      </w:pPr>
      <w:r w:rsidRPr="00B91913">
        <w:t>National Strategy for Radiation Safety</w:t>
      </w:r>
    </w:p>
    <w:p w14:paraId="3EFA2DEF" w14:textId="40860310" w:rsidR="00886398" w:rsidRPr="00B91913" w:rsidRDefault="00B91913" w:rsidP="00B91913">
      <w:pPr>
        <w:pStyle w:val="Date"/>
      </w:pPr>
      <w:r>
        <w:rPr>
          <w:noProof/>
        </w:rPr>
        <w:drawing>
          <wp:anchor distT="0" distB="0" distL="114300" distR="114300" simplePos="0" relativeHeight="487599104" behindDoc="0" locked="0" layoutInCell="1" allowOverlap="1" wp14:anchorId="3EFA2EBA" wp14:editId="4A9930CD">
            <wp:simplePos x="0" y="0"/>
            <wp:positionH relativeFrom="column">
              <wp:posOffset>-914527</wp:posOffset>
            </wp:positionH>
            <wp:positionV relativeFrom="paragraph">
              <wp:posOffset>331674</wp:posOffset>
            </wp:positionV>
            <wp:extent cx="7600315" cy="5185410"/>
            <wp:effectExtent l="0" t="0" r="635" b="0"/>
            <wp:wrapSquare wrapText="bothSides"/>
            <wp:docPr id="2" name="Imag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a:extLst>
                        <a:ext uri="{C183D7F6-B498-43B3-948B-1728B52AA6E4}">
                          <adec:decorative xmlns:adec="http://schemas.microsoft.com/office/drawing/2017/decorative" val="1"/>
                        </a:ext>
                      </a:extLst>
                    </pic:cNvPr>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600315" cy="5185410"/>
                    </a:xfrm>
                    <a:prstGeom prst="rect">
                      <a:avLst/>
                    </a:prstGeom>
                  </pic:spPr>
                </pic:pic>
              </a:graphicData>
            </a:graphic>
            <wp14:sizeRelH relativeFrom="page">
              <wp14:pctWidth>0</wp14:pctWidth>
            </wp14:sizeRelH>
            <wp14:sizeRelV relativeFrom="page">
              <wp14:pctHeight>0</wp14:pctHeight>
            </wp14:sizeRelV>
          </wp:anchor>
        </w:drawing>
      </w:r>
      <w:r w:rsidR="00414E31">
        <w:t>20</w:t>
      </w:r>
      <w:r w:rsidR="00AE13A9">
        <w:t>24</w:t>
      </w:r>
      <w:r w:rsidR="00414E31">
        <w:rPr>
          <w:spacing w:val="-35"/>
        </w:rPr>
        <w:t xml:space="preserve"> </w:t>
      </w:r>
      <w:r w:rsidR="00414E31">
        <w:t>–</w:t>
      </w:r>
      <w:r w:rsidR="00414E31">
        <w:rPr>
          <w:spacing w:val="-32"/>
        </w:rPr>
        <w:t xml:space="preserve"> </w:t>
      </w:r>
      <w:r w:rsidR="00414E31">
        <w:t>2026</w:t>
      </w:r>
    </w:p>
    <w:p w14:paraId="3EFA2DF5" w14:textId="37E1E997" w:rsidR="00886398" w:rsidRPr="00B91913" w:rsidRDefault="00A51EDB" w:rsidP="00B91913">
      <w:pPr>
        <w:pStyle w:val="NormalWeb"/>
      </w:pPr>
      <w:r>
        <w:t>A</w:t>
      </w:r>
      <w:r w:rsidRPr="00B91913">
        <w:t>ugust</w:t>
      </w:r>
      <w:r w:rsidR="00414E31" w:rsidRPr="00B91913">
        <w:t xml:space="preserve"> 202</w:t>
      </w:r>
      <w:r w:rsidR="00AE13A9" w:rsidRPr="00B91913">
        <w:t>4</w:t>
      </w:r>
    </w:p>
    <w:p w14:paraId="3EFA2DF6" w14:textId="77777777" w:rsidR="00886398" w:rsidRDefault="00886398">
      <w:pPr>
        <w:rPr>
          <w:rFonts w:ascii="HelveticaNeueLT Std"/>
          <w:sz w:val="38"/>
        </w:rPr>
        <w:sectPr w:rsidR="00886398" w:rsidSect="007C7719">
          <w:footerReference w:type="default" r:id="rId13"/>
          <w:type w:val="continuous"/>
          <w:pgSz w:w="11910" w:h="16840"/>
          <w:pgMar w:top="1440" w:right="1440" w:bottom="1440" w:left="1440" w:header="720" w:footer="720" w:gutter="0"/>
          <w:cols w:space="720"/>
          <w:titlePg/>
          <w:docGrid w:linePitch="299"/>
        </w:sectPr>
      </w:pPr>
    </w:p>
    <w:sdt>
      <w:sdtPr>
        <w:rPr>
          <w:rFonts w:eastAsia="HelveticaNeueLTStd-Roman" w:cs="HelveticaNeueLTStd-Roman"/>
          <w:b w:val="0"/>
          <w:sz w:val="22"/>
          <w:szCs w:val="22"/>
        </w:rPr>
        <w:id w:val="1194037774"/>
        <w:docPartObj>
          <w:docPartGallery w:val="Table of Contents"/>
          <w:docPartUnique/>
        </w:docPartObj>
      </w:sdtPr>
      <w:sdtEndPr>
        <w:rPr>
          <w:bCs/>
          <w:noProof/>
        </w:rPr>
      </w:sdtEndPr>
      <w:sdtContent>
        <w:p w14:paraId="3A1DEEDC" w14:textId="35C36211" w:rsidR="00E3383B" w:rsidRDefault="00E3383B">
          <w:pPr>
            <w:pStyle w:val="TOCHeading"/>
          </w:pPr>
          <w:r>
            <w:t>Contents</w:t>
          </w:r>
        </w:p>
        <w:p w14:paraId="53001788" w14:textId="4BEE79EF" w:rsidR="00E3383B" w:rsidRDefault="00E3383B">
          <w:pPr>
            <w:pStyle w:val="TOC1"/>
            <w:tabs>
              <w:tab w:val="right" w:leader="dot" w:pos="9020"/>
            </w:tabs>
            <w:rPr>
              <w:rFonts w:asciiTheme="minorHAnsi" w:eastAsiaTheme="minorEastAsia" w:hAnsiTheme="minorHAnsi" w:cstheme="minorBidi"/>
              <w:noProof/>
              <w:kern w:val="2"/>
              <w:sz w:val="22"/>
              <w:szCs w:val="22"/>
              <w:lang w:val="en-AU" w:eastAsia="en-AU"/>
              <w14:ligatures w14:val="standardContextual"/>
            </w:rPr>
          </w:pPr>
          <w:r>
            <w:rPr>
              <w:noProof/>
            </w:rPr>
            <w:drawing>
              <wp:anchor distT="0" distB="0" distL="114300" distR="114300" simplePos="0" relativeHeight="487601152" behindDoc="0" locked="0" layoutInCell="1" allowOverlap="1" wp14:anchorId="48FAC21D" wp14:editId="06BA2B35">
                <wp:simplePos x="0" y="0"/>
                <wp:positionH relativeFrom="column">
                  <wp:posOffset>-914400</wp:posOffset>
                </wp:positionH>
                <wp:positionV relativeFrom="paragraph">
                  <wp:posOffset>122124</wp:posOffset>
                </wp:positionV>
                <wp:extent cx="723900" cy="4829175"/>
                <wp:effectExtent l="0" t="0" r="0" b="9525"/>
                <wp:wrapSquare wrapText="bothSides"/>
                <wp:docPr id="45" name="Picture 45" descr="A blue square on a blue sur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A blue square on a blue surface"/>
                        <pic:cNvPicPr/>
                      </pic:nvPicPr>
                      <pic:blipFill>
                        <a:blip r:embed="rId14">
                          <a:extLst>
                            <a:ext uri="{28A0092B-C50C-407E-A947-70E740481C1C}">
                              <a14:useLocalDpi xmlns:a14="http://schemas.microsoft.com/office/drawing/2010/main" val="0"/>
                            </a:ext>
                          </a:extLst>
                        </a:blip>
                        <a:stretch>
                          <a:fillRect/>
                        </a:stretch>
                      </pic:blipFill>
                      <pic:spPr>
                        <a:xfrm>
                          <a:off x="0" y="0"/>
                          <a:ext cx="723900" cy="4829175"/>
                        </a:xfrm>
                        <a:prstGeom prst="rect">
                          <a:avLst/>
                        </a:prstGeom>
                      </pic:spPr>
                    </pic:pic>
                  </a:graphicData>
                </a:graphic>
                <wp14:sizeRelH relativeFrom="page">
                  <wp14:pctWidth>0</wp14:pctWidth>
                </wp14:sizeRelH>
                <wp14:sizeRelV relativeFrom="page">
                  <wp14:pctHeight>0</wp14:pctHeight>
                </wp14:sizeRelV>
              </wp:anchor>
            </w:drawing>
          </w:r>
          <w:r>
            <w:fldChar w:fldCharType="begin"/>
          </w:r>
          <w:r>
            <w:instrText xml:space="preserve"> TOC \o "1-3" \h \z \u </w:instrText>
          </w:r>
          <w:r>
            <w:fldChar w:fldCharType="separate"/>
          </w:r>
          <w:hyperlink w:anchor="_Toc173847012" w:history="1">
            <w:r w:rsidRPr="0057542C">
              <w:rPr>
                <w:rStyle w:val="Hyperlink"/>
                <w:noProof/>
              </w:rPr>
              <w:t>Introduction</w:t>
            </w:r>
            <w:r>
              <w:rPr>
                <w:noProof/>
                <w:webHidden/>
              </w:rPr>
              <w:tab/>
            </w:r>
            <w:r>
              <w:rPr>
                <w:noProof/>
                <w:webHidden/>
              </w:rPr>
              <w:fldChar w:fldCharType="begin"/>
            </w:r>
            <w:r>
              <w:rPr>
                <w:noProof/>
                <w:webHidden/>
              </w:rPr>
              <w:instrText xml:space="preserve"> PAGEREF _Toc173847012 \h </w:instrText>
            </w:r>
            <w:r>
              <w:rPr>
                <w:noProof/>
                <w:webHidden/>
              </w:rPr>
            </w:r>
            <w:r>
              <w:rPr>
                <w:noProof/>
                <w:webHidden/>
              </w:rPr>
              <w:fldChar w:fldCharType="separate"/>
            </w:r>
            <w:r>
              <w:rPr>
                <w:noProof/>
                <w:webHidden/>
              </w:rPr>
              <w:t>3</w:t>
            </w:r>
            <w:r>
              <w:rPr>
                <w:noProof/>
                <w:webHidden/>
              </w:rPr>
              <w:fldChar w:fldCharType="end"/>
            </w:r>
          </w:hyperlink>
        </w:p>
        <w:p w14:paraId="459392CC" w14:textId="4F0FCD58" w:rsidR="00E3383B" w:rsidRDefault="00000000">
          <w:pPr>
            <w:pStyle w:val="TOC2"/>
            <w:tabs>
              <w:tab w:val="right" w:leader="dot" w:pos="9020"/>
            </w:tabs>
            <w:rPr>
              <w:rFonts w:asciiTheme="minorHAnsi" w:eastAsiaTheme="minorEastAsia" w:hAnsiTheme="minorHAnsi" w:cstheme="minorBidi"/>
              <w:noProof/>
              <w:kern w:val="2"/>
              <w:sz w:val="22"/>
              <w:szCs w:val="22"/>
              <w:lang w:val="en-AU" w:eastAsia="en-AU"/>
              <w14:ligatures w14:val="standardContextual"/>
            </w:rPr>
          </w:pPr>
          <w:hyperlink w:anchor="_Toc173847013" w:history="1">
            <w:r w:rsidR="00E3383B" w:rsidRPr="0057542C">
              <w:rPr>
                <w:rStyle w:val="Hyperlink"/>
                <w:noProof/>
              </w:rPr>
              <w:t>What is radiation?</w:t>
            </w:r>
            <w:r w:rsidR="00E3383B">
              <w:rPr>
                <w:noProof/>
                <w:webHidden/>
              </w:rPr>
              <w:tab/>
            </w:r>
            <w:r w:rsidR="00E3383B">
              <w:rPr>
                <w:noProof/>
                <w:webHidden/>
              </w:rPr>
              <w:fldChar w:fldCharType="begin"/>
            </w:r>
            <w:r w:rsidR="00E3383B">
              <w:rPr>
                <w:noProof/>
                <w:webHidden/>
              </w:rPr>
              <w:instrText xml:space="preserve"> PAGEREF _Toc173847013 \h </w:instrText>
            </w:r>
            <w:r w:rsidR="00E3383B">
              <w:rPr>
                <w:noProof/>
                <w:webHidden/>
              </w:rPr>
            </w:r>
            <w:r w:rsidR="00E3383B">
              <w:rPr>
                <w:noProof/>
                <w:webHidden/>
              </w:rPr>
              <w:fldChar w:fldCharType="separate"/>
            </w:r>
            <w:r w:rsidR="00E3383B">
              <w:rPr>
                <w:noProof/>
                <w:webHidden/>
              </w:rPr>
              <w:t>5</w:t>
            </w:r>
            <w:r w:rsidR="00E3383B">
              <w:rPr>
                <w:noProof/>
                <w:webHidden/>
              </w:rPr>
              <w:fldChar w:fldCharType="end"/>
            </w:r>
          </w:hyperlink>
        </w:p>
        <w:p w14:paraId="49738682" w14:textId="3F822C46" w:rsidR="00E3383B" w:rsidRDefault="00000000">
          <w:pPr>
            <w:pStyle w:val="TOC1"/>
            <w:tabs>
              <w:tab w:val="right" w:leader="dot" w:pos="9020"/>
            </w:tabs>
            <w:rPr>
              <w:rFonts w:asciiTheme="minorHAnsi" w:eastAsiaTheme="minorEastAsia" w:hAnsiTheme="minorHAnsi" w:cstheme="minorBidi"/>
              <w:noProof/>
              <w:kern w:val="2"/>
              <w:sz w:val="22"/>
              <w:szCs w:val="22"/>
              <w:lang w:val="en-AU" w:eastAsia="en-AU"/>
              <w14:ligatures w14:val="standardContextual"/>
            </w:rPr>
          </w:pPr>
          <w:hyperlink w:anchor="_Toc173847014" w:history="1">
            <w:r w:rsidR="00E3383B" w:rsidRPr="0057542C">
              <w:rPr>
                <w:rStyle w:val="Hyperlink"/>
                <w:noProof/>
              </w:rPr>
              <w:t>The Aim of the National Strategy</w:t>
            </w:r>
            <w:r w:rsidR="00E3383B">
              <w:rPr>
                <w:noProof/>
                <w:webHidden/>
              </w:rPr>
              <w:tab/>
            </w:r>
            <w:r w:rsidR="00E3383B">
              <w:rPr>
                <w:noProof/>
                <w:webHidden/>
              </w:rPr>
              <w:fldChar w:fldCharType="begin"/>
            </w:r>
            <w:r w:rsidR="00E3383B">
              <w:rPr>
                <w:noProof/>
                <w:webHidden/>
              </w:rPr>
              <w:instrText xml:space="preserve"> PAGEREF _Toc173847014 \h </w:instrText>
            </w:r>
            <w:r w:rsidR="00E3383B">
              <w:rPr>
                <w:noProof/>
                <w:webHidden/>
              </w:rPr>
            </w:r>
            <w:r w:rsidR="00E3383B">
              <w:rPr>
                <w:noProof/>
                <w:webHidden/>
              </w:rPr>
              <w:fldChar w:fldCharType="separate"/>
            </w:r>
            <w:r w:rsidR="00E3383B">
              <w:rPr>
                <w:noProof/>
                <w:webHidden/>
              </w:rPr>
              <w:t>6</w:t>
            </w:r>
            <w:r w:rsidR="00E3383B">
              <w:rPr>
                <w:noProof/>
                <w:webHidden/>
              </w:rPr>
              <w:fldChar w:fldCharType="end"/>
            </w:r>
          </w:hyperlink>
        </w:p>
        <w:p w14:paraId="6FFC005E" w14:textId="037573F7" w:rsidR="00E3383B" w:rsidRDefault="00000000">
          <w:pPr>
            <w:pStyle w:val="TOC1"/>
            <w:tabs>
              <w:tab w:val="right" w:leader="dot" w:pos="9020"/>
            </w:tabs>
            <w:rPr>
              <w:rFonts w:asciiTheme="minorHAnsi" w:eastAsiaTheme="minorEastAsia" w:hAnsiTheme="minorHAnsi" w:cstheme="minorBidi"/>
              <w:noProof/>
              <w:kern w:val="2"/>
              <w:sz w:val="22"/>
              <w:szCs w:val="22"/>
              <w:lang w:val="en-AU" w:eastAsia="en-AU"/>
              <w14:ligatures w14:val="standardContextual"/>
            </w:rPr>
          </w:pPr>
          <w:hyperlink w:anchor="_Toc173847015" w:history="1">
            <w:r w:rsidR="00E3383B" w:rsidRPr="0057542C">
              <w:rPr>
                <w:rStyle w:val="Hyperlink"/>
                <w:noProof/>
              </w:rPr>
              <w:t>Objectives of the National Strategy for Radiation Safety</w:t>
            </w:r>
            <w:r w:rsidR="00E3383B">
              <w:rPr>
                <w:noProof/>
                <w:webHidden/>
              </w:rPr>
              <w:tab/>
            </w:r>
            <w:r w:rsidR="00E3383B">
              <w:rPr>
                <w:noProof/>
                <w:webHidden/>
              </w:rPr>
              <w:fldChar w:fldCharType="begin"/>
            </w:r>
            <w:r w:rsidR="00E3383B">
              <w:rPr>
                <w:noProof/>
                <w:webHidden/>
              </w:rPr>
              <w:instrText xml:space="preserve"> PAGEREF _Toc173847015 \h </w:instrText>
            </w:r>
            <w:r w:rsidR="00E3383B">
              <w:rPr>
                <w:noProof/>
                <w:webHidden/>
              </w:rPr>
            </w:r>
            <w:r w:rsidR="00E3383B">
              <w:rPr>
                <w:noProof/>
                <w:webHidden/>
              </w:rPr>
              <w:fldChar w:fldCharType="separate"/>
            </w:r>
            <w:r w:rsidR="00E3383B">
              <w:rPr>
                <w:noProof/>
                <w:webHidden/>
              </w:rPr>
              <w:t>7</w:t>
            </w:r>
            <w:r w:rsidR="00E3383B">
              <w:rPr>
                <w:noProof/>
                <w:webHidden/>
              </w:rPr>
              <w:fldChar w:fldCharType="end"/>
            </w:r>
          </w:hyperlink>
        </w:p>
        <w:p w14:paraId="31A6F981" w14:textId="63401961" w:rsidR="00E3383B" w:rsidRDefault="00000000">
          <w:pPr>
            <w:pStyle w:val="TOC2"/>
            <w:tabs>
              <w:tab w:val="right" w:leader="dot" w:pos="9020"/>
            </w:tabs>
            <w:rPr>
              <w:rFonts w:asciiTheme="minorHAnsi" w:eastAsiaTheme="minorEastAsia" w:hAnsiTheme="minorHAnsi" w:cstheme="minorBidi"/>
              <w:noProof/>
              <w:kern w:val="2"/>
              <w:sz w:val="22"/>
              <w:szCs w:val="22"/>
              <w:lang w:val="en-AU" w:eastAsia="en-AU"/>
              <w14:ligatures w14:val="standardContextual"/>
            </w:rPr>
          </w:pPr>
          <w:hyperlink w:anchor="_Toc173847016" w:history="1">
            <w:r w:rsidR="00E3383B" w:rsidRPr="0057542C">
              <w:rPr>
                <w:rStyle w:val="Hyperlink"/>
                <w:noProof/>
              </w:rPr>
              <w:t>Consistent outcomes</w:t>
            </w:r>
            <w:r w:rsidR="00E3383B">
              <w:rPr>
                <w:noProof/>
                <w:webHidden/>
              </w:rPr>
              <w:tab/>
            </w:r>
            <w:r w:rsidR="00E3383B">
              <w:rPr>
                <w:noProof/>
                <w:webHidden/>
              </w:rPr>
              <w:fldChar w:fldCharType="begin"/>
            </w:r>
            <w:r w:rsidR="00E3383B">
              <w:rPr>
                <w:noProof/>
                <w:webHidden/>
              </w:rPr>
              <w:instrText xml:space="preserve"> PAGEREF _Toc173847016 \h </w:instrText>
            </w:r>
            <w:r w:rsidR="00E3383B">
              <w:rPr>
                <w:noProof/>
                <w:webHidden/>
              </w:rPr>
            </w:r>
            <w:r w:rsidR="00E3383B">
              <w:rPr>
                <w:noProof/>
                <w:webHidden/>
              </w:rPr>
              <w:fldChar w:fldCharType="separate"/>
            </w:r>
            <w:r w:rsidR="00E3383B">
              <w:rPr>
                <w:noProof/>
                <w:webHidden/>
              </w:rPr>
              <w:t>7</w:t>
            </w:r>
            <w:r w:rsidR="00E3383B">
              <w:rPr>
                <w:noProof/>
                <w:webHidden/>
              </w:rPr>
              <w:fldChar w:fldCharType="end"/>
            </w:r>
          </w:hyperlink>
        </w:p>
        <w:p w14:paraId="6DBE9E4E" w14:textId="7D6DAA2C" w:rsidR="00E3383B" w:rsidRDefault="00000000">
          <w:pPr>
            <w:pStyle w:val="TOC2"/>
            <w:tabs>
              <w:tab w:val="right" w:leader="dot" w:pos="9020"/>
            </w:tabs>
            <w:rPr>
              <w:rFonts w:asciiTheme="minorHAnsi" w:eastAsiaTheme="minorEastAsia" w:hAnsiTheme="minorHAnsi" w:cstheme="minorBidi"/>
              <w:noProof/>
              <w:kern w:val="2"/>
              <w:sz w:val="22"/>
              <w:szCs w:val="22"/>
              <w:lang w:val="en-AU" w:eastAsia="en-AU"/>
              <w14:ligatures w14:val="standardContextual"/>
            </w:rPr>
          </w:pPr>
          <w:hyperlink w:anchor="_Toc173847017" w:history="1">
            <w:r w:rsidR="00E3383B" w:rsidRPr="0057542C">
              <w:rPr>
                <w:rStyle w:val="Hyperlink"/>
                <w:noProof/>
              </w:rPr>
              <w:t>Incident management</w:t>
            </w:r>
            <w:r w:rsidR="00E3383B">
              <w:rPr>
                <w:noProof/>
                <w:webHidden/>
              </w:rPr>
              <w:tab/>
            </w:r>
            <w:r w:rsidR="00E3383B">
              <w:rPr>
                <w:noProof/>
                <w:webHidden/>
              </w:rPr>
              <w:fldChar w:fldCharType="begin"/>
            </w:r>
            <w:r w:rsidR="00E3383B">
              <w:rPr>
                <w:noProof/>
                <w:webHidden/>
              </w:rPr>
              <w:instrText xml:space="preserve"> PAGEREF _Toc173847017 \h </w:instrText>
            </w:r>
            <w:r w:rsidR="00E3383B">
              <w:rPr>
                <w:noProof/>
                <w:webHidden/>
              </w:rPr>
            </w:r>
            <w:r w:rsidR="00E3383B">
              <w:rPr>
                <w:noProof/>
                <w:webHidden/>
              </w:rPr>
              <w:fldChar w:fldCharType="separate"/>
            </w:r>
            <w:r w:rsidR="00E3383B">
              <w:rPr>
                <w:noProof/>
                <w:webHidden/>
              </w:rPr>
              <w:t>7</w:t>
            </w:r>
            <w:r w:rsidR="00E3383B">
              <w:rPr>
                <w:noProof/>
                <w:webHidden/>
              </w:rPr>
              <w:fldChar w:fldCharType="end"/>
            </w:r>
          </w:hyperlink>
        </w:p>
        <w:p w14:paraId="44CC0B60" w14:textId="3176CE83" w:rsidR="00E3383B" w:rsidRDefault="00000000">
          <w:pPr>
            <w:pStyle w:val="TOC2"/>
            <w:tabs>
              <w:tab w:val="right" w:leader="dot" w:pos="9020"/>
            </w:tabs>
            <w:rPr>
              <w:rFonts w:asciiTheme="minorHAnsi" w:eastAsiaTheme="minorEastAsia" w:hAnsiTheme="minorHAnsi" w:cstheme="minorBidi"/>
              <w:noProof/>
              <w:kern w:val="2"/>
              <w:sz w:val="22"/>
              <w:szCs w:val="22"/>
              <w:lang w:val="en-AU" w:eastAsia="en-AU"/>
              <w14:ligatures w14:val="standardContextual"/>
            </w:rPr>
          </w:pPr>
          <w:hyperlink w:anchor="_Toc173847018" w:history="1">
            <w:r w:rsidR="00E3383B" w:rsidRPr="0057542C">
              <w:rPr>
                <w:rStyle w:val="Hyperlink"/>
                <w:noProof/>
              </w:rPr>
              <w:t>Science driven policy</w:t>
            </w:r>
            <w:r w:rsidR="00E3383B">
              <w:rPr>
                <w:noProof/>
                <w:webHidden/>
              </w:rPr>
              <w:tab/>
            </w:r>
            <w:r w:rsidR="00E3383B">
              <w:rPr>
                <w:noProof/>
                <w:webHidden/>
              </w:rPr>
              <w:fldChar w:fldCharType="begin"/>
            </w:r>
            <w:r w:rsidR="00E3383B">
              <w:rPr>
                <w:noProof/>
                <w:webHidden/>
              </w:rPr>
              <w:instrText xml:space="preserve"> PAGEREF _Toc173847018 \h </w:instrText>
            </w:r>
            <w:r w:rsidR="00E3383B">
              <w:rPr>
                <w:noProof/>
                <w:webHidden/>
              </w:rPr>
            </w:r>
            <w:r w:rsidR="00E3383B">
              <w:rPr>
                <w:noProof/>
                <w:webHidden/>
              </w:rPr>
              <w:fldChar w:fldCharType="separate"/>
            </w:r>
            <w:r w:rsidR="00E3383B">
              <w:rPr>
                <w:noProof/>
                <w:webHidden/>
              </w:rPr>
              <w:t>7</w:t>
            </w:r>
            <w:r w:rsidR="00E3383B">
              <w:rPr>
                <w:noProof/>
                <w:webHidden/>
              </w:rPr>
              <w:fldChar w:fldCharType="end"/>
            </w:r>
          </w:hyperlink>
        </w:p>
        <w:p w14:paraId="62DD3139" w14:textId="7970441B" w:rsidR="00E3383B" w:rsidRDefault="00000000">
          <w:pPr>
            <w:pStyle w:val="TOC2"/>
            <w:tabs>
              <w:tab w:val="right" w:leader="dot" w:pos="9020"/>
            </w:tabs>
            <w:rPr>
              <w:rFonts w:asciiTheme="minorHAnsi" w:eastAsiaTheme="minorEastAsia" w:hAnsiTheme="minorHAnsi" w:cstheme="minorBidi"/>
              <w:noProof/>
              <w:kern w:val="2"/>
              <w:sz w:val="22"/>
              <w:szCs w:val="22"/>
              <w:lang w:val="en-AU" w:eastAsia="en-AU"/>
              <w14:ligatures w14:val="standardContextual"/>
            </w:rPr>
          </w:pPr>
          <w:hyperlink w:anchor="_Toc173847019" w:history="1">
            <w:r w:rsidR="00E3383B" w:rsidRPr="0057542C">
              <w:rPr>
                <w:rStyle w:val="Hyperlink"/>
                <w:noProof/>
              </w:rPr>
              <w:t>Science driven policy</w:t>
            </w:r>
            <w:r w:rsidR="00E3383B">
              <w:rPr>
                <w:noProof/>
                <w:webHidden/>
              </w:rPr>
              <w:tab/>
            </w:r>
            <w:r w:rsidR="00E3383B">
              <w:rPr>
                <w:noProof/>
                <w:webHidden/>
              </w:rPr>
              <w:fldChar w:fldCharType="begin"/>
            </w:r>
            <w:r w:rsidR="00E3383B">
              <w:rPr>
                <w:noProof/>
                <w:webHidden/>
              </w:rPr>
              <w:instrText xml:space="preserve"> PAGEREF _Toc173847019 \h </w:instrText>
            </w:r>
            <w:r w:rsidR="00E3383B">
              <w:rPr>
                <w:noProof/>
                <w:webHidden/>
              </w:rPr>
            </w:r>
            <w:r w:rsidR="00E3383B">
              <w:rPr>
                <w:noProof/>
                <w:webHidden/>
              </w:rPr>
              <w:fldChar w:fldCharType="separate"/>
            </w:r>
            <w:r w:rsidR="00E3383B">
              <w:rPr>
                <w:noProof/>
                <w:webHidden/>
              </w:rPr>
              <w:t>7</w:t>
            </w:r>
            <w:r w:rsidR="00E3383B">
              <w:rPr>
                <w:noProof/>
                <w:webHidden/>
              </w:rPr>
              <w:fldChar w:fldCharType="end"/>
            </w:r>
          </w:hyperlink>
        </w:p>
        <w:p w14:paraId="5AB63F42" w14:textId="3FDE7124" w:rsidR="00E3383B" w:rsidRDefault="00000000">
          <w:pPr>
            <w:pStyle w:val="TOC2"/>
            <w:tabs>
              <w:tab w:val="right" w:leader="dot" w:pos="9020"/>
            </w:tabs>
            <w:rPr>
              <w:rFonts w:asciiTheme="minorHAnsi" w:eastAsiaTheme="minorEastAsia" w:hAnsiTheme="minorHAnsi" w:cstheme="minorBidi"/>
              <w:noProof/>
              <w:kern w:val="2"/>
              <w:sz w:val="22"/>
              <w:szCs w:val="22"/>
              <w:lang w:val="en-AU" w:eastAsia="en-AU"/>
              <w14:ligatures w14:val="standardContextual"/>
            </w:rPr>
          </w:pPr>
          <w:hyperlink w:anchor="_Toc173847020" w:history="1">
            <w:r w:rsidR="00E3383B" w:rsidRPr="0057542C">
              <w:rPr>
                <w:rStyle w:val="Hyperlink"/>
                <w:noProof/>
              </w:rPr>
              <w:t>Adaptable</w:t>
            </w:r>
            <w:r w:rsidR="00E3383B">
              <w:rPr>
                <w:noProof/>
                <w:webHidden/>
              </w:rPr>
              <w:tab/>
            </w:r>
            <w:r w:rsidR="00E3383B">
              <w:rPr>
                <w:noProof/>
                <w:webHidden/>
              </w:rPr>
              <w:fldChar w:fldCharType="begin"/>
            </w:r>
            <w:r w:rsidR="00E3383B">
              <w:rPr>
                <w:noProof/>
                <w:webHidden/>
              </w:rPr>
              <w:instrText xml:space="preserve"> PAGEREF _Toc173847020 \h </w:instrText>
            </w:r>
            <w:r w:rsidR="00E3383B">
              <w:rPr>
                <w:noProof/>
                <w:webHidden/>
              </w:rPr>
            </w:r>
            <w:r w:rsidR="00E3383B">
              <w:rPr>
                <w:noProof/>
                <w:webHidden/>
              </w:rPr>
              <w:fldChar w:fldCharType="separate"/>
            </w:r>
            <w:r w:rsidR="00E3383B">
              <w:rPr>
                <w:noProof/>
                <w:webHidden/>
              </w:rPr>
              <w:t>8</w:t>
            </w:r>
            <w:r w:rsidR="00E3383B">
              <w:rPr>
                <w:noProof/>
                <w:webHidden/>
              </w:rPr>
              <w:fldChar w:fldCharType="end"/>
            </w:r>
          </w:hyperlink>
        </w:p>
        <w:p w14:paraId="1CA5A1DE" w14:textId="6E0B0D57" w:rsidR="00E3383B" w:rsidRDefault="00000000">
          <w:pPr>
            <w:pStyle w:val="TOC1"/>
            <w:tabs>
              <w:tab w:val="right" w:leader="dot" w:pos="9020"/>
            </w:tabs>
            <w:rPr>
              <w:rFonts w:asciiTheme="minorHAnsi" w:eastAsiaTheme="minorEastAsia" w:hAnsiTheme="minorHAnsi" w:cstheme="minorBidi"/>
              <w:noProof/>
              <w:kern w:val="2"/>
              <w:sz w:val="22"/>
              <w:szCs w:val="22"/>
              <w:lang w:val="en-AU" w:eastAsia="en-AU"/>
              <w14:ligatures w14:val="standardContextual"/>
            </w:rPr>
          </w:pPr>
          <w:hyperlink w:anchor="_Toc173847021" w:history="1">
            <w:r w:rsidR="00E3383B" w:rsidRPr="0057542C">
              <w:rPr>
                <w:rStyle w:val="Hyperlink"/>
                <w:noProof/>
              </w:rPr>
              <w:t>Implementation and governance</w:t>
            </w:r>
            <w:r w:rsidR="00E3383B">
              <w:rPr>
                <w:noProof/>
                <w:webHidden/>
              </w:rPr>
              <w:tab/>
            </w:r>
            <w:r w:rsidR="00E3383B">
              <w:rPr>
                <w:noProof/>
                <w:webHidden/>
              </w:rPr>
              <w:fldChar w:fldCharType="begin"/>
            </w:r>
            <w:r w:rsidR="00E3383B">
              <w:rPr>
                <w:noProof/>
                <w:webHidden/>
              </w:rPr>
              <w:instrText xml:space="preserve"> PAGEREF _Toc173847021 \h </w:instrText>
            </w:r>
            <w:r w:rsidR="00E3383B">
              <w:rPr>
                <w:noProof/>
                <w:webHidden/>
              </w:rPr>
            </w:r>
            <w:r w:rsidR="00E3383B">
              <w:rPr>
                <w:noProof/>
                <w:webHidden/>
              </w:rPr>
              <w:fldChar w:fldCharType="separate"/>
            </w:r>
            <w:r w:rsidR="00E3383B">
              <w:rPr>
                <w:noProof/>
                <w:webHidden/>
              </w:rPr>
              <w:t>9</w:t>
            </w:r>
            <w:r w:rsidR="00E3383B">
              <w:rPr>
                <w:noProof/>
                <w:webHidden/>
              </w:rPr>
              <w:fldChar w:fldCharType="end"/>
            </w:r>
          </w:hyperlink>
        </w:p>
        <w:p w14:paraId="193F81CA" w14:textId="029C9AC1" w:rsidR="00E3383B" w:rsidRDefault="00000000">
          <w:pPr>
            <w:pStyle w:val="TOC2"/>
            <w:tabs>
              <w:tab w:val="right" w:leader="dot" w:pos="9020"/>
            </w:tabs>
            <w:rPr>
              <w:rFonts w:asciiTheme="minorHAnsi" w:eastAsiaTheme="minorEastAsia" w:hAnsiTheme="minorHAnsi" w:cstheme="minorBidi"/>
              <w:noProof/>
              <w:kern w:val="2"/>
              <w:sz w:val="22"/>
              <w:szCs w:val="22"/>
              <w:lang w:val="en-AU" w:eastAsia="en-AU"/>
              <w14:ligatures w14:val="standardContextual"/>
            </w:rPr>
          </w:pPr>
          <w:hyperlink w:anchor="_Toc173847022" w:history="1">
            <w:r w:rsidR="00E3383B" w:rsidRPr="0057542C">
              <w:rPr>
                <w:rStyle w:val="Hyperlink"/>
                <w:noProof/>
              </w:rPr>
              <w:t>Objective 1 | Consistent Outcomes</w:t>
            </w:r>
            <w:r w:rsidR="00E3383B">
              <w:rPr>
                <w:noProof/>
                <w:webHidden/>
              </w:rPr>
              <w:tab/>
            </w:r>
            <w:r w:rsidR="00E3383B">
              <w:rPr>
                <w:noProof/>
                <w:webHidden/>
              </w:rPr>
              <w:fldChar w:fldCharType="begin"/>
            </w:r>
            <w:r w:rsidR="00E3383B">
              <w:rPr>
                <w:noProof/>
                <w:webHidden/>
              </w:rPr>
              <w:instrText xml:space="preserve"> PAGEREF _Toc173847022 \h </w:instrText>
            </w:r>
            <w:r w:rsidR="00E3383B">
              <w:rPr>
                <w:noProof/>
                <w:webHidden/>
              </w:rPr>
            </w:r>
            <w:r w:rsidR="00E3383B">
              <w:rPr>
                <w:noProof/>
                <w:webHidden/>
              </w:rPr>
              <w:fldChar w:fldCharType="separate"/>
            </w:r>
            <w:r w:rsidR="00E3383B">
              <w:rPr>
                <w:noProof/>
                <w:webHidden/>
              </w:rPr>
              <w:t>9</w:t>
            </w:r>
            <w:r w:rsidR="00E3383B">
              <w:rPr>
                <w:noProof/>
                <w:webHidden/>
              </w:rPr>
              <w:fldChar w:fldCharType="end"/>
            </w:r>
          </w:hyperlink>
        </w:p>
        <w:p w14:paraId="3462E871" w14:textId="49747469" w:rsidR="00E3383B" w:rsidRDefault="00000000">
          <w:pPr>
            <w:pStyle w:val="TOC2"/>
            <w:tabs>
              <w:tab w:val="right" w:leader="dot" w:pos="9020"/>
            </w:tabs>
            <w:rPr>
              <w:rFonts w:asciiTheme="minorHAnsi" w:eastAsiaTheme="minorEastAsia" w:hAnsiTheme="minorHAnsi" w:cstheme="minorBidi"/>
              <w:noProof/>
              <w:kern w:val="2"/>
              <w:sz w:val="22"/>
              <w:szCs w:val="22"/>
              <w:lang w:val="en-AU" w:eastAsia="en-AU"/>
              <w14:ligatures w14:val="standardContextual"/>
            </w:rPr>
          </w:pPr>
          <w:hyperlink w:anchor="_Toc173847023" w:history="1">
            <w:r w:rsidR="00E3383B" w:rsidRPr="0057542C">
              <w:rPr>
                <w:rStyle w:val="Hyperlink"/>
                <w:noProof/>
              </w:rPr>
              <w:t>Objective 2 | Large-scale Incident Management</w:t>
            </w:r>
            <w:r w:rsidR="00E3383B">
              <w:rPr>
                <w:noProof/>
                <w:webHidden/>
              </w:rPr>
              <w:tab/>
            </w:r>
            <w:r w:rsidR="00E3383B">
              <w:rPr>
                <w:noProof/>
                <w:webHidden/>
              </w:rPr>
              <w:fldChar w:fldCharType="begin"/>
            </w:r>
            <w:r w:rsidR="00E3383B">
              <w:rPr>
                <w:noProof/>
                <w:webHidden/>
              </w:rPr>
              <w:instrText xml:space="preserve"> PAGEREF _Toc173847023 \h </w:instrText>
            </w:r>
            <w:r w:rsidR="00E3383B">
              <w:rPr>
                <w:noProof/>
                <w:webHidden/>
              </w:rPr>
            </w:r>
            <w:r w:rsidR="00E3383B">
              <w:rPr>
                <w:noProof/>
                <w:webHidden/>
              </w:rPr>
              <w:fldChar w:fldCharType="separate"/>
            </w:r>
            <w:r w:rsidR="00E3383B">
              <w:rPr>
                <w:noProof/>
                <w:webHidden/>
              </w:rPr>
              <w:t>10</w:t>
            </w:r>
            <w:r w:rsidR="00E3383B">
              <w:rPr>
                <w:noProof/>
                <w:webHidden/>
              </w:rPr>
              <w:fldChar w:fldCharType="end"/>
            </w:r>
          </w:hyperlink>
        </w:p>
        <w:p w14:paraId="517C0A85" w14:textId="2ABB87AE" w:rsidR="00E3383B" w:rsidRDefault="00000000">
          <w:pPr>
            <w:pStyle w:val="TOC2"/>
            <w:tabs>
              <w:tab w:val="right" w:leader="dot" w:pos="9020"/>
            </w:tabs>
            <w:rPr>
              <w:rFonts w:asciiTheme="minorHAnsi" w:eastAsiaTheme="minorEastAsia" w:hAnsiTheme="minorHAnsi" w:cstheme="minorBidi"/>
              <w:noProof/>
              <w:kern w:val="2"/>
              <w:sz w:val="22"/>
              <w:szCs w:val="22"/>
              <w:lang w:val="en-AU" w:eastAsia="en-AU"/>
              <w14:ligatures w14:val="standardContextual"/>
            </w:rPr>
          </w:pPr>
          <w:hyperlink w:anchor="_Toc173847024" w:history="1">
            <w:r w:rsidR="00E3383B" w:rsidRPr="0057542C">
              <w:rPr>
                <w:rStyle w:val="Hyperlink"/>
                <w:noProof/>
              </w:rPr>
              <w:t>Objective 3 | Science driven policy</w:t>
            </w:r>
            <w:r w:rsidR="00E3383B">
              <w:rPr>
                <w:noProof/>
                <w:webHidden/>
              </w:rPr>
              <w:tab/>
            </w:r>
            <w:r w:rsidR="00E3383B">
              <w:rPr>
                <w:noProof/>
                <w:webHidden/>
              </w:rPr>
              <w:fldChar w:fldCharType="begin"/>
            </w:r>
            <w:r w:rsidR="00E3383B">
              <w:rPr>
                <w:noProof/>
                <w:webHidden/>
              </w:rPr>
              <w:instrText xml:space="preserve"> PAGEREF _Toc173847024 \h </w:instrText>
            </w:r>
            <w:r w:rsidR="00E3383B">
              <w:rPr>
                <w:noProof/>
                <w:webHidden/>
              </w:rPr>
            </w:r>
            <w:r w:rsidR="00E3383B">
              <w:rPr>
                <w:noProof/>
                <w:webHidden/>
              </w:rPr>
              <w:fldChar w:fldCharType="separate"/>
            </w:r>
            <w:r w:rsidR="00E3383B">
              <w:rPr>
                <w:noProof/>
                <w:webHidden/>
              </w:rPr>
              <w:t>10</w:t>
            </w:r>
            <w:r w:rsidR="00E3383B">
              <w:rPr>
                <w:noProof/>
                <w:webHidden/>
              </w:rPr>
              <w:fldChar w:fldCharType="end"/>
            </w:r>
          </w:hyperlink>
        </w:p>
        <w:p w14:paraId="1EAC777F" w14:textId="0C83A4AD" w:rsidR="00E3383B" w:rsidRDefault="00000000">
          <w:pPr>
            <w:pStyle w:val="TOC2"/>
            <w:tabs>
              <w:tab w:val="right" w:leader="dot" w:pos="9020"/>
            </w:tabs>
            <w:rPr>
              <w:rFonts w:asciiTheme="minorHAnsi" w:eastAsiaTheme="minorEastAsia" w:hAnsiTheme="minorHAnsi" w:cstheme="minorBidi"/>
              <w:noProof/>
              <w:kern w:val="2"/>
              <w:sz w:val="22"/>
              <w:szCs w:val="22"/>
              <w:lang w:val="en-AU" w:eastAsia="en-AU"/>
              <w14:ligatures w14:val="standardContextual"/>
            </w:rPr>
          </w:pPr>
          <w:hyperlink w:anchor="_Toc173847025" w:history="1">
            <w:r w:rsidR="00E3383B" w:rsidRPr="0057542C">
              <w:rPr>
                <w:rStyle w:val="Hyperlink"/>
                <w:noProof/>
              </w:rPr>
              <w:t>Objective 4 | Adaptable</w:t>
            </w:r>
            <w:r w:rsidR="00E3383B">
              <w:rPr>
                <w:noProof/>
                <w:webHidden/>
              </w:rPr>
              <w:tab/>
            </w:r>
            <w:r w:rsidR="00E3383B">
              <w:rPr>
                <w:noProof/>
                <w:webHidden/>
              </w:rPr>
              <w:fldChar w:fldCharType="begin"/>
            </w:r>
            <w:r w:rsidR="00E3383B">
              <w:rPr>
                <w:noProof/>
                <w:webHidden/>
              </w:rPr>
              <w:instrText xml:space="preserve"> PAGEREF _Toc173847025 \h </w:instrText>
            </w:r>
            <w:r w:rsidR="00E3383B">
              <w:rPr>
                <w:noProof/>
                <w:webHidden/>
              </w:rPr>
            </w:r>
            <w:r w:rsidR="00E3383B">
              <w:rPr>
                <w:noProof/>
                <w:webHidden/>
              </w:rPr>
              <w:fldChar w:fldCharType="separate"/>
            </w:r>
            <w:r w:rsidR="00E3383B">
              <w:rPr>
                <w:noProof/>
                <w:webHidden/>
              </w:rPr>
              <w:t>10</w:t>
            </w:r>
            <w:r w:rsidR="00E3383B">
              <w:rPr>
                <w:noProof/>
                <w:webHidden/>
              </w:rPr>
              <w:fldChar w:fldCharType="end"/>
            </w:r>
          </w:hyperlink>
        </w:p>
        <w:p w14:paraId="5970FB2F" w14:textId="34F4A130" w:rsidR="00E3383B" w:rsidRDefault="00000000">
          <w:pPr>
            <w:pStyle w:val="TOC1"/>
            <w:tabs>
              <w:tab w:val="right" w:leader="dot" w:pos="9020"/>
            </w:tabs>
            <w:rPr>
              <w:rFonts w:asciiTheme="minorHAnsi" w:eastAsiaTheme="minorEastAsia" w:hAnsiTheme="minorHAnsi" w:cstheme="minorBidi"/>
              <w:noProof/>
              <w:kern w:val="2"/>
              <w:sz w:val="22"/>
              <w:szCs w:val="22"/>
              <w:lang w:val="en-AU" w:eastAsia="en-AU"/>
              <w14:ligatures w14:val="standardContextual"/>
            </w:rPr>
          </w:pPr>
          <w:hyperlink w:anchor="_Toc173847026" w:history="1">
            <w:r w:rsidR="00E3383B" w:rsidRPr="0057542C">
              <w:rPr>
                <w:rStyle w:val="Hyperlink"/>
                <w:noProof/>
              </w:rPr>
              <w:t>Monitoring and reporting progress</w:t>
            </w:r>
            <w:r w:rsidR="00E3383B">
              <w:rPr>
                <w:noProof/>
                <w:webHidden/>
              </w:rPr>
              <w:tab/>
            </w:r>
            <w:r w:rsidR="00E3383B">
              <w:rPr>
                <w:noProof/>
                <w:webHidden/>
              </w:rPr>
              <w:fldChar w:fldCharType="begin"/>
            </w:r>
            <w:r w:rsidR="00E3383B">
              <w:rPr>
                <w:noProof/>
                <w:webHidden/>
              </w:rPr>
              <w:instrText xml:space="preserve"> PAGEREF _Toc173847026 \h </w:instrText>
            </w:r>
            <w:r w:rsidR="00E3383B">
              <w:rPr>
                <w:noProof/>
                <w:webHidden/>
              </w:rPr>
            </w:r>
            <w:r w:rsidR="00E3383B">
              <w:rPr>
                <w:noProof/>
                <w:webHidden/>
              </w:rPr>
              <w:fldChar w:fldCharType="separate"/>
            </w:r>
            <w:r w:rsidR="00E3383B">
              <w:rPr>
                <w:noProof/>
                <w:webHidden/>
              </w:rPr>
              <w:t>11</w:t>
            </w:r>
            <w:r w:rsidR="00E3383B">
              <w:rPr>
                <w:noProof/>
                <w:webHidden/>
              </w:rPr>
              <w:fldChar w:fldCharType="end"/>
            </w:r>
          </w:hyperlink>
        </w:p>
        <w:p w14:paraId="3EFA2E02" w14:textId="4D55B7BC" w:rsidR="00886398" w:rsidRPr="00AC57C8" w:rsidRDefault="00E3383B" w:rsidP="00AC57C8">
          <w:r>
            <w:rPr>
              <w:b/>
              <w:bCs/>
              <w:noProof/>
            </w:rPr>
            <w:fldChar w:fldCharType="end"/>
          </w:r>
        </w:p>
      </w:sdtContent>
    </w:sdt>
    <w:p w14:paraId="3EFA2E0A" w14:textId="0C0A051B" w:rsidR="00E3383B" w:rsidRDefault="00E3383B">
      <w:pPr>
        <w:spacing w:before="0" w:after="0"/>
        <w:rPr>
          <w:noProof/>
        </w:rPr>
      </w:pPr>
      <w:r>
        <w:rPr>
          <w:noProof/>
        </w:rPr>
        <w:br w:type="page"/>
      </w:r>
    </w:p>
    <w:p w14:paraId="3EFA2E0C" w14:textId="77777777" w:rsidR="00886398" w:rsidRDefault="00414E31" w:rsidP="00AC57C8">
      <w:pPr>
        <w:pStyle w:val="Heading1"/>
      </w:pPr>
      <w:bookmarkStart w:id="0" w:name="Introduction"/>
      <w:bookmarkStart w:id="1" w:name="A_reform_agenda_for_radiation_safety_and"/>
      <w:bookmarkStart w:id="2" w:name="_bookmark0"/>
      <w:bookmarkStart w:id="3" w:name="_Toc173847012"/>
      <w:bookmarkEnd w:id="0"/>
      <w:bookmarkEnd w:id="1"/>
      <w:bookmarkEnd w:id="2"/>
      <w:r w:rsidRPr="00AC57C8">
        <w:lastRenderedPageBreak/>
        <w:t>Introduction</w:t>
      </w:r>
      <w:bookmarkEnd w:id="3"/>
    </w:p>
    <w:p w14:paraId="0E8B0F70" w14:textId="4A269E5F" w:rsidR="00AC57C8" w:rsidRPr="00AC57C8" w:rsidRDefault="00AC57C8" w:rsidP="007E5379">
      <w:pPr>
        <w:pStyle w:val="Introtext"/>
      </w:pPr>
      <w:r w:rsidRPr="00AC57C8">
        <w:t>A reform agenda for radiation safety and protection in Australia - the case for change.</w:t>
      </w:r>
    </w:p>
    <w:p w14:paraId="3EFA2E11" w14:textId="14DBAA72" w:rsidR="00886398" w:rsidRPr="00AC57C8" w:rsidRDefault="00414E31" w:rsidP="00AC57C8">
      <w:r w:rsidRPr="00AC57C8">
        <w:rPr>
          <w:noProof/>
        </w:rPr>
        <w:drawing>
          <wp:inline distT="0" distB="0" distL="0" distR="0" wp14:anchorId="3EFA2ECC" wp14:editId="6CB91DF2">
            <wp:extent cx="6839991" cy="2843098"/>
            <wp:effectExtent l="0" t="0" r="0" b="0"/>
            <wp:docPr id="14" name="Imag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a:extLst>
                        <a:ext uri="{C183D7F6-B498-43B3-948B-1728B52AA6E4}">
                          <adec:decorative xmlns:adec="http://schemas.microsoft.com/office/drawing/2017/decorative" val="1"/>
                        </a:ext>
                      </a:extLst>
                    </pic:cNvPr>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839991" cy="2843098"/>
                    </a:xfrm>
                    <a:prstGeom prst="rect">
                      <a:avLst/>
                    </a:prstGeom>
                  </pic:spPr>
                </pic:pic>
              </a:graphicData>
            </a:graphic>
          </wp:inline>
        </w:drawing>
      </w:r>
    </w:p>
    <w:p w14:paraId="3EFA2E19" w14:textId="2D52040C" w:rsidR="00886398" w:rsidRPr="00AC57C8" w:rsidRDefault="00414E31" w:rsidP="00AC57C8">
      <w:r w:rsidRPr="00AC57C8">
        <w:t>Australia has a long history of successfully managing risks associated with the use of radiation. Well-established legislation, codes of practice and standards in each</w:t>
      </w:r>
      <w:r w:rsidR="00AC57C8">
        <w:t xml:space="preserve"> </w:t>
      </w:r>
      <w:r w:rsidRPr="00AC57C8">
        <w:t>jurisdiction contribute to this success. The Australian Radiation Protection and Nuclear Safety Agency (ARPANSA) through the Radiation Health Committee</w:t>
      </w:r>
      <w:r w:rsidR="00AC57C8">
        <w:rPr>
          <w:rStyle w:val="FootnoteReference"/>
        </w:rPr>
        <w:footnoteReference w:id="1"/>
      </w:r>
      <w:r w:rsidRPr="00AC57C8">
        <w:t xml:space="preserve"> produces a range of publications, including the Radiation Protection Series which promote practices</w:t>
      </w:r>
      <w:r w:rsidR="00AC57C8">
        <w:t xml:space="preserve"> </w:t>
      </w:r>
      <w:r w:rsidRPr="00AC57C8">
        <w:t>to protect human health and the environment from the harmful effects of radiation</w:t>
      </w:r>
      <w:r w:rsidR="00AC57C8">
        <w:rPr>
          <w:rStyle w:val="FootnoteReference"/>
        </w:rPr>
        <w:footnoteReference w:id="2"/>
      </w:r>
      <w:r w:rsidRPr="00AC57C8">
        <w:t xml:space="preserve">. This includes a Second Edition of the National Directory for Radiation Protection; an agreed framework for radiation safety, which includes both </w:t>
      </w:r>
      <w:proofErr w:type="spellStart"/>
      <w:r w:rsidRPr="00AC57C8">
        <w:t>ionising</w:t>
      </w:r>
      <w:proofErr w:type="spellEnd"/>
      <w:r w:rsidRPr="00AC57C8">
        <w:t xml:space="preserve"> and non- </w:t>
      </w:r>
      <w:proofErr w:type="spellStart"/>
      <w:r w:rsidRPr="00AC57C8">
        <w:t>ionising</w:t>
      </w:r>
      <w:proofErr w:type="spellEnd"/>
      <w:r w:rsidRPr="00AC57C8">
        <w:t xml:space="preserve"> radiation, together with clear regulatory statements that can be adopted by</w:t>
      </w:r>
      <w:r w:rsidR="00AC57C8">
        <w:t xml:space="preserve"> </w:t>
      </w:r>
      <w:r w:rsidRPr="00AC57C8">
        <w:t xml:space="preserve">the Commonwealth, </w:t>
      </w:r>
      <w:proofErr w:type="gramStart"/>
      <w:r w:rsidRPr="00AC57C8">
        <w:t>states</w:t>
      </w:r>
      <w:proofErr w:type="gramEnd"/>
      <w:r w:rsidRPr="00AC57C8">
        <w:t xml:space="preserve"> and territories</w:t>
      </w:r>
      <w:r w:rsidR="00AC57C8">
        <w:rPr>
          <w:rStyle w:val="FootnoteReference"/>
        </w:rPr>
        <w:footnoteReference w:id="3"/>
      </w:r>
      <w:r w:rsidRPr="00AC57C8">
        <w:t>. Similarly, on behalf of Australia, ARPANSA periodically invites the International Atomic Energy Agency to peer review Australia’s regulatory framework</w:t>
      </w:r>
      <w:r w:rsidR="00AC57C8">
        <w:rPr>
          <w:rStyle w:val="FootnoteReference"/>
        </w:rPr>
        <w:footnoteReference w:id="4"/>
      </w:r>
      <w:r w:rsidRPr="00AC57C8">
        <w:t>.</w:t>
      </w:r>
    </w:p>
    <w:p w14:paraId="3EFA2E1A" w14:textId="28C9E805" w:rsidR="00886398" w:rsidRPr="00AC57C8" w:rsidRDefault="00414E31" w:rsidP="00AC57C8">
      <w:r w:rsidRPr="00AC57C8">
        <w:t>However, Australia’s multi-jurisdictional approach to radiation safety systems presents several challenges.</w:t>
      </w:r>
    </w:p>
    <w:p w14:paraId="3EFA2E27" w14:textId="0E71C742" w:rsidR="00886398" w:rsidRPr="00AC57C8" w:rsidRDefault="00414E31" w:rsidP="00AC57C8">
      <w:r w:rsidRPr="00AC57C8">
        <w:t xml:space="preserve">Radiation professionals may work across multiple jurisdictions in Australia. While state and territory regulatory systems are similar, inconsistencies exist in legislation and in the implementation of these systems. This means workers in different jurisdictions may identify, </w:t>
      </w:r>
      <w:proofErr w:type="gramStart"/>
      <w:r w:rsidRPr="00AC57C8">
        <w:t>assess</w:t>
      </w:r>
      <w:proofErr w:type="gramEnd"/>
      <w:r w:rsidRPr="00AC57C8">
        <w:t xml:space="preserve"> and manage radiation risks differently, depending on which jurisdiction</w:t>
      </w:r>
      <w:r w:rsidR="00AC57C8" w:rsidRPr="00AC57C8">
        <w:t xml:space="preserve"> </w:t>
      </w:r>
      <w:r w:rsidRPr="00AC57C8">
        <w:t xml:space="preserve">they are working in. These differences also impede efforts at mutual recognition meaning that workers may need multiple </w:t>
      </w:r>
      <w:r w:rsidR="00AC57C8" w:rsidRPr="00AC57C8">
        <w:t>licenses</w:t>
      </w:r>
      <w:r w:rsidRPr="00AC57C8">
        <w:t xml:space="preserve"> to do the same work across different Australian states and territories and that the data collected by each state and territory could be more transferable.</w:t>
      </w:r>
    </w:p>
    <w:p w14:paraId="665EC401" w14:textId="5C925ADD" w:rsidR="00E3383B" w:rsidRDefault="00E3383B" w:rsidP="00AC57C8">
      <w:r>
        <w:rPr>
          <w:rFonts w:ascii="HelveticaNeueLTStd-Lt"/>
          <w:noProof/>
          <w:sz w:val="20"/>
        </w:rPr>
        <w:lastRenderedPageBreak/>
        <w:drawing>
          <wp:inline distT="0" distB="0" distL="0" distR="0" wp14:anchorId="75B4BDD4" wp14:editId="10962372">
            <wp:extent cx="5734050" cy="2495280"/>
            <wp:effectExtent l="0" t="0" r="0" b="635"/>
            <wp:docPr id="18" name="Imag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a:extLst>
                        <a:ext uri="{C183D7F6-B498-43B3-948B-1728B52AA6E4}">
                          <adec:decorative xmlns:adec="http://schemas.microsoft.com/office/drawing/2017/decorative" val="1"/>
                        </a:ext>
                      </a:extLst>
                    </pic:cNvPr>
                    <pic:cNvPicPr/>
                  </pic:nvPicPr>
                  <pic:blipFill>
                    <a:blip r:embed="rId16" cstate="print"/>
                    <a:stretch>
                      <a:fillRect/>
                    </a:stretch>
                  </pic:blipFill>
                  <pic:spPr>
                    <a:xfrm>
                      <a:off x="0" y="0"/>
                      <a:ext cx="5734050" cy="2495280"/>
                    </a:xfrm>
                    <a:prstGeom prst="rect">
                      <a:avLst/>
                    </a:prstGeom>
                  </pic:spPr>
                </pic:pic>
              </a:graphicData>
            </a:graphic>
          </wp:inline>
        </w:drawing>
      </w:r>
    </w:p>
    <w:p w14:paraId="3EFA2E28" w14:textId="6FB0A2B4" w:rsidR="00886398" w:rsidRPr="00AC57C8" w:rsidRDefault="00414E31" w:rsidP="00AC57C8">
      <w:r w:rsidRPr="00AC57C8">
        <w:t>Australia’s emergency preparedness and incident response framework is generally cohesive and robust. A nationally coordinated approach requires arrangements to be regularly tested, including its fitness-for-purpose and allocated roles and responsibilities in the context of large-scale radiation emergencies.</w:t>
      </w:r>
    </w:p>
    <w:p w14:paraId="3EFA2E29" w14:textId="77777777" w:rsidR="00886398" w:rsidRPr="00AC57C8" w:rsidRDefault="00414E31" w:rsidP="00AC57C8">
      <w:r w:rsidRPr="00AC57C8">
        <w:t>Technologies and services involving radiation are evolving, and regulations across Australia have not kept pace. In some fields, emerging techniques and equipment are being safely developed and implemented (for example, lasers used for treating eye disorders), while in others, emerging technologies may not be consistently or proportionately regulated, potentially exposing some Australians to an increased risk of harm.</w:t>
      </w:r>
    </w:p>
    <w:p w14:paraId="3EFA2E2A" w14:textId="77777777" w:rsidR="00886398" w:rsidRPr="00AC57C8" w:rsidRDefault="00414E31" w:rsidP="00AC57C8">
      <w:r w:rsidRPr="00AC57C8">
        <w:t>The National Strategy provides a national policy overlay for consistent radiation safety and protection standards across jurisdictions.</w:t>
      </w:r>
    </w:p>
    <w:p w14:paraId="3EFA2E2B" w14:textId="77777777" w:rsidR="00886398" w:rsidRPr="00AC57C8" w:rsidRDefault="00414E31" w:rsidP="00AC57C8">
      <w:r w:rsidRPr="00AC57C8">
        <w:t>In September 2021, AUKUS, a trilateral security partnership was announced by the governments of Australia, the United Kingdom, and the United States of America. The first major initiative under AUKUS is a program to support Australia in acquiring nuclear-powered submarines for operation by the Royal Australian Navy.</w:t>
      </w:r>
    </w:p>
    <w:p w14:paraId="3EFA2E2C" w14:textId="77777777" w:rsidR="00886398" w:rsidRPr="00AC57C8" w:rsidRDefault="00414E31" w:rsidP="00AC57C8">
      <w:r w:rsidRPr="00AC57C8">
        <w:t>While the development of nuclear-powered submarines and infrastructure to support the submarines will bring a greater focus to radiation safety, it is not the focus of this strategy.</w:t>
      </w:r>
    </w:p>
    <w:p w14:paraId="3EFA2E2D" w14:textId="3DDF937A" w:rsidR="004B49DB" w:rsidRPr="00AC57C8" w:rsidRDefault="00414E31" w:rsidP="00AC57C8">
      <w:r w:rsidRPr="00AC57C8">
        <w:t>The Australian Government has committed to establishing the Australian Naval Nuclear Power Safety Regulator to regulate nuclear-powered submarines and associated infrastructure.</w:t>
      </w:r>
    </w:p>
    <w:p w14:paraId="3EFA2E2E" w14:textId="0A808B56" w:rsidR="00886398" w:rsidRPr="00AC57C8" w:rsidRDefault="00886398" w:rsidP="00AC57C8"/>
    <w:p w14:paraId="3EFA2E2F" w14:textId="77777777" w:rsidR="00886398" w:rsidRDefault="00886398">
      <w:pPr>
        <w:spacing w:line="292" w:lineRule="exact"/>
        <w:sectPr w:rsidR="00886398" w:rsidSect="007C7719">
          <w:pgSz w:w="11910" w:h="16840"/>
          <w:pgMar w:top="851" w:right="1440" w:bottom="567" w:left="1440" w:header="0" w:footer="639" w:gutter="0"/>
          <w:cols w:space="720"/>
          <w:docGrid w:linePitch="299"/>
        </w:sectPr>
      </w:pPr>
    </w:p>
    <w:p w14:paraId="3EFA2E32" w14:textId="77777777" w:rsidR="00886398" w:rsidRPr="00DD453D" w:rsidRDefault="00414E31" w:rsidP="00AC57C8">
      <w:pPr>
        <w:pStyle w:val="Heading2"/>
        <w:rPr>
          <w:color w:val="auto"/>
        </w:rPr>
      </w:pPr>
      <w:bookmarkStart w:id="4" w:name="What_is_radiation?"/>
      <w:bookmarkStart w:id="5" w:name="_bookmark1"/>
      <w:bookmarkStart w:id="6" w:name="_Toc173847013"/>
      <w:bookmarkEnd w:id="4"/>
      <w:bookmarkEnd w:id="5"/>
      <w:r w:rsidRPr="00DD453D">
        <w:rPr>
          <w:color w:val="auto"/>
        </w:rPr>
        <w:lastRenderedPageBreak/>
        <w:t>What is radiation?</w:t>
      </w:r>
      <w:bookmarkEnd w:id="6"/>
    </w:p>
    <w:p w14:paraId="76768CDB" w14:textId="73976B6D" w:rsidR="00D90BAB" w:rsidRPr="00B91913" w:rsidRDefault="00414E31" w:rsidP="007E5379">
      <w:pPr>
        <w:pStyle w:val="Introtext"/>
      </w:pPr>
      <w:r w:rsidRPr="00AC57C8">
        <w:t>Radiation is energy that moves from one place to another in a form that can be described as waves or particles.</w:t>
      </w:r>
      <w:r w:rsidR="00CC475A">
        <w:rPr>
          <w:rStyle w:val="FootnoteReference"/>
        </w:rPr>
        <w:footnoteReference w:id="5"/>
      </w:r>
      <w:r w:rsidRPr="00AC57C8">
        <w:t xml:space="preserve"> Radiation sources can be natural or manufactured.</w:t>
      </w:r>
    </w:p>
    <w:p w14:paraId="3EFA2E35" w14:textId="1320019D" w:rsidR="00886398" w:rsidRPr="00AC57C8" w:rsidRDefault="00414E31" w:rsidP="00AC57C8">
      <w:r w:rsidRPr="00AC57C8">
        <w:t xml:space="preserve">Radiation sources have many beneficial uses across a range of industries and are fundamental to the operation of the health sectors for a range of diagnostic and therapeutic procedures. Sources are also used in the industrial, mining, manufacturing and agriculture sectors and veterinary professions. Radiation is also used in scientific research and teaching, as well as in a range of consumer products (such as </w:t>
      </w:r>
      <w:proofErr w:type="spellStart"/>
      <w:r w:rsidRPr="00AC57C8">
        <w:t>WiFi</w:t>
      </w:r>
      <w:proofErr w:type="spellEnd"/>
      <w:r w:rsidRPr="00AC57C8">
        <w:t>,</w:t>
      </w:r>
      <w:r w:rsidR="00AC57C8">
        <w:t xml:space="preserve"> </w:t>
      </w:r>
      <w:r w:rsidRPr="00AC57C8">
        <w:t>or microwave ovens).</w:t>
      </w:r>
    </w:p>
    <w:p w14:paraId="3EFA2E36" w14:textId="77777777" w:rsidR="00886398" w:rsidRPr="00AC57C8" w:rsidRDefault="00414E31" w:rsidP="00AC57C8">
      <w:r w:rsidRPr="00AC57C8">
        <w:t>Sources of radiation are classified as being either “</w:t>
      </w:r>
      <w:proofErr w:type="spellStart"/>
      <w:r w:rsidRPr="00CC475A">
        <w:rPr>
          <w:rStyle w:val="Strong"/>
        </w:rPr>
        <w:t>ionising</w:t>
      </w:r>
      <w:proofErr w:type="spellEnd"/>
      <w:r w:rsidRPr="00AC57C8">
        <w:t>” or “</w:t>
      </w:r>
      <w:r w:rsidRPr="00CC475A">
        <w:rPr>
          <w:rStyle w:val="Strong"/>
        </w:rPr>
        <w:t>non-</w:t>
      </w:r>
      <w:proofErr w:type="spellStart"/>
      <w:r w:rsidRPr="00CC475A">
        <w:rPr>
          <w:rStyle w:val="Strong"/>
        </w:rPr>
        <w:t>ionising</w:t>
      </w:r>
      <w:proofErr w:type="spellEnd"/>
      <w:r w:rsidRPr="00AC57C8">
        <w:t>”:</w:t>
      </w:r>
    </w:p>
    <w:p w14:paraId="3EFA2E38" w14:textId="2F723375" w:rsidR="00886398" w:rsidRPr="00AC57C8" w:rsidRDefault="00414E31" w:rsidP="00AC57C8">
      <w:pPr>
        <w:pStyle w:val="ListBullet"/>
      </w:pPr>
      <w:proofErr w:type="spellStart"/>
      <w:r w:rsidRPr="00CC475A">
        <w:rPr>
          <w:rStyle w:val="Strong"/>
        </w:rPr>
        <w:t>Ionising</w:t>
      </w:r>
      <w:proofErr w:type="spellEnd"/>
      <w:r w:rsidRPr="00CC475A">
        <w:rPr>
          <w:rStyle w:val="Strong"/>
        </w:rPr>
        <w:t xml:space="preserve"> radiation</w:t>
      </w:r>
      <w:r w:rsidRPr="00AC57C8">
        <w:t xml:space="preserve"> is the result of the process in which an electron is given enough energy to break away from an atom, which causes changes at the atomic level when interacting with matter including living organisms. When humans are exposed to </w:t>
      </w:r>
      <w:proofErr w:type="spellStart"/>
      <w:r w:rsidRPr="00AC57C8">
        <w:t>ionising</w:t>
      </w:r>
      <w:proofErr w:type="spellEnd"/>
      <w:r w:rsidRPr="00AC57C8">
        <w:t xml:space="preserve"> radiation, it has the potential to alter living tissue. </w:t>
      </w:r>
      <w:proofErr w:type="spellStart"/>
      <w:r w:rsidRPr="00AC57C8">
        <w:t>Ionising</w:t>
      </w:r>
      <w:proofErr w:type="spellEnd"/>
      <w:r w:rsidRPr="00AC57C8">
        <w:t xml:space="preserve"> radiation can be produced from natural or artificial sources. Medical procedures in diagnosis, intervention and therapy are the largest sources of </w:t>
      </w:r>
      <w:proofErr w:type="spellStart"/>
      <w:r w:rsidRPr="00AC57C8">
        <w:t>ionising</w:t>
      </w:r>
      <w:proofErr w:type="spellEnd"/>
      <w:r w:rsidRPr="00AC57C8">
        <w:t xml:space="preserve"> radiation exposure</w:t>
      </w:r>
      <w:r w:rsidR="00AC57C8">
        <w:t xml:space="preserve"> </w:t>
      </w:r>
      <w:r w:rsidRPr="00AC57C8">
        <w:t>to the Australian public.</w:t>
      </w:r>
    </w:p>
    <w:p w14:paraId="3EFA2E39" w14:textId="77777777" w:rsidR="00886398" w:rsidRPr="00AC57C8" w:rsidRDefault="00414E31" w:rsidP="00AC57C8">
      <w:pPr>
        <w:pStyle w:val="ListBullet"/>
      </w:pPr>
      <w:r w:rsidRPr="00CC475A">
        <w:rPr>
          <w:rStyle w:val="Strong"/>
        </w:rPr>
        <w:t>Non-</w:t>
      </w:r>
      <w:proofErr w:type="spellStart"/>
      <w:r w:rsidRPr="00CC475A">
        <w:rPr>
          <w:rStyle w:val="Strong"/>
        </w:rPr>
        <w:t>ionising</w:t>
      </w:r>
      <w:proofErr w:type="spellEnd"/>
      <w:r w:rsidRPr="00CC475A">
        <w:rPr>
          <w:rStyle w:val="Strong"/>
        </w:rPr>
        <w:t xml:space="preserve"> radiation</w:t>
      </w:r>
      <w:r w:rsidRPr="00AC57C8">
        <w:t xml:space="preserve"> emits significantly less energy in comparison, causing molecules and atoms to vibrate faster, rather than causing the creation of charged particles. Examples of non-</w:t>
      </w:r>
      <w:proofErr w:type="spellStart"/>
      <w:r w:rsidRPr="00AC57C8">
        <w:t>ionising</w:t>
      </w:r>
      <w:proofErr w:type="spellEnd"/>
      <w:r w:rsidRPr="00AC57C8">
        <w:t xml:space="preserve"> radiation include electrical appliances (like microwave ovens), </w:t>
      </w:r>
      <w:proofErr w:type="spellStart"/>
      <w:r w:rsidRPr="00AC57C8">
        <w:t>WiFi</w:t>
      </w:r>
      <w:proofErr w:type="spellEnd"/>
      <w:r w:rsidRPr="00AC57C8">
        <w:t>, mobile phones and other telecommunication devices.</w:t>
      </w:r>
    </w:p>
    <w:p w14:paraId="3EFA2E3A" w14:textId="053A52B1" w:rsidR="003E20B7" w:rsidRDefault="00414E31" w:rsidP="00AC57C8">
      <w:r w:rsidRPr="00AC57C8">
        <w:t>Despite its many applications, if used incorrectly radiation can be hazardous, and must be regulated to manage risks, and minimise adverse impacts on human health and the environment. Standards are in place to manage risks resulting from the medical uses of radiation, the operation of nuclear installations, the production, transport and use of radioactive materials, the installation of telecommunications equipment and to manage radioactive waste.</w:t>
      </w:r>
      <w:r w:rsidR="003E20B7">
        <w:br w:type="page"/>
      </w:r>
    </w:p>
    <w:p w14:paraId="3EFA2E48" w14:textId="77777777" w:rsidR="00886398" w:rsidRPr="00CC475A" w:rsidRDefault="00414E31" w:rsidP="00CC475A">
      <w:pPr>
        <w:pStyle w:val="Heading1"/>
      </w:pPr>
      <w:bookmarkStart w:id="7" w:name="The_Aim_of_the__National_Strategy"/>
      <w:bookmarkStart w:id="8" w:name="_bookmark2"/>
      <w:bookmarkStart w:id="9" w:name="_Toc173847014"/>
      <w:bookmarkEnd w:id="7"/>
      <w:bookmarkEnd w:id="8"/>
      <w:r w:rsidRPr="00CC475A">
        <w:lastRenderedPageBreak/>
        <w:t>The Aim of the National Strategy</w:t>
      </w:r>
      <w:bookmarkEnd w:id="9"/>
    </w:p>
    <w:p w14:paraId="3EFA2E4A" w14:textId="08449CEA" w:rsidR="00886398" w:rsidRPr="00CC475A" w:rsidRDefault="00414E31" w:rsidP="007E5379">
      <w:pPr>
        <w:pStyle w:val="Introtext"/>
      </w:pPr>
      <w:r w:rsidRPr="00CC475A">
        <w:t>The National Strategy for Radiation Safety aims to deliver a system to protect people and the environment from the harmful effects of radiation</w:t>
      </w:r>
      <w:r w:rsidR="00CC475A">
        <w:rPr>
          <w:rStyle w:val="FootnoteReference"/>
        </w:rPr>
        <w:footnoteReference w:id="6"/>
      </w:r>
      <w:r w:rsidRPr="00CC475A">
        <w:t xml:space="preserve">, while </w:t>
      </w:r>
      <w:proofErr w:type="spellStart"/>
      <w:r w:rsidRPr="00CC475A">
        <w:t>maximising</w:t>
      </w:r>
      <w:proofErr w:type="spellEnd"/>
      <w:r w:rsidRPr="00CC475A">
        <w:t xml:space="preserve"> the benefits provided</w:t>
      </w:r>
      <w:r w:rsidR="00144D62" w:rsidRPr="00CC475A">
        <w:t xml:space="preserve"> </w:t>
      </w:r>
      <w:r w:rsidRPr="00CC475A">
        <w:t>by technologies that use radiation to ensure the best possible public health outcomes for the community.</w:t>
      </w:r>
    </w:p>
    <w:p w14:paraId="3EFA2E4B" w14:textId="77777777" w:rsidR="00886398" w:rsidRPr="00AC57C8" w:rsidRDefault="00414E31" w:rsidP="00CC475A">
      <w:r w:rsidRPr="00AC57C8">
        <w:t>To achieve this, the radiation safety and protection system should be designed and implemented with the following principles:</w:t>
      </w:r>
    </w:p>
    <w:p w14:paraId="3EFA2E4E" w14:textId="67948891" w:rsidR="00886398" w:rsidRPr="00AC57C8" w:rsidRDefault="00414E31" w:rsidP="003A1C6F">
      <w:pPr>
        <w:pStyle w:val="ListNumber2"/>
      </w:pPr>
      <w:r w:rsidRPr="00AC57C8">
        <w:t>use a risk-based and proportionate approach</w:t>
      </w:r>
    </w:p>
    <w:p w14:paraId="796BFA44" w14:textId="227F57BC" w:rsidR="00CC475A" w:rsidRDefault="00CC475A" w:rsidP="003A1C6F">
      <w:pPr>
        <w:pStyle w:val="ListNumber2"/>
      </w:pPr>
      <w:r>
        <w:t>maximise the benefits of using radiation safely</w:t>
      </w:r>
    </w:p>
    <w:p w14:paraId="78AD7DA9" w14:textId="118F5357" w:rsidR="00CC475A" w:rsidRDefault="00CC475A" w:rsidP="00CC475A">
      <w:pPr>
        <w:pStyle w:val="ListNumber2"/>
      </w:pPr>
      <w:r>
        <w:t>engage with stakeholders and build trust with the community</w:t>
      </w:r>
    </w:p>
    <w:p w14:paraId="406670D1" w14:textId="3761D0B6" w:rsidR="00CC475A" w:rsidRDefault="00CC475A" w:rsidP="00CC475A">
      <w:pPr>
        <w:pStyle w:val="ListNumber2"/>
      </w:pPr>
      <w:r>
        <w:t>provide consistent and equitable radiation safety outcomes for all Australians</w:t>
      </w:r>
    </w:p>
    <w:p w14:paraId="4773F9DF" w14:textId="510B3E4C" w:rsidR="00CC475A" w:rsidRDefault="00CC475A" w:rsidP="00CC475A">
      <w:pPr>
        <w:pStyle w:val="ListNumber2"/>
      </w:pPr>
      <w:r>
        <w:t>regulate across the full life cycle for radioactive materials</w:t>
      </w:r>
    </w:p>
    <w:p w14:paraId="4745A9BE" w14:textId="3E90AD8F" w:rsidR="00CC475A" w:rsidRDefault="00CC475A" w:rsidP="00CC475A">
      <w:pPr>
        <w:pStyle w:val="ListNumber2"/>
      </w:pPr>
      <w:r>
        <w:t>align with international safety and protection standards</w:t>
      </w:r>
    </w:p>
    <w:p w14:paraId="3EFA2E4F" w14:textId="4F5F1FD0" w:rsidR="00886398" w:rsidRPr="00AC57C8" w:rsidRDefault="00CC475A" w:rsidP="00CC475A">
      <w:pPr>
        <w:pStyle w:val="ListNumber2"/>
      </w:pPr>
      <w:r>
        <w:t>use peer reviewed scientific advice and best practice processes.</w:t>
      </w:r>
    </w:p>
    <w:p w14:paraId="3EFA2E68" w14:textId="77777777" w:rsidR="00886398" w:rsidRDefault="00886398">
      <w:pPr>
        <w:spacing w:line="192" w:lineRule="auto"/>
        <w:rPr>
          <w:rFonts w:ascii="HelveticaNeueLTStd-Lt" w:hAnsi="HelveticaNeueLTStd-Lt"/>
          <w:sz w:val="18"/>
        </w:rPr>
        <w:sectPr w:rsidR="00886398" w:rsidSect="003A1C6F">
          <w:footerReference w:type="default" r:id="rId17"/>
          <w:pgSz w:w="11910" w:h="16840"/>
          <w:pgMar w:top="1440" w:right="1278" w:bottom="1440" w:left="1440" w:header="0" w:footer="639" w:gutter="0"/>
          <w:cols w:space="720"/>
          <w:docGrid w:linePitch="299"/>
        </w:sectPr>
      </w:pPr>
    </w:p>
    <w:p w14:paraId="3EFA2E69" w14:textId="77777777" w:rsidR="00886398" w:rsidRPr="00D90BAB" w:rsidRDefault="00414E31" w:rsidP="00D90BAB">
      <w:pPr>
        <w:pStyle w:val="Heading1"/>
      </w:pPr>
      <w:bookmarkStart w:id="10" w:name="Objectives_of_the_National_Strategy__for"/>
      <w:bookmarkStart w:id="11" w:name="_bookmark3"/>
      <w:bookmarkStart w:id="12" w:name="_Toc173847015"/>
      <w:bookmarkEnd w:id="10"/>
      <w:bookmarkEnd w:id="11"/>
      <w:r w:rsidRPr="00D90BAB">
        <w:lastRenderedPageBreak/>
        <w:t>Objectives of the National Strategy for Radiation Safety</w:t>
      </w:r>
      <w:bookmarkEnd w:id="12"/>
    </w:p>
    <w:p w14:paraId="3EFA2E6A" w14:textId="77777777" w:rsidR="00886398" w:rsidRPr="00CC475A" w:rsidRDefault="00414E31" w:rsidP="007E5379">
      <w:pPr>
        <w:pStyle w:val="Introtext"/>
      </w:pPr>
      <w:r w:rsidRPr="00CC475A">
        <w:t>The National Strategy for Radiation Safety identifies four key objectives to achieve an effective radiation safety and protection system.</w:t>
      </w:r>
    </w:p>
    <w:p w14:paraId="3EFA2E6B" w14:textId="5ABAFD49" w:rsidR="00886398" w:rsidRPr="00CC475A" w:rsidRDefault="003A1C6F" w:rsidP="003A1C6F">
      <w:pPr>
        <w:pStyle w:val="Heading2numbered"/>
      </w:pPr>
      <w:bookmarkStart w:id="13" w:name="_Toc173847016"/>
      <w:r>
        <w:t xml:space="preserve">| </w:t>
      </w:r>
      <w:r w:rsidR="00414E31" w:rsidRPr="00CC475A">
        <w:t>Consistent outcomes</w:t>
      </w:r>
      <w:bookmarkEnd w:id="13"/>
    </w:p>
    <w:p w14:paraId="3EFA2E6C" w14:textId="77777777" w:rsidR="00886398" w:rsidRPr="00CC475A" w:rsidRDefault="00414E31" w:rsidP="00CC475A">
      <w:r w:rsidRPr="00CC475A">
        <w:t>To reduce inconsistencies to improve safety outcomes and efficiency.</w:t>
      </w:r>
    </w:p>
    <w:p w14:paraId="3EFA2E6D" w14:textId="77777777" w:rsidR="00886398" w:rsidRPr="00CC475A" w:rsidRDefault="00414E31" w:rsidP="00CC475A">
      <w:r w:rsidRPr="00CC475A">
        <w:t>This National Strategy aims for consistent radiation safety and protection across Australia. Consistency will focus on competencies for radiation users; safety and performance testing standards for radiation sources; and exemptions for radioactive material and radiation apparatus. Implementing consistent regulatory requirements will lead to more effective and efficient safety and protection for people and the environment across all jurisdictions, both in principle and practice.</w:t>
      </w:r>
    </w:p>
    <w:p w14:paraId="3EFA2E6E" w14:textId="29029F22" w:rsidR="00886398" w:rsidRPr="003A1C6F" w:rsidRDefault="00414E31" w:rsidP="003A1C6F">
      <w:pPr>
        <w:pStyle w:val="Heading2numbered"/>
      </w:pPr>
      <w:bookmarkStart w:id="14" w:name="_Toc173847017"/>
      <w:r w:rsidRPr="003A1C6F">
        <w:t>Incident management</w:t>
      </w:r>
      <w:bookmarkEnd w:id="14"/>
    </w:p>
    <w:p w14:paraId="3EFA2E6F" w14:textId="77777777" w:rsidR="00886398" w:rsidRPr="00CC475A" w:rsidRDefault="00414E31" w:rsidP="00CC475A">
      <w:r w:rsidRPr="00CC475A">
        <w:t>To ensure the effective management of significant radiation incidents.</w:t>
      </w:r>
    </w:p>
    <w:p w14:paraId="3EFA2E70" w14:textId="77777777" w:rsidR="00886398" w:rsidRPr="00CC475A" w:rsidRDefault="00414E31" w:rsidP="00CC475A">
      <w:r w:rsidRPr="00CC475A">
        <w:t>Responding to large scale emergency incidents requires coordination across multiple agencies, including emergency services, public health, transport, and environmental protection. It may also require coordination between the Commonwealth and affected states and territories.</w:t>
      </w:r>
    </w:p>
    <w:p w14:paraId="3EFA2E71" w14:textId="349EC5AF" w:rsidR="00886398" w:rsidRDefault="00414E31" w:rsidP="00CC475A">
      <w:r w:rsidRPr="00CC475A">
        <w:t>Ensuring a framework is in place across agencies to manage radiation incidents will minimise the consequences of any large-scale emergency incident.</w:t>
      </w:r>
    </w:p>
    <w:p w14:paraId="4C81DBAC" w14:textId="77777777" w:rsidR="00CC475A" w:rsidRPr="003A1C6F" w:rsidRDefault="00CC475A" w:rsidP="003A1C6F">
      <w:pPr>
        <w:pStyle w:val="Heading2numbered"/>
      </w:pPr>
      <w:bookmarkStart w:id="15" w:name="_Toc173847018"/>
      <w:r w:rsidRPr="003A1C6F">
        <w:t>Science driven policy</w:t>
      </w:r>
      <w:bookmarkEnd w:id="15"/>
    </w:p>
    <w:p w14:paraId="2CD52B0E" w14:textId="77777777" w:rsidR="00CC475A" w:rsidRPr="00CC475A" w:rsidRDefault="00CC475A" w:rsidP="00CC475A">
      <w:r w:rsidRPr="00CC475A">
        <w:t>To ensure there is a common evidence base for the development of codes and standards.</w:t>
      </w:r>
    </w:p>
    <w:p w14:paraId="492ABF61" w14:textId="1DBFAA77" w:rsidR="00CC475A" w:rsidRPr="00CC475A" w:rsidRDefault="00CC475A" w:rsidP="00CC475A">
      <w:r w:rsidRPr="00CC475A">
        <w:t>Quality data is critical for developing robust science-based policy. This, coupled with effective science-based communication, can increase community understanding about radiation and the benefits of using it safely whilst understanding the risks. A common evidence base and consistent implementation of policy will also assist in developing and maintaining the standards and codes of practice.</w:t>
      </w:r>
    </w:p>
    <w:p w14:paraId="3EFA2E7A" w14:textId="5AD806F1" w:rsidR="00886398" w:rsidRPr="003A1C6F" w:rsidRDefault="00414E31" w:rsidP="003A1C6F">
      <w:pPr>
        <w:pStyle w:val="Heading2numbered"/>
      </w:pPr>
      <w:bookmarkStart w:id="16" w:name="_Toc173847020"/>
      <w:r w:rsidRPr="003A1C6F">
        <w:t>Adaptable</w:t>
      </w:r>
      <w:bookmarkEnd w:id="16"/>
    </w:p>
    <w:p w14:paraId="3EFA2E7B" w14:textId="77777777" w:rsidR="00886398" w:rsidRPr="00CC475A" w:rsidRDefault="00414E31" w:rsidP="00CC475A">
      <w:r w:rsidRPr="00CC475A">
        <w:t xml:space="preserve">To be responsive and adaptable, to respond to emerging technologies and services, and manage potential harms while </w:t>
      </w:r>
      <w:proofErr w:type="spellStart"/>
      <w:r w:rsidRPr="00CC475A">
        <w:t>realising</w:t>
      </w:r>
      <w:proofErr w:type="spellEnd"/>
      <w:r w:rsidRPr="00CC475A">
        <w:t xml:space="preserve"> the benefits.</w:t>
      </w:r>
    </w:p>
    <w:p w14:paraId="3EFA2E7C" w14:textId="7A0A04E1" w:rsidR="00886398" w:rsidRPr="00CC475A" w:rsidRDefault="00414E31" w:rsidP="00CC475A">
      <w:r w:rsidRPr="00CC475A">
        <w:t>The strategy needs to be able to respond to future technologies to ensure the regulatory approach can keep pace with evolving technologies and services. This National Strategy seeks to ensure regulatory frameworks are responsive to emerging technologies, products and services which rely on radiation.</w:t>
      </w:r>
    </w:p>
    <w:p w14:paraId="3EFA2E7D" w14:textId="77777777" w:rsidR="00886398" w:rsidRDefault="00886398">
      <w:pPr>
        <w:spacing w:line="204" w:lineRule="auto"/>
        <w:sectPr w:rsidR="00886398" w:rsidSect="00CC475A">
          <w:footerReference w:type="default" r:id="rId18"/>
          <w:pgSz w:w="11910" w:h="16840"/>
          <w:pgMar w:top="1440" w:right="1440" w:bottom="1440" w:left="1440" w:header="0" w:footer="639" w:gutter="0"/>
          <w:cols w:space="720"/>
          <w:docGrid w:linePitch="299"/>
        </w:sectPr>
      </w:pPr>
    </w:p>
    <w:p w14:paraId="3EFA2E7E" w14:textId="77777777" w:rsidR="00886398" w:rsidRPr="00D90BAB" w:rsidRDefault="00414E31" w:rsidP="00D90BAB">
      <w:pPr>
        <w:pStyle w:val="Heading1"/>
      </w:pPr>
      <w:bookmarkStart w:id="17" w:name="_Hlk137550893"/>
      <w:bookmarkStart w:id="18" w:name="Implementation__and_governance"/>
      <w:bookmarkStart w:id="19" w:name="_bookmark4"/>
      <w:bookmarkStart w:id="20" w:name="_Toc173847021"/>
      <w:bookmarkEnd w:id="17"/>
      <w:bookmarkEnd w:id="18"/>
      <w:bookmarkEnd w:id="19"/>
      <w:r w:rsidRPr="00D90BAB">
        <w:lastRenderedPageBreak/>
        <w:t>Implementation and governance</w:t>
      </w:r>
      <w:bookmarkEnd w:id="20"/>
    </w:p>
    <w:p w14:paraId="3EFA2E7F" w14:textId="6E2B72AF" w:rsidR="00886398" w:rsidRDefault="00414E31" w:rsidP="007E5379">
      <w:pPr>
        <w:pStyle w:val="Introtext"/>
      </w:pPr>
      <w:r w:rsidRPr="00CC475A">
        <w:t>The National Strategy seeks to promote and enable the safe and justified uses of radiation, while considering social and economic factors, across the diverse range of uses of radiation.</w:t>
      </w:r>
    </w:p>
    <w:p w14:paraId="1335219B" w14:textId="33600B57" w:rsidR="00CC475A" w:rsidRPr="00CC475A" w:rsidRDefault="00CC475A" w:rsidP="00CC475A">
      <w:r w:rsidRPr="00CC475A">
        <w:rPr>
          <w:noProof/>
        </w:rPr>
        <w:drawing>
          <wp:inline distT="0" distB="0" distL="0" distR="0" wp14:anchorId="069FC5FA" wp14:editId="49814200">
            <wp:extent cx="6839394" cy="1457998"/>
            <wp:effectExtent l="0" t="0" r="0" b="8890"/>
            <wp:docPr id="40" name="Image 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Image 40">
                      <a:extLst>
                        <a:ext uri="{C183D7F6-B498-43B3-948B-1728B52AA6E4}">
                          <adec:decorative xmlns:adec="http://schemas.microsoft.com/office/drawing/2017/decorative" val="1"/>
                        </a:ext>
                      </a:extLst>
                    </pic:cNvPr>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839394" cy="1457998"/>
                    </a:xfrm>
                    <a:prstGeom prst="rect">
                      <a:avLst/>
                    </a:prstGeom>
                  </pic:spPr>
                </pic:pic>
              </a:graphicData>
            </a:graphic>
          </wp:inline>
        </w:drawing>
      </w:r>
    </w:p>
    <w:p w14:paraId="3EFA2E85" w14:textId="5C172E42" w:rsidR="00886398" w:rsidRPr="00AC57C8" w:rsidRDefault="00414E31" w:rsidP="00AC57C8">
      <w:r w:rsidRPr="00AC57C8">
        <w:t>Each Australian government regulator plays a role in implementing a national framework for radiation safety and protection. The Australian Health Protection Principal Committee (AHPPC) will oversee the National Strategy through the Environmental Health Standing Committee (enHealth). enHealth comprises officials from the Commonwealth, state and territory governments and will drive and track implementation of initiatives and review the effectiveness of the National Strategy.</w:t>
      </w:r>
    </w:p>
    <w:p w14:paraId="3EFA2E86" w14:textId="77777777" w:rsidR="00886398" w:rsidRPr="00AC57C8" w:rsidRDefault="00414E31" w:rsidP="00AC57C8">
      <w:r w:rsidRPr="00AC57C8">
        <w:t>Implementation strategies are grouped against the four objectives. While these actions focus on achieving tangible outcomes, there will continue to be engagement across governments, regulators and interested sectors to enhance radiation safety and protection in Australia.</w:t>
      </w:r>
    </w:p>
    <w:p w14:paraId="3EFA2E88" w14:textId="77777777" w:rsidR="00886398" w:rsidRPr="007E5379" w:rsidRDefault="00414E31" w:rsidP="007E5379">
      <w:pPr>
        <w:pStyle w:val="Heading2"/>
      </w:pPr>
      <w:bookmarkStart w:id="21" w:name="_Hlk150327365"/>
      <w:bookmarkStart w:id="22" w:name="_Toc173847022"/>
      <w:bookmarkEnd w:id="21"/>
      <w:r w:rsidRPr="007E5379">
        <w:t>Objective 1 | Consistent Outcomes</w:t>
      </w:r>
      <w:bookmarkEnd w:id="22"/>
    </w:p>
    <w:p w14:paraId="3EFA2E89" w14:textId="77777777" w:rsidR="00886398" w:rsidRPr="007E5379" w:rsidRDefault="00414E31" w:rsidP="007E5379">
      <w:r w:rsidRPr="007E5379">
        <w:t>To improve safety outcomes and efficiency and reduce inconsistencies</w:t>
      </w:r>
    </w:p>
    <w:p w14:paraId="3EFA2E8A" w14:textId="77777777" w:rsidR="00886398" w:rsidRPr="00AC57C8" w:rsidRDefault="00414E31" w:rsidP="00AC57C8">
      <w:r w:rsidRPr="00AC57C8">
        <w:t>Strategic actions:</w:t>
      </w:r>
    </w:p>
    <w:tbl>
      <w:tblPr>
        <w:tblStyle w:val="ListTable3-Accent1"/>
        <w:tblW w:w="9628" w:type="dxa"/>
        <w:tblLayout w:type="fixed"/>
        <w:tblLook w:val="0620" w:firstRow="1" w:lastRow="0" w:firstColumn="0" w:lastColumn="0" w:noHBand="1" w:noVBand="1"/>
      </w:tblPr>
      <w:tblGrid>
        <w:gridCol w:w="774"/>
        <w:gridCol w:w="8854"/>
      </w:tblGrid>
      <w:tr w:rsidR="00CC475A" w:rsidRPr="00CC475A" w14:paraId="36E86D6E" w14:textId="77777777" w:rsidTr="00D3250F">
        <w:trPr>
          <w:cnfStyle w:val="100000000000" w:firstRow="1" w:lastRow="0" w:firstColumn="0" w:lastColumn="0" w:oddVBand="0" w:evenVBand="0" w:oddHBand="0" w:evenHBand="0" w:firstRowFirstColumn="0" w:firstRowLastColumn="0" w:lastRowFirstColumn="0" w:lastRowLastColumn="0"/>
          <w:trHeight w:val="729"/>
          <w:tblHeader/>
        </w:trPr>
        <w:tc>
          <w:tcPr>
            <w:tcW w:w="774" w:type="dxa"/>
          </w:tcPr>
          <w:p w14:paraId="53FE8A71" w14:textId="5DC96173" w:rsidR="00CC475A" w:rsidRPr="00CC475A" w:rsidRDefault="00CC475A" w:rsidP="00CC475A">
            <w:r>
              <w:t>No.</w:t>
            </w:r>
          </w:p>
        </w:tc>
        <w:tc>
          <w:tcPr>
            <w:tcW w:w="8854" w:type="dxa"/>
          </w:tcPr>
          <w:p w14:paraId="6711F4C7" w14:textId="72CA71EB" w:rsidR="00CC475A" w:rsidRPr="00CC475A" w:rsidRDefault="00CC475A" w:rsidP="00CC475A">
            <w:r w:rsidRPr="00AC57C8">
              <w:t>Strategic actions</w:t>
            </w:r>
          </w:p>
        </w:tc>
      </w:tr>
      <w:tr w:rsidR="00886398" w:rsidRPr="00CC475A" w14:paraId="3EFA2E8E" w14:textId="77777777" w:rsidTr="00D3250F">
        <w:trPr>
          <w:trHeight w:val="729"/>
        </w:trPr>
        <w:tc>
          <w:tcPr>
            <w:tcW w:w="774" w:type="dxa"/>
            <w:tcBorders>
              <w:right w:val="single" w:sz="4" w:space="0" w:color="4F81BD" w:themeColor="accent1"/>
            </w:tcBorders>
          </w:tcPr>
          <w:p w14:paraId="3EFA2E8C" w14:textId="77777777" w:rsidR="00886398" w:rsidRPr="00CC475A" w:rsidRDefault="00414E31" w:rsidP="00CC475A">
            <w:r w:rsidRPr="00CC475A">
              <w:t>1.1</w:t>
            </w:r>
          </w:p>
        </w:tc>
        <w:tc>
          <w:tcPr>
            <w:tcW w:w="8854" w:type="dxa"/>
            <w:tcBorders>
              <w:left w:val="single" w:sz="4" w:space="0" w:color="4F81BD" w:themeColor="accent1"/>
            </w:tcBorders>
          </w:tcPr>
          <w:p w14:paraId="3EFA2E8D" w14:textId="77777777" w:rsidR="00886398" w:rsidRPr="00CC475A" w:rsidRDefault="00414E31" w:rsidP="00CC475A">
            <w:r w:rsidRPr="00CC475A">
              <w:t>Assess State, Territory and Commonwealth legislation for inconsistencies and make recommendations where changes might warrant a different approach</w:t>
            </w:r>
          </w:p>
        </w:tc>
      </w:tr>
      <w:tr w:rsidR="00886398" w:rsidRPr="00CC475A" w14:paraId="3EFA2E91" w14:textId="77777777" w:rsidTr="00D3250F">
        <w:trPr>
          <w:trHeight w:val="729"/>
        </w:trPr>
        <w:tc>
          <w:tcPr>
            <w:tcW w:w="774" w:type="dxa"/>
            <w:tcBorders>
              <w:right w:val="single" w:sz="4" w:space="0" w:color="4F81BD" w:themeColor="accent1"/>
            </w:tcBorders>
          </w:tcPr>
          <w:p w14:paraId="3EFA2E8F" w14:textId="77777777" w:rsidR="00886398" w:rsidRPr="00CC475A" w:rsidRDefault="00414E31" w:rsidP="00CC475A">
            <w:bookmarkStart w:id="23" w:name="_Hlk137550773"/>
            <w:bookmarkEnd w:id="23"/>
            <w:r w:rsidRPr="00CC475A">
              <w:t>1.2</w:t>
            </w:r>
          </w:p>
        </w:tc>
        <w:tc>
          <w:tcPr>
            <w:tcW w:w="8854" w:type="dxa"/>
            <w:tcBorders>
              <w:left w:val="single" w:sz="4" w:space="0" w:color="4F81BD" w:themeColor="accent1"/>
            </w:tcBorders>
          </w:tcPr>
          <w:p w14:paraId="3EFA2E90" w14:textId="77777777" w:rsidR="00886398" w:rsidRPr="00CC475A" w:rsidRDefault="00414E31" w:rsidP="00CC475A">
            <w:r w:rsidRPr="00CC475A">
              <w:t>Develop and implement a national competency framework to ensure a consistent level of qualification to use radiation sources.</w:t>
            </w:r>
          </w:p>
        </w:tc>
      </w:tr>
    </w:tbl>
    <w:p w14:paraId="3EFA2E92" w14:textId="77777777" w:rsidR="00886398" w:rsidRDefault="00886398">
      <w:pPr>
        <w:spacing w:line="208" w:lineRule="auto"/>
        <w:sectPr w:rsidR="00886398" w:rsidSect="00CC475A">
          <w:footerReference w:type="default" r:id="rId20"/>
          <w:pgSz w:w="11910" w:h="16840"/>
          <w:pgMar w:top="1440" w:right="1440" w:bottom="1440" w:left="1440" w:header="0" w:footer="639" w:gutter="0"/>
          <w:cols w:space="720"/>
          <w:docGrid w:linePitch="299"/>
        </w:sectPr>
      </w:pPr>
    </w:p>
    <w:p w14:paraId="3EFA2E93" w14:textId="77777777" w:rsidR="00886398" w:rsidRPr="00AC57C8" w:rsidRDefault="00886398" w:rsidP="00AC57C8"/>
    <w:p w14:paraId="3EFA2E94" w14:textId="77777777" w:rsidR="00886398" w:rsidRPr="007E5379" w:rsidRDefault="00414E31" w:rsidP="007E5379">
      <w:pPr>
        <w:pStyle w:val="Heading2"/>
      </w:pPr>
      <w:bookmarkStart w:id="24" w:name="Monitoring_and__reporting_progress"/>
      <w:bookmarkStart w:id="25" w:name="_bookmark5"/>
      <w:bookmarkStart w:id="26" w:name="_Toc173847023"/>
      <w:bookmarkEnd w:id="24"/>
      <w:bookmarkEnd w:id="25"/>
      <w:r w:rsidRPr="007E5379">
        <w:t>Objective 2 | Large-scale Incident Management</w:t>
      </w:r>
      <w:bookmarkEnd w:id="26"/>
    </w:p>
    <w:p w14:paraId="3EFA2E95" w14:textId="77777777" w:rsidR="00886398" w:rsidRPr="007E5379" w:rsidRDefault="00414E31" w:rsidP="007E5379">
      <w:r w:rsidRPr="007E5379">
        <w:t>Streamline the effective management of significant radiation incidents.</w:t>
      </w:r>
    </w:p>
    <w:p w14:paraId="3EFA2E96" w14:textId="77777777" w:rsidR="00886398" w:rsidRPr="00AC57C8" w:rsidRDefault="00414E31" w:rsidP="00AC57C8">
      <w:r w:rsidRPr="00AC57C8">
        <w:t>Strategic actions:</w:t>
      </w:r>
    </w:p>
    <w:tbl>
      <w:tblPr>
        <w:tblStyle w:val="ListTable3-Accent1"/>
        <w:tblW w:w="9638" w:type="dxa"/>
        <w:tblLayout w:type="fixed"/>
        <w:tblLook w:val="0620" w:firstRow="1" w:lastRow="0" w:firstColumn="0" w:lastColumn="0" w:noHBand="1" w:noVBand="1"/>
      </w:tblPr>
      <w:tblGrid>
        <w:gridCol w:w="677"/>
        <w:gridCol w:w="8961"/>
      </w:tblGrid>
      <w:tr w:rsidR="007E5379" w14:paraId="0E60A5AD" w14:textId="77777777" w:rsidTr="00D3250F">
        <w:trPr>
          <w:cnfStyle w:val="100000000000" w:firstRow="1" w:lastRow="0" w:firstColumn="0" w:lastColumn="0" w:oddVBand="0" w:evenVBand="0" w:oddHBand="0" w:evenHBand="0" w:firstRowFirstColumn="0" w:firstRowLastColumn="0" w:lastRowFirstColumn="0" w:lastRowLastColumn="0"/>
          <w:trHeight w:val="729"/>
          <w:tblHeader/>
        </w:trPr>
        <w:tc>
          <w:tcPr>
            <w:tcW w:w="677" w:type="dxa"/>
          </w:tcPr>
          <w:p w14:paraId="0184101B" w14:textId="014D6293" w:rsidR="007E5379" w:rsidRPr="008C6C12" w:rsidRDefault="007E5379" w:rsidP="007E5379">
            <w:r>
              <w:t>No.</w:t>
            </w:r>
          </w:p>
        </w:tc>
        <w:tc>
          <w:tcPr>
            <w:tcW w:w="8961" w:type="dxa"/>
          </w:tcPr>
          <w:p w14:paraId="426A9847" w14:textId="55B43D58" w:rsidR="007E5379" w:rsidRPr="008C6C12" w:rsidRDefault="007E5379" w:rsidP="007E5379">
            <w:r w:rsidRPr="007E5379">
              <w:t>Strategic actions</w:t>
            </w:r>
          </w:p>
        </w:tc>
      </w:tr>
      <w:tr w:rsidR="00886398" w14:paraId="3EFA2E9A" w14:textId="77777777" w:rsidTr="007E5379">
        <w:trPr>
          <w:trHeight w:val="729"/>
        </w:trPr>
        <w:tc>
          <w:tcPr>
            <w:tcW w:w="677" w:type="dxa"/>
          </w:tcPr>
          <w:p w14:paraId="3EFA2E98" w14:textId="77777777" w:rsidR="00886398" w:rsidRPr="008C6C12" w:rsidRDefault="00414E31" w:rsidP="007E5379">
            <w:r w:rsidRPr="008C6C12">
              <w:t>2.1</w:t>
            </w:r>
          </w:p>
        </w:tc>
        <w:tc>
          <w:tcPr>
            <w:tcW w:w="8961" w:type="dxa"/>
          </w:tcPr>
          <w:p w14:paraId="3EFA2E99" w14:textId="77777777" w:rsidR="00886398" w:rsidRPr="008C6C12" w:rsidRDefault="00414E31" w:rsidP="007E5379">
            <w:r w:rsidRPr="008C6C12">
              <w:t>Audit</w:t>
            </w:r>
            <w:r w:rsidRPr="008C6C12">
              <w:rPr>
                <w:spacing w:val="-6"/>
              </w:rPr>
              <w:t xml:space="preserve"> </w:t>
            </w:r>
            <w:r w:rsidRPr="008C6C12">
              <w:t>national</w:t>
            </w:r>
            <w:r w:rsidRPr="008C6C12">
              <w:rPr>
                <w:spacing w:val="-6"/>
              </w:rPr>
              <w:t xml:space="preserve"> </w:t>
            </w:r>
            <w:r w:rsidRPr="008C6C12">
              <w:t>capabilities</w:t>
            </w:r>
            <w:r w:rsidRPr="008C6C12">
              <w:rPr>
                <w:spacing w:val="-6"/>
              </w:rPr>
              <w:t xml:space="preserve"> </w:t>
            </w:r>
            <w:r w:rsidRPr="008C6C12">
              <w:t>to</w:t>
            </w:r>
            <w:r w:rsidRPr="008C6C12">
              <w:rPr>
                <w:spacing w:val="-6"/>
              </w:rPr>
              <w:t xml:space="preserve"> </w:t>
            </w:r>
            <w:r w:rsidRPr="008C6C12">
              <w:t>respond</w:t>
            </w:r>
            <w:r w:rsidRPr="008C6C12">
              <w:rPr>
                <w:spacing w:val="-6"/>
              </w:rPr>
              <w:t xml:space="preserve"> </w:t>
            </w:r>
            <w:r w:rsidRPr="008C6C12">
              <w:t>to</w:t>
            </w:r>
            <w:r w:rsidRPr="008C6C12">
              <w:rPr>
                <w:spacing w:val="-6"/>
              </w:rPr>
              <w:t xml:space="preserve"> </w:t>
            </w:r>
            <w:r w:rsidRPr="008C6C12">
              <w:t>a</w:t>
            </w:r>
            <w:r w:rsidRPr="008C6C12">
              <w:rPr>
                <w:spacing w:val="-6"/>
              </w:rPr>
              <w:t xml:space="preserve"> </w:t>
            </w:r>
            <w:r w:rsidRPr="008C6C12">
              <w:t>national</w:t>
            </w:r>
            <w:r w:rsidRPr="008C6C12">
              <w:rPr>
                <w:spacing w:val="-6"/>
              </w:rPr>
              <w:t xml:space="preserve"> </w:t>
            </w:r>
            <w:r w:rsidRPr="008C6C12">
              <w:t>radiation</w:t>
            </w:r>
            <w:r w:rsidRPr="008C6C12">
              <w:rPr>
                <w:spacing w:val="-6"/>
              </w:rPr>
              <w:t xml:space="preserve"> </w:t>
            </w:r>
            <w:r w:rsidRPr="008C6C12">
              <w:t>emergency (facilities and people).</w:t>
            </w:r>
          </w:p>
        </w:tc>
      </w:tr>
      <w:tr w:rsidR="00886398" w14:paraId="3EFA2E9E" w14:textId="77777777" w:rsidTr="007E5379">
        <w:trPr>
          <w:trHeight w:val="1005"/>
        </w:trPr>
        <w:tc>
          <w:tcPr>
            <w:tcW w:w="677" w:type="dxa"/>
          </w:tcPr>
          <w:p w14:paraId="3EFA2E9B" w14:textId="77777777" w:rsidR="00886398" w:rsidRPr="008C6C12" w:rsidRDefault="00414E31" w:rsidP="007E5379">
            <w:r w:rsidRPr="008C6C12">
              <w:t>2.2</w:t>
            </w:r>
          </w:p>
        </w:tc>
        <w:tc>
          <w:tcPr>
            <w:tcW w:w="8961" w:type="dxa"/>
          </w:tcPr>
          <w:p w14:paraId="3EFA2E9C" w14:textId="77777777" w:rsidR="00886398" w:rsidRPr="008C6C12" w:rsidRDefault="00414E31" w:rsidP="007E5379">
            <w:r w:rsidRPr="008C6C12">
              <w:t>Examine current systems for tracking security enhanced and other sealed radioactive materials and seek guidance on the adequacy of these systems</w:t>
            </w:r>
          </w:p>
          <w:p w14:paraId="3EFA2E9D" w14:textId="77777777" w:rsidR="00886398" w:rsidRPr="008C6C12" w:rsidRDefault="00414E31" w:rsidP="007E5379">
            <w:r w:rsidRPr="008C6C12">
              <w:t>from</w:t>
            </w:r>
            <w:r w:rsidRPr="008C6C12">
              <w:rPr>
                <w:spacing w:val="-2"/>
              </w:rPr>
              <w:t xml:space="preserve"> </w:t>
            </w:r>
            <w:r w:rsidRPr="008C6C12">
              <w:t>a</w:t>
            </w:r>
            <w:r w:rsidRPr="008C6C12">
              <w:rPr>
                <w:spacing w:val="-1"/>
              </w:rPr>
              <w:t xml:space="preserve"> </w:t>
            </w:r>
            <w:r w:rsidRPr="008C6C12">
              <w:t>security</w:t>
            </w:r>
            <w:r w:rsidRPr="008C6C12">
              <w:rPr>
                <w:spacing w:val="-1"/>
              </w:rPr>
              <w:t xml:space="preserve"> </w:t>
            </w:r>
            <w:r w:rsidRPr="008C6C12">
              <w:rPr>
                <w:spacing w:val="-2"/>
              </w:rPr>
              <w:t>perspective.</w:t>
            </w:r>
          </w:p>
        </w:tc>
      </w:tr>
      <w:tr w:rsidR="00886398" w14:paraId="3EFA2EA1" w14:textId="77777777" w:rsidTr="007E5379">
        <w:trPr>
          <w:trHeight w:val="722"/>
        </w:trPr>
        <w:tc>
          <w:tcPr>
            <w:tcW w:w="677" w:type="dxa"/>
          </w:tcPr>
          <w:p w14:paraId="3EFA2E9F" w14:textId="77777777" w:rsidR="00886398" w:rsidRPr="008C6C12" w:rsidRDefault="00414E31" w:rsidP="007E5379">
            <w:r w:rsidRPr="008C6C12">
              <w:t>2.3</w:t>
            </w:r>
          </w:p>
        </w:tc>
        <w:tc>
          <w:tcPr>
            <w:tcW w:w="8961" w:type="dxa"/>
          </w:tcPr>
          <w:p w14:paraId="3EFA2EA0" w14:textId="77777777" w:rsidR="00886398" w:rsidRPr="008C6C12" w:rsidRDefault="00414E31" w:rsidP="007E5379">
            <w:r w:rsidRPr="008C6C12">
              <w:t>Review existing incident reporting systems (including the Australian Radiation Incident Register) and consider a national radiation incident reporting system.</w:t>
            </w:r>
          </w:p>
        </w:tc>
      </w:tr>
      <w:tr w:rsidR="00886398" w14:paraId="3EFA2EA4" w14:textId="77777777" w:rsidTr="007E5379">
        <w:trPr>
          <w:trHeight w:val="1012"/>
        </w:trPr>
        <w:tc>
          <w:tcPr>
            <w:tcW w:w="677" w:type="dxa"/>
          </w:tcPr>
          <w:p w14:paraId="3EFA2EA2" w14:textId="77777777" w:rsidR="00886398" w:rsidRPr="008C6C12" w:rsidRDefault="00414E31" w:rsidP="007E5379">
            <w:r w:rsidRPr="008C6C12">
              <w:t>2.4</w:t>
            </w:r>
          </w:p>
        </w:tc>
        <w:tc>
          <w:tcPr>
            <w:tcW w:w="8961" w:type="dxa"/>
          </w:tcPr>
          <w:p w14:paraId="3EFA2EA3" w14:textId="77777777" w:rsidR="00886398" w:rsidRPr="008C6C12" w:rsidRDefault="00414E31" w:rsidP="007E5379">
            <w:r w:rsidRPr="008C6C12">
              <w:t>Establish</w:t>
            </w:r>
            <w:r w:rsidRPr="008C6C12">
              <w:rPr>
                <w:spacing w:val="-6"/>
              </w:rPr>
              <w:t xml:space="preserve"> </w:t>
            </w:r>
            <w:r w:rsidRPr="008C6C12">
              <w:t>an</w:t>
            </w:r>
            <w:r w:rsidRPr="008C6C12">
              <w:rPr>
                <w:spacing w:val="-6"/>
              </w:rPr>
              <w:t xml:space="preserve"> </w:t>
            </w:r>
            <w:r w:rsidRPr="008C6C12">
              <w:t>ongoing</w:t>
            </w:r>
            <w:r w:rsidRPr="008C6C12">
              <w:rPr>
                <w:spacing w:val="-6"/>
              </w:rPr>
              <w:t xml:space="preserve"> </w:t>
            </w:r>
            <w:r w:rsidRPr="008C6C12">
              <w:t>program</w:t>
            </w:r>
            <w:r w:rsidRPr="008C6C12">
              <w:rPr>
                <w:spacing w:val="-6"/>
              </w:rPr>
              <w:t xml:space="preserve"> </w:t>
            </w:r>
            <w:r w:rsidRPr="008C6C12">
              <w:t>of</w:t>
            </w:r>
            <w:r w:rsidRPr="008C6C12">
              <w:rPr>
                <w:spacing w:val="-6"/>
              </w:rPr>
              <w:t xml:space="preserve"> </w:t>
            </w:r>
            <w:r w:rsidRPr="008C6C12">
              <w:t>exercises</w:t>
            </w:r>
            <w:r w:rsidRPr="008C6C12">
              <w:rPr>
                <w:spacing w:val="-6"/>
              </w:rPr>
              <w:t xml:space="preserve"> </w:t>
            </w:r>
            <w:r w:rsidRPr="008C6C12">
              <w:t>to</w:t>
            </w:r>
            <w:r w:rsidRPr="008C6C12">
              <w:rPr>
                <w:spacing w:val="-6"/>
              </w:rPr>
              <w:t xml:space="preserve"> </w:t>
            </w:r>
            <w:r w:rsidRPr="008C6C12">
              <w:t>test</w:t>
            </w:r>
            <w:r w:rsidRPr="008C6C12">
              <w:rPr>
                <w:spacing w:val="-6"/>
              </w:rPr>
              <w:t xml:space="preserve"> </w:t>
            </w:r>
            <w:r w:rsidRPr="008C6C12">
              <w:t>readiness</w:t>
            </w:r>
            <w:r w:rsidRPr="008C6C12">
              <w:rPr>
                <w:spacing w:val="-6"/>
              </w:rPr>
              <w:t xml:space="preserve"> </w:t>
            </w:r>
            <w:r w:rsidRPr="008C6C12">
              <w:t>and</w:t>
            </w:r>
            <w:r w:rsidRPr="008C6C12">
              <w:rPr>
                <w:spacing w:val="-6"/>
              </w:rPr>
              <w:t xml:space="preserve"> </w:t>
            </w:r>
            <w:r w:rsidRPr="008C6C12">
              <w:t>responsiveness to a large-scale incident where these are run involving the Commonwealth and State and territory agencies at least biannually.</w:t>
            </w:r>
          </w:p>
        </w:tc>
      </w:tr>
    </w:tbl>
    <w:p w14:paraId="3EFA2EA5" w14:textId="77777777" w:rsidR="00886398" w:rsidRPr="007E5379" w:rsidRDefault="00414E31" w:rsidP="007E5379">
      <w:pPr>
        <w:pStyle w:val="Heading2"/>
      </w:pPr>
      <w:bookmarkStart w:id="27" w:name="_Hlk137551112"/>
      <w:bookmarkStart w:id="28" w:name="_Toc173847024"/>
      <w:bookmarkEnd w:id="27"/>
      <w:r w:rsidRPr="007E5379">
        <w:t>Objective 3 | Science driven policy</w:t>
      </w:r>
      <w:bookmarkEnd w:id="28"/>
    </w:p>
    <w:p w14:paraId="176B8B6B" w14:textId="1FDF54A6" w:rsidR="000935BA" w:rsidRPr="007E5379" w:rsidRDefault="00414E31" w:rsidP="007E5379">
      <w:r w:rsidRPr="007E5379">
        <w:t>Ensure there is a common evidence base for developing codes and standards</w:t>
      </w:r>
    </w:p>
    <w:p w14:paraId="3EFA2EA7" w14:textId="77777777" w:rsidR="00886398" w:rsidRPr="00AC57C8" w:rsidRDefault="00414E31" w:rsidP="00AC57C8">
      <w:r w:rsidRPr="00AC57C8">
        <w:t>Strategic actions:</w:t>
      </w:r>
    </w:p>
    <w:tbl>
      <w:tblPr>
        <w:tblStyle w:val="ListTable3-Accent1"/>
        <w:tblW w:w="9638" w:type="dxa"/>
        <w:tblLayout w:type="fixed"/>
        <w:tblLook w:val="0620" w:firstRow="1" w:lastRow="0" w:firstColumn="0" w:lastColumn="0" w:noHBand="1" w:noVBand="1"/>
      </w:tblPr>
      <w:tblGrid>
        <w:gridCol w:w="677"/>
        <w:gridCol w:w="8961"/>
      </w:tblGrid>
      <w:tr w:rsidR="007E5379" w:rsidRPr="007E5379" w14:paraId="6BD2FF0F" w14:textId="77777777" w:rsidTr="00D3250F">
        <w:trPr>
          <w:cnfStyle w:val="100000000000" w:firstRow="1" w:lastRow="0" w:firstColumn="0" w:lastColumn="0" w:oddVBand="0" w:evenVBand="0" w:oddHBand="0" w:evenHBand="0" w:firstRowFirstColumn="0" w:firstRowLastColumn="0" w:lastRowFirstColumn="0" w:lastRowLastColumn="0"/>
          <w:trHeight w:val="737"/>
          <w:tblHeader/>
        </w:trPr>
        <w:tc>
          <w:tcPr>
            <w:tcW w:w="677" w:type="dxa"/>
          </w:tcPr>
          <w:p w14:paraId="28BD7BC6" w14:textId="446DBACA" w:rsidR="007E5379" w:rsidRPr="007E5379" w:rsidRDefault="007E5379" w:rsidP="007E5379">
            <w:r w:rsidRPr="007E5379">
              <w:t>No.</w:t>
            </w:r>
          </w:p>
        </w:tc>
        <w:tc>
          <w:tcPr>
            <w:tcW w:w="8961" w:type="dxa"/>
          </w:tcPr>
          <w:p w14:paraId="08422004" w14:textId="2644D301" w:rsidR="007E5379" w:rsidRPr="007E5379" w:rsidRDefault="007E5379" w:rsidP="007E5379">
            <w:r w:rsidRPr="007E5379">
              <w:t>Strategic actions</w:t>
            </w:r>
          </w:p>
        </w:tc>
      </w:tr>
      <w:tr w:rsidR="00886398" w:rsidRPr="007E5379" w14:paraId="3EFA2EAB" w14:textId="77777777" w:rsidTr="007E5379">
        <w:trPr>
          <w:trHeight w:val="737"/>
        </w:trPr>
        <w:tc>
          <w:tcPr>
            <w:tcW w:w="677" w:type="dxa"/>
          </w:tcPr>
          <w:p w14:paraId="3EFA2EA9" w14:textId="77777777" w:rsidR="00886398" w:rsidRPr="007E5379" w:rsidRDefault="00414E31" w:rsidP="007E5379">
            <w:r w:rsidRPr="007E5379">
              <w:t>3.1</w:t>
            </w:r>
          </w:p>
        </w:tc>
        <w:tc>
          <w:tcPr>
            <w:tcW w:w="8961" w:type="dxa"/>
          </w:tcPr>
          <w:p w14:paraId="3EFA2EAA" w14:textId="77777777" w:rsidR="00886398" w:rsidRPr="007E5379" w:rsidRDefault="00414E31" w:rsidP="007E5379">
            <w:r w:rsidRPr="007E5379">
              <w:t xml:space="preserve">Develop a nationally agreed risk matrix to support identification, </w:t>
            </w:r>
            <w:proofErr w:type="gramStart"/>
            <w:r w:rsidRPr="007E5379">
              <w:t>assessment</w:t>
            </w:r>
            <w:proofErr w:type="gramEnd"/>
            <w:r w:rsidRPr="007E5379">
              <w:t xml:space="preserve"> and management of risks in radiation practices.</w:t>
            </w:r>
          </w:p>
        </w:tc>
      </w:tr>
    </w:tbl>
    <w:p w14:paraId="3EFA2EAC" w14:textId="77777777" w:rsidR="00886398" w:rsidRPr="007E5379" w:rsidRDefault="00414E31" w:rsidP="007E5379">
      <w:pPr>
        <w:pStyle w:val="Heading2"/>
      </w:pPr>
      <w:bookmarkStart w:id="29" w:name="_Toc173847025"/>
      <w:r w:rsidRPr="007E5379">
        <w:t>Objective 4 | Adaptable</w:t>
      </w:r>
      <w:bookmarkEnd w:id="29"/>
    </w:p>
    <w:p w14:paraId="3EFA2EAD" w14:textId="77777777" w:rsidR="00886398" w:rsidRPr="007E5379" w:rsidRDefault="00414E31" w:rsidP="007E5379">
      <w:r w:rsidRPr="007E5379">
        <w:t xml:space="preserve">To be responsive and adaptable, to take account of emerging technologies and services, and manage potential harms while </w:t>
      </w:r>
      <w:proofErr w:type="spellStart"/>
      <w:r w:rsidRPr="007E5379">
        <w:t>realising</w:t>
      </w:r>
      <w:proofErr w:type="spellEnd"/>
      <w:r w:rsidRPr="007E5379">
        <w:t xml:space="preserve"> the benefits.</w:t>
      </w:r>
    </w:p>
    <w:p w14:paraId="3EFA2EAE" w14:textId="77777777" w:rsidR="00886398" w:rsidRPr="00AC57C8" w:rsidRDefault="00414E31" w:rsidP="00AC57C8">
      <w:r w:rsidRPr="00AC57C8">
        <w:t>Strategic actions:</w:t>
      </w:r>
    </w:p>
    <w:tbl>
      <w:tblPr>
        <w:tblStyle w:val="ListTable3-Accent1"/>
        <w:tblW w:w="9638" w:type="dxa"/>
        <w:tblLayout w:type="fixed"/>
        <w:tblLook w:val="0620" w:firstRow="1" w:lastRow="0" w:firstColumn="0" w:lastColumn="0" w:noHBand="1" w:noVBand="1"/>
      </w:tblPr>
      <w:tblGrid>
        <w:gridCol w:w="677"/>
        <w:gridCol w:w="8961"/>
      </w:tblGrid>
      <w:tr w:rsidR="007E5379" w:rsidRPr="007E5379" w14:paraId="669DEB08" w14:textId="77777777" w:rsidTr="00D3250F">
        <w:trPr>
          <w:cnfStyle w:val="100000000000" w:firstRow="1" w:lastRow="0" w:firstColumn="0" w:lastColumn="0" w:oddVBand="0" w:evenVBand="0" w:oddHBand="0" w:evenHBand="0" w:firstRowFirstColumn="0" w:firstRowLastColumn="0" w:lastRowFirstColumn="0" w:lastRowLastColumn="0"/>
          <w:trHeight w:val="737"/>
          <w:tblHeader/>
        </w:trPr>
        <w:tc>
          <w:tcPr>
            <w:tcW w:w="677" w:type="dxa"/>
          </w:tcPr>
          <w:p w14:paraId="0025AD30" w14:textId="3C505597" w:rsidR="007E5379" w:rsidRPr="007E5379" w:rsidRDefault="007E5379" w:rsidP="007E5379">
            <w:r w:rsidRPr="007E5379">
              <w:t>No.</w:t>
            </w:r>
          </w:p>
        </w:tc>
        <w:tc>
          <w:tcPr>
            <w:tcW w:w="8961" w:type="dxa"/>
          </w:tcPr>
          <w:p w14:paraId="4071BE4A" w14:textId="703602AF" w:rsidR="007E5379" w:rsidRPr="007E5379" w:rsidRDefault="007E5379" w:rsidP="007E5379">
            <w:r w:rsidRPr="007E5379">
              <w:t>Strategic actions</w:t>
            </w:r>
          </w:p>
        </w:tc>
      </w:tr>
      <w:tr w:rsidR="00886398" w:rsidRPr="007E5379" w14:paraId="3EFA2EB2" w14:textId="77777777" w:rsidTr="007E5379">
        <w:trPr>
          <w:trHeight w:val="737"/>
        </w:trPr>
        <w:tc>
          <w:tcPr>
            <w:tcW w:w="677" w:type="dxa"/>
          </w:tcPr>
          <w:p w14:paraId="3EFA2EB0" w14:textId="77777777" w:rsidR="00886398" w:rsidRPr="007E5379" w:rsidRDefault="00414E31" w:rsidP="007E5379">
            <w:bookmarkStart w:id="30" w:name="_Hlk137551386"/>
            <w:bookmarkEnd w:id="30"/>
            <w:r w:rsidRPr="007E5379">
              <w:t>4.1</w:t>
            </w:r>
          </w:p>
        </w:tc>
        <w:tc>
          <w:tcPr>
            <w:tcW w:w="8961" w:type="dxa"/>
          </w:tcPr>
          <w:p w14:paraId="3EFA2EB1" w14:textId="77777777" w:rsidR="00886398" w:rsidRPr="007E5379" w:rsidRDefault="00414E31" w:rsidP="007E5379">
            <w:r w:rsidRPr="007E5379">
              <w:t>Identify opportunities to use modern technologies to improve the efficiency of regulatory practice.</w:t>
            </w:r>
          </w:p>
        </w:tc>
      </w:tr>
    </w:tbl>
    <w:p w14:paraId="6465CDEF" w14:textId="77777777" w:rsidR="007E5379" w:rsidRDefault="007E5379">
      <w:pPr>
        <w:spacing w:before="0" w:after="0"/>
      </w:pPr>
      <w:r>
        <w:br w:type="page"/>
      </w:r>
    </w:p>
    <w:p w14:paraId="3EFA2EB4" w14:textId="77777777" w:rsidR="00886398" w:rsidRPr="008C6C12" w:rsidRDefault="00414E31" w:rsidP="008C6C12">
      <w:pPr>
        <w:pStyle w:val="Heading1"/>
      </w:pPr>
      <w:bookmarkStart w:id="31" w:name="_Toc173847026"/>
      <w:r w:rsidRPr="008C6C12">
        <w:lastRenderedPageBreak/>
        <w:t>Monitoring and reporting progress</w:t>
      </w:r>
      <w:bookmarkEnd w:id="31"/>
    </w:p>
    <w:p w14:paraId="3EFA2EB6" w14:textId="4ADB3AE2" w:rsidR="00144D62" w:rsidRPr="007E5379" w:rsidRDefault="00144D62" w:rsidP="007E5379">
      <w:pPr>
        <w:pStyle w:val="Introtext"/>
        <w:sectPr w:rsidR="00144D62" w:rsidRPr="007E5379" w:rsidSect="007E5379">
          <w:footerReference w:type="default" r:id="rId21"/>
          <w:pgSz w:w="11910" w:h="16840"/>
          <w:pgMar w:top="1440" w:right="1440" w:bottom="1440" w:left="1440" w:header="0" w:footer="639" w:gutter="0"/>
          <w:cols w:space="720"/>
          <w:docGrid w:linePitch="299"/>
        </w:sectPr>
      </w:pPr>
      <w:r w:rsidRPr="007E5379">
        <w:t xml:space="preserve">enHealth, via the AHPPC, will report against the actions in the National Strategy to Ministers responsible for radiation protection across the Commonwealth, </w:t>
      </w:r>
      <w:proofErr w:type="gramStart"/>
      <w:r w:rsidRPr="007E5379">
        <w:t>states</w:t>
      </w:r>
      <w:proofErr w:type="gramEnd"/>
      <w:r w:rsidRPr="007E5379">
        <w:t xml:space="preserve"> and territories.</w:t>
      </w:r>
    </w:p>
    <w:p w14:paraId="3EFA2EB7" w14:textId="77777777" w:rsidR="00886398" w:rsidRPr="00AC57C8" w:rsidRDefault="00414E31" w:rsidP="00AC57C8">
      <w:r w:rsidRPr="00AC57C8">
        <w:rPr>
          <w:noProof/>
        </w:rPr>
        <w:lastRenderedPageBreak/>
        <w:drawing>
          <wp:anchor distT="0" distB="0" distL="0" distR="0" simplePos="0" relativeHeight="15740416" behindDoc="0" locked="0" layoutInCell="1" allowOverlap="1" wp14:anchorId="3EFA2EEA" wp14:editId="736D0813">
            <wp:simplePos x="0" y="0"/>
            <wp:positionH relativeFrom="page">
              <wp:posOffset>126</wp:posOffset>
            </wp:positionH>
            <wp:positionV relativeFrom="page">
              <wp:posOffset>0</wp:posOffset>
            </wp:positionV>
            <wp:extent cx="7559865" cy="10692003"/>
            <wp:effectExtent l="0" t="0" r="0" b="0"/>
            <wp:wrapNone/>
            <wp:docPr id="43" name="Image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Image 43">
                      <a:extLst>
                        <a:ext uri="{C183D7F6-B498-43B3-948B-1728B52AA6E4}">
                          <adec:decorative xmlns:adec="http://schemas.microsoft.com/office/drawing/2017/decorative" val="1"/>
                        </a:ext>
                      </a:extLst>
                    </pic:cNvPr>
                    <pic:cNvPicPr/>
                  </pic:nvPicPr>
                  <pic:blipFill>
                    <a:blip r:embed="rId22" cstate="print"/>
                    <a:stretch>
                      <a:fillRect/>
                    </a:stretch>
                  </pic:blipFill>
                  <pic:spPr>
                    <a:xfrm>
                      <a:off x="0" y="0"/>
                      <a:ext cx="7559865" cy="10692003"/>
                    </a:xfrm>
                    <a:prstGeom prst="rect">
                      <a:avLst/>
                    </a:prstGeom>
                  </pic:spPr>
                </pic:pic>
              </a:graphicData>
            </a:graphic>
          </wp:anchor>
        </w:drawing>
      </w:r>
    </w:p>
    <w:sectPr w:rsidR="00886398" w:rsidRPr="00AC57C8">
      <w:footerReference w:type="default" r:id="rId23"/>
      <w:pgSz w:w="11910" w:h="16840"/>
      <w:pgMar w:top="1920" w:right="0" w:bottom="280" w:left="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D42F9E" w14:textId="77777777" w:rsidR="00F5417B" w:rsidRDefault="00F5417B">
      <w:r>
        <w:separator/>
      </w:r>
    </w:p>
  </w:endnote>
  <w:endnote w:type="continuationSeparator" w:id="0">
    <w:p w14:paraId="13EF2001" w14:textId="77777777" w:rsidR="00F5417B" w:rsidRDefault="00F541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Helvetica Neue">
    <w:altName w:val="Sylfaen"/>
    <w:charset w:val="00"/>
    <w:family w:val="auto"/>
    <w:pitch w:val="variable"/>
    <w:sig w:usb0="E50002FF" w:usb1="500079DB" w:usb2="00000010" w:usb3="00000000" w:csb0="00000001"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HelveticaNeueLTStd-Lt">
    <w:altName w:val="Arial"/>
    <w:panose1 w:val="00000000000000000000"/>
    <w:charset w:val="00"/>
    <w:family w:val="swiss"/>
    <w:notTrueType/>
    <w:pitch w:val="variable"/>
    <w:sig w:usb0="800000AF" w:usb1="4000204A" w:usb2="00000000" w:usb3="00000000" w:csb0="00000001" w:csb1="00000000"/>
  </w:font>
  <w:font w:name="HelveticaNeueLT Std">
    <w:altName w:val="Arial"/>
    <w:panose1 w:val="00000000000000000000"/>
    <w:charset w:val="00"/>
    <w:family w:val="swiss"/>
    <w:notTrueType/>
    <w:pitch w:val="variable"/>
    <w:sig w:usb0="800000AF" w:usb1="4000204A" w:usb2="00000000" w:usb3="00000000" w:csb0="00000001" w:csb1="00000000"/>
  </w:font>
  <w:font w:name="HelveticaNeueLTStd-Roman">
    <w:altName w:val="Arial"/>
    <w:panose1 w:val="00000000000000000000"/>
    <w:charset w:val="00"/>
    <w:family w:val="swiss"/>
    <w:notTrueType/>
    <w:pitch w:val="variable"/>
    <w:sig w:usb0="800000AF" w:usb1="4000204A" w:usb2="00000000" w:usb3="00000000" w:csb0="00000001" w:csb1="00000000"/>
  </w:font>
  <w:font w:name="Arial Bold">
    <w:panose1 w:val="020B0704020202020204"/>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HelveticaNeueLTStd-Th">
    <w:altName w:val="Arial"/>
    <w:panose1 w:val="00000000000000000000"/>
    <w:charset w:val="00"/>
    <w:family w:val="swiss"/>
    <w:notTrueType/>
    <w:pitch w:val="variable"/>
    <w:sig w:usb0="800000AF" w:usb1="4000204A"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92E7E3" w14:textId="5ADB04A1" w:rsidR="007C7719" w:rsidRPr="007C7719" w:rsidRDefault="007C7719" w:rsidP="007C7719">
    <w:r w:rsidRPr="007C7719">
      <w:t>National Strategy for Radiation Safety | 2024–26</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FA2EF0" w14:textId="16AB734B" w:rsidR="00886398" w:rsidRDefault="007C7719" w:rsidP="003E20B7">
    <w:pPr>
      <w:rPr>
        <w:sz w:val="20"/>
      </w:rPr>
    </w:pPr>
    <w:r w:rsidRPr="007C7719">
      <w:rPr>
        <w:sz w:val="20"/>
      </w:rPr>
      <w:t>National Strategy for Radiation Safety | 2024–26</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FA2EF2" w14:textId="1B685D38" w:rsidR="00886398" w:rsidRPr="007C7719" w:rsidRDefault="007C7719" w:rsidP="007C7719">
    <w:pPr>
      <w:rPr>
        <w:sz w:val="20"/>
      </w:rPr>
    </w:pPr>
    <w:r w:rsidRPr="007C7719">
      <w:rPr>
        <w:sz w:val="20"/>
      </w:rPr>
      <w:t>National Strategy for Radiation Safety | 2024–26</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FA2EF3" w14:textId="2AB1EC7A" w:rsidR="00886398" w:rsidRDefault="007C7719" w:rsidP="007E5379">
    <w:pPr>
      <w:rPr>
        <w:sz w:val="20"/>
      </w:rPr>
    </w:pPr>
    <w:r w:rsidRPr="007C7719">
      <w:rPr>
        <w:sz w:val="20"/>
      </w:rPr>
      <w:t>National Strategy for Radiation Safety | 2024–26</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FA2EF4" w14:textId="4EF45BD8" w:rsidR="00886398" w:rsidRDefault="007C7719" w:rsidP="007E5379">
    <w:pPr>
      <w:rPr>
        <w:sz w:val="20"/>
      </w:rPr>
    </w:pPr>
    <w:r w:rsidRPr="007C7719">
      <w:rPr>
        <w:sz w:val="20"/>
      </w:rPr>
      <w:t>National Strategy for Radiation Safety | 2024–26</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FA2EF5" w14:textId="77777777" w:rsidR="00886398" w:rsidRDefault="00886398">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DC3354" w14:textId="77777777" w:rsidR="00F5417B" w:rsidRDefault="00F5417B">
      <w:r>
        <w:separator/>
      </w:r>
    </w:p>
  </w:footnote>
  <w:footnote w:type="continuationSeparator" w:id="0">
    <w:p w14:paraId="664169B9" w14:textId="77777777" w:rsidR="00F5417B" w:rsidRDefault="00F5417B">
      <w:r>
        <w:continuationSeparator/>
      </w:r>
    </w:p>
  </w:footnote>
  <w:footnote w:id="1">
    <w:p w14:paraId="2584F030" w14:textId="07A5A5C5" w:rsidR="00AC57C8" w:rsidRPr="00AC57C8" w:rsidRDefault="00AC57C8">
      <w:pPr>
        <w:pStyle w:val="FootnoteText"/>
        <w:rPr>
          <w:lang w:val="en-AU"/>
        </w:rPr>
      </w:pPr>
      <w:r>
        <w:rPr>
          <w:rStyle w:val="FootnoteReference"/>
        </w:rPr>
        <w:footnoteRef/>
      </w:r>
      <w:r>
        <w:t xml:space="preserve"> </w:t>
      </w:r>
      <w:r w:rsidRPr="00AC57C8">
        <w:t xml:space="preserve">A radiation control officer from each state and territory is a member of the Radiation Health Committee. The Radiation Health Committee advises the ARPANSA CEO and the Radiation Health &amp; Safety Advisory Council on matters relating to radiation protection, including formulating draft national policies, </w:t>
      </w:r>
      <w:proofErr w:type="gramStart"/>
      <w:r w:rsidRPr="00AC57C8">
        <w:t>codes</w:t>
      </w:r>
      <w:proofErr w:type="gramEnd"/>
      <w:r w:rsidRPr="00AC57C8">
        <w:t xml:space="preserve"> and standards for consideration by the Commonwealth, states and territories.</w:t>
      </w:r>
    </w:p>
  </w:footnote>
  <w:footnote w:id="2">
    <w:p w14:paraId="735E0831" w14:textId="5B34715B" w:rsidR="00AC57C8" w:rsidRPr="00AC57C8" w:rsidRDefault="00AC57C8">
      <w:pPr>
        <w:pStyle w:val="FootnoteText"/>
        <w:rPr>
          <w:lang w:val="en-AU"/>
        </w:rPr>
      </w:pPr>
      <w:r>
        <w:rPr>
          <w:rStyle w:val="FootnoteReference"/>
        </w:rPr>
        <w:footnoteRef/>
      </w:r>
      <w:r>
        <w:t xml:space="preserve"> </w:t>
      </w:r>
      <w:r w:rsidRPr="00AC57C8">
        <w:t>Radiation Protection Series | ARPANSA</w:t>
      </w:r>
    </w:p>
  </w:footnote>
  <w:footnote w:id="3">
    <w:p w14:paraId="02EA4A43" w14:textId="4365C768" w:rsidR="00AC57C8" w:rsidRPr="00AC57C8" w:rsidRDefault="00AC57C8">
      <w:pPr>
        <w:pStyle w:val="FootnoteText"/>
        <w:rPr>
          <w:lang w:val="en-AU"/>
        </w:rPr>
      </w:pPr>
      <w:r>
        <w:rPr>
          <w:rStyle w:val="FootnoteReference"/>
        </w:rPr>
        <w:footnoteRef/>
      </w:r>
      <w:r>
        <w:t xml:space="preserve"> </w:t>
      </w:r>
      <w:r w:rsidRPr="00AC57C8">
        <w:t>National Directory for Radiation Protection (arpansa.gov.au)</w:t>
      </w:r>
    </w:p>
  </w:footnote>
  <w:footnote w:id="4">
    <w:p w14:paraId="78EE837B" w14:textId="1245AA2C" w:rsidR="00AC57C8" w:rsidRPr="00AC57C8" w:rsidRDefault="00AC57C8">
      <w:pPr>
        <w:pStyle w:val="FootnoteText"/>
        <w:rPr>
          <w:lang w:val="en-AU"/>
        </w:rPr>
      </w:pPr>
      <w:r>
        <w:rPr>
          <w:rStyle w:val="FootnoteReference"/>
        </w:rPr>
        <w:footnoteRef/>
      </w:r>
      <w:r>
        <w:t xml:space="preserve"> </w:t>
      </w:r>
      <w:r w:rsidRPr="00AC57C8">
        <w:t>Integrated Regulatory Review Service | ARPANSA</w:t>
      </w:r>
    </w:p>
  </w:footnote>
  <w:footnote w:id="5">
    <w:p w14:paraId="75322C5B" w14:textId="2F39BAE5" w:rsidR="00CC475A" w:rsidRPr="00CC475A" w:rsidRDefault="00CC475A">
      <w:pPr>
        <w:pStyle w:val="FootnoteText"/>
        <w:rPr>
          <w:lang w:val="en-AU"/>
        </w:rPr>
      </w:pPr>
      <w:r>
        <w:rPr>
          <w:rStyle w:val="FootnoteReference"/>
        </w:rPr>
        <w:footnoteRef/>
      </w:r>
      <w:r>
        <w:t xml:space="preserve"> </w:t>
      </w:r>
      <w:r w:rsidRPr="00CC475A">
        <w:t>Adapted from the International Atomic Energy Agency’s General Safety Requirements Part 1 (Rev 1)</w:t>
      </w:r>
    </w:p>
  </w:footnote>
  <w:footnote w:id="6">
    <w:p w14:paraId="4B4469D1" w14:textId="7A55F04D" w:rsidR="00CC475A" w:rsidRPr="00CC475A" w:rsidRDefault="00CC475A">
      <w:pPr>
        <w:pStyle w:val="FootnoteText"/>
        <w:rPr>
          <w:lang w:val="en-AU"/>
        </w:rPr>
      </w:pPr>
      <w:r>
        <w:rPr>
          <w:rStyle w:val="FootnoteReference"/>
        </w:rPr>
        <w:footnoteRef/>
      </w:r>
      <w:r>
        <w:t xml:space="preserve"> </w:t>
      </w:r>
      <w:r w:rsidRPr="00CC475A">
        <w:t>For more information, refer to the International Atomic Energy Agency’s Fundamental Safety Principles Safety Fundamentals No. SF-1</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B292F93E"/>
    <w:lvl w:ilvl="0">
      <w:start w:val="1"/>
      <w:numFmt w:val="decimalZero"/>
      <w:pStyle w:val="ListNumber2"/>
      <w:lvlText w:val="%1"/>
      <w:lvlJc w:val="left"/>
      <w:pPr>
        <w:ind w:left="644" w:hanging="360"/>
      </w:pPr>
      <w:rPr>
        <w:rFonts w:ascii="Arial" w:eastAsia="Helvetica Neue" w:hAnsi="Arial" w:cs="Arial" w:hint="default"/>
        <w:b/>
        <w:bCs/>
        <w:i w:val="0"/>
        <w:iCs w:val="0"/>
        <w:color w:val="0871B9"/>
        <w:spacing w:val="-3"/>
        <w:w w:val="100"/>
        <w:sz w:val="24"/>
        <w:szCs w:val="24"/>
        <w:lang w:val="en-US" w:eastAsia="en-US" w:bidi="ar-SA"/>
      </w:rPr>
    </w:lvl>
  </w:abstractNum>
  <w:abstractNum w:abstractNumId="1" w15:restartNumberingAfterBreak="0">
    <w:nsid w:val="FFFFFF88"/>
    <w:multiLevelType w:val="singleLevel"/>
    <w:tmpl w:val="821AA234"/>
    <w:lvl w:ilvl="0">
      <w:start w:val="1"/>
      <w:numFmt w:val="decimal"/>
      <w:pStyle w:val="ListNumber"/>
      <w:lvlText w:val="%1."/>
      <w:lvlJc w:val="left"/>
      <w:pPr>
        <w:tabs>
          <w:tab w:val="num" w:pos="360"/>
        </w:tabs>
        <w:ind w:left="360" w:hanging="360"/>
      </w:pPr>
    </w:lvl>
  </w:abstractNum>
  <w:abstractNum w:abstractNumId="2" w15:restartNumberingAfterBreak="0">
    <w:nsid w:val="FFFFFF89"/>
    <w:multiLevelType w:val="singleLevel"/>
    <w:tmpl w:val="0A2A2E3E"/>
    <w:lvl w:ilvl="0">
      <w:start w:val="1"/>
      <w:numFmt w:val="bullet"/>
      <w:pStyle w:val="ListBullet"/>
      <w:lvlText w:val=""/>
      <w:lvlJc w:val="left"/>
      <w:pPr>
        <w:tabs>
          <w:tab w:val="num" w:pos="360"/>
        </w:tabs>
        <w:ind w:left="360" w:hanging="360"/>
      </w:pPr>
      <w:rPr>
        <w:rFonts w:ascii="Symbol" w:hAnsi="Symbol" w:hint="default"/>
      </w:rPr>
    </w:lvl>
  </w:abstractNum>
  <w:abstractNum w:abstractNumId="3" w15:restartNumberingAfterBreak="0">
    <w:nsid w:val="0D6B04D0"/>
    <w:multiLevelType w:val="hybridMultilevel"/>
    <w:tmpl w:val="E988AB58"/>
    <w:lvl w:ilvl="0" w:tplc="4652464E">
      <w:start w:val="1"/>
      <w:numFmt w:val="decimal"/>
      <w:lvlText w:val="%1"/>
      <w:lvlJc w:val="left"/>
      <w:pPr>
        <w:ind w:left="1417" w:hanging="284"/>
      </w:pPr>
      <w:rPr>
        <w:rFonts w:ascii="HelveticaNeueLTStd-Lt" w:eastAsia="HelveticaNeueLTStd-Lt" w:hAnsi="HelveticaNeueLTStd-Lt" w:cs="HelveticaNeueLTStd-Lt" w:hint="default"/>
        <w:b w:val="0"/>
        <w:bCs w:val="0"/>
        <w:i w:val="0"/>
        <w:iCs w:val="0"/>
        <w:spacing w:val="0"/>
        <w:w w:val="100"/>
        <w:sz w:val="18"/>
        <w:szCs w:val="18"/>
        <w:lang w:val="en-US" w:eastAsia="en-US" w:bidi="ar-SA"/>
      </w:rPr>
    </w:lvl>
    <w:lvl w:ilvl="1" w:tplc="CA0490C6">
      <w:start w:val="1"/>
      <w:numFmt w:val="decimalZero"/>
      <w:lvlText w:val="%2"/>
      <w:lvlJc w:val="left"/>
      <w:pPr>
        <w:ind w:left="1853" w:hanging="437"/>
      </w:pPr>
      <w:rPr>
        <w:rFonts w:ascii="Arial" w:eastAsia="HelveticaNeueLT Std" w:hAnsi="Arial" w:cs="Arial" w:hint="default"/>
        <w:b/>
        <w:bCs/>
        <w:i w:val="0"/>
        <w:iCs w:val="0"/>
        <w:color w:val="0871B9"/>
        <w:spacing w:val="0"/>
        <w:w w:val="100"/>
        <w:sz w:val="24"/>
        <w:szCs w:val="24"/>
        <w:lang w:val="en-US" w:eastAsia="en-US" w:bidi="ar-SA"/>
      </w:rPr>
    </w:lvl>
    <w:lvl w:ilvl="2" w:tplc="FB5EDFE0">
      <w:numFmt w:val="bullet"/>
      <w:lvlText w:val="•"/>
      <w:lvlJc w:val="left"/>
      <w:pPr>
        <w:ind w:left="2976" w:hanging="437"/>
      </w:pPr>
      <w:rPr>
        <w:rFonts w:hint="default"/>
        <w:lang w:val="en-US" w:eastAsia="en-US" w:bidi="ar-SA"/>
      </w:rPr>
    </w:lvl>
    <w:lvl w:ilvl="3" w:tplc="4BB23F6C">
      <w:numFmt w:val="bullet"/>
      <w:lvlText w:val="•"/>
      <w:lvlJc w:val="left"/>
      <w:pPr>
        <w:ind w:left="4092" w:hanging="437"/>
      </w:pPr>
      <w:rPr>
        <w:rFonts w:hint="default"/>
        <w:lang w:val="en-US" w:eastAsia="en-US" w:bidi="ar-SA"/>
      </w:rPr>
    </w:lvl>
    <w:lvl w:ilvl="4" w:tplc="93C6BEFC">
      <w:numFmt w:val="bullet"/>
      <w:lvlText w:val="•"/>
      <w:lvlJc w:val="left"/>
      <w:pPr>
        <w:ind w:left="5208" w:hanging="437"/>
      </w:pPr>
      <w:rPr>
        <w:rFonts w:hint="default"/>
        <w:lang w:val="en-US" w:eastAsia="en-US" w:bidi="ar-SA"/>
      </w:rPr>
    </w:lvl>
    <w:lvl w:ilvl="5" w:tplc="42AC0BE6">
      <w:numFmt w:val="bullet"/>
      <w:lvlText w:val="•"/>
      <w:lvlJc w:val="left"/>
      <w:pPr>
        <w:ind w:left="6324" w:hanging="437"/>
      </w:pPr>
      <w:rPr>
        <w:rFonts w:hint="default"/>
        <w:lang w:val="en-US" w:eastAsia="en-US" w:bidi="ar-SA"/>
      </w:rPr>
    </w:lvl>
    <w:lvl w:ilvl="6" w:tplc="E1F02F42">
      <w:numFmt w:val="bullet"/>
      <w:lvlText w:val="•"/>
      <w:lvlJc w:val="left"/>
      <w:pPr>
        <w:ind w:left="7440" w:hanging="437"/>
      </w:pPr>
      <w:rPr>
        <w:rFonts w:hint="default"/>
        <w:lang w:val="en-US" w:eastAsia="en-US" w:bidi="ar-SA"/>
      </w:rPr>
    </w:lvl>
    <w:lvl w:ilvl="7" w:tplc="4BA2E924">
      <w:numFmt w:val="bullet"/>
      <w:lvlText w:val="•"/>
      <w:lvlJc w:val="left"/>
      <w:pPr>
        <w:ind w:left="8557" w:hanging="437"/>
      </w:pPr>
      <w:rPr>
        <w:rFonts w:hint="default"/>
        <w:lang w:val="en-US" w:eastAsia="en-US" w:bidi="ar-SA"/>
      </w:rPr>
    </w:lvl>
    <w:lvl w:ilvl="8" w:tplc="B19C1F8E">
      <w:numFmt w:val="bullet"/>
      <w:lvlText w:val="•"/>
      <w:lvlJc w:val="left"/>
      <w:pPr>
        <w:ind w:left="9673" w:hanging="437"/>
      </w:pPr>
      <w:rPr>
        <w:rFonts w:hint="default"/>
        <w:lang w:val="en-US" w:eastAsia="en-US" w:bidi="ar-SA"/>
      </w:rPr>
    </w:lvl>
  </w:abstractNum>
  <w:abstractNum w:abstractNumId="4" w15:restartNumberingAfterBreak="0">
    <w:nsid w:val="1EC05CC4"/>
    <w:multiLevelType w:val="hybridMultilevel"/>
    <w:tmpl w:val="102EFB04"/>
    <w:lvl w:ilvl="0" w:tplc="70AA9FA6">
      <w:start w:val="1"/>
      <w:numFmt w:val="decimalZero"/>
      <w:lvlText w:val="%1"/>
      <w:lvlJc w:val="left"/>
      <w:pPr>
        <w:ind w:left="1749" w:hanging="331"/>
      </w:pPr>
      <w:rPr>
        <w:rFonts w:ascii="Arial" w:eastAsia="Helvetica Neue" w:hAnsi="Arial" w:cs="Arial" w:hint="default"/>
        <w:b/>
        <w:bCs/>
        <w:i w:val="0"/>
        <w:iCs w:val="0"/>
        <w:color w:val="0871B9"/>
        <w:spacing w:val="-3"/>
        <w:w w:val="100"/>
        <w:sz w:val="24"/>
        <w:szCs w:val="24"/>
        <w:lang w:val="en-US" w:eastAsia="en-US" w:bidi="ar-SA"/>
      </w:rPr>
    </w:lvl>
    <w:lvl w:ilvl="1" w:tplc="BB4E1700">
      <w:numFmt w:val="bullet"/>
      <w:lvlText w:val="•"/>
      <w:lvlJc w:val="left"/>
      <w:pPr>
        <w:ind w:left="2079" w:hanging="331"/>
      </w:pPr>
      <w:rPr>
        <w:rFonts w:hint="default"/>
        <w:lang w:val="en-US" w:eastAsia="en-US" w:bidi="ar-SA"/>
      </w:rPr>
    </w:lvl>
    <w:lvl w:ilvl="2" w:tplc="C2105F76">
      <w:numFmt w:val="bullet"/>
      <w:lvlText w:val="•"/>
      <w:lvlJc w:val="left"/>
      <w:pPr>
        <w:ind w:left="3124" w:hanging="331"/>
      </w:pPr>
      <w:rPr>
        <w:rFonts w:hint="default"/>
        <w:lang w:val="en-US" w:eastAsia="en-US" w:bidi="ar-SA"/>
      </w:rPr>
    </w:lvl>
    <w:lvl w:ilvl="3" w:tplc="A3162D2A">
      <w:numFmt w:val="bullet"/>
      <w:lvlText w:val="•"/>
      <w:lvlJc w:val="left"/>
      <w:pPr>
        <w:ind w:left="4168" w:hanging="331"/>
      </w:pPr>
      <w:rPr>
        <w:rFonts w:hint="default"/>
        <w:lang w:val="en-US" w:eastAsia="en-US" w:bidi="ar-SA"/>
      </w:rPr>
    </w:lvl>
    <w:lvl w:ilvl="4" w:tplc="15722002">
      <w:numFmt w:val="bullet"/>
      <w:lvlText w:val="•"/>
      <w:lvlJc w:val="left"/>
      <w:pPr>
        <w:ind w:left="5213" w:hanging="331"/>
      </w:pPr>
      <w:rPr>
        <w:rFonts w:hint="default"/>
        <w:lang w:val="en-US" w:eastAsia="en-US" w:bidi="ar-SA"/>
      </w:rPr>
    </w:lvl>
    <w:lvl w:ilvl="5" w:tplc="661841AA">
      <w:numFmt w:val="bullet"/>
      <w:lvlText w:val="•"/>
      <w:lvlJc w:val="left"/>
      <w:pPr>
        <w:ind w:left="6257" w:hanging="331"/>
      </w:pPr>
      <w:rPr>
        <w:rFonts w:hint="default"/>
        <w:lang w:val="en-US" w:eastAsia="en-US" w:bidi="ar-SA"/>
      </w:rPr>
    </w:lvl>
    <w:lvl w:ilvl="6" w:tplc="6B84188E">
      <w:numFmt w:val="bullet"/>
      <w:lvlText w:val="•"/>
      <w:lvlJc w:val="left"/>
      <w:pPr>
        <w:ind w:left="7302" w:hanging="331"/>
      </w:pPr>
      <w:rPr>
        <w:rFonts w:hint="default"/>
        <w:lang w:val="en-US" w:eastAsia="en-US" w:bidi="ar-SA"/>
      </w:rPr>
    </w:lvl>
    <w:lvl w:ilvl="7" w:tplc="8996D8F2">
      <w:numFmt w:val="bullet"/>
      <w:lvlText w:val="•"/>
      <w:lvlJc w:val="left"/>
      <w:pPr>
        <w:ind w:left="8346" w:hanging="331"/>
      </w:pPr>
      <w:rPr>
        <w:rFonts w:hint="default"/>
        <w:lang w:val="en-US" w:eastAsia="en-US" w:bidi="ar-SA"/>
      </w:rPr>
    </w:lvl>
    <w:lvl w:ilvl="8" w:tplc="54EAEA38">
      <w:numFmt w:val="bullet"/>
      <w:lvlText w:val="•"/>
      <w:lvlJc w:val="left"/>
      <w:pPr>
        <w:ind w:left="9391" w:hanging="331"/>
      </w:pPr>
      <w:rPr>
        <w:rFonts w:hint="default"/>
        <w:lang w:val="en-US" w:eastAsia="en-US" w:bidi="ar-SA"/>
      </w:rPr>
    </w:lvl>
  </w:abstractNum>
  <w:abstractNum w:abstractNumId="5" w15:restartNumberingAfterBreak="0">
    <w:nsid w:val="37B54771"/>
    <w:multiLevelType w:val="hybridMultilevel"/>
    <w:tmpl w:val="0C626AC6"/>
    <w:lvl w:ilvl="0" w:tplc="9C16A492">
      <w:numFmt w:val="bullet"/>
      <w:lvlText w:val="•"/>
      <w:lvlJc w:val="left"/>
      <w:pPr>
        <w:ind w:left="1587" w:hanging="171"/>
      </w:pPr>
      <w:rPr>
        <w:rFonts w:ascii="HelveticaNeueLTStd-Roman" w:eastAsia="HelveticaNeueLTStd-Roman" w:hAnsi="HelveticaNeueLTStd-Roman" w:cs="HelveticaNeueLTStd-Roman" w:hint="default"/>
        <w:b w:val="0"/>
        <w:bCs w:val="0"/>
        <w:i w:val="0"/>
        <w:iCs w:val="0"/>
        <w:spacing w:val="0"/>
        <w:w w:val="100"/>
        <w:sz w:val="24"/>
        <w:szCs w:val="24"/>
        <w:lang w:val="en-US" w:eastAsia="en-US" w:bidi="ar-SA"/>
      </w:rPr>
    </w:lvl>
    <w:lvl w:ilvl="1" w:tplc="0F5A3080">
      <w:numFmt w:val="bullet"/>
      <w:lvlText w:val="•"/>
      <w:lvlJc w:val="left"/>
      <w:pPr>
        <w:ind w:left="2612" w:hanging="171"/>
      </w:pPr>
      <w:rPr>
        <w:rFonts w:hint="default"/>
        <w:lang w:val="en-US" w:eastAsia="en-US" w:bidi="ar-SA"/>
      </w:rPr>
    </w:lvl>
    <w:lvl w:ilvl="2" w:tplc="2D380712">
      <w:numFmt w:val="bullet"/>
      <w:lvlText w:val="•"/>
      <w:lvlJc w:val="left"/>
      <w:pPr>
        <w:ind w:left="3645" w:hanging="171"/>
      </w:pPr>
      <w:rPr>
        <w:rFonts w:hint="default"/>
        <w:lang w:val="en-US" w:eastAsia="en-US" w:bidi="ar-SA"/>
      </w:rPr>
    </w:lvl>
    <w:lvl w:ilvl="3" w:tplc="79E49126">
      <w:numFmt w:val="bullet"/>
      <w:lvlText w:val="•"/>
      <w:lvlJc w:val="left"/>
      <w:pPr>
        <w:ind w:left="4677" w:hanging="171"/>
      </w:pPr>
      <w:rPr>
        <w:rFonts w:hint="default"/>
        <w:lang w:val="en-US" w:eastAsia="en-US" w:bidi="ar-SA"/>
      </w:rPr>
    </w:lvl>
    <w:lvl w:ilvl="4" w:tplc="EA02F086">
      <w:numFmt w:val="bullet"/>
      <w:lvlText w:val="•"/>
      <w:lvlJc w:val="left"/>
      <w:pPr>
        <w:ind w:left="5710" w:hanging="171"/>
      </w:pPr>
      <w:rPr>
        <w:rFonts w:hint="default"/>
        <w:lang w:val="en-US" w:eastAsia="en-US" w:bidi="ar-SA"/>
      </w:rPr>
    </w:lvl>
    <w:lvl w:ilvl="5" w:tplc="DE5E4112">
      <w:numFmt w:val="bullet"/>
      <w:lvlText w:val="•"/>
      <w:lvlJc w:val="left"/>
      <w:pPr>
        <w:ind w:left="6742" w:hanging="171"/>
      </w:pPr>
      <w:rPr>
        <w:rFonts w:hint="default"/>
        <w:lang w:val="en-US" w:eastAsia="en-US" w:bidi="ar-SA"/>
      </w:rPr>
    </w:lvl>
    <w:lvl w:ilvl="6" w:tplc="B1F48A9C">
      <w:numFmt w:val="bullet"/>
      <w:lvlText w:val="•"/>
      <w:lvlJc w:val="left"/>
      <w:pPr>
        <w:ind w:left="7775" w:hanging="171"/>
      </w:pPr>
      <w:rPr>
        <w:rFonts w:hint="default"/>
        <w:lang w:val="en-US" w:eastAsia="en-US" w:bidi="ar-SA"/>
      </w:rPr>
    </w:lvl>
    <w:lvl w:ilvl="7" w:tplc="0CA8D89A">
      <w:numFmt w:val="bullet"/>
      <w:lvlText w:val="•"/>
      <w:lvlJc w:val="left"/>
      <w:pPr>
        <w:ind w:left="8807" w:hanging="171"/>
      </w:pPr>
      <w:rPr>
        <w:rFonts w:hint="default"/>
        <w:lang w:val="en-US" w:eastAsia="en-US" w:bidi="ar-SA"/>
      </w:rPr>
    </w:lvl>
    <w:lvl w:ilvl="8" w:tplc="4A74D458">
      <w:numFmt w:val="bullet"/>
      <w:lvlText w:val="•"/>
      <w:lvlJc w:val="left"/>
      <w:pPr>
        <w:ind w:left="9840" w:hanging="171"/>
      </w:pPr>
      <w:rPr>
        <w:rFonts w:hint="default"/>
        <w:lang w:val="en-US" w:eastAsia="en-US" w:bidi="ar-SA"/>
      </w:rPr>
    </w:lvl>
  </w:abstractNum>
  <w:abstractNum w:abstractNumId="6" w15:restartNumberingAfterBreak="0">
    <w:nsid w:val="4AD81045"/>
    <w:multiLevelType w:val="hybridMultilevel"/>
    <w:tmpl w:val="9C74B722"/>
    <w:lvl w:ilvl="0" w:tplc="4AB68904">
      <w:start w:val="1"/>
      <w:numFmt w:val="decimalZero"/>
      <w:pStyle w:val="Heading2numbered"/>
      <w:lvlText w:val="%1"/>
      <w:lvlJc w:val="left"/>
      <w:pPr>
        <w:ind w:left="360" w:hanging="360"/>
      </w:pPr>
      <w:rPr>
        <w:rFonts w:ascii="Arial Bold" w:hAnsi="Arial Bold" w:cs="Arial" w:hint="default"/>
        <w:b/>
        <w:bCs/>
        <w:i w:val="0"/>
        <w:iCs w:val="0"/>
        <w:color w:val="0871B9"/>
        <w:spacing w:val="-3"/>
        <w:w w:val="100"/>
        <w:sz w:val="24"/>
        <w:szCs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898975615">
    <w:abstractNumId w:val="4"/>
  </w:num>
  <w:num w:numId="2" w16cid:durableId="2019229937">
    <w:abstractNumId w:val="5"/>
  </w:num>
  <w:num w:numId="3" w16cid:durableId="50272276">
    <w:abstractNumId w:val="3"/>
  </w:num>
  <w:num w:numId="4" w16cid:durableId="80488343">
    <w:abstractNumId w:val="2"/>
  </w:num>
  <w:num w:numId="5" w16cid:durableId="714308284">
    <w:abstractNumId w:val="1"/>
  </w:num>
  <w:num w:numId="6" w16cid:durableId="1619944191">
    <w:abstractNumId w:val="0"/>
  </w:num>
  <w:num w:numId="7" w16cid:durableId="164904470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6398"/>
    <w:rsid w:val="000935BA"/>
    <w:rsid w:val="000C73C0"/>
    <w:rsid w:val="00101E6D"/>
    <w:rsid w:val="00144D62"/>
    <w:rsid w:val="003A1C6F"/>
    <w:rsid w:val="003B73B4"/>
    <w:rsid w:val="003E20B7"/>
    <w:rsid w:val="0041441D"/>
    <w:rsid w:val="00414E31"/>
    <w:rsid w:val="004304DD"/>
    <w:rsid w:val="004B49DB"/>
    <w:rsid w:val="005A5CBD"/>
    <w:rsid w:val="007C7719"/>
    <w:rsid w:val="007E5379"/>
    <w:rsid w:val="00870B11"/>
    <w:rsid w:val="00886398"/>
    <w:rsid w:val="008C6C12"/>
    <w:rsid w:val="00974BED"/>
    <w:rsid w:val="009A63F6"/>
    <w:rsid w:val="00A51EDB"/>
    <w:rsid w:val="00A97D36"/>
    <w:rsid w:val="00AC57C8"/>
    <w:rsid w:val="00AE13A9"/>
    <w:rsid w:val="00B36CF7"/>
    <w:rsid w:val="00B91913"/>
    <w:rsid w:val="00BC3A3A"/>
    <w:rsid w:val="00CC475A"/>
    <w:rsid w:val="00D3250F"/>
    <w:rsid w:val="00D90BAB"/>
    <w:rsid w:val="00DD453D"/>
    <w:rsid w:val="00E3383B"/>
    <w:rsid w:val="00F5417B"/>
    <w:rsid w:val="00FD6918"/>
    <w:rsid w:val="00FE2F0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FA2DEC"/>
  <w15:docId w15:val="{3B16C8FC-0D2F-FC42-98DA-86FD6036CB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C57C8"/>
    <w:pPr>
      <w:spacing w:before="120" w:after="120"/>
    </w:pPr>
    <w:rPr>
      <w:rFonts w:ascii="Arial" w:eastAsia="HelveticaNeueLTStd-Roman" w:hAnsi="Arial" w:cs="HelveticaNeueLTStd-Roman"/>
    </w:rPr>
  </w:style>
  <w:style w:type="paragraph" w:styleId="Heading1">
    <w:name w:val="heading 1"/>
    <w:basedOn w:val="Normal"/>
    <w:uiPriority w:val="9"/>
    <w:qFormat/>
    <w:rsid w:val="00AC57C8"/>
    <w:pPr>
      <w:outlineLvl w:val="0"/>
    </w:pPr>
    <w:rPr>
      <w:rFonts w:eastAsia="HelveticaNeueLT Std" w:cs="HelveticaNeueLT Std"/>
      <w:b/>
      <w:bCs/>
      <w:sz w:val="80"/>
      <w:szCs w:val="80"/>
    </w:rPr>
  </w:style>
  <w:style w:type="paragraph" w:styleId="Heading2">
    <w:name w:val="heading 2"/>
    <w:basedOn w:val="Normal"/>
    <w:link w:val="Heading2Char"/>
    <w:uiPriority w:val="9"/>
    <w:unhideWhenUsed/>
    <w:qFormat/>
    <w:rsid w:val="00D3250F"/>
    <w:pPr>
      <w:outlineLvl w:val="1"/>
    </w:pPr>
    <w:rPr>
      <w:rFonts w:eastAsia="HelveticaNeueLT Std" w:cs="HelveticaNeueLT Std"/>
      <w:b/>
      <w:bCs/>
      <w:color w:val="4F81BD" w:themeColor="accent1"/>
      <w:sz w:val="28"/>
      <w:szCs w:val="38"/>
    </w:rPr>
  </w:style>
  <w:style w:type="paragraph" w:styleId="Heading3">
    <w:name w:val="heading 3"/>
    <w:basedOn w:val="Normal"/>
    <w:uiPriority w:val="9"/>
    <w:unhideWhenUsed/>
    <w:qFormat/>
    <w:rsid w:val="004304DD"/>
    <w:pPr>
      <w:spacing w:before="333"/>
      <w:ind w:left="1134" w:right="1247"/>
      <w:outlineLvl w:val="2"/>
    </w:pPr>
    <w:rPr>
      <w:rFonts w:eastAsia="HelveticaNeueLTStd-Th" w:cs="HelveticaNeueLTStd-Th"/>
      <w:sz w:val="36"/>
      <w:szCs w:val="36"/>
    </w:rPr>
  </w:style>
  <w:style w:type="paragraph" w:styleId="Heading4">
    <w:name w:val="heading 4"/>
    <w:basedOn w:val="Normal"/>
    <w:uiPriority w:val="9"/>
    <w:unhideWhenUsed/>
    <w:qFormat/>
    <w:rsid w:val="004304DD"/>
    <w:pPr>
      <w:ind w:left="1133"/>
      <w:outlineLvl w:val="3"/>
    </w:pPr>
    <w:rPr>
      <w:rFonts w:eastAsia="HelveticaNeueLT Std" w:cs="HelveticaNeueLT Std"/>
      <w:b/>
      <w:bCs/>
      <w:sz w:val="24"/>
      <w:szCs w:val="24"/>
    </w:rPr>
  </w:style>
  <w:style w:type="paragraph" w:styleId="Heading5">
    <w:name w:val="heading 5"/>
    <w:basedOn w:val="Normal"/>
    <w:next w:val="Normal"/>
    <w:link w:val="Heading5Char"/>
    <w:uiPriority w:val="9"/>
    <w:semiHidden/>
    <w:unhideWhenUsed/>
    <w:qFormat/>
    <w:rsid w:val="004304DD"/>
    <w:pPr>
      <w:keepNext/>
      <w:keepLines/>
      <w:spacing w:before="40"/>
      <w:outlineLvl w:val="4"/>
    </w:pPr>
    <w:rPr>
      <w:rFonts w:eastAsiaTheme="majorEastAsia"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rsid w:val="00E3383B"/>
    <w:pPr>
      <w:spacing w:before="107"/>
    </w:pPr>
    <w:rPr>
      <w:sz w:val="24"/>
      <w:szCs w:val="32"/>
    </w:rPr>
  </w:style>
  <w:style w:type="paragraph" w:styleId="TOC2">
    <w:name w:val="toc 2"/>
    <w:basedOn w:val="TOC1"/>
    <w:uiPriority w:val="39"/>
    <w:qFormat/>
    <w:rsid w:val="00E3383B"/>
    <w:pPr>
      <w:spacing w:before="120"/>
      <w:ind w:left="284"/>
    </w:pPr>
  </w:style>
  <w:style w:type="paragraph" w:styleId="BodyText">
    <w:name w:val="Body Text"/>
    <w:basedOn w:val="Normal"/>
    <w:uiPriority w:val="1"/>
    <w:qFormat/>
    <w:rsid w:val="00B91913"/>
    <w:rPr>
      <w:sz w:val="24"/>
      <w:szCs w:val="24"/>
    </w:rPr>
  </w:style>
  <w:style w:type="paragraph" w:styleId="ListParagraph">
    <w:name w:val="List Paragraph"/>
    <w:basedOn w:val="Normal"/>
    <w:uiPriority w:val="1"/>
    <w:qFormat/>
    <w:pPr>
      <w:spacing w:before="86"/>
      <w:ind w:left="1853" w:hanging="436"/>
    </w:pPr>
    <w:rPr>
      <w:rFonts w:ascii="HelveticaNeueLTStd-Roman" w:hAnsi="HelveticaNeueLTStd-Roman"/>
    </w:rPr>
  </w:style>
  <w:style w:type="paragraph" w:customStyle="1" w:styleId="TableParagraph">
    <w:name w:val="Table Paragraph"/>
    <w:basedOn w:val="Normal"/>
    <w:uiPriority w:val="1"/>
    <w:qFormat/>
    <w:rsid w:val="004304DD"/>
    <w:pPr>
      <w:ind w:left="113"/>
    </w:pPr>
  </w:style>
  <w:style w:type="paragraph" w:styleId="Header">
    <w:name w:val="header"/>
    <w:basedOn w:val="Normal"/>
    <w:link w:val="HeaderChar"/>
    <w:uiPriority w:val="99"/>
    <w:unhideWhenUsed/>
    <w:rsid w:val="00AC57C8"/>
    <w:pPr>
      <w:tabs>
        <w:tab w:val="center" w:pos="4513"/>
        <w:tab w:val="right" w:pos="9026"/>
      </w:tabs>
    </w:pPr>
  </w:style>
  <w:style w:type="character" w:customStyle="1" w:styleId="HeaderChar">
    <w:name w:val="Header Char"/>
    <w:basedOn w:val="DefaultParagraphFont"/>
    <w:link w:val="Header"/>
    <w:uiPriority w:val="99"/>
    <w:rsid w:val="00AC57C8"/>
    <w:rPr>
      <w:rFonts w:ascii="Arial" w:eastAsia="HelveticaNeueLTStd-Roman" w:hAnsi="Arial" w:cs="HelveticaNeueLTStd-Roman"/>
    </w:rPr>
  </w:style>
  <w:style w:type="paragraph" w:styleId="Footer">
    <w:name w:val="footer"/>
    <w:basedOn w:val="Normal"/>
    <w:link w:val="FooterChar"/>
    <w:uiPriority w:val="99"/>
    <w:unhideWhenUsed/>
    <w:rsid w:val="004304DD"/>
    <w:pPr>
      <w:tabs>
        <w:tab w:val="center" w:pos="4513"/>
        <w:tab w:val="right" w:pos="9026"/>
      </w:tabs>
    </w:pPr>
  </w:style>
  <w:style w:type="character" w:customStyle="1" w:styleId="FooterChar">
    <w:name w:val="Footer Char"/>
    <w:basedOn w:val="DefaultParagraphFont"/>
    <w:link w:val="Footer"/>
    <w:uiPriority w:val="99"/>
    <w:rsid w:val="004304DD"/>
    <w:rPr>
      <w:rFonts w:ascii="Arial" w:eastAsia="HelveticaNeueLTStd-Roman" w:hAnsi="Arial" w:cs="HelveticaNeueLTStd-Roman"/>
    </w:rPr>
  </w:style>
  <w:style w:type="character" w:customStyle="1" w:styleId="Heading5Char">
    <w:name w:val="Heading 5 Char"/>
    <w:basedOn w:val="DefaultParagraphFont"/>
    <w:link w:val="Heading5"/>
    <w:uiPriority w:val="9"/>
    <w:semiHidden/>
    <w:rsid w:val="004304DD"/>
    <w:rPr>
      <w:rFonts w:ascii="Arial" w:eastAsiaTheme="majorEastAsia" w:hAnsi="Arial" w:cstheme="majorBidi"/>
      <w:color w:val="365F91" w:themeColor="accent1" w:themeShade="BF"/>
    </w:rPr>
  </w:style>
  <w:style w:type="paragraph" w:styleId="Title">
    <w:name w:val="Title"/>
    <w:basedOn w:val="Heading1"/>
    <w:next w:val="Normal"/>
    <w:link w:val="TitleChar"/>
    <w:uiPriority w:val="10"/>
    <w:qFormat/>
    <w:rsid w:val="00B91913"/>
    <w:pPr>
      <w:outlineLvl w:val="9"/>
    </w:pPr>
  </w:style>
  <w:style w:type="character" w:customStyle="1" w:styleId="TitleChar">
    <w:name w:val="Title Char"/>
    <w:basedOn w:val="DefaultParagraphFont"/>
    <w:link w:val="Title"/>
    <w:uiPriority w:val="10"/>
    <w:rsid w:val="00B91913"/>
    <w:rPr>
      <w:rFonts w:ascii="Arial" w:eastAsia="HelveticaNeueLT Std" w:hAnsi="Arial" w:cs="HelveticaNeueLT Std"/>
      <w:b/>
      <w:bCs/>
      <w:sz w:val="80"/>
      <w:szCs w:val="80"/>
    </w:rPr>
  </w:style>
  <w:style w:type="paragraph" w:styleId="Subtitle">
    <w:name w:val="Subtitle"/>
    <w:basedOn w:val="Normal"/>
    <w:next w:val="Normal"/>
    <w:link w:val="SubtitleChar"/>
    <w:uiPriority w:val="11"/>
    <w:qFormat/>
    <w:rsid w:val="004304DD"/>
    <w:pPr>
      <w:numPr>
        <w:ilvl w:val="1"/>
      </w:numPr>
      <w:spacing w:after="160"/>
    </w:pPr>
    <w:rPr>
      <w:rFonts w:eastAsiaTheme="minorEastAsia" w:cstheme="minorBidi"/>
      <w:color w:val="5A5A5A" w:themeColor="text1" w:themeTint="A5"/>
      <w:spacing w:val="15"/>
    </w:rPr>
  </w:style>
  <w:style w:type="character" w:customStyle="1" w:styleId="SubtitleChar">
    <w:name w:val="Subtitle Char"/>
    <w:basedOn w:val="DefaultParagraphFont"/>
    <w:link w:val="Subtitle"/>
    <w:uiPriority w:val="11"/>
    <w:rsid w:val="004304DD"/>
    <w:rPr>
      <w:rFonts w:ascii="Arial" w:eastAsiaTheme="minorEastAsia" w:hAnsi="Arial"/>
      <w:color w:val="5A5A5A" w:themeColor="text1" w:themeTint="A5"/>
      <w:spacing w:val="15"/>
    </w:rPr>
  </w:style>
  <w:style w:type="character" w:styleId="Emphasis">
    <w:name w:val="Emphasis"/>
    <w:basedOn w:val="DefaultParagraphFont"/>
    <w:uiPriority w:val="20"/>
    <w:qFormat/>
    <w:rsid w:val="004304DD"/>
    <w:rPr>
      <w:i/>
      <w:iCs/>
    </w:rPr>
  </w:style>
  <w:style w:type="paragraph" w:styleId="IntenseQuote">
    <w:name w:val="Intense Quote"/>
    <w:basedOn w:val="Normal"/>
    <w:next w:val="Normal"/>
    <w:link w:val="IntenseQuoteChar"/>
    <w:uiPriority w:val="30"/>
    <w:qFormat/>
    <w:rsid w:val="004304DD"/>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4304DD"/>
    <w:rPr>
      <w:rFonts w:ascii="Arial" w:eastAsia="HelveticaNeueLTStd-Roman" w:hAnsi="Arial" w:cs="HelveticaNeueLTStd-Roman"/>
      <w:i/>
      <w:iCs/>
      <w:color w:val="4F81BD" w:themeColor="accent1"/>
    </w:rPr>
  </w:style>
  <w:style w:type="paragraph" w:styleId="Date">
    <w:name w:val="Date"/>
    <w:next w:val="Normal"/>
    <w:link w:val="DateChar"/>
    <w:uiPriority w:val="99"/>
    <w:unhideWhenUsed/>
    <w:rsid w:val="00D3250F"/>
    <w:pPr>
      <w:spacing w:before="120" w:after="120"/>
    </w:pPr>
    <w:rPr>
      <w:rFonts w:ascii="Arial" w:eastAsia="HelveticaNeueLT Std" w:hAnsi="Arial" w:cs="HelveticaNeueLT Std"/>
      <w:b/>
      <w:bCs/>
      <w:spacing w:val="-4"/>
      <w:sz w:val="28"/>
      <w:szCs w:val="38"/>
    </w:rPr>
  </w:style>
  <w:style w:type="character" w:customStyle="1" w:styleId="DateChar">
    <w:name w:val="Date Char"/>
    <w:basedOn w:val="DefaultParagraphFont"/>
    <w:link w:val="Date"/>
    <w:uiPriority w:val="99"/>
    <w:rsid w:val="00D3250F"/>
    <w:rPr>
      <w:rFonts w:ascii="Arial" w:eastAsia="HelveticaNeueLT Std" w:hAnsi="Arial" w:cs="HelveticaNeueLT Std"/>
      <w:b/>
      <w:bCs/>
      <w:spacing w:val="-4"/>
      <w:sz w:val="28"/>
      <w:szCs w:val="38"/>
    </w:rPr>
  </w:style>
  <w:style w:type="paragraph" w:styleId="NoSpacing">
    <w:name w:val="No Spacing"/>
    <w:uiPriority w:val="1"/>
    <w:qFormat/>
    <w:rsid w:val="00B91913"/>
    <w:rPr>
      <w:rFonts w:ascii="Arial" w:eastAsia="HelveticaNeueLTStd-Roman" w:hAnsi="Arial" w:cs="HelveticaNeueLTStd-Roman"/>
    </w:rPr>
  </w:style>
  <w:style w:type="paragraph" w:styleId="NormalWeb">
    <w:name w:val="Normal (Web)"/>
    <w:basedOn w:val="Normal"/>
    <w:uiPriority w:val="99"/>
    <w:unhideWhenUsed/>
    <w:rsid w:val="00B91913"/>
    <w:rPr>
      <w:rFonts w:cs="Times New Roman"/>
      <w:sz w:val="24"/>
      <w:szCs w:val="24"/>
    </w:rPr>
  </w:style>
  <w:style w:type="paragraph" w:customStyle="1" w:styleId="Introtext">
    <w:name w:val="Intro text"/>
    <w:basedOn w:val="Normal"/>
    <w:link w:val="IntrotextChar"/>
    <w:qFormat/>
    <w:rsid w:val="00E3383B"/>
    <w:pPr>
      <w:spacing w:before="240" w:after="240" w:line="276" w:lineRule="auto"/>
    </w:pPr>
    <w:rPr>
      <w:bCs/>
      <w:sz w:val="36"/>
      <w:szCs w:val="36"/>
    </w:rPr>
  </w:style>
  <w:style w:type="character" w:customStyle="1" w:styleId="IntrotextChar">
    <w:name w:val="Intro text Char"/>
    <w:basedOn w:val="DefaultParagraphFont"/>
    <w:link w:val="Introtext"/>
    <w:rsid w:val="00E3383B"/>
    <w:rPr>
      <w:rFonts w:ascii="Arial" w:eastAsia="HelveticaNeueLTStd-Roman" w:hAnsi="Arial" w:cs="HelveticaNeueLTStd-Roman"/>
      <w:bCs/>
      <w:sz w:val="36"/>
      <w:szCs w:val="36"/>
    </w:rPr>
  </w:style>
  <w:style w:type="paragraph" w:styleId="FootnoteText">
    <w:name w:val="footnote text"/>
    <w:basedOn w:val="Normal"/>
    <w:link w:val="FootnoteTextChar"/>
    <w:uiPriority w:val="99"/>
    <w:unhideWhenUsed/>
    <w:rsid w:val="00AC57C8"/>
    <w:pPr>
      <w:spacing w:before="0" w:after="0"/>
    </w:pPr>
    <w:rPr>
      <w:sz w:val="20"/>
      <w:szCs w:val="20"/>
    </w:rPr>
  </w:style>
  <w:style w:type="character" w:customStyle="1" w:styleId="FootnoteTextChar">
    <w:name w:val="Footnote Text Char"/>
    <w:basedOn w:val="DefaultParagraphFont"/>
    <w:link w:val="FootnoteText"/>
    <w:uiPriority w:val="99"/>
    <w:rsid w:val="00AC57C8"/>
    <w:rPr>
      <w:rFonts w:ascii="Arial" w:eastAsia="HelveticaNeueLTStd-Roman" w:hAnsi="Arial" w:cs="HelveticaNeueLTStd-Roman"/>
      <w:sz w:val="20"/>
      <w:szCs w:val="20"/>
    </w:rPr>
  </w:style>
  <w:style w:type="character" w:styleId="FootnoteReference">
    <w:name w:val="footnote reference"/>
    <w:basedOn w:val="DefaultParagraphFont"/>
    <w:uiPriority w:val="99"/>
    <w:semiHidden/>
    <w:unhideWhenUsed/>
    <w:rsid w:val="00AC57C8"/>
    <w:rPr>
      <w:vertAlign w:val="superscript"/>
    </w:rPr>
  </w:style>
  <w:style w:type="paragraph" w:styleId="ListBullet">
    <w:name w:val="List Bullet"/>
    <w:basedOn w:val="Normal"/>
    <w:uiPriority w:val="99"/>
    <w:unhideWhenUsed/>
    <w:rsid w:val="00AC57C8"/>
    <w:pPr>
      <w:numPr>
        <w:numId w:val="4"/>
      </w:numPr>
      <w:contextualSpacing/>
    </w:pPr>
  </w:style>
  <w:style w:type="character" w:styleId="Strong">
    <w:name w:val="Strong"/>
    <w:basedOn w:val="DefaultParagraphFont"/>
    <w:uiPriority w:val="22"/>
    <w:qFormat/>
    <w:rsid w:val="00CC475A"/>
    <w:rPr>
      <w:b/>
      <w:bCs/>
    </w:rPr>
  </w:style>
  <w:style w:type="paragraph" w:styleId="ListNumber">
    <w:name w:val="List Number"/>
    <w:basedOn w:val="Normal"/>
    <w:uiPriority w:val="99"/>
    <w:unhideWhenUsed/>
    <w:rsid w:val="00CC475A"/>
    <w:pPr>
      <w:numPr>
        <w:numId w:val="5"/>
      </w:numPr>
      <w:contextualSpacing/>
    </w:pPr>
  </w:style>
  <w:style w:type="paragraph" w:styleId="ListNumber2">
    <w:name w:val="List Number 2"/>
    <w:basedOn w:val="Normal"/>
    <w:uiPriority w:val="99"/>
    <w:unhideWhenUsed/>
    <w:rsid w:val="00CC475A"/>
    <w:pPr>
      <w:numPr>
        <w:numId w:val="6"/>
      </w:numPr>
    </w:pPr>
  </w:style>
  <w:style w:type="table" w:styleId="TableGrid">
    <w:name w:val="Table Grid"/>
    <w:basedOn w:val="TableNormal"/>
    <w:uiPriority w:val="39"/>
    <w:rsid w:val="00CC475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3-Accent1">
    <w:name w:val="List Table 3 Accent 1"/>
    <w:basedOn w:val="TableNormal"/>
    <w:uiPriority w:val="48"/>
    <w:rsid w:val="00CC475A"/>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paragraph" w:styleId="TOCHeading">
    <w:name w:val="TOC Heading"/>
    <w:next w:val="Normal"/>
    <w:uiPriority w:val="39"/>
    <w:unhideWhenUsed/>
    <w:qFormat/>
    <w:rsid w:val="00E3383B"/>
    <w:pPr>
      <w:keepNext/>
      <w:keepLines/>
      <w:widowControl/>
      <w:autoSpaceDE/>
      <w:autoSpaceDN/>
      <w:spacing w:before="240" w:line="259" w:lineRule="auto"/>
    </w:pPr>
    <w:rPr>
      <w:rFonts w:ascii="Arial" w:eastAsiaTheme="majorEastAsia" w:hAnsi="Arial" w:cstheme="majorBidi"/>
      <w:b/>
      <w:sz w:val="44"/>
      <w:szCs w:val="32"/>
    </w:rPr>
  </w:style>
  <w:style w:type="character" w:styleId="Hyperlink">
    <w:name w:val="Hyperlink"/>
    <w:basedOn w:val="DefaultParagraphFont"/>
    <w:uiPriority w:val="99"/>
    <w:unhideWhenUsed/>
    <w:rsid w:val="00E3383B"/>
    <w:rPr>
      <w:color w:val="0000FF" w:themeColor="hyperlink"/>
      <w:u w:val="single"/>
    </w:rPr>
  </w:style>
  <w:style w:type="paragraph" w:customStyle="1" w:styleId="Heading2numbered">
    <w:name w:val="Heading 2 (numbered)"/>
    <w:basedOn w:val="Heading2"/>
    <w:link w:val="Heading2numberedChar"/>
    <w:qFormat/>
    <w:rsid w:val="003A1C6F"/>
    <w:pPr>
      <w:numPr>
        <w:numId w:val="7"/>
      </w:numPr>
    </w:pPr>
    <w:rPr>
      <w:sz w:val="24"/>
    </w:rPr>
  </w:style>
  <w:style w:type="character" w:customStyle="1" w:styleId="Heading2Char">
    <w:name w:val="Heading 2 Char"/>
    <w:basedOn w:val="DefaultParagraphFont"/>
    <w:link w:val="Heading2"/>
    <w:uiPriority w:val="9"/>
    <w:rsid w:val="00D3250F"/>
    <w:rPr>
      <w:rFonts w:ascii="Arial" w:eastAsia="HelveticaNeueLT Std" w:hAnsi="Arial" w:cs="HelveticaNeueLT Std"/>
      <w:b/>
      <w:bCs/>
      <w:color w:val="4F81BD" w:themeColor="accent1"/>
      <w:sz w:val="28"/>
      <w:szCs w:val="38"/>
    </w:rPr>
  </w:style>
  <w:style w:type="character" w:customStyle="1" w:styleId="Heading2numberedChar">
    <w:name w:val="Heading 2 (numbered) Char"/>
    <w:basedOn w:val="Heading2Char"/>
    <w:link w:val="Heading2numbered"/>
    <w:rsid w:val="003A1C6F"/>
    <w:rPr>
      <w:rFonts w:ascii="Arial" w:eastAsia="HelveticaNeueLT Std" w:hAnsi="Arial" w:cs="HelveticaNeueLT Std"/>
      <w:b/>
      <w:bCs/>
      <w:color w:val="4F81BD" w:themeColor="accent1"/>
      <w:sz w:val="24"/>
      <w:szCs w:val="3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footer" Target="footer5.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oter" Target="footer2.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footer" Target="footer6.xml"/><Relationship Id="rId10" Type="http://schemas.openxmlformats.org/officeDocument/2006/relationships/endnotes" Target="endnote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g"/><Relationship Id="rId22"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rello xmlns="3e9090f6-0245-48e3-bd19-46cc0b4d31f0">
      <Url xsi:nil="true"/>
      <Description xsi:nil="true"/>
    </Trello>
    <lcf76f155ced4ddcb4097134ff3c332f xmlns="3e9090f6-0245-48e3-bd19-46cc0b4d31f0">
      <Terms xmlns="http://schemas.microsoft.com/office/infopath/2007/PartnerControls"/>
    </lcf76f155ced4ddcb4097134ff3c332f>
    <Category xmlns="3e9090f6-0245-48e3-bd19-46cc0b4d31f0" xsi:nil="true"/>
    <TaxCatchAll xmlns="15225296-5bc7-404a-82af-55dc9cd4c2a2"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A3B0B12D2F0A044930B7F0ED9CD8462" ma:contentTypeVersion="22" ma:contentTypeDescription="Create a new document." ma:contentTypeScope="" ma:versionID="1819fe98a0b08af335fb593b1122a4ea">
  <xsd:schema xmlns:xsd="http://www.w3.org/2001/XMLSchema" xmlns:xs="http://www.w3.org/2001/XMLSchema" xmlns:p="http://schemas.microsoft.com/office/2006/metadata/properties" xmlns:ns2="66b98d56-25b7-479b-bf58-c8a0702ccf2c" xmlns:ns3="3e9090f6-0245-48e3-bd19-46cc0b4d31f0" xmlns:ns4="15225296-5bc7-404a-82af-55dc9cd4c2a2" targetNamespace="http://schemas.microsoft.com/office/2006/metadata/properties" ma:root="true" ma:fieldsID="168e55e5cbbd0a88883d414fe5bbd17a" ns2:_="" ns3:_="" ns4:_="">
    <xsd:import namespace="66b98d56-25b7-479b-bf58-c8a0702ccf2c"/>
    <xsd:import namespace="3e9090f6-0245-48e3-bd19-46cc0b4d31f0"/>
    <xsd:import namespace="15225296-5bc7-404a-82af-55dc9cd4c2a2"/>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AutoKeyPoints" minOccurs="0"/>
                <xsd:element ref="ns3:MediaServiceKeyPoints" minOccurs="0"/>
                <xsd:element ref="ns3:MediaLengthInSeconds" minOccurs="0"/>
                <xsd:element ref="ns3:Trello" minOccurs="0"/>
                <xsd:element ref="ns3:MediaServiceLocation" minOccurs="0"/>
                <xsd:element ref="ns3:Category" minOccurs="0"/>
                <xsd:element ref="ns4:TaxCatchAll" minOccurs="0"/>
                <xsd:element ref="ns3:lcf76f155ced4ddcb4097134ff3c332f"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b98d56-25b7-479b-bf58-c8a0702ccf2c"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e9090f6-0245-48e3-bd19-46cc0b4d31f0"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Trello" ma:index="20" nillable="true" ma:displayName="Trello" ma:description="Link to Trello ticket" ma:format="Hyperlink" ma:internalName="Trello">
      <xsd:complexType>
        <xsd:complexContent>
          <xsd:extension base="dms:URL">
            <xsd:sequence>
              <xsd:element name="Url" type="dms:ValidUrl" minOccurs="0" nillable="true"/>
              <xsd:element name="Description" type="xsd:string" nillable="true"/>
            </xsd:sequence>
          </xsd:extension>
        </xsd:complexContent>
      </xsd:complexType>
    </xsd:element>
    <xsd:element name="MediaServiceLocation" ma:index="21" nillable="true" ma:displayName="Location" ma:internalName="MediaServiceLocation" ma:readOnly="true">
      <xsd:simpleType>
        <xsd:restriction base="dms:Text"/>
      </xsd:simpleType>
    </xsd:element>
    <xsd:element name="Category" ma:index="22" nillable="true" ma:displayName="Category" ma:format="Dropdown" ma:internalName="Category">
      <xsd:simpleType>
        <xsd:restriction base="dms:Choice">
          <xsd:enumeration value="Design Files"/>
          <xsd:enumeration value="Image Libraries"/>
          <xsd:enumeration value="Video Team"/>
          <xsd:enumeration value="Design Files - Corporate Comms Wallboards"/>
        </xsd:restrictio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5225296-5bc7-404a-82af-55dc9cd4c2a2"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2453538d-d5ab-4153-beec-42a8f73a9330}" ma:internalName="TaxCatchAll" ma:showField="CatchAllData" ma:web="66b98d56-25b7-479b-bf58-c8a0702ccf2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309176-9B08-42D1-947B-81B7ECFDF6C0}">
  <ds:schemaRefs>
    <ds:schemaRef ds:uri="http://schemas.microsoft.com/sharepoint/v3/contenttype/forms"/>
  </ds:schemaRefs>
</ds:datastoreItem>
</file>

<file path=customXml/itemProps2.xml><?xml version="1.0" encoding="utf-8"?>
<ds:datastoreItem xmlns:ds="http://schemas.openxmlformats.org/officeDocument/2006/customXml" ds:itemID="{A893C18C-E976-41CA-827B-45BF00607000}">
  <ds:schemaRefs>
    <ds:schemaRef ds:uri="http://schemas.microsoft.com/office/2006/metadata/properties"/>
    <ds:schemaRef ds:uri="http://schemas.microsoft.com/office/infopath/2007/PartnerControls"/>
    <ds:schemaRef ds:uri="3e9090f6-0245-48e3-bd19-46cc0b4d31f0"/>
    <ds:schemaRef ds:uri="15225296-5bc7-404a-82af-55dc9cd4c2a2"/>
  </ds:schemaRefs>
</ds:datastoreItem>
</file>

<file path=customXml/itemProps3.xml><?xml version="1.0" encoding="utf-8"?>
<ds:datastoreItem xmlns:ds="http://schemas.openxmlformats.org/officeDocument/2006/customXml" ds:itemID="{EE24548F-03B1-43C1-9B23-BB8062247EA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b98d56-25b7-479b-bf58-c8a0702ccf2c"/>
    <ds:schemaRef ds:uri="3e9090f6-0245-48e3-bd19-46cc0b4d31f0"/>
    <ds:schemaRef ds:uri="15225296-5bc7-404a-82af-55dc9cd4c2a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4E06786-334D-4C23-83B7-603FDE426E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159</TotalTime>
  <Pages>1</Pages>
  <Words>1936</Words>
  <Characters>11036</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National Strategy for Radiation Safety</vt:lpstr>
    </vt:vector>
  </TitlesOfParts>
  <Company/>
  <LinksUpToDate>false</LinksUpToDate>
  <CharactersWithSpaces>12947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National Strategy for Radiation Safety</dc:title>
  <dc:subject>Health technologies and digital health</dc:subject>
  <dc:creator>Australian Government Department of Health and Aged Care</dc:creator>
  <cp:keywords>Environmental health; Diagnostic imaging</cp:keywords>
  <cp:lastModifiedBy>Australian Government Department of Health and Aged </cp:lastModifiedBy>
  <cp:revision>10</cp:revision>
  <dcterms:created xsi:type="dcterms:W3CDTF">2024-08-06T02:10:00Z</dcterms:created>
  <dcterms:modified xsi:type="dcterms:W3CDTF">2024-08-06T04:55:00Z</dcterms:modified>
</cp:coreProperties>
</file>