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1A48" w14:textId="123FF2F8" w:rsidR="00D13531" w:rsidRPr="001A6DDD" w:rsidRDefault="00D13531" w:rsidP="001A6DDD">
      <w:bookmarkStart w:id="0" w:name="_Toc166069784"/>
      <w:r w:rsidRPr="001A6DDD">
        <w:drawing>
          <wp:anchor distT="0" distB="0" distL="114300" distR="114300" simplePos="0" relativeHeight="251669504" behindDoc="1" locked="0" layoutInCell="1" allowOverlap="1" wp14:anchorId="237F6988" wp14:editId="7852C12C">
            <wp:simplePos x="0" y="0"/>
            <wp:positionH relativeFrom="page">
              <wp:align>right</wp:align>
            </wp:positionH>
            <wp:positionV relativeFrom="page">
              <wp:posOffset>9525</wp:posOffset>
            </wp:positionV>
            <wp:extent cx="7562215" cy="10724515"/>
            <wp:effectExtent l="0" t="0" r="635" b="635"/>
            <wp:wrapTight wrapText="bothSides">
              <wp:wrapPolygon edited="0">
                <wp:start x="0" y="0"/>
                <wp:lineTo x="0" y="21563"/>
                <wp:lineTo x="21547" y="21563"/>
                <wp:lineTo x="21547"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A49E0" w14:textId="77777777" w:rsidR="00655A42" w:rsidRPr="00CB6EA8" w:rsidRDefault="00655A42" w:rsidP="00CB6EA8">
      <w:pPr>
        <w:pStyle w:val="Heading1"/>
      </w:pPr>
      <w:bookmarkStart w:id="1" w:name="_Toc175846460"/>
      <w:r w:rsidRPr="00CB6EA8">
        <w:lastRenderedPageBreak/>
        <w:t>Acknowledgement of Country</w:t>
      </w:r>
      <w:bookmarkEnd w:id="1"/>
    </w:p>
    <w:p w14:paraId="4DC0FDA0" w14:textId="69CB8919" w:rsidR="00655A42" w:rsidRPr="00A8549A" w:rsidRDefault="00655A42" w:rsidP="00655A42">
      <w:pPr>
        <w:rPr>
          <w:rFonts w:cs="Arial"/>
          <w:szCs w:val="20"/>
        </w:rPr>
      </w:pPr>
      <w:r w:rsidRPr="00A8549A">
        <w:rPr>
          <w:rFonts w:cs="Arial"/>
          <w:szCs w:val="20"/>
        </w:rPr>
        <w:t xml:space="preserve">We, the Department of </w:t>
      </w:r>
      <w:proofErr w:type="gramStart"/>
      <w:r w:rsidRPr="00A8549A">
        <w:rPr>
          <w:rFonts w:cs="Arial"/>
          <w:szCs w:val="20"/>
        </w:rPr>
        <w:t>Health</w:t>
      </w:r>
      <w:proofErr w:type="gramEnd"/>
      <w:r w:rsidRPr="00A8549A">
        <w:rPr>
          <w:rFonts w:cs="Arial"/>
          <w:szCs w:val="20"/>
        </w:rPr>
        <w:t xml:space="preserve"> and Aged Care, proudly acknowledge the Traditional Owners and Custodians of Country throughout </w:t>
      </w:r>
      <w:r w:rsidR="00CB6EA8" w:rsidRPr="00A8549A">
        <w:rPr>
          <w:rFonts w:cs="Arial"/>
          <w:szCs w:val="20"/>
        </w:rPr>
        <w:t>Australia and</w:t>
      </w:r>
      <w:r w:rsidRPr="00A8549A">
        <w:rPr>
          <w:rFonts w:cs="Arial"/>
          <w:szCs w:val="20"/>
        </w:rPr>
        <w:t xml:space="preserve"> pay respect to those who have preserved and continue to care for the lands and waters on which we live and, work, and from which we benefit each day. We recognise the strengths and knowledge Aboriginal and Torres Strait Islander peoples provide to the health and aged care system and thank them for their ongoing contributions to those systems and the wider community. We extend this gratitude to all health and aged care workers who contribute to improving health and wellbeing outcomes with, and for, First Nations peoples and communities.</w:t>
      </w:r>
    </w:p>
    <w:p w14:paraId="38421CE4" w14:textId="77777777" w:rsidR="00CB6EA8" w:rsidRPr="004B5C7C" w:rsidRDefault="004D7B74" w:rsidP="00CB6EA8">
      <w:r w:rsidRPr="00D86D77">
        <w:rPr>
          <w:rFonts w:eastAsia="Arial"/>
          <w:lang w:val="en-US"/>
        </w:rPr>
        <w:br w:type="column"/>
      </w:r>
    </w:p>
    <w:sdt>
      <w:sdtPr>
        <w:id w:val="1510330343"/>
        <w:docPartObj>
          <w:docPartGallery w:val="Table of Contents"/>
          <w:docPartUnique/>
        </w:docPartObj>
      </w:sdtPr>
      <w:sdtEndPr>
        <w:rPr>
          <w:rFonts w:eastAsiaTheme="minorHAnsi" w:cstheme="minorBidi"/>
          <w:b/>
          <w:bCs/>
          <w:noProof/>
          <w:color w:val="auto"/>
          <w:sz w:val="20"/>
          <w:szCs w:val="22"/>
          <w:lang w:val="en-AU"/>
        </w:rPr>
      </w:sdtEndPr>
      <w:sdtContent>
        <w:p w14:paraId="5B5B31CA" w14:textId="7892A64E" w:rsidR="00CB6EA8" w:rsidRDefault="00CB6EA8">
          <w:pPr>
            <w:pStyle w:val="TOCHeading"/>
          </w:pPr>
          <w:r>
            <w:t>Contents</w:t>
          </w:r>
        </w:p>
        <w:p w14:paraId="7997793C" w14:textId="4245CD69" w:rsidR="00CB6EA8" w:rsidRDefault="00CB6EA8" w:rsidP="00CB6EA8">
          <w:pPr>
            <w:pStyle w:val="TOC1"/>
            <w:rPr>
              <w:rFonts w:asciiTheme="minorHAnsi" w:hAnsiTheme="minorHAnsi" w:cstheme="minorBidi"/>
              <w:kern w:val="2"/>
              <w:sz w:val="22"/>
              <w:lang w:val="en-AU" w:eastAsia="en-AU"/>
              <w14:ligatures w14:val="standardContextual"/>
            </w:rPr>
          </w:pPr>
          <w:r>
            <w:fldChar w:fldCharType="begin"/>
          </w:r>
          <w:r>
            <w:instrText xml:space="preserve"> TOC \o "1-2" \h \z \u </w:instrText>
          </w:r>
          <w:r>
            <w:fldChar w:fldCharType="separate"/>
          </w:r>
          <w:hyperlink w:anchor="_Toc175846460" w:history="1">
            <w:r w:rsidRPr="00C75839">
              <w:rPr>
                <w:rStyle w:val="Hyperlink"/>
              </w:rPr>
              <w:t>Acknowledgement of Country</w:t>
            </w:r>
            <w:r>
              <w:rPr>
                <w:webHidden/>
              </w:rPr>
              <w:tab/>
            </w:r>
            <w:r>
              <w:rPr>
                <w:webHidden/>
              </w:rPr>
              <w:fldChar w:fldCharType="begin"/>
            </w:r>
            <w:r>
              <w:rPr>
                <w:webHidden/>
              </w:rPr>
              <w:instrText xml:space="preserve"> PAGEREF _Toc175846460 \h </w:instrText>
            </w:r>
            <w:r>
              <w:rPr>
                <w:webHidden/>
              </w:rPr>
            </w:r>
            <w:r>
              <w:rPr>
                <w:webHidden/>
              </w:rPr>
              <w:fldChar w:fldCharType="separate"/>
            </w:r>
            <w:r>
              <w:rPr>
                <w:webHidden/>
              </w:rPr>
              <w:t>2</w:t>
            </w:r>
            <w:r>
              <w:rPr>
                <w:webHidden/>
              </w:rPr>
              <w:fldChar w:fldCharType="end"/>
            </w:r>
          </w:hyperlink>
        </w:p>
        <w:p w14:paraId="4312FA91" w14:textId="7C8715B1" w:rsidR="00CB6EA8" w:rsidRDefault="00CB6EA8" w:rsidP="00CB6EA8">
          <w:pPr>
            <w:pStyle w:val="TOC1"/>
            <w:rPr>
              <w:rFonts w:asciiTheme="minorHAnsi" w:hAnsiTheme="minorHAnsi" w:cstheme="minorBidi"/>
              <w:kern w:val="2"/>
              <w:sz w:val="22"/>
              <w:lang w:val="en-AU" w:eastAsia="en-AU"/>
              <w14:ligatures w14:val="standardContextual"/>
            </w:rPr>
          </w:pPr>
          <w:hyperlink w:anchor="_Toc175846461" w:history="1">
            <w:r w:rsidRPr="00C75839">
              <w:rPr>
                <w:rStyle w:val="Hyperlink"/>
                <w:rFonts w:eastAsia="Arial"/>
              </w:rPr>
              <w:t>Secretary’s Foreword</w:t>
            </w:r>
            <w:r>
              <w:rPr>
                <w:webHidden/>
              </w:rPr>
              <w:tab/>
            </w:r>
            <w:r>
              <w:rPr>
                <w:webHidden/>
              </w:rPr>
              <w:fldChar w:fldCharType="begin"/>
            </w:r>
            <w:r>
              <w:rPr>
                <w:webHidden/>
              </w:rPr>
              <w:instrText xml:space="preserve"> PAGEREF _Toc175846461 \h </w:instrText>
            </w:r>
            <w:r>
              <w:rPr>
                <w:webHidden/>
              </w:rPr>
            </w:r>
            <w:r>
              <w:rPr>
                <w:webHidden/>
              </w:rPr>
              <w:fldChar w:fldCharType="separate"/>
            </w:r>
            <w:r>
              <w:rPr>
                <w:webHidden/>
              </w:rPr>
              <w:t>5</w:t>
            </w:r>
            <w:r>
              <w:rPr>
                <w:webHidden/>
              </w:rPr>
              <w:fldChar w:fldCharType="end"/>
            </w:r>
          </w:hyperlink>
        </w:p>
        <w:p w14:paraId="4A236B9C" w14:textId="561D9DBF" w:rsidR="00CB6EA8" w:rsidRDefault="00CB6EA8" w:rsidP="00CB6EA8">
          <w:pPr>
            <w:pStyle w:val="TOC1"/>
            <w:rPr>
              <w:rFonts w:asciiTheme="minorHAnsi" w:hAnsiTheme="minorHAnsi" w:cstheme="minorBidi"/>
              <w:kern w:val="2"/>
              <w:sz w:val="22"/>
              <w:lang w:val="en-AU" w:eastAsia="en-AU"/>
              <w14:ligatures w14:val="standardContextual"/>
            </w:rPr>
          </w:pPr>
          <w:hyperlink w:anchor="_Toc175846462" w:history="1">
            <w:r w:rsidRPr="00C75839">
              <w:rPr>
                <w:rStyle w:val="Hyperlink"/>
              </w:rPr>
              <w:t>Role of the Corporate Plan</w:t>
            </w:r>
            <w:r>
              <w:rPr>
                <w:webHidden/>
              </w:rPr>
              <w:tab/>
            </w:r>
            <w:r>
              <w:rPr>
                <w:webHidden/>
              </w:rPr>
              <w:fldChar w:fldCharType="begin"/>
            </w:r>
            <w:r>
              <w:rPr>
                <w:webHidden/>
              </w:rPr>
              <w:instrText xml:space="preserve"> PAGEREF _Toc175846462 \h </w:instrText>
            </w:r>
            <w:r>
              <w:rPr>
                <w:webHidden/>
              </w:rPr>
            </w:r>
            <w:r>
              <w:rPr>
                <w:webHidden/>
              </w:rPr>
              <w:fldChar w:fldCharType="separate"/>
            </w:r>
            <w:r>
              <w:rPr>
                <w:webHidden/>
              </w:rPr>
              <w:t>7</w:t>
            </w:r>
            <w:r>
              <w:rPr>
                <w:webHidden/>
              </w:rPr>
              <w:fldChar w:fldCharType="end"/>
            </w:r>
          </w:hyperlink>
        </w:p>
        <w:p w14:paraId="4BE41ED5" w14:textId="726D0431" w:rsidR="00CB6EA8" w:rsidRDefault="00CB6EA8" w:rsidP="00CB6EA8">
          <w:pPr>
            <w:pStyle w:val="TOC1"/>
            <w:rPr>
              <w:rFonts w:asciiTheme="minorHAnsi" w:hAnsiTheme="minorHAnsi" w:cstheme="minorBidi"/>
              <w:kern w:val="2"/>
              <w:sz w:val="22"/>
              <w:lang w:val="en-AU" w:eastAsia="en-AU"/>
              <w14:ligatures w14:val="standardContextual"/>
            </w:rPr>
          </w:pPr>
          <w:hyperlink w:anchor="_Toc175846463" w:history="1">
            <w:r w:rsidRPr="00C75839">
              <w:rPr>
                <w:rStyle w:val="Hyperlink"/>
              </w:rPr>
              <w:t>Our Vision</w:t>
            </w:r>
            <w:r>
              <w:rPr>
                <w:webHidden/>
              </w:rPr>
              <w:tab/>
            </w:r>
            <w:r>
              <w:rPr>
                <w:webHidden/>
              </w:rPr>
              <w:fldChar w:fldCharType="begin"/>
            </w:r>
            <w:r>
              <w:rPr>
                <w:webHidden/>
              </w:rPr>
              <w:instrText xml:space="preserve"> PAGEREF _Toc175846463 \h </w:instrText>
            </w:r>
            <w:r>
              <w:rPr>
                <w:webHidden/>
              </w:rPr>
            </w:r>
            <w:r>
              <w:rPr>
                <w:webHidden/>
              </w:rPr>
              <w:fldChar w:fldCharType="separate"/>
            </w:r>
            <w:r>
              <w:rPr>
                <w:webHidden/>
              </w:rPr>
              <w:t>8</w:t>
            </w:r>
            <w:r>
              <w:rPr>
                <w:webHidden/>
              </w:rPr>
              <w:fldChar w:fldCharType="end"/>
            </w:r>
          </w:hyperlink>
        </w:p>
        <w:p w14:paraId="097F9F15" w14:textId="6B8633AD" w:rsidR="00CB6EA8" w:rsidRDefault="00CB6EA8" w:rsidP="00CB6EA8">
          <w:pPr>
            <w:pStyle w:val="TOC1"/>
            <w:rPr>
              <w:rFonts w:asciiTheme="minorHAnsi" w:hAnsiTheme="minorHAnsi" w:cstheme="minorBidi"/>
              <w:kern w:val="2"/>
              <w:sz w:val="22"/>
              <w:lang w:val="en-AU" w:eastAsia="en-AU"/>
              <w14:ligatures w14:val="standardContextual"/>
            </w:rPr>
          </w:pPr>
          <w:hyperlink w:anchor="_Toc175846464" w:history="1">
            <w:r w:rsidRPr="00C75839">
              <w:rPr>
                <w:rStyle w:val="Hyperlink"/>
              </w:rPr>
              <w:t>Our Purpose and Outcomes</w:t>
            </w:r>
            <w:r>
              <w:rPr>
                <w:webHidden/>
              </w:rPr>
              <w:tab/>
            </w:r>
            <w:r>
              <w:rPr>
                <w:webHidden/>
              </w:rPr>
              <w:fldChar w:fldCharType="begin"/>
            </w:r>
            <w:r>
              <w:rPr>
                <w:webHidden/>
              </w:rPr>
              <w:instrText xml:space="preserve"> PAGEREF _Toc175846464 \h </w:instrText>
            </w:r>
            <w:r>
              <w:rPr>
                <w:webHidden/>
              </w:rPr>
            </w:r>
            <w:r>
              <w:rPr>
                <w:webHidden/>
              </w:rPr>
              <w:fldChar w:fldCharType="separate"/>
            </w:r>
            <w:r>
              <w:rPr>
                <w:webHidden/>
              </w:rPr>
              <w:t>8</w:t>
            </w:r>
            <w:r>
              <w:rPr>
                <w:webHidden/>
              </w:rPr>
              <w:fldChar w:fldCharType="end"/>
            </w:r>
          </w:hyperlink>
        </w:p>
        <w:p w14:paraId="0006A9F8" w14:textId="402928B0" w:rsidR="00CB6EA8" w:rsidRDefault="00CB6EA8" w:rsidP="00CB6EA8">
          <w:pPr>
            <w:pStyle w:val="TOC1"/>
            <w:rPr>
              <w:rFonts w:asciiTheme="minorHAnsi" w:hAnsiTheme="minorHAnsi" w:cstheme="minorBidi"/>
              <w:kern w:val="2"/>
              <w:sz w:val="22"/>
              <w:lang w:val="en-AU" w:eastAsia="en-AU"/>
              <w14:ligatures w14:val="standardContextual"/>
            </w:rPr>
          </w:pPr>
          <w:hyperlink w:anchor="_Toc175846465" w:history="1">
            <w:r w:rsidRPr="00C75839">
              <w:rPr>
                <w:rStyle w:val="Hyperlink"/>
              </w:rPr>
              <w:t>Our Corporate structure</w:t>
            </w:r>
            <w:r>
              <w:rPr>
                <w:webHidden/>
              </w:rPr>
              <w:tab/>
            </w:r>
            <w:r>
              <w:rPr>
                <w:webHidden/>
              </w:rPr>
              <w:fldChar w:fldCharType="begin"/>
            </w:r>
            <w:r>
              <w:rPr>
                <w:webHidden/>
              </w:rPr>
              <w:instrText xml:space="preserve"> PAGEREF _Toc175846465 \h </w:instrText>
            </w:r>
            <w:r>
              <w:rPr>
                <w:webHidden/>
              </w:rPr>
            </w:r>
            <w:r>
              <w:rPr>
                <w:webHidden/>
              </w:rPr>
              <w:fldChar w:fldCharType="separate"/>
            </w:r>
            <w:r>
              <w:rPr>
                <w:webHidden/>
              </w:rPr>
              <w:t>9</w:t>
            </w:r>
            <w:r>
              <w:rPr>
                <w:webHidden/>
              </w:rPr>
              <w:fldChar w:fldCharType="end"/>
            </w:r>
          </w:hyperlink>
        </w:p>
        <w:p w14:paraId="1AB3518F" w14:textId="0B44F7D9" w:rsidR="00CB6EA8" w:rsidRDefault="00CB6EA8" w:rsidP="00CB6EA8">
          <w:pPr>
            <w:pStyle w:val="TOC1"/>
            <w:rPr>
              <w:rFonts w:asciiTheme="minorHAnsi" w:hAnsiTheme="minorHAnsi" w:cstheme="minorBidi"/>
              <w:kern w:val="2"/>
              <w:sz w:val="22"/>
              <w:lang w:val="en-AU" w:eastAsia="en-AU"/>
              <w14:ligatures w14:val="standardContextual"/>
            </w:rPr>
          </w:pPr>
          <w:hyperlink w:anchor="_Toc175846466" w:history="1">
            <w:r w:rsidRPr="00C75839">
              <w:rPr>
                <w:rStyle w:val="Hyperlink"/>
              </w:rPr>
              <w:t>Our Partners</w:t>
            </w:r>
            <w:r>
              <w:rPr>
                <w:webHidden/>
              </w:rPr>
              <w:tab/>
            </w:r>
            <w:r>
              <w:rPr>
                <w:webHidden/>
              </w:rPr>
              <w:fldChar w:fldCharType="begin"/>
            </w:r>
            <w:r>
              <w:rPr>
                <w:webHidden/>
              </w:rPr>
              <w:instrText xml:space="preserve"> PAGEREF _Toc175846466 \h </w:instrText>
            </w:r>
            <w:r>
              <w:rPr>
                <w:webHidden/>
              </w:rPr>
            </w:r>
            <w:r>
              <w:rPr>
                <w:webHidden/>
              </w:rPr>
              <w:fldChar w:fldCharType="separate"/>
            </w:r>
            <w:r>
              <w:rPr>
                <w:webHidden/>
              </w:rPr>
              <w:t>12</w:t>
            </w:r>
            <w:r>
              <w:rPr>
                <w:webHidden/>
              </w:rPr>
              <w:fldChar w:fldCharType="end"/>
            </w:r>
          </w:hyperlink>
        </w:p>
        <w:p w14:paraId="6C4C92D8" w14:textId="46FEC987" w:rsidR="00CB6EA8" w:rsidRDefault="00CB6EA8" w:rsidP="00CB6EA8">
          <w:pPr>
            <w:pStyle w:val="TOC1"/>
            <w:rPr>
              <w:rFonts w:asciiTheme="minorHAnsi" w:hAnsiTheme="minorHAnsi" w:cstheme="minorBidi"/>
              <w:kern w:val="2"/>
              <w:sz w:val="22"/>
              <w:lang w:val="en-AU" w:eastAsia="en-AU"/>
              <w14:ligatures w14:val="standardContextual"/>
            </w:rPr>
          </w:pPr>
          <w:hyperlink w:anchor="_Toc175846467" w:history="1">
            <w:r w:rsidRPr="00C75839">
              <w:rPr>
                <w:rStyle w:val="Hyperlink"/>
              </w:rPr>
              <w:t>Our Operating Context</w:t>
            </w:r>
            <w:r>
              <w:rPr>
                <w:webHidden/>
              </w:rPr>
              <w:tab/>
            </w:r>
            <w:r>
              <w:rPr>
                <w:webHidden/>
              </w:rPr>
              <w:fldChar w:fldCharType="begin"/>
            </w:r>
            <w:r>
              <w:rPr>
                <w:webHidden/>
              </w:rPr>
              <w:instrText xml:space="preserve"> PAGEREF _Toc175846467 \h </w:instrText>
            </w:r>
            <w:r>
              <w:rPr>
                <w:webHidden/>
              </w:rPr>
            </w:r>
            <w:r>
              <w:rPr>
                <w:webHidden/>
              </w:rPr>
              <w:fldChar w:fldCharType="separate"/>
            </w:r>
            <w:r>
              <w:rPr>
                <w:webHidden/>
              </w:rPr>
              <w:t>13</w:t>
            </w:r>
            <w:r>
              <w:rPr>
                <w:webHidden/>
              </w:rPr>
              <w:fldChar w:fldCharType="end"/>
            </w:r>
          </w:hyperlink>
        </w:p>
        <w:p w14:paraId="50AA6347" w14:textId="521FAED6" w:rsidR="00CB6EA8" w:rsidRDefault="00CB6EA8" w:rsidP="00CB6EA8">
          <w:pPr>
            <w:pStyle w:val="TOC1"/>
            <w:rPr>
              <w:rFonts w:asciiTheme="minorHAnsi" w:hAnsiTheme="minorHAnsi" w:cstheme="minorBidi"/>
              <w:kern w:val="2"/>
              <w:sz w:val="22"/>
              <w:lang w:val="en-AU" w:eastAsia="en-AU"/>
              <w14:ligatures w14:val="standardContextual"/>
            </w:rPr>
          </w:pPr>
          <w:hyperlink w:anchor="_Toc175846468" w:history="1">
            <w:r w:rsidRPr="00C75839">
              <w:rPr>
                <w:rStyle w:val="Hyperlink"/>
              </w:rPr>
              <w:t>Our Regulatory Approach</w:t>
            </w:r>
            <w:r>
              <w:rPr>
                <w:webHidden/>
              </w:rPr>
              <w:tab/>
            </w:r>
            <w:r>
              <w:rPr>
                <w:webHidden/>
              </w:rPr>
              <w:fldChar w:fldCharType="begin"/>
            </w:r>
            <w:r>
              <w:rPr>
                <w:webHidden/>
              </w:rPr>
              <w:instrText xml:space="preserve"> PAGEREF _Toc175846468 \h </w:instrText>
            </w:r>
            <w:r>
              <w:rPr>
                <w:webHidden/>
              </w:rPr>
            </w:r>
            <w:r>
              <w:rPr>
                <w:webHidden/>
              </w:rPr>
              <w:fldChar w:fldCharType="separate"/>
            </w:r>
            <w:r>
              <w:rPr>
                <w:webHidden/>
              </w:rPr>
              <w:t>14</w:t>
            </w:r>
            <w:r>
              <w:rPr>
                <w:webHidden/>
              </w:rPr>
              <w:fldChar w:fldCharType="end"/>
            </w:r>
          </w:hyperlink>
        </w:p>
        <w:p w14:paraId="33AF698B" w14:textId="51809A65" w:rsidR="00CB6EA8" w:rsidRDefault="00CB6EA8">
          <w:pPr>
            <w:pStyle w:val="TOC2"/>
            <w:rPr>
              <w:rFonts w:asciiTheme="minorHAnsi" w:eastAsiaTheme="minorEastAsia" w:hAnsiTheme="minorHAnsi"/>
              <w:noProof/>
              <w:kern w:val="2"/>
              <w:sz w:val="22"/>
              <w:lang w:eastAsia="en-AU"/>
              <w14:ligatures w14:val="standardContextual"/>
            </w:rPr>
          </w:pPr>
          <w:hyperlink w:anchor="_Toc175846469" w:history="1">
            <w:r w:rsidRPr="00C75839">
              <w:rPr>
                <w:rStyle w:val="Hyperlink"/>
                <w:noProof/>
              </w:rPr>
              <w:t>Principle 1. Continuous improvement and building trust.</w:t>
            </w:r>
            <w:r>
              <w:rPr>
                <w:noProof/>
                <w:webHidden/>
              </w:rPr>
              <w:tab/>
            </w:r>
            <w:r>
              <w:rPr>
                <w:noProof/>
                <w:webHidden/>
              </w:rPr>
              <w:fldChar w:fldCharType="begin"/>
            </w:r>
            <w:r>
              <w:rPr>
                <w:noProof/>
                <w:webHidden/>
              </w:rPr>
              <w:instrText xml:space="preserve"> PAGEREF _Toc175846469 \h </w:instrText>
            </w:r>
            <w:r>
              <w:rPr>
                <w:noProof/>
                <w:webHidden/>
              </w:rPr>
            </w:r>
            <w:r>
              <w:rPr>
                <w:noProof/>
                <w:webHidden/>
              </w:rPr>
              <w:fldChar w:fldCharType="separate"/>
            </w:r>
            <w:r>
              <w:rPr>
                <w:noProof/>
                <w:webHidden/>
              </w:rPr>
              <w:t>14</w:t>
            </w:r>
            <w:r>
              <w:rPr>
                <w:noProof/>
                <w:webHidden/>
              </w:rPr>
              <w:fldChar w:fldCharType="end"/>
            </w:r>
          </w:hyperlink>
        </w:p>
        <w:p w14:paraId="6B70CFA9" w14:textId="43AA8945" w:rsidR="00CB6EA8" w:rsidRDefault="00CB6EA8">
          <w:pPr>
            <w:pStyle w:val="TOC2"/>
            <w:rPr>
              <w:rFonts w:asciiTheme="minorHAnsi" w:eastAsiaTheme="minorEastAsia" w:hAnsiTheme="minorHAnsi"/>
              <w:noProof/>
              <w:kern w:val="2"/>
              <w:sz w:val="22"/>
              <w:lang w:eastAsia="en-AU"/>
              <w14:ligatures w14:val="standardContextual"/>
            </w:rPr>
          </w:pPr>
          <w:hyperlink w:anchor="_Toc175846470" w:history="1">
            <w:r w:rsidRPr="00C75839">
              <w:rPr>
                <w:rStyle w:val="Hyperlink"/>
                <w:noProof/>
              </w:rPr>
              <w:t>Principle 2. Risk-based and data-driven.</w:t>
            </w:r>
            <w:r>
              <w:rPr>
                <w:noProof/>
                <w:webHidden/>
              </w:rPr>
              <w:tab/>
            </w:r>
            <w:r>
              <w:rPr>
                <w:noProof/>
                <w:webHidden/>
              </w:rPr>
              <w:fldChar w:fldCharType="begin"/>
            </w:r>
            <w:r>
              <w:rPr>
                <w:noProof/>
                <w:webHidden/>
              </w:rPr>
              <w:instrText xml:space="preserve"> PAGEREF _Toc175846470 \h </w:instrText>
            </w:r>
            <w:r>
              <w:rPr>
                <w:noProof/>
                <w:webHidden/>
              </w:rPr>
            </w:r>
            <w:r>
              <w:rPr>
                <w:noProof/>
                <w:webHidden/>
              </w:rPr>
              <w:fldChar w:fldCharType="separate"/>
            </w:r>
            <w:r>
              <w:rPr>
                <w:noProof/>
                <w:webHidden/>
              </w:rPr>
              <w:t>14</w:t>
            </w:r>
            <w:r>
              <w:rPr>
                <w:noProof/>
                <w:webHidden/>
              </w:rPr>
              <w:fldChar w:fldCharType="end"/>
            </w:r>
          </w:hyperlink>
        </w:p>
        <w:p w14:paraId="61DB8240" w14:textId="02CA7D07" w:rsidR="00CB6EA8" w:rsidRDefault="00CB6EA8">
          <w:pPr>
            <w:pStyle w:val="TOC2"/>
            <w:rPr>
              <w:rFonts w:asciiTheme="minorHAnsi" w:eastAsiaTheme="minorEastAsia" w:hAnsiTheme="minorHAnsi"/>
              <w:noProof/>
              <w:kern w:val="2"/>
              <w:sz w:val="22"/>
              <w:lang w:eastAsia="en-AU"/>
              <w14:ligatures w14:val="standardContextual"/>
            </w:rPr>
          </w:pPr>
          <w:hyperlink w:anchor="_Toc175846471" w:history="1">
            <w:r w:rsidRPr="00C75839">
              <w:rPr>
                <w:rStyle w:val="Hyperlink"/>
                <w:noProof/>
              </w:rPr>
              <w:t>Principle 3. Collaboration and engagement.</w:t>
            </w:r>
            <w:r>
              <w:rPr>
                <w:noProof/>
                <w:webHidden/>
              </w:rPr>
              <w:tab/>
            </w:r>
            <w:r>
              <w:rPr>
                <w:noProof/>
                <w:webHidden/>
              </w:rPr>
              <w:fldChar w:fldCharType="begin"/>
            </w:r>
            <w:r>
              <w:rPr>
                <w:noProof/>
                <w:webHidden/>
              </w:rPr>
              <w:instrText xml:space="preserve"> PAGEREF _Toc175846471 \h </w:instrText>
            </w:r>
            <w:r>
              <w:rPr>
                <w:noProof/>
                <w:webHidden/>
              </w:rPr>
            </w:r>
            <w:r>
              <w:rPr>
                <w:noProof/>
                <w:webHidden/>
              </w:rPr>
              <w:fldChar w:fldCharType="separate"/>
            </w:r>
            <w:r>
              <w:rPr>
                <w:noProof/>
                <w:webHidden/>
              </w:rPr>
              <w:t>14</w:t>
            </w:r>
            <w:r>
              <w:rPr>
                <w:noProof/>
                <w:webHidden/>
              </w:rPr>
              <w:fldChar w:fldCharType="end"/>
            </w:r>
          </w:hyperlink>
        </w:p>
        <w:p w14:paraId="3D20B4D5" w14:textId="5F8350C2" w:rsidR="00CB6EA8" w:rsidRDefault="00CB6EA8" w:rsidP="00CB6EA8">
          <w:pPr>
            <w:pStyle w:val="TOC1"/>
            <w:rPr>
              <w:rFonts w:asciiTheme="minorHAnsi" w:hAnsiTheme="minorHAnsi" w:cstheme="minorBidi"/>
              <w:kern w:val="2"/>
              <w:sz w:val="22"/>
              <w:lang w:val="en-AU" w:eastAsia="en-AU"/>
              <w14:ligatures w14:val="standardContextual"/>
            </w:rPr>
          </w:pPr>
          <w:hyperlink w:anchor="_Toc175846472" w:history="1">
            <w:r w:rsidRPr="00C75839">
              <w:rPr>
                <w:rStyle w:val="Hyperlink"/>
                <w:rFonts w:eastAsiaTheme="minorHAnsi"/>
              </w:rPr>
              <w:t>Corporate Governance and Risk Oversight</w:t>
            </w:r>
            <w:r>
              <w:rPr>
                <w:webHidden/>
              </w:rPr>
              <w:tab/>
            </w:r>
            <w:r>
              <w:rPr>
                <w:webHidden/>
              </w:rPr>
              <w:fldChar w:fldCharType="begin"/>
            </w:r>
            <w:r>
              <w:rPr>
                <w:webHidden/>
              </w:rPr>
              <w:instrText xml:space="preserve"> PAGEREF _Toc175846472 \h </w:instrText>
            </w:r>
            <w:r>
              <w:rPr>
                <w:webHidden/>
              </w:rPr>
            </w:r>
            <w:r>
              <w:rPr>
                <w:webHidden/>
              </w:rPr>
              <w:fldChar w:fldCharType="separate"/>
            </w:r>
            <w:r>
              <w:rPr>
                <w:webHidden/>
              </w:rPr>
              <w:t>16</w:t>
            </w:r>
            <w:r>
              <w:rPr>
                <w:webHidden/>
              </w:rPr>
              <w:fldChar w:fldCharType="end"/>
            </w:r>
          </w:hyperlink>
        </w:p>
        <w:p w14:paraId="2AC61237" w14:textId="79F99852" w:rsidR="00CB6EA8" w:rsidRDefault="00CB6EA8">
          <w:pPr>
            <w:pStyle w:val="TOC2"/>
            <w:rPr>
              <w:rFonts w:asciiTheme="minorHAnsi" w:eastAsiaTheme="minorEastAsia" w:hAnsiTheme="minorHAnsi"/>
              <w:noProof/>
              <w:kern w:val="2"/>
              <w:sz w:val="22"/>
              <w:lang w:eastAsia="en-AU"/>
              <w14:ligatures w14:val="standardContextual"/>
            </w:rPr>
          </w:pPr>
          <w:hyperlink w:anchor="_Toc175846473" w:history="1">
            <w:r w:rsidRPr="00C75839">
              <w:rPr>
                <w:rStyle w:val="Hyperlink"/>
                <w:noProof/>
              </w:rPr>
              <w:t>Risk Management</w:t>
            </w:r>
            <w:r>
              <w:rPr>
                <w:noProof/>
                <w:webHidden/>
              </w:rPr>
              <w:tab/>
            </w:r>
            <w:r>
              <w:rPr>
                <w:noProof/>
                <w:webHidden/>
              </w:rPr>
              <w:fldChar w:fldCharType="begin"/>
            </w:r>
            <w:r>
              <w:rPr>
                <w:noProof/>
                <w:webHidden/>
              </w:rPr>
              <w:instrText xml:space="preserve"> PAGEREF _Toc175846473 \h </w:instrText>
            </w:r>
            <w:r>
              <w:rPr>
                <w:noProof/>
                <w:webHidden/>
              </w:rPr>
            </w:r>
            <w:r>
              <w:rPr>
                <w:noProof/>
                <w:webHidden/>
              </w:rPr>
              <w:fldChar w:fldCharType="separate"/>
            </w:r>
            <w:r>
              <w:rPr>
                <w:noProof/>
                <w:webHidden/>
              </w:rPr>
              <w:t>17</w:t>
            </w:r>
            <w:r>
              <w:rPr>
                <w:noProof/>
                <w:webHidden/>
              </w:rPr>
              <w:fldChar w:fldCharType="end"/>
            </w:r>
          </w:hyperlink>
        </w:p>
        <w:p w14:paraId="0BB5A2B9" w14:textId="1D7DE44B" w:rsidR="00CB6EA8" w:rsidRDefault="00CB6EA8">
          <w:pPr>
            <w:pStyle w:val="TOC2"/>
            <w:rPr>
              <w:rFonts w:asciiTheme="minorHAnsi" w:eastAsiaTheme="minorEastAsia" w:hAnsiTheme="minorHAnsi"/>
              <w:noProof/>
              <w:kern w:val="2"/>
              <w:sz w:val="22"/>
              <w:lang w:eastAsia="en-AU"/>
              <w14:ligatures w14:val="standardContextual"/>
            </w:rPr>
          </w:pPr>
          <w:hyperlink w:anchor="_Toc175846474" w:history="1">
            <w:r w:rsidRPr="00C75839">
              <w:rPr>
                <w:rStyle w:val="Hyperlink"/>
                <w:noProof/>
              </w:rPr>
              <w:t>Risk Reporting</w:t>
            </w:r>
            <w:r>
              <w:rPr>
                <w:noProof/>
                <w:webHidden/>
              </w:rPr>
              <w:tab/>
            </w:r>
            <w:r>
              <w:rPr>
                <w:noProof/>
                <w:webHidden/>
              </w:rPr>
              <w:fldChar w:fldCharType="begin"/>
            </w:r>
            <w:r>
              <w:rPr>
                <w:noProof/>
                <w:webHidden/>
              </w:rPr>
              <w:instrText xml:space="preserve"> PAGEREF _Toc175846474 \h </w:instrText>
            </w:r>
            <w:r>
              <w:rPr>
                <w:noProof/>
                <w:webHidden/>
              </w:rPr>
            </w:r>
            <w:r>
              <w:rPr>
                <w:noProof/>
                <w:webHidden/>
              </w:rPr>
              <w:fldChar w:fldCharType="separate"/>
            </w:r>
            <w:r>
              <w:rPr>
                <w:noProof/>
                <w:webHidden/>
              </w:rPr>
              <w:t>17</w:t>
            </w:r>
            <w:r>
              <w:rPr>
                <w:noProof/>
                <w:webHidden/>
              </w:rPr>
              <w:fldChar w:fldCharType="end"/>
            </w:r>
          </w:hyperlink>
        </w:p>
        <w:p w14:paraId="52304569" w14:textId="58983FCF" w:rsidR="00CB6EA8" w:rsidRDefault="00CB6EA8">
          <w:pPr>
            <w:pStyle w:val="TOC2"/>
            <w:rPr>
              <w:rFonts w:asciiTheme="minorHAnsi" w:eastAsiaTheme="minorEastAsia" w:hAnsiTheme="minorHAnsi"/>
              <w:noProof/>
              <w:kern w:val="2"/>
              <w:sz w:val="22"/>
              <w:lang w:eastAsia="en-AU"/>
              <w14:ligatures w14:val="standardContextual"/>
            </w:rPr>
          </w:pPr>
          <w:hyperlink w:anchor="_Toc175846475" w:history="1">
            <w:r w:rsidRPr="00C75839">
              <w:rPr>
                <w:rStyle w:val="Hyperlink"/>
                <w:noProof/>
              </w:rPr>
              <w:t>Enterprise Risks</w:t>
            </w:r>
            <w:r>
              <w:rPr>
                <w:noProof/>
                <w:webHidden/>
              </w:rPr>
              <w:tab/>
            </w:r>
            <w:r>
              <w:rPr>
                <w:noProof/>
                <w:webHidden/>
              </w:rPr>
              <w:fldChar w:fldCharType="begin"/>
            </w:r>
            <w:r>
              <w:rPr>
                <w:noProof/>
                <w:webHidden/>
              </w:rPr>
              <w:instrText xml:space="preserve"> PAGEREF _Toc175846475 \h </w:instrText>
            </w:r>
            <w:r>
              <w:rPr>
                <w:noProof/>
                <w:webHidden/>
              </w:rPr>
            </w:r>
            <w:r>
              <w:rPr>
                <w:noProof/>
                <w:webHidden/>
              </w:rPr>
              <w:fldChar w:fldCharType="separate"/>
            </w:r>
            <w:r>
              <w:rPr>
                <w:noProof/>
                <w:webHidden/>
              </w:rPr>
              <w:t>17</w:t>
            </w:r>
            <w:r>
              <w:rPr>
                <w:noProof/>
                <w:webHidden/>
              </w:rPr>
              <w:fldChar w:fldCharType="end"/>
            </w:r>
          </w:hyperlink>
        </w:p>
        <w:p w14:paraId="20E39B72" w14:textId="20ECE377" w:rsidR="00CB6EA8" w:rsidRDefault="00CB6EA8" w:rsidP="00CB6EA8">
          <w:pPr>
            <w:pStyle w:val="TOC1"/>
            <w:rPr>
              <w:rFonts w:asciiTheme="minorHAnsi" w:hAnsiTheme="minorHAnsi" w:cstheme="minorBidi"/>
              <w:kern w:val="2"/>
              <w:sz w:val="22"/>
              <w:lang w:val="en-AU" w:eastAsia="en-AU"/>
              <w14:ligatures w14:val="standardContextual"/>
            </w:rPr>
          </w:pPr>
          <w:hyperlink w:anchor="_Toc175846476" w:history="1">
            <w:r w:rsidRPr="00C75839">
              <w:rPr>
                <w:rStyle w:val="Hyperlink"/>
              </w:rPr>
              <w:t>Our Capabilities</w:t>
            </w:r>
            <w:r>
              <w:rPr>
                <w:webHidden/>
              </w:rPr>
              <w:tab/>
            </w:r>
            <w:r>
              <w:rPr>
                <w:webHidden/>
              </w:rPr>
              <w:fldChar w:fldCharType="begin"/>
            </w:r>
            <w:r>
              <w:rPr>
                <w:webHidden/>
              </w:rPr>
              <w:instrText xml:space="preserve"> PAGEREF _Toc175846476 \h </w:instrText>
            </w:r>
            <w:r>
              <w:rPr>
                <w:webHidden/>
              </w:rPr>
            </w:r>
            <w:r>
              <w:rPr>
                <w:webHidden/>
              </w:rPr>
              <w:fldChar w:fldCharType="separate"/>
            </w:r>
            <w:r>
              <w:rPr>
                <w:webHidden/>
              </w:rPr>
              <w:t>19</w:t>
            </w:r>
            <w:r>
              <w:rPr>
                <w:webHidden/>
              </w:rPr>
              <w:fldChar w:fldCharType="end"/>
            </w:r>
          </w:hyperlink>
        </w:p>
        <w:p w14:paraId="56CF3722" w14:textId="15C3DBA1" w:rsidR="00CB6EA8" w:rsidRDefault="00CB6EA8">
          <w:pPr>
            <w:pStyle w:val="TOC2"/>
            <w:rPr>
              <w:rFonts w:asciiTheme="minorHAnsi" w:eastAsiaTheme="minorEastAsia" w:hAnsiTheme="minorHAnsi"/>
              <w:noProof/>
              <w:kern w:val="2"/>
              <w:sz w:val="22"/>
              <w:lang w:eastAsia="en-AU"/>
              <w14:ligatures w14:val="standardContextual"/>
            </w:rPr>
          </w:pPr>
          <w:hyperlink w:anchor="_Toc175846477" w:history="1">
            <w:r w:rsidRPr="00C75839">
              <w:rPr>
                <w:rStyle w:val="Hyperlink"/>
                <w:noProof/>
              </w:rPr>
              <w:t>Corporate Operations Group (Corporate) Strategy 2024–2027</w:t>
            </w:r>
            <w:r>
              <w:rPr>
                <w:noProof/>
                <w:webHidden/>
              </w:rPr>
              <w:tab/>
            </w:r>
            <w:r>
              <w:rPr>
                <w:noProof/>
                <w:webHidden/>
              </w:rPr>
              <w:fldChar w:fldCharType="begin"/>
            </w:r>
            <w:r>
              <w:rPr>
                <w:noProof/>
                <w:webHidden/>
              </w:rPr>
              <w:instrText xml:space="preserve"> PAGEREF _Toc175846477 \h </w:instrText>
            </w:r>
            <w:r>
              <w:rPr>
                <w:noProof/>
                <w:webHidden/>
              </w:rPr>
            </w:r>
            <w:r>
              <w:rPr>
                <w:noProof/>
                <w:webHidden/>
              </w:rPr>
              <w:fldChar w:fldCharType="separate"/>
            </w:r>
            <w:r>
              <w:rPr>
                <w:noProof/>
                <w:webHidden/>
              </w:rPr>
              <w:t>19</w:t>
            </w:r>
            <w:r>
              <w:rPr>
                <w:noProof/>
                <w:webHidden/>
              </w:rPr>
              <w:fldChar w:fldCharType="end"/>
            </w:r>
          </w:hyperlink>
        </w:p>
        <w:p w14:paraId="66830192" w14:textId="336BB1E4" w:rsidR="00CB6EA8" w:rsidRDefault="00CB6EA8">
          <w:pPr>
            <w:pStyle w:val="TOC2"/>
            <w:rPr>
              <w:rFonts w:asciiTheme="minorHAnsi" w:eastAsiaTheme="minorEastAsia" w:hAnsiTheme="minorHAnsi"/>
              <w:noProof/>
              <w:kern w:val="2"/>
              <w:sz w:val="22"/>
              <w:lang w:eastAsia="en-AU"/>
              <w14:ligatures w14:val="standardContextual"/>
            </w:rPr>
          </w:pPr>
          <w:hyperlink w:anchor="_Toc175846478" w:history="1">
            <w:r w:rsidRPr="00C75839">
              <w:rPr>
                <w:rStyle w:val="Hyperlink"/>
                <w:noProof/>
              </w:rPr>
              <w:t>Workforce Capability</w:t>
            </w:r>
            <w:r>
              <w:rPr>
                <w:noProof/>
                <w:webHidden/>
              </w:rPr>
              <w:tab/>
            </w:r>
            <w:r>
              <w:rPr>
                <w:noProof/>
                <w:webHidden/>
              </w:rPr>
              <w:fldChar w:fldCharType="begin"/>
            </w:r>
            <w:r>
              <w:rPr>
                <w:noProof/>
                <w:webHidden/>
              </w:rPr>
              <w:instrText xml:space="preserve"> PAGEREF _Toc175846478 \h </w:instrText>
            </w:r>
            <w:r>
              <w:rPr>
                <w:noProof/>
                <w:webHidden/>
              </w:rPr>
            </w:r>
            <w:r>
              <w:rPr>
                <w:noProof/>
                <w:webHidden/>
              </w:rPr>
              <w:fldChar w:fldCharType="separate"/>
            </w:r>
            <w:r>
              <w:rPr>
                <w:noProof/>
                <w:webHidden/>
              </w:rPr>
              <w:t>19</w:t>
            </w:r>
            <w:r>
              <w:rPr>
                <w:noProof/>
                <w:webHidden/>
              </w:rPr>
              <w:fldChar w:fldCharType="end"/>
            </w:r>
          </w:hyperlink>
        </w:p>
        <w:p w14:paraId="4AE01F4C" w14:textId="2F9A747A" w:rsidR="00CB6EA8" w:rsidRDefault="00CB6EA8">
          <w:pPr>
            <w:pStyle w:val="TOC2"/>
            <w:rPr>
              <w:rFonts w:asciiTheme="minorHAnsi" w:eastAsiaTheme="minorEastAsia" w:hAnsiTheme="minorHAnsi"/>
              <w:noProof/>
              <w:kern w:val="2"/>
              <w:sz w:val="22"/>
              <w:lang w:eastAsia="en-AU"/>
              <w14:ligatures w14:val="standardContextual"/>
            </w:rPr>
          </w:pPr>
          <w:hyperlink w:anchor="_Toc175846479" w:history="1">
            <w:r w:rsidRPr="00C75839">
              <w:rPr>
                <w:rStyle w:val="Hyperlink"/>
                <w:noProof/>
              </w:rPr>
              <w:t>Workforce Strategy</w:t>
            </w:r>
            <w:r>
              <w:rPr>
                <w:noProof/>
                <w:webHidden/>
              </w:rPr>
              <w:tab/>
            </w:r>
            <w:r>
              <w:rPr>
                <w:noProof/>
                <w:webHidden/>
              </w:rPr>
              <w:fldChar w:fldCharType="begin"/>
            </w:r>
            <w:r>
              <w:rPr>
                <w:noProof/>
                <w:webHidden/>
              </w:rPr>
              <w:instrText xml:space="preserve"> PAGEREF _Toc175846479 \h </w:instrText>
            </w:r>
            <w:r>
              <w:rPr>
                <w:noProof/>
                <w:webHidden/>
              </w:rPr>
            </w:r>
            <w:r>
              <w:rPr>
                <w:noProof/>
                <w:webHidden/>
              </w:rPr>
              <w:fldChar w:fldCharType="separate"/>
            </w:r>
            <w:r>
              <w:rPr>
                <w:noProof/>
                <w:webHidden/>
              </w:rPr>
              <w:t>20</w:t>
            </w:r>
            <w:r>
              <w:rPr>
                <w:noProof/>
                <w:webHidden/>
              </w:rPr>
              <w:fldChar w:fldCharType="end"/>
            </w:r>
          </w:hyperlink>
        </w:p>
        <w:p w14:paraId="131D779C" w14:textId="202341BB" w:rsidR="00CB6EA8" w:rsidRDefault="00CB6EA8">
          <w:pPr>
            <w:pStyle w:val="TOC2"/>
            <w:rPr>
              <w:rFonts w:asciiTheme="minorHAnsi" w:eastAsiaTheme="minorEastAsia" w:hAnsiTheme="minorHAnsi"/>
              <w:noProof/>
              <w:kern w:val="2"/>
              <w:sz w:val="22"/>
              <w:lang w:eastAsia="en-AU"/>
              <w14:ligatures w14:val="standardContextual"/>
            </w:rPr>
          </w:pPr>
          <w:hyperlink w:anchor="_Toc175846480" w:history="1">
            <w:r w:rsidRPr="00C75839">
              <w:rPr>
                <w:rStyle w:val="Hyperlink"/>
                <w:noProof/>
              </w:rPr>
              <w:t>Workplace Culture</w:t>
            </w:r>
            <w:r>
              <w:rPr>
                <w:noProof/>
                <w:webHidden/>
              </w:rPr>
              <w:tab/>
            </w:r>
            <w:r>
              <w:rPr>
                <w:noProof/>
                <w:webHidden/>
              </w:rPr>
              <w:fldChar w:fldCharType="begin"/>
            </w:r>
            <w:r>
              <w:rPr>
                <w:noProof/>
                <w:webHidden/>
              </w:rPr>
              <w:instrText xml:space="preserve"> PAGEREF _Toc175846480 \h </w:instrText>
            </w:r>
            <w:r>
              <w:rPr>
                <w:noProof/>
                <w:webHidden/>
              </w:rPr>
            </w:r>
            <w:r>
              <w:rPr>
                <w:noProof/>
                <w:webHidden/>
              </w:rPr>
              <w:fldChar w:fldCharType="separate"/>
            </w:r>
            <w:r>
              <w:rPr>
                <w:noProof/>
                <w:webHidden/>
              </w:rPr>
              <w:t>20</w:t>
            </w:r>
            <w:r>
              <w:rPr>
                <w:noProof/>
                <w:webHidden/>
              </w:rPr>
              <w:fldChar w:fldCharType="end"/>
            </w:r>
          </w:hyperlink>
        </w:p>
        <w:p w14:paraId="6C825CB5" w14:textId="5267E5A2" w:rsidR="00CB6EA8" w:rsidRDefault="00CB6EA8" w:rsidP="00CB6EA8">
          <w:pPr>
            <w:pStyle w:val="TOC1"/>
            <w:rPr>
              <w:rFonts w:asciiTheme="minorHAnsi" w:hAnsiTheme="minorHAnsi" w:cstheme="minorBidi"/>
              <w:kern w:val="2"/>
              <w:sz w:val="22"/>
              <w:lang w:val="en-AU" w:eastAsia="en-AU"/>
              <w14:ligatures w14:val="standardContextual"/>
            </w:rPr>
          </w:pPr>
          <w:hyperlink w:anchor="_Toc175846481" w:history="1">
            <w:r w:rsidRPr="00C75839">
              <w:rPr>
                <w:rStyle w:val="Hyperlink"/>
              </w:rPr>
              <w:t>Diversity and Inclusion</w:t>
            </w:r>
            <w:r>
              <w:rPr>
                <w:webHidden/>
              </w:rPr>
              <w:tab/>
            </w:r>
            <w:r>
              <w:rPr>
                <w:webHidden/>
              </w:rPr>
              <w:fldChar w:fldCharType="begin"/>
            </w:r>
            <w:r>
              <w:rPr>
                <w:webHidden/>
              </w:rPr>
              <w:instrText xml:space="preserve"> PAGEREF _Toc175846481 \h </w:instrText>
            </w:r>
            <w:r>
              <w:rPr>
                <w:webHidden/>
              </w:rPr>
            </w:r>
            <w:r>
              <w:rPr>
                <w:webHidden/>
              </w:rPr>
              <w:fldChar w:fldCharType="separate"/>
            </w:r>
            <w:r>
              <w:rPr>
                <w:webHidden/>
              </w:rPr>
              <w:t>22</w:t>
            </w:r>
            <w:r>
              <w:rPr>
                <w:webHidden/>
              </w:rPr>
              <w:fldChar w:fldCharType="end"/>
            </w:r>
          </w:hyperlink>
        </w:p>
        <w:p w14:paraId="602B7F11" w14:textId="742E616E" w:rsidR="00CB6EA8" w:rsidRDefault="00CB6EA8">
          <w:pPr>
            <w:pStyle w:val="TOC2"/>
            <w:rPr>
              <w:rFonts w:asciiTheme="minorHAnsi" w:eastAsiaTheme="minorEastAsia" w:hAnsiTheme="minorHAnsi"/>
              <w:noProof/>
              <w:kern w:val="2"/>
              <w:sz w:val="22"/>
              <w:lang w:eastAsia="en-AU"/>
              <w14:ligatures w14:val="standardContextual"/>
            </w:rPr>
          </w:pPr>
          <w:hyperlink w:anchor="_Toc175846482" w:history="1">
            <w:r w:rsidRPr="00C75839">
              <w:rPr>
                <w:rStyle w:val="Hyperlink"/>
                <w:noProof/>
              </w:rPr>
              <w:t>New Ways of Working</w:t>
            </w:r>
            <w:r>
              <w:rPr>
                <w:noProof/>
                <w:webHidden/>
              </w:rPr>
              <w:tab/>
            </w:r>
            <w:r>
              <w:rPr>
                <w:noProof/>
                <w:webHidden/>
              </w:rPr>
              <w:fldChar w:fldCharType="begin"/>
            </w:r>
            <w:r>
              <w:rPr>
                <w:noProof/>
                <w:webHidden/>
              </w:rPr>
              <w:instrText xml:space="preserve"> PAGEREF _Toc175846482 \h </w:instrText>
            </w:r>
            <w:r>
              <w:rPr>
                <w:noProof/>
                <w:webHidden/>
              </w:rPr>
            </w:r>
            <w:r>
              <w:rPr>
                <w:noProof/>
                <w:webHidden/>
              </w:rPr>
              <w:fldChar w:fldCharType="separate"/>
            </w:r>
            <w:r>
              <w:rPr>
                <w:noProof/>
                <w:webHidden/>
              </w:rPr>
              <w:t>23</w:t>
            </w:r>
            <w:r>
              <w:rPr>
                <w:noProof/>
                <w:webHidden/>
              </w:rPr>
              <w:fldChar w:fldCharType="end"/>
            </w:r>
          </w:hyperlink>
        </w:p>
        <w:p w14:paraId="7FB69DFE" w14:textId="43D1E4F4" w:rsidR="00CB6EA8" w:rsidRDefault="00CB6EA8">
          <w:pPr>
            <w:pStyle w:val="TOC2"/>
            <w:rPr>
              <w:rFonts w:asciiTheme="minorHAnsi" w:eastAsiaTheme="minorEastAsia" w:hAnsiTheme="minorHAnsi"/>
              <w:noProof/>
              <w:kern w:val="2"/>
              <w:sz w:val="22"/>
              <w:lang w:eastAsia="en-AU"/>
              <w14:ligatures w14:val="standardContextual"/>
            </w:rPr>
          </w:pPr>
          <w:hyperlink w:anchor="_Toc175846483" w:history="1">
            <w:r w:rsidRPr="00C75839">
              <w:rPr>
                <w:rStyle w:val="Hyperlink"/>
                <w:noProof/>
              </w:rPr>
              <w:t>Climate Action in Government Operations</w:t>
            </w:r>
            <w:r>
              <w:rPr>
                <w:noProof/>
                <w:webHidden/>
              </w:rPr>
              <w:tab/>
            </w:r>
            <w:r>
              <w:rPr>
                <w:noProof/>
                <w:webHidden/>
              </w:rPr>
              <w:fldChar w:fldCharType="begin"/>
            </w:r>
            <w:r>
              <w:rPr>
                <w:noProof/>
                <w:webHidden/>
              </w:rPr>
              <w:instrText xml:space="preserve"> PAGEREF _Toc175846483 \h </w:instrText>
            </w:r>
            <w:r>
              <w:rPr>
                <w:noProof/>
                <w:webHidden/>
              </w:rPr>
            </w:r>
            <w:r>
              <w:rPr>
                <w:noProof/>
                <w:webHidden/>
              </w:rPr>
              <w:fldChar w:fldCharType="separate"/>
            </w:r>
            <w:r>
              <w:rPr>
                <w:noProof/>
                <w:webHidden/>
              </w:rPr>
              <w:t>23</w:t>
            </w:r>
            <w:r>
              <w:rPr>
                <w:noProof/>
                <w:webHidden/>
              </w:rPr>
              <w:fldChar w:fldCharType="end"/>
            </w:r>
          </w:hyperlink>
        </w:p>
        <w:p w14:paraId="1BD80BEB" w14:textId="64F9D338" w:rsidR="00CB6EA8" w:rsidRDefault="00CB6EA8">
          <w:pPr>
            <w:pStyle w:val="TOC2"/>
            <w:rPr>
              <w:rFonts w:asciiTheme="minorHAnsi" w:eastAsiaTheme="minorEastAsia" w:hAnsiTheme="minorHAnsi"/>
              <w:noProof/>
              <w:kern w:val="2"/>
              <w:sz w:val="22"/>
              <w:lang w:eastAsia="en-AU"/>
              <w14:ligatures w14:val="standardContextual"/>
            </w:rPr>
          </w:pPr>
          <w:hyperlink w:anchor="_Toc175846484" w:history="1">
            <w:r w:rsidRPr="00C75839">
              <w:rPr>
                <w:rStyle w:val="Hyperlink"/>
                <w:noProof/>
              </w:rPr>
              <w:t>Information Communications and Technology Capability</w:t>
            </w:r>
            <w:r>
              <w:rPr>
                <w:noProof/>
                <w:webHidden/>
              </w:rPr>
              <w:tab/>
            </w:r>
            <w:r>
              <w:rPr>
                <w:noProof/>
                <w:webHidden/>
              </w:rPr>
              <w:fldChar w:fldCharType="begin"/>
            </w:r>
            <w:r>
              <w:rPr>
                <w:noProof/>
                <w:webHidden/>
              </w:rPr>
              <w:instrText xml:space="preserve"> PAGEREF _Toc175846484 \h </w:instrText>
            </w:r>
            <w:r>
              <w:rPr>
                <w:noProof/>
                <w:webHidden/>
              </w:rPr>
            </w:r>
            <w:r>
              <w:rPr>
                <w:noProof/>
                <w:webHidden/>
              </w:rPr>
              <w:fldChar w:fldCharType="separate"/>
            </w:r>
            <w:r>
              <w:rPr>
                <w:noProof/>
                <w:webHidden/>
              </w:rPr>
              <w:t>24</w:t>
            </w:r>
            <w:r>
              <w:rPr>
                <w:noProof/>
                <w:webHidden/>
              </w:rPr>
              <w:fldChar w:fldCharType="end"/>
            </w:r>
          </w:hyperlink>
        </w:p>
        <w:p w14:paraId="4A4DE68D" w14:textId="4FC178A7" w:rsidR="00CB6EA8" w:rsidRDefault="00CB6EA8">
          <w:pPr>
            <w:pStyle w:val="TOC2"/>
            <w:rPr>
              <w:rFonts w:asciiTheme="minorHAnsi" w:eastAsiaTheme="minorEastAsia" w:hAnsiTheme="minorHAnsi"/>
              <w:noProof/>
              <w:kern w:val="2"/>
              <w:sz w:val="22"/>
              <w:lang w:eastAsia="en-AU"/>
              <w14:ligatures w14:val="standardContextual"/>
            </w:rPr>
          </w:pPr>
          <w:hyperlink w:anchor="_Toc175846485" w:history="1">
            <w:r w:rsidRPr="00C75839">
              <w:rPr>
                <w:rStyle w:val="Hyperlink"/>
                <w:noProof/>
              </w:rPr>
              <w:t>Economic Capability</w:t>
            </w:r>
            <w:r>
              <w:rPr>
                <w:noProof/>
                <w:webHidden/>
              </w:rPr>
              <w:tab/>
            </w:r>
            <w:r>
              <w:rPr>
                <w:noProof/>
                <w:webHidden/>
              </w:rPr>
              <w:fldChar w:fldCharType="begin"/>
            </w:r>
            <w:r>
              <w:rPr>
                <w:noProof/>
                <w:webHidden/>
              </w:rPr>
              <w:instrText xml:space="preserve"> PAGEREF _Toc175846485 \h </w:instrText>
            </w:r>
            <w:r>
              <w:rPr>
                <w:noProof/>
                <w:webHidden/>
              </w:rPr>
            </w:r>
            <w:r>
              <w:rPr>
                <w:noProof/>
                <w:webHidden/>
              </w:rPr>
              <w:fldChar w:fldCharType="separate"/>
            </w:r>
            <w:r>
              <w:rPr>
                <w:noProof/>
                <w:webHidden/>
              </w:rPr>
              <w:t>25</w:t>
            </w:r>
            <w:r>
              <w:rPr>
                <w:noProof/>
                <w:webHidden/>
              </w:rPr>
              <w:fldChar w:fldCharType="end"/>
            </w:r>
          </w:hyperlink>
        </w:p>
        <w:p w14:paraId="29928132" w14:textId="17A34A32" w:rsidR="00CB6EA8" w:rsidRDefault="00CB6EA8">
          <w:pPr>
            <w:pStyle w:val="TOC2"/>
            <w:rPr>
              <w:rFonts w:asciiTheme="minorHAnsi" w:eastAsiaTheme="minorEastAsia" w:hAnsiTheme="minorHAnsi"/>
              <w:noProof/>
              <w:kern w:val="2"/>
              <w:sz w:val="22"/>
              <w:lang w:eastAsia="en-AU"/>
              <w14:ligatures w14:val="standardContextual"/>
            </w:rPr>
          </w:pPr>
          <w:hyperlink w:anchor="_Toc175846486" w:history="1">
            <w:r w:rsidRPr="00C75839">
              <w:rPr>
                <w:rStyle w:val="Hyperlink"/>
                <w:noProof/>
              </w:rPr>
              <w:t>Data Capability</w:t>
            </w:r>
            <w:r>
              <w:rPr>
                <w:noProof/>
                <w:webHidden/>
              </w:rPr>
              <w:tab/>
            </w:r>
            <w:r>
              <w:rPr>
                <w:noProof/>
                <w:webHidden/>
              </w:rPr>
              <w:fldChar w:fldCharType="begin"/>
            </w:r>
            <w:r>
              <w:rPr>
                <w:noProof/>
                <w:webHidden/>
              </w:rPr>
              <w:instrText xml:space="preserve"> PAGEREF _Toc175846486 \h </w:instrText>
            </w:r>
            <w:r>
              <w:rPr>
                <w:noProof/>
                <w:webHidden/>
              </w:rPr>
            </w:r>
            <w:r>
              <w:rPr>
                <w:noProof/>
                <w:webHidden/>
              </w:rPr>
              <w:fldChar w:fldCharType="separate"/>
            </w:r>
            <w:r>
              <w:rPr>
                <w:noProof/>
                <w:webHidden/>
              </w:rPr>
              <w:t>25</w:t>
            </w:r>
            <w:r>
              <w:rPr>
                <w:noProof/>
                <w:webHidden/>
              </w:rPr>
              <w:fldChar w:fldCharType="end"/>
            </w:r>
          </w:hyperlink>
        </w:p>
        <w:p w14:paraId="74732A10" w14:textId="2AE071EC" w:rsidR="00CB6EA8" w:rsidRDefault="00CB6EA8">
          <w:pPr>
            <w:pStyle w:val="TOC2"/>
            <w:rPr>
              <w:rFonts w:asciiTheme="minorHAnsi" w:eastAsiaTheme="minorEastAsia" w:hAnsiTheme="minorHAnsi"/>
              <w:noProof/>
              <w:kern w:val="2"/>
              <w:sz w:val="22"/>
              <w:lang w:eastAsia="en-AU"/>
              <w14:ligatures w14:val="standardContextual"/>
            </w:rPr>
          </w:pPr>
          <w:hyperlink w:anchor="_Toc175846487" w:history="1">
            <w:r w:rsidRPr="00C75839">
              <w:rPr>
                <w:rStyle w:val="Hyperlink"/>
                <w:noProof/>
              </w:rPr>
              <w:t>Evaluation</w:t>
            </w:r>
            <w:r>
              <w:rPr>
                <w:noProof/>
                <w:webHidden/>
              </w:rPr>
              <w:tab/>
            </w:r>
            <w:r>
              <w:rPr>
                <w:noProof/>
                <w:webHidden/>
              </w:rPr>
              <w:fldChar w:fldCharType="begin"/>
            </w:r>
            <w:r>
              <w:rPr>
                <w:noProof/>
                <w:webHidden/>
              </w:rPr>
              <w:instrText xml:space="preserve"> PAGEREF _Toc175846487 \h </w:instrText>
            </w:r>
            <w:r>
              <w:rPr>
                <w:noProof/>
                <w:webHidden/>
              </w:rPr>
            </w:r>
            <w:r>
              <w:rPr>
                <w:noProof/>
                <w:webHidden/>
              </w:rPr>
              <w:fldChar w:fldCharType="separate"/>
            </w:r>
            <w:r>
              <w:rPr>
                <w:noProof/>
                <w:webHidden/>
              </w:rPr>
              <w:t>25</w:t>
            </w:r>
            <w:r>
              <w:rPr>
                <w:noProof/>
                <w:webHidden/>
              </w:rPr>
              <w:fldChar w:fldCharType="end"/>
            </w:r>
          </w:hyperlink>
        </w:p>
        <w:p w14:paraId="01218BEC" w14:textId="2C15782A" w:rsidR="00CB6EA8" w:rsidRDefault="00CB6EA8">
          <w:pPr>
            <w:pStyle w:val="TOC2"/>
            <w:rPr>
              <w:rFonts w:asciiTheme="minorHAnsi" w:eastAsiaTheme="minorEastAsia" w:hAnsiTheme="minorHAnsi"/>
              <w:noProof/>
              <w:kern w:val="2"/>
              <w:sz w:val="22"/>
              <w:lang w:eastAsia="en-AU"/>
              <w14:ligatures w14:val="standardContextual"/>
            </w:rPr>
          </w:pPr>
          <w:hyperlink w:anchor="_Toc175846488" w:history="1">
            <w:r w:rsidRPr="00C75839">
              <w:rPr>
                <w:rStyle w:val="Hyperlink"/>
                <w:noProof/>
              </w:rPr>
              <w:t>Program Logic Modelling Pilot</w:t>
            </w:r>
            <w:r>
              <w:rPr>
                <w:noProof/>
                <w:webHidden/>
              </w:rPr>
              <w:tab/>
            </w:r>
            <w:r>
              <w:rPr>
                <w:noProof/>
                <w:webHidden/>
              </w:rPr>
              <w:fldChar w:fldCharType="begin"/>
            </w:r>
            <w:r>
              <w:rPr>
                <w:noProof/>
                <w:webHidden/>
              </w:rPr>
              <w:instrText xml:space="preserve"> PAGEREF _Toc175846488 \h </w:instrText>
            </w:r>
            <w:r>
              <w:rPr>
                <w:noProof/>
                <w:webHidden/>
              </w:rPr>
            </w:r>
            <w:r>
              <w:rPr>
                <w:noProof/>
                <w:webHidden/>
              </w:rPr>
              <w:fldChar w:fldCharType="separate"/>
            </w:r>
            <w:r>
              <w:rPr>
                <w:noProof/>
                <w:webHidden/>
              </w:rPr>
              <w:t>26</w:t>
            </w:r>
            <w:r>
              <w:rPr>
                <w:noProof/>
                <w:webHidden/>
              </w:rPr>
              <w:fldChar w:fldCharType="end"/>
            </w:r>
          </w:hyperlink>
        </w:p>
        <w:p w14:paraId="7F01839E" w14:textId="6B259544" w:rsidR="00CB6EA8" w:rsidRDefault="00CB6EA8">
          <w:pPr>
            <w:pStyle w:val="TOC2"/>
            <w:rPr>
              <w:rFonts w:asciiTheme="minorHAnsi" w:eastAsiaTheme="minorEastAsia" w:hAnsiTheme="minorHAnsi"/>
              <w:noProof/>
              <w:kern w:val="2"/>
              <w:sz w:val="22"/>
              <w:lang w:eastAsia="en-AU"/>
              <w14:ligatures w14:val="standardContextual"/>
            </w:rPr>
          </w:pPr>
          <w:hyperlink w:anchor="_Toc175846489" w:history="1">
            <w:r w:rsidRPr="00C75839">
              <w:rPr>
                <w:rStyle w:val="Hyperlink"/>
                <w:noProof/>
              </w:rPr>
              <w:t>Financial Management Capability</w:t>
            </w:r>
            <w:r>
              <w:rPr>
                <w:noProof/>
                <w:webHidden/>
              </w:rPr>
              <w:tab/>
            </w:r>
            <w:r>
              <w:rPr>
                <w:noProof/>
                <w:webHidden/>
              </w:rPr>
              <w:fldChar w:fldCharType="begin"/>
            </w:r>
            <w:r>
              <w:rPr>
                <w:noProof/>
                <w:webHidden/>
              </w:rPr>
              <w:instrText xml:space="preserve"> PAGEREF _Toc175846489 \h </w:instrText>
            </w:r>
            <w:r>
              <w:rPr>
                <w:noProof/>
                <w:webHidden/>
              </w:rPr>
            </w:r>
            <w:r>
              <w:rPr>
                <w:noProof/>
                <w:webHidden/>
              </w:rPr>
              <w:fldChar w:fldCharType="separate"/>
            </w:r>
            <w:r>
              <w:rPr>
                <w:noProof/>
                <w:webHidden/>
              </w:rPr>
              <w:t>26</w:t>
            </w:r>
            <w:r>
              <w:rPr>
                <w:noProof/>
                <w:webHidden/>
              </w:rPr>
              <w:fldChar w:fldCharType="end"/>
            </w:r>
          </w:hyperlink>
        </w:p>
        <w:p w14:paraId="78234F04" w14:textId="2A216CAD" w:rsidR="00CB6EA8" w:rsidRDefault="00CB6EA8" w:rsidP="00CB6EA8">
          <w:pPr>
            <w:pStyle w:val="TOC1"/>
            <w:rPr>
              <w:rFonts w:asciiTheme="minorHAnsi" w:hAnsiTheme="minorHAnsi" w:cstheme="minorBidi"/>
              <w:kern w:val="2"/>
              <w:sz w:val="22"/>
              <w:lang w:val="en-AU" w:eastAsia="en-AU"/>
              <w14:ligatures w14:val="standardContextual"/>
            </w:rPr>
          </w:pPr>
          <w:hyperlink w:anchor="_Toc175846490" w:history="1">
            <w:r w:rsidRPr="00C75839">
              <w:rPr>
                <w:rStyle w:val="Hyperlink"/>
              </w:rPr>
              <w:t>Our Performance Framework</w:t>
            </w:r>
            <w:r>
              <w:rPr>
                <w:webHidden/>
              </w:rPr>
              <w:tab/>
            </w:r>
            <w:r>
              <w:rPr>
                <w:webHidden/>
              </w:rPr>
              <w:fldChar w:fldCharType="begin"/>
            </w:r>
            <w:r>
              <w:rPr>
                <w:webHidden/>
              </w:rPr>
              <w:instrText xml:space="preserve"> PAGEREF _Toc175846490 \h </w:instrText>
            </w:r>
            <w:r>
              <w:rPr>
                <w:webHidden/>
              </w:rPr>
            </w:r>
            <w:r>
              <w:rPr>
                <w:webHidden/>
              </w:rPr>
              <w:fldChar w:fldCharType="separate"/>
            </w:r>
            <w:r>
              <w:rPr>
                <w:webHidden/>
              </w:rPr>
              <w:t>27</w:t>
            </w:r>
            <w:r>
              <w:rPr>
                <w:webHidden/>
              </w:rPr>
              <w:fldChar w:fldCharType="end"/>
            </w:r>
          </w:hyperlink>
        </w:p>
        <w:p w14:paraId="7D9B332D" w14:textId="52E557EE" w:rsidR="00CB6EA8" w:rsidRDefault="00CB6EA8">
          <w:pPr>
            <w:pStyle w:val="TOC2"/>
            <w:rPr>
              <w:rFonts w:asciiTheme="minorHAnsi" w:eastAsiaTheme="minorEastAsia" w:hAnsiTheme="minorHAnsi"/>
              <w:noProof/>
              <w:kern w:val="2"/>
              <w:sz w:val="22"/>
              <w:lang w:eastAsia="en-AU"/>
              <w14:ligatures w14:val="standardContextual"/>
            </w:rPr>
          </w:pPr>
          <w:hyperlink w:anchor="_Toc175846491" w:history="1">
            <w:r w:rsidRPr="00C75839">
              <w:rPr>
                <w:rStyle w:val="Hyperlink"/>
                <w:noProof/>
              </w:rPr>
              <w:t>Commonwealth Performance Framework</w:t>
            </w:r>
            <w:r>
              <w:rPr>
                <w:noProof/>
                <w:webHidden/>
              </w:rPr>
              <w:tab/>
            </w:r>
            <w:r>
              <w:rPr>
                <w:noProof/>
                <w:webHidden/>
              </w:rPr>
              <w:fldChar w:fldCharType="begin"/>
            </w:r>
            <w:r>
              <w:rPr>
                <w:noProof/>
                <w:webHidden/>
              </w:rPr>
              <w:instrText xml:space="preserve"> PAGEREF _Toc175846491 \h </w:instrText>
            </w:r>
            <w:r>
              <w:rPr>
                <w:noProof/>
                <w:webHidden/>
              </w:rPr>
            </w:r>
            <w:r>
              <w:rPr>
                <w:noProof/>
                <w:webHidden/>
              </w:rPr>
              <w:fldChar w:fldCharType="separate"/>
            </w:r>
            <w:r>
              <w:rPr>
                <w:noProof/>
                <w:webHidden/>
              </w:rPr>
              <w:t>27</w:t>
            </w:r>
            <w:r>
              <w:rPr>
                <w:noProof/>
                <w:webHidden/>
              </w:rPr>
              <w:fldChar w:fldCharType="end"/>
            </w:r>
          </w:hyperlink>
        </w:p>
        <w:p w14:paraId="460746C0" w14:textId="207B26AB" w:rsidR="00CB6EA8" w:rsidRDefault="00CB6EA8">
          <w:pPr>
            <w:pStyle w:val="TOC2"/>
            <w:rPr>
              <w:rFonts w:asciiTheme="minorHAnsi" w:eastAsiaTheme="minorEastAsia" w:hAnsiTheme="minorHAnsi"/>
              <w:noProof/>
              <w:kern w:val="2"/>
              <w:sz w:val="22"/>
              <w:lang w:eastAsia="en-AU"/>
              <w14:ligatures w14:val="standardContextual"/>
            </w:rPr>
          </w:pPr>
          <w:hyperlink w:anchor="_Toc175846492" w:history="1">
            <w:r w:rsidRPr="00C75839">
              <w:rPr>
                <w:rStyle w:val="Hyperlink"/>
                <w:noProof/>
              </w:rPr>
              <w:t>Department’s Performance Measurement and Reporting Framework</w:t>
            </w:r>
            <w:r>
              <w:rPr>
                <w:noProof/>
                <w:webHidden/>
              </w:rPr>
              <w:tab/>
            </w:r>
            <w:r>
              <w:rPr>
                <w:noProof/>
                <w:webHidden/>
              </w:rPr>
              <w:fldChar w:fldCharType="begin"/>
            </w:r>
            <w:r>
              <w:rPr>
                <w:noProof/>
                <w:webHidden/>
              </w:rPr>
              <w:instrText xml:space="preserve"> PAGEREF _Toc175846492 \h </w:instrText>
            </w:r>
            <w:r>
              <w:rPr>
                <w:noProof/>
                <w:webHidden/>
              </w:rPr>
            </w:r>
            <w:r>
              <w:rPr>
                <w:noProof/>
                <w:webHidden/>
              </w:rPr>
              <w:fldChar w:fldCharType="separate"/>
            </w:r>
            <w:r>
              <w:rPr>
                <w:noProof/>
                <w:webHidden/>
              </w:rPr>
              <w:t>27</w:t>
            </w:r>
            <w:r>
              <w:rPr>
                <w:noProof/>
                <w:webHidden/>
              </w:rPr>
              <w:fldChar w:fldCharType="end"/>
            </w:r>
          </w:hyperlink>
        </w:p>
        <w:p w14:paraId="203201E7" w14:textId="3CCC58E8" w:rsidR="00CB6EA8" w:rsidRDefault="00CB6EA8">
          <w:pPr>
            <w:pStyle w:val="TOC2"/>
            <w:rPr>
              <w:rFonts w:asciiTheme="minorHAnsi" w:eastAsiaTheme="minorEastAsia" w:hAnsiTheme="minorHAnsi"/>
              <w:noProof/>
              <w:kern w:val="2"/>
              <w:sz w:val="22"/>
              <w:lang w:eastAsia="en-AU"/>
              <w14:ligatures w14:val="standardContextual"/>
            </w:rPr>
          </w:pPr>
          <w:hyperlink w:anchor="_Toc175846493" w:history="1">
            <w:r w:rsidRPr="00C75839">
              <w:rPr>
                <w:rStyle w:val="Hyperlink"/>
                <w:noProof/>
              </w:rPr>
              <w:t>Our Performance Assessment and Assurance</w:t>
            </w:r>
            <w:r>
              <w:rPr>
                <w:noProof/>
                <w:webHidden/>
              </w:rPr>
              <w:tab/>
            </w:r>
            <w:r>
              <w:rPr>
                <w:noProof/>
                <w:webHidden/>
              </w:rPr>
              <w:fldChar w:fldCharType="begin"/>
            </w:r>
            <w:r>
              <w:rPr>
                <w:noProof/>
                <w:webHidden/>
              </w:rPr>
              <w:instrText xml:space="preserve"> PAGEREF _Toc175846493 \h </w:instrText>
            </w:r>
            <w:r>
              <w:rPr>
                <w:noProof/>
                <w:webHidden/>
              </w:rPr>
            </w:r>
            <w:r>
              <w:rPr>
                <w:noProof/>
                <w:webHidden/>
              </w:rPr>
              <w:fldChar w:fldCharType="separate"/>
            </w:r>
            <w:r>
              <w:rPr>
                <w:noProof/>
                <w:webHidden/>
              </w:rPr>
              <w:t>28</w:t>
            </w:r>
            <w:r>
              <w:rPr>
                <w:noProof/>
                <w:webHidden/>
              </w:rPr>
              <w:fldChar w:fldCharType="end"/>
            </w:r>
          </w:hyperlink>
        </w:p>
        <w:p w14:paraId="397FBFB4" w14:textId="379C2DB4" w:rsidR="00CB6EA8" w:rsidRDefault="00CB6EA8" w:rsidP="00CB6EA8">
          <w:pPr>
            <w:pStyle w:val="TOC1"/>
            <w:rPr>
              <w:rFonts w:asciiTheme="minorHAnsi" w:hAnsiTheme="minorHAnsi" w:cstheme="minorBidi"/>
              <w:kern w:val="2"/>
              <w:sz w:val="22"/>
              <w:lang w:val="en-AU" w:eastAsia="en-AU"/>
              <w14:ligatures w14:val="standardContextual"/>
            </w:rPr>
          </w:pPr>
          <w:hyperlink w:anchor="_Toc175846494" w:history="1">
            <w:r w:rsidRPr="00C75839">
              <w:rPr>
                <w:rStyle w:val="Hyperlink"/>
                <w:rFonts w:eastAsiaTheme="minorHAnsi"/>
              </w:rPr>
              <w:t>Outcome 1 Health Policy, Access and Support</w:t>
            </w:r>
            <w:r>
              <w:rPr>
                <w:webHidden/>
              </w:rPr>
              <w:tab/>
            </w:r>
            <w:r>
              <w:rPr>
                <w:webHidden/>
              </w:rPr>
              <w:fldChar w:fldCharType="begin"/>
            </w:r>
            <w:r>
              <w:rPr>
                <w:webHidden/>
              </w:rPr>
              <w:instrText xml:space="preserve"> PAGEREF _Toc175846494 \h </w:instrText>
            </w:r>
            <w:r>
              <w:rPr>
                <w:webHidden/>
              </w:rPr>
            </w:r>
            <w:r>
              <w:rPr>
                <w:webHidden/>
              </w:rPr>
              <w:fldChar w:fldCharType="separate"/>
            </w:r>
            <w:r>
              <w:rPr>
                <w:webHidden/>
              </w:rPr>
              <w:t>29</w:t>
            </w:r>
            <w:r>
              <w:rPr>
                <w:webHidden/>
              </w:rPr>
              <w:fldChar w:fldCharType="end"/>
            </w:r>
          </w:hyperlink>
        </w:p>
        <w:p w14:paraId="74EA2C7C" w14:textId="150B6EBA" w:rsidR="00CB6EA8" w:rsidRDefault="00CB6EA8">
          <w:pPr>
            <w:pStyle w:val="TOC2"/>
            <w:rPr>
              <w:rFonts w:asciiTheme="minorHAnsi" w:eastAsiaTheme="minorEastAsia" w:hAnsiTheme="minorHAnsi"/>
              <w:noProof/>
              <w:kern w:val="2"/>
              <w:sz w:val="22"/>
              <w:lang w:eastAsia="en-AU"/>
              <w14:ligatures w14:val="standardContextual"/>
            </w:rPr>
          </w:pPr>
          <w:hyperlink w:anchor="_Toc175846495" w:history="1">
            <w:r w:rsidRPr="00C75839">
              <w:rPr>
                <w:rStyle w:val="Hyperlink"/>
                <w:noProof/>
              </w:rPr>
              <w:t>Program 1.1 Health Research, Coordination and Access</w:t>
            </w:r>
            <w:r>
              <w:rPr>
                <w:noProof/>
                <w:webHidden/>
              </w:rPr>
              <w:tab/>
            </w:r>
            <w:r>
              <w:rPr>
                <w:noProof/>
                <w:webHidden/>
              </w:rPr>
              <w:fldChar w:fldCharType="begin"/>
            </w:r>
            <w:r>
              <w:rPr>
                <w:noProof/>
                <w:webHidden/>
              </w:rPr>
              <w:instrText xml:space="preserve"> PAGEREF _Toc175846495 \h </w:instrText>
            </w:r>
            <w:r>
              <w:rPr>
                <w:noProof/>
                <w:webHidden/>
              </w:rPr>
            </w:r>
            <w:r>
              <w:rPr>
                <w:noProof/>
                <w:webHidden/>
              </w:rPr>
              <w:fldChar w:fldCharType="separate"/>
            </w:r>
            <w:r>
              <w:rPr>
                <w:noProof/>
                <w:webHidden/>
              </w:rPr>
              <w:t>30</w:t>
            </w:r>
            <w:r>
              <w:rPr>
                <w:noProof/>
                <w:webHidden/>
              </w:rPr>
              <w:fldChar w:fldCharType="end"/>
            </w:r>
          </w:hyperlink>
        </w:p>
        <w:p w14:paraId="56B997EB" w14:textId="43458A64" w:rsidR="00CB6EA8" w:rsidRDefault="00CB6EA8">
          <w:pPr>
            <w:pStyle w:val="TOC2"/>
            <w:rPr>
              <w:rFonts w:asciiTheme="minorHAnsi" w:eastAsiaTheme="minorEastAsia" w:hAnsiTheme="minorHAnsi"/>
              <w:noProof/>
              <w:kern w:val="2"/>
              <w:sz w:val="22"/>
              <w:lang w:eastAsia="en-AU"/>
              <w14:ligatures w14:val="standardContextual"/>
            </w:rPr>
          </w:pPr>
          <w:hyperlink w:anchor="_Toc175846496" w:history="1">
            <w:r w:rsidRPr="00C75839">
              <w:rPr>
                <w:rStyle w:val="Hyperlink"/>
                <w:noProof/>
              </w:rPr>
              <w:t>Program 1.2 Mental Health</w:t>
            </w:r>
            <w:r>
              <w:rPr>
                <w:noProof/>
                <w:webHidden/>
              </w:rPr>
              <w:tab/>
            </w:r>
            <w:r>
              <w:rPr>
                <w:noProof/>
                <w:webHidden/>
              </w:rPr>
              <w:fldChar w:fldCharType="begin"/>
            </w:r>
            <w:r>
              <w:rPr>
                <w:noProof/>
                <w:webHidden/>
              </w:rPr>
              <w:instrText xml:space="preserve"> PAGEREF _Toc175846496 \h </w:instrText>
            </w:r>
            <w:r>
              <w:rPr>
                <w:noProof/>
                <w:webHidden/>
              </w:rPr>
            </w:r>
            <w:r>
              <w:rPr>
                <w:noProof/>
                <w:webHidden/>
              </w:rPr>
              <w:fldChar w:fldCharType="separate"/>
            </w:r>
            <w:r>
              <w:rPr>
                <w:noProof/>
                <w:webHidden/>
              </w:rPr>
              <w:t>32</w:t>
            </w:r>
            <w:r>
              <w:rPr>
                <w:noProof/>
                <w:webHidden/>
              </w:rPr>
              <w:fldChar w:fldCharType="end"/>
            </w:r>
          </w:hyperlink>
        </w:p>
        <w:p w14:paraId="2905EA6A" w14:textId="6E780AEC" w:rsidR="00CB6EA8" w:rsidRDefault="00CB6EA8">
          <w:pPr>
            <w:pStyle w:val="TOC2"/>
            <w:rPr>
              <w:rFonts w:asciiTheme="minorHAnsi" w:eastAsiaTheme="minorEastAsia" w:hAnsiTheme="minorHAnsi"/>
              <w:noProof/>
              <w:kern w:val="2"/>
              <w:sz w:val="22"/>
              <w:lang w:eastAsia="en-AU"/>
              <w14:ligatures w14:val="standardContextual"/>
            </w:rPr>
          </w:pPr>
          <w:hyperlink w:anchor="_Toc175846497" w:history="1">
            <w:r w:rsidRPr="00C75839">
              <w:rPr>
                <w:rStyle w:val="Hyperlink"/>
                <w:noProof/>
              </w:rPr>
              <w:t>Program 1.3 First Nations Health</w:t>
            </w:r>
            <w:r>
              <w:rPr>
                <w:noProof/>
                <w:webHidden/>
              </w:rPr>
              <w:tab/>
            </w:r>
            <w:r>
              <w:rPr>
                <w:noProof/>
                <w:webHidden/>
              </w:rPr>
              <w:fldChar w:fldCharType="begin"/>
            </w:r>
            <w:r>
              <w:rPr>
                <w:noProof/>
                <w:webHidden/>
              </w:rPr>
              <w:instrText xml:space="preserve"> PAGEREF _Toc175846497 \h </w:instrText>
            </w:r>
            <w:r>
              <w:rPr>
                <w:noProof/>
                <w:webHidden/>
              </w:rPr>
            </w:r>
            <w:r>
              <w:rPr>
                <w:noProof/>
                <w:webHidden/>
              </w:rPr>
              <w:fldChar w:fldCharType="separate"/>
            </w:r>
            <w:r>
              <w:rPr>
                <w:noProof/>
                <w:webHidden/>
              </w:rPr>
              <w:t>35</w:t>
            </w:r>
            <w:r>
              <w:rPr>
                <w:noProof/>
                <w:webHidden/>
              </w:rPr>
              <w:fldChar w:fldCharType="end"/>
            </w:r>
          </w:hyperlink>
        </w:p>
        <w:p w14:paraId="62FEA864" w14:textId="6A7A7D9C" w:rsidR="00CB6EA8" w:rsidRDefault="00CB6EA8">
          <w:pPr>
            <w:pStyle w:val="TOC2"/>
            <w:rPr>
              <w:rFonts w:asciiTheme="minorHAnsi" w:eastAsiaTheme="minorEastAsia" w:hAnsiTheme="minorHAnsi"/>
              <w:noProof/>
              <w:kern w:val="2"/>
              <w:sz w:val="22"/>
              <w:lang w:eastAsia="en-AU"/>
              <w14:ligatures w14:val="standardContextual"/>
            </w:rPr>
          </w:pPr>
          <w:hyperlink w:anchor="_Toc175846498" w:history="1">
            <w:r w:rsidRPr="00C75839">
              <w:rPr>
                <w:rStyle w:val="Hyperlink"/>
                <w:noProof/>
              </w:rPr>
              <w:t>Program 1.4 Health Workforce</w:t>
            </w:r>
            <w:r>
              <w:rPr>
                <w:noProof/>
                <w:webHidden/>
              </w:rPr>
              <w:tab/>
            </w:r>
            <w:r>
              <w:rPr>
                <w:noProof/>
                <w:webHidden/>
              </w:rPr>
              <w:fldChar w:fldCharType="begin"/>
            </w:r>
            <w:r>
              <w:rPr>
                <w:noProof/>
                <w:webHidden/>
              </w:rPr>
              <w:instrText xml:space="preserve"> PAGEREF _Toc175846498 \h </w:instrText>
            </w:r>
            <w:r>
              <w:rPr>
                <w:noProof/>
                <w:webHidden/>
              </w:rPr>
            </w:r>
            <w:r>
              <w:rPr>
                <w:noProof/>
                <w:webHidden/>
              </w:rPr>
              <w:fldChar w:fldCharType="separate"/>
            </w:r>
            <w:r>
              <w:rPr>
                <w:noProof/>
                <w:webHidden/>
              </w:rPr>
              <w:t>36</w:t>
            </w:r>
            <w:r>
              <w:rPr>
                <w:noProof/>
                <w:webHidden/>
              </w:rPr>
              <w:fldChar w:fldCharType="end"/>
            </w:r>
          </w:hyperlink>
        </w:p>
        <w:p w14:paraId="5E8EF3E5" w14:textId="4FFA97D4" w:rsidR="00CB6EA8" w:rsidRDefault="00CB6EA8">
          <w:pPr>
            <w:pStyle w:val="TOC2"/>
            <w:rPr>
              <w:rFonts w:asciiTheme="minorHAnsi" w:eastAsiaTheme="minorEastAsia" w:hAnsiTheme="minorHAnsi"/>
              <w:noProof/>
              <w:kern w:val="2"/>
              <w:sz w:val="22"/>
              <w:lang w:eastAsia="en-AU"/>
              <w14:ligatures w14:val="standardContextual"/>
            </w:rPr>
          </w:pPr>
          <w:hyperlink w:anchor="_Toc175846499" w:history="1">
            <w:r w:rsidRPr="00C75839">
              <w:rPr>
                <w:rStyle w:val="Hyperlink"/>
                <w:noProof/>
              </w:rPr>
              <w:t>Program 1.5 Preventive Health and Chronic Disease Support</w:t>
            </w:r>
            <w:r>
              <w:rPr>
                <w:noProof/>
                <w:webHidden/>
              </w:rPr>
              <w:tab/>
            </w:r>
            <w:r>
              <w:rPr>
                <w:noProof/>
                <w:webHidden/>
              </w:rPr>
              <w:fldChar w:fldCharType="begin"/>
            </w:r>
            <w:r>
              <w:rPr>
                <w:noProof/>
                <w:webHidden/>
              </w:rPr>
              <w:instrText xml:space="preserve"> PAGEREF _Toc175846499 \h </w:instrText>
            </w:r>
            <w:r>
              <w:rPr>
                <w:noProof/>
                <w:webHidden/>
              </w:rPr>
            </w:r>
            <w:r>
              <w:rPr>
                <w:noProof/>
                <w:webHidden/>
              </w:rPr>
              <w:fldChar w:fldCharType="separate"/>
            </w:r>
            <w:r>
              <w:rPr>
                <w:noProof/>
                <w:webHidden/>
              </w:rPr>
              <w:t>38</w:t>
            </w:r>
            <w:r>
              <w:rPr>
                <w:noProof/>
                <w:webHidden/>
              </w:rPr>
              <w:fldChar w:fldCharType="end"/>
            </w:r>
          </w:hyperlink>
        </w:p>
        <w:p w14:paraId="2D2F83CA" w14:textId="6F0A1D20" w:rsidR="00CB6EA8" w:rsidRDefault="00CB6EA8">
          <w:pPr>
            <w:pStyle w:val="TOC2"/>
            <w:rPr>
              <w:rFonts w:asciiTheme="minorHAnsi" w:eastAsiaTheme="minorEastAsia" w:hAnsiTheme="minorHAnsi"/>
              <w:noProof/>
              <w:kern w:val="2"/>
              <w:sz w:val="22"/>
              <w:lang w:eastAsia="en-AU"/>
              <w14:ligatures w14:val="standardContextual"/>
            </w:rPr>
          </w:pPr>
          <w:hyperlink w:anchor="_Toc175846500" w:history="1">
            <w:r w:rsidRPr="00C75839">
              <w:rPr>
                <w:rStyle w:val="Hyperlink"/>
                <w:noProof/>
              </w:rPr>
              <w:t>Program 1.6 Primary Health Care Quality and Coordination</w:t>
            </w:r>
            <w:r>
              <w:rPr>
                <w:noProof/>
                <w:webHidden/>
              </w:rPr>
              <w:tab/>
            </w:r>
            <w:r>
              <w:rPr>
                <w:noProof/>
                <w:webHidden/>
              </w:rPr>
              <w:fldChar w:fldCharType="begin"/>
            </w:r>
            <w:r>
              <w:rPr>
                <w:noProof/>
                <w:webHidden/>
              </w:rPr>
              <w:instrText xml:space="preserve"> PAGEREF _Toc175846500 \h </w:instrText>
            </w:r>
            <w:r>
              <w:rPr>
                <w:noProof/>
                <w:webHidden/>
              </w:rPr>
            </w:r>
            <w:r>
              <w:rPr>
                <w:noProof/>
                <w:webHidden/>
              </w:rPr>
              <w:fldChar w:fldCharType="separate"/>
            </w:r>
            <w:r>
              <w:rPr>
                <w:noProof/>
                <w:webHidden/>
              </w:rPr>
              <w:t>43</w:t>
            </w:r>
            <w:r>
              <w:rPr>
                <w:noProof/>
                <w:webHidden/>
              </w:rPr>
              <w:fldChar w:fldCharType="end"/>
            </w:r>
          </w:hyperlink>
        </w:p>
        <w:p w14:paraId="12DFAFEE" w14:textId="3138E3B6" w:rsidR="00CB6EA8" w:rsidRDefault="00CB6EA8">
          <w:pPr>
            <w:pStyle w:val="TOC2"/>
            <w:rPr>
              <w:rFonts w:asciiTheme="minorHAnsi" w:eastAsiaTheme="minorEastAsia" w:hAnsiTheme="minorHAnsi"/>
              <w:noProof/>
              <w:kern w:val="2"/>
              <w:sz w:val="22"/>
              <w:lang w:eastAsia="en-AU"/>
              <w14:ligatures w14:val="standardContextual"/>
            </w:rPr>
          </w:pPr>
          <w:hyperlink w:anchor="_Toc175846501" w:history="1">
            <w:r w:rsidRPr="00C75839">
              <w:rPr>
                <w:rStyle w:val="Hyperlink"/>
                <w:noProof/>
              </w:rPr>
              <w:t>Program 1.7 Primary Care Practice Incentives and Medical Indemnity</w:t>
            </w:r>
            <w:r>
              <w:rPr>
                <w:noProof/>
                <w:webHidden/>
              </w:rPr>
              <w:tab/>
            </w:r>
            <w:r>
              <w:rPr>
                <w:noProof/>
                <w:webHidden/>
              </w:rPr>
              <w:fldChar w:fldCharType="begin"/>
            </w:r>
            <w:r>
              <w:rPr>
                <w:noProof/>
                <w:webHidden/>
              </w:rPr>
              <w:instrText xml:space="preserve"> PAGEREF _Toc175846501 \h </w:instrText>
            </w:r>
            <w:r>
              <w:rPr>
                <w:noProof/>
                <w:webHidden/>
              </w:rPr>
            </w:r>
            <w:r>
              <w:rPr>
                <w:noProof/>
                <w:webHidden/>
              </w:rPr>
              <w:fldChar w:fldCharType="separate"/>
            </w:r>
            <w:r>
              <w:rPr>
                <w:noProof/>
                <w:webHidden/>
              </w:rPr>
              <w:t>46</w:t>
            </w:r>
            <w:r>
              <w:rPr>
                <w:noProof/>
                <w:webHidden/>
              </w:rPr>
              <w:fldChar w:fldCharType="end"/>
            </w:r>
          </w:hyperlink>
        </w:p>
        <w:p w14:paraId="2A6D053E" w14:textId="657E494A" w:rsidR="00CB6EA8" w:rsidRDefault="00CB6EA8">
          <w:pPr>
            <w:pStyle w:val="TOC2"/>
            <w:rPr>
              <w:rFonts w:asciiTheme="minorHAnsi" w:eastAsiaTheme="minorEastAsia" w:hAnsiTheme="minorHAnsi"/>
              <w:noProof/>
              <w:kern w:val="2"/>
              <w:sz w:val="22"/>
              <w:lang w:eastAsia="en-AU"/>
              <w14:ligatures w14:val="standardContextual"/>
            </w:rPr>
          </w:pPr>
          <w:hyperlink w:anchor="_Toc175846502" w:history="1">
            <w:r w:rsidRPr="00C75839">
              <w:rPr>
                <w:rStyle w:val="Hyperlink"/>
                <w:noProof/>
              </w:rPr>
              <w:t>Program 1.8 Health Protection, Emergency Response and Regulation</w:t>
            </w:r>
            <w:r>
              <w:rPr>
                <w:noProof/>
                <w:webHidden/>
              </w:rPr>
              <w:tab/>
            </w:r>
            <w:r>
              <w:rPr>
                <w:noProof/>
                <w:webHidden/>
              </w:rPr>
              <w:fldChar w:fldCharType="begin"/>
            </w:r>
            <w:r>
              <w:rPr>
                <w:noProof/>
                <w:webHidden/>
              </w:rPr>
              <w:instrText xml:space="preserve"> PAGEREF _Toc175846502 \h </w:instrText>
            </w:r>
            <w:r>
              <w:rPr>
                <w:noProof/>
                <w:webHidden/>
              </w:rPr>
            </w:r>
            <w:r>
              <w:rPr>
                <w:noProof/>
                <w:webHidden/>
              </w:rPr>
              <w:fldChar w:fldCharType="separate"/>
            </w:r>
            <w:r>
              <w:rPr>
                <w:noProof/>
                <w:webHidden/>
              </w:rPr>
              <w:t>48</w:t>
            </w:r>
            <w:r>
              <w:rPr>
                <w:noProof/>
                <w:webHidden/>
              </w:rPr>
              <w:fldChar w:fldCharType="end"/>
            </w:r>
          </w:hyperlink>
        </w:p>
        <w:p w14:paraId="336EF5D0" w14:textId="0F568DBC" w:rsidR="00CB6EA8" w:rsidRDefault="00CB6EA8">
          <w:pPr>
            <w:pStyle w:val="TOC2"/>
            <w:rPr>
              <w:rFonts w:asciiTheme="minorHAnsi" w:eastAsiaTheme="minorEastAsia" w:hAnsiTheme="minorHAnsi"/>
              <w:noProof/>
              <w:kern w:val="2"/>
              <w:sz w:val="22"/>
              <w:lang w:eastAsia="en-AU"/>
              <w14:ligatures w14:val="standardContextual"/>
            </w:rPr>
          </w:pPr>
          <w:hyperlink w:anchor="_Toc175846503" w:history="1">
            <w:r w:rsidRPr="00C75839">
              <w:rPr>
                <w:rStyle w:val="Hyperlink"/>
                <w:noProof/>
              </w:rPr>
              <w:t>Program 1.9 Immunisation</w:t>
            </w:r>
            <w:r>
              <w:rPr>
                <w:noProof/>
                <w:webHidden/>
              </w:rPr>
              <w:tab/>
            </w:r>
            <w:r>
              <w:rPr>
                <w:noProof/>
                <w:webHidden/>
              </w:rPr>
              <w:fldChar w:fldCharType="begin"/>
            </w:r>
            <w:r>
              <w:rPr>
                <w:noProof/>
                <w:webHidden/>
              </w:rPr>
              <w:instrText xml:space="preserve"> PAGEREF _Toc175846503 \h </w:instrText>
            </w:r>
            <w:r>
              <w:rPr>
                <w:noProof/>
                <w:webHidden/>
              </w:rPr>
            </w:r>
            <w:r>
              <w:rPr>
                <w:noProof/>
                <w:webHidden/>
              </w:rPr>
              <w:fldChar w:fldCharType="separate"/>
            </w:r>
            <w:r>
              <w:rPr>
                <w:noProof/>
                <w:webHidden/>
              </w:rPr>
              <w:t>51</w:t>
            </w:r>
            <w:r>
              <w:rPr>
                <w:noProof/>
                <w:webHidden/>
              </w:rPr>
              <w:fldChar w:fldCharType="end"/>
            </w:r>
          </w:hyperlink>
        </w:p>
        <w:p w14:paraId="42D901AE" w14:textId="2EBD7544" w:rsidR="00CB6EA8" w:rsidRDefault="00CB6EA8" w:rsidP="00CB6EA8">
          <w:pPr>
            <w:pStyle w:val="TOC1"/>
            <w:rPr>
              <w:rFonts w:asciiTheme="minorHAnsi" w:hAnsiTheme="minorHAnsi" w:cstheme="minorBidi"/>
              <w:kern w:val="2"/>
              <w:sz w:val="22"/>
              <w:lang w:val="en-AU" w:eastAsia="en-AU"/>
              <w14:ligatures w14:val="standardContextual"/>
            </w:rPr>
          </w:pPr>
          <w:hyperlink w:anchor="_Toc175846504" w:history="1">
            <w:r w:rsidRPr="00C75839">
              <w:rPr>
                <w:rStyle w:val="Hyperlink"/>
                <w:rFonts w:eastAsiaTheme="minorHAnsi"/>
              </w:rPr>
              <w:t>Outcome 2 Individual Health Benefits</w:t>
            </w:r>
            <w:r>
              <w:rPr>
                <w:webHidden/>
              </w:rPr>
              <w:tab/>
            </w:r>
            <w:r>
              <w:rPr>
                <w:webHidden/>
              </w:rPr>
              <w:fldChar w:fldCharType="begin"/>
            </w:r>
            <w:r>
              <w:rPr>
                <w:webHidden/>
              </w:rPr>
              <w:instrText xml:space="preserve"> PAGEREF _Toc175846504 \h </w:instrText>
            </w:r>
            <w:r>
              <w:rPr>
                <w:webHidden/>
              </w:rPr>
            </w:r>
            <w:r>
              <w:rPr>
                <w:webHidden/>
              </w:rPr>
              <w:fldChar w:fldCharType="separate"/>
            </w:r>
            <w:r>
              <w:rPr>
                <w:webHidden/>
              </w:rPr>
              <w:t>52</w:t>
            </w:r>
            <w:r>
              <w:rPr>
                <w:webHidden/>
              </w:rPr>
              <w:fldChar w:fldCharType="end"/>
            </w:r>
          </w:hyperlink>
        </w:p>
        <w:p w14:paraId="1A22573D" w14:textId="24697192" w:rsidR="00CB6EA8" w:rsidRDefault="00CB6EA8">
          <w:pPr>
            <w:pStyle w:val="TOC2"/>
            <w:rPr>
              <w:rFonts w:asciiTheme="minorHAnsi" w:eastAsiaTheme="minorEastAsia" w:hAnsiTheme="minorHAnsi"/>
              <w:noProof/>
              <w:kern w:val="2"/>
              <w:sz w:val="22"/>
              <w:lang w:eastAsia="en-AU"/>
              <w14:ligatures w14:val="standardContextual"/>
            </w:rPr>
          </w:pPr>
          <w:hyperlink w:anchor="_Toc175846505" w:history="1">
            <w:r w:rsidRPr="00C75839">
              <w:rPr>
                <w:rStyle w:val="Hyperlink"/>
                <w:noProof/>
              </w:rPr>
              <w:t>Program 2.1 Medical Benefits</w:t>
            </w:r>
            <w:r>
              <w:rPr>
                <w:noProof/>
                <w:webHidden/>
              </w:rPr>
              <w:tab/>
            </w:r>
            <w:r>
              <w:rPr>
                <w:noProof/>
                <w:webHidden/>
              </w:rPr>
              <w:fldChar w:fldCharType="begin"/>
            </w:r>
            <w:r>
              <w:rPr>
                <w:noProof/>
                <w:webHidden/>
              </w:rPr>
              <w:instrText xml:space="preserve"> PAGEREF _Toc175846505 \h </w:instrText>
            </w:r>
            <w:r>
              <w:rPr>
                <w:noProof/>
                <w:webHidden/>
              </w:rPr>
            </w:r>
            <w:r>
              <w:rPr>
                <w:noProof/>
                <w:webHidden/>
              </w:rPr>
              <w:fldChar w:fldCharType="separate"/>
            </w:r>
            <w:r>
              <w:rPr>
                <w:noProof/>
                <w:webHidden/>
              </w:rPr>
              <w:t>53</w:t>
            </w:r>
            <w:r>
              <w:rPr>
                <w:noProof/>
                <w:webHidden/>
              </w:rPr>
              <w:fldChar w:fldCharType="end"/>
            </w:r>
          </w:hyperlink>
        </w:p>
        <w:p w14:paraId="32798FA2" w14:textId="09F0D05E" w:rsidR="00CB6EA8" w:rsidRDefault="00CB6EA8">
          <w:pPr>
            <w:pStyle w:val="TOC2"/>
            <w:rPr>
              <w:rFonts w:asciiTheme="minorHAnsi" w:eastAsiaTheme="minorEastAsia" w:hAnsiTheme="minorHAnsi"/>
              <w:noProof/>
              <w:kern w:val="2"/>
              <w:sz w:val="22"/>
              <w:lang w:eastAsia="en-AU"/>
              <w14:ligatures w14:val="standardContextual"/>
            </w:rPr>
          </w:pPr>
          <w:hyperlink w:anchor="_Toc175846506" w:history="1">
            <w:r w:rsidRPr="00C75839">
              <w:rPr>
                <w:rStyle w:val="Hyperlink"/>
                <w:noProof/>
              </w:rPr>
              <w:t>Program 2.2 Hearing Services</w:t>
            </w:r>
            <w:r>
              <w:rPr>
                <w:noProof/>
                <w:webHidden/>
              </w:rPr>
              <w:tab/>
            </w:r>
            <w:r>
              <w:rPr>
                <w:noProof/>
                <w:webHidden/>
              </w:rPr>
              <w:fldChar w:fldCharType="begin"/>
            </w:r>
            <w:r>
              <w:rPr>
                <w:noProof/>
                <w:webHidden/>
              </w:rPr>
              <w:instrText xml:space="preserve"> PAGEREF _Toc175846506 \h </w:instrText>
            </w:r>
            <w:r>
              <w:rPr>
                <w:noProof/>
                <w:webHidden/>
              </w:rPr>
            </w:r>
            <w:r>
              <w:rPr>
                <w:noProof/>
                <w:webHidden/>
              </w:rPr>
              <w:fldChar w:fldCharType="separate"/>
            </w:r>
            <w:r>
              <w:rPr>
                <w:noProof/>
                <w:webHidden/>
              </w:rPr>
              <w:t>53</w:t>
            </w:r>
            <w:r>
              <w:rPr>
                <w:noProof/>
                <w:webHidden/>
              </w:rPr>
              <w:fldChar w:fldCharType="end"/>
            </w:r>
          </w:hyperlink>
        </w:p>
        <w:p w14:paraId="7C8816D6" w14:textId="3507D031" w:rsidR="00CB6EA8" w:rsidRDefault="00CB6EA8">
          <w:pPr>
            <w:pStyle w:val="TOC2"/>
            <w:rPr>
              <w:rFonts w:asciiTheme="minorHAnsi" w:eastAsiaTheme="minorEastAsia" w:hAnsiTheme="minorHAnsi"/>
              <w:noProof/>
              <w:kern w:val="2"/>
              <w:sz w:val="22"/>
              <w:lang w:eastAsia="en-AU"/>
              <w14:ligatures w14:val="standardContextual"/>
            </w:rPr>
          </w:pPr>
          <w:hyperlink w:anchor="_Toc175846507" w:history="1">
            <w:r w:rsidRPr="00C75839">
              <w:rPr>
                <w:rStyle w:val="Hyperlink"/>
                <w:noProof/>
              </w:rPr>
              <w:t>Program 2.3 Pharmaceutical Benefits</w:t>
            </w:r>
            <w:r>
              <w:rPr>
                <w:noProof/>
                <w:webHidden/>
              </w:rPr>
              <w:tab/>
            </w:r>
            <w:r>
              <w:rPr>
                <w:noProof/>
                <w:webHidden/>
              </w:rPr>
              <w:fldChar w:fldCharType="begin"/>
            </w:r>
            <w:r>
              <w:rPr>
                <w:noProof/>
                <w:webHidden/>
              </w:rPr>
              <w:instrText xml:space="preserve"> PAGEREF _Toc175846507 \h </w:instrText>
            </w:r>
            <w:r>
              <w:rPr>
                <w:noProof/>
                <w:webHidden/>
              </w:rPr>
            </w:r>
            <w:r>
              <w:rPr>
                <w:noProof/>
                <w:webHidden/>
              </w:rPr>
              <w:fldChar w:fldCharType="separate"/>
            </w:r>
            <w:r>
              <w:rPr>
                <w:noProof/>
                <w:webHidden/>
              </w:rPr>
              <w:t>55</w:t>
            </w:r>
            <w:r>
              <w:rPr>
                <w:noProof/>
                <w:webHidden/>
              </w:rPr>
              <w:fldChar w:fldCharType="end"/>
            </w:r>
          </w:hyperlink>
        </w:p>
        <w:p w14:paraId="0BE0F98B" w14:textId="784E4C74" w:rsidR="00CB6EA8" w:rsidRDefault="00CB6EA8">
          <w:pPr>
            <w:pStyle w:val="TOC2"/>
            <w:rPr>
              <w:rFonts w:asciiTheme="minorHAnsi" w:eastAsiaTheme="minorEastAsia" w:hAnsiTheme="minorHAnsi"/>
              <w:noProof/>
              <w:kern w:val="2"/>
              <w:sz w:val="22"/>
              <w:lang w:eastAsia="en-AU"/>
              <w14:ligatures w14:val="standardContextual"/>
            </w:rPr>
          </w:pPr>
          <w:hyperlink w:anchor="_Toc175846508" w:history="1">
            <w:r w:rsidRPr="00C75839">
              <w:rPr>
                <w:rStyle w:val="Hyperlink"/>
                <w:noProof/>
              </w:rPr>
              <w:t>Program 2.4 Private Health Insurance</w:t>
            </w:r>
            <w:r>
              <w:rPr>
                <w:noProof/>
                <w:webHidden/>
              </w:rPr>
              <w:tab/>
            </w:r>
            <w:r>
              <w:rPr>
                <w:noProof/>
                <w:webHidden/>
              </w:rPr>
              <w:fldChar w:fldCharType="begin"/>
            </w:r>
            <w:r>
              <w:rPr>
                <w:noProof/>
                <w:webHidden/>
              </w:rPr>
              <w:instrText xml:space="preserve"> PAGEREF _Toc175846508 \h </w:instrText>
            </w:r>
            <w:r>
              <w:rPr>
                <w:noProof/>
                <w:webHidden/>
              </w:rPr>
            </w:r>
            <w:r>
              <w:rPr>
                <w:noProof/>
                <w:webHidden/>
              </w:rPr>
              <w:fldChar w:fldCharType="separate"/>
            </w:r>
            <w:r>
              <w:rPr>
                <w:noProof/>
                <w:webHidden/>
              </w:rPr>
              <w:t>55</w:t>
            </w:r>
            <w:r>
              <w:rPr>
                <w:noProof/>
                <w:webHidden/>
              </w:rPr>
              <w:fldChar w:fldCharType="end"/>
            </w:r>
          </w:hyperlink>
        </w:p>
        <w:p w14:paraId="50D20F41" w14:textId="6F827C00" w:rsidR="00CB6EA8" w:rsidRDefault="00CB6EA8">
          <w:pPr>
            <w:pStyle w:val="TOC2"/>
            <w:rPr>
              <w:rFonts w:asciiTheme="minorHAnsi" w:eastAsiaTheme="minorEastAsia" w:hAnsiTheme="minorHAnsi"/>
              <w:noProof/>
              <w:kern w:val="2"/>
              <w:sz w:val="22"/>
              <w:lang w:eastAsia="en-AU"/>
              <w14:ligatures w14:val="standardContextual"/>
            </w:rPr>
          </w:pPr>
          <w:hyperlink w:anchor="_Toc175846509" w:history="1">
            <w:r w:rsidRPr="00C75839">
              <w:rPr>
                <w:rStyle w:val="Hyperlink"/>
                <w:noProof/>
              </w:rPr>
              <w:t>Program 2.5 Dental Services</w:t>
            </w:r>
            <w:r>
              <w:rPr>
                <w:noProof/>
                <w:webHidden/>
              </w:rPr>
              <w:tab/>
            </w:r>
            <w:r>
              <w:rPr>
                <w:noProof/>
                <w:webHidden/>
              </w:rPr>
              <w:fldChar w:fldCharType="begin"/>
            </w:r>
            <w:r>
              <w:rPr>
                <w:noProof/>
                <w:webHidden/>
              </w:rPr>
              <w:instrText xml:space="preserve"> PAGEREF _Toc175846509 \h </w:instrText>
            </w:r>
            <w:r>
              <w:rPr>
                <w:noProof/>
                <w:webHidden/>
              </w:rPr>
            </w:r>
            <w:r>
              <w:rPr>
                <w:noProof/>
                <w:webHidden/>
              </w:rPr>
              <w:fldChar w:fldCharType="separate"/>
            </w:r>
            <w:r>
              <w:rPr>
                <w:noProof/>
                <w:webHidden/>
              </w:rPr>
              <w:t>56</w:t>
            </w:r>
            <w:r>
              <w:rPr>
                <w:noProof/>
                <w:webHidden/>
              </w:rPr>
              <w:fldChar w:fldCharType="end"/>
            </w:r>
          </w:hyperlink>
        </w:p>
        <w:p w14:paraId="25A00E93" w14:textId="5C9226CE" w:rsidR="00CB6EA8" w:rsidRDefault="00CB6EA8">
          <w:pPr>
            <w:pStyle w:val="TOC2"/>
            <w:rPr>
              <w:rFonts w:asciiTheme="minorHAnsi" w:eastAsiaTheme="minorEastAsia" w:hAnsiTheme="minorHAnsi"/>
              <w:noProof/>
              <w:kern w:val="2"/>
              <w:sz w:val="22"/>
              <w:lang w:eastAsia="en-AU"/>
              <w14:ligatures w14:val="standardContextual"/>
            </w:rPr>
          </w:pPr>
          <w:hyperlink w:anchor="_Toc175846510" w:history="1">
            <w:r w:rsidRPr="00C75839">
              <w:rPr>
                <w:rStyle w:val="Hyperlink"/>
                <w:noProof/>
              </w:rPr>
              <w:t>Program 2.6 Health Benefit Compliance</w:t>
            </w:r>
            <w:r>
              <w:rPr>
                <w:noProof/>
                <w:webHidden/>
              </w:rPr>
              <w:tab/>
            </w:r>
            <w:r>
              <w:rPr>
                <w:noProof/>
                <w:webHidden/>
              </w:rPr>
              <w:fldChar w:fldCharType="begin"/>
            </w:r>
            <w:r>
              <w:rPr>
                <w:noProof/>
                <w:webHidden/>
              </w:rPr>
              <w:instrText xml:space="preserve"> PAGEREF _Toc175846510 \h </w:instrText>
            </w:r>
            <w:r>
              <w:rPr>
                <w:noProof/>
                <w:webHidden/>
              </w:rPr>
            </w:r>
            <w:r>
              <w:rPr>
                <w:noProof/>
                <w:webHidden/>
              </w:rPr>
              <w:fldChar w:fldCharType="separate"/>
            </w:r>
            <w:r>
              <w:rPr>
                <w:noProof/>
                <w:webHidden/>
              </w:rPr>
              <w:t>57</w:t>
            </w:r>
            <w:r>
              <w:rPr>
                <w:noProof/>
                <w:webHidden/>
              </w:rPr>
              <w:fldChar w:fldCharType="end"/>
            </w:r>
          </w:hyperlink>
        </w:p>
        <w:p w14:paraId="085BEEB4" w14:textId="04B1645D" w:rsidR="00CB6EA8" w:rsidRDefault="00CB6EA8">
          <w:pPr>
            <w:pStyle w:val="TOC2"/>
            <w:rPr>
              <w:rFonts w:asciiTheme="minorHAnsi" w:eastAsiaTheme="minorEastAsia" w:hAnsiTheme="minorHAnsi"/>
              <w:noProof/>
              <w:kern w:val="2"/>
              <w:sz w:val="22"/>
              <w:lang w:eastAsia="en-AU"/>
              <w14:ligatures w14:val="standardContextual"/>
            </w:rPr>
          </w:pPr>
          <w:hyperlink w:anchor="_Toc175846511" w:history="1">
            <w:r w:rsidRPr="00C75839">
              <w:rPr>
                <w:rStyle w:val="Hyperlink"/>
                <w:noProof/>
              </w:rPr>
              <w:t>Program 2.7 Assistance through Aids and Appliances</w:t>
            </w:r>
            <w:r>
              <w:rPr>
                <w:noProof/>
                <w:webHidden/>
              </w:rPr>
              <w:tab/>
            </w:r>
            <w:r>
              <w:rPr>
                <w:noProof/>
                <w:webHidden/>
              </w:rPr>
              <w:fldChar w:fldCharType="begin"/>
            </w:r>
            <w:r>
              <w:rPr>
                <w:noProof/>
                <w:webHidden/>
              </w:rPr>
              <w:instrText xml:space="preserve"> PAGEREF _Toc175846511 \h </w:instrText>
            </w:r>
            <w:r>
              <w:rPr>
                <w:noProof/>
                <w:webHidden/>
              </w:rPr>
            </w:r>
            <w:r>
              <w:rPr>
                <w:noProof/>
                <w:webHidden/>
              </w:rPr>
              <w:fldChar w:fldCharType="separate"/>
            </w:r>
            <w:r>
              <w:rPr>
                <w:noProof/>
                <w:webHidden/>
              </w:rPr>
              <w:t>58</w:t>
            </w:r>
            <w:r>
              <w:rPr>
                <w:noProof/>
                <w:webHidden/>
              </w:rPr>
              <w:fldChar w:fldCharType="end"/>
            </w:r>
          </w:hyperlink>
        </w:p>
        <w:p w14:paraId="49E125F0" w14:textId="4AAE6527" w:rsidR="00CB6EA8" w:rsidRDefault="00CB6EA8" w:rsidP="00CB6EA8">
          <w:pPr>
            <w:pStyle w:val="TOC1"/>
            <w:rPr>
              <w:rFonts w:asciiTheme="minorHAnsi" w:hAnsiTheme="minorHAnsi" w:cstheme="minorBidi"/>
              <w:kern w:val="2"/>
              <w:sz w:val="22"/>
              <w:lang w:val="en-AU" w:eastAsia="en-AU"/>
              <w14:ligatures w14:val="standardContextual"/>
            </w:rPr>
          </w:pPr>
          <w:hyperlink w:anchor="_Toc175846512" w:history="1">
            <w:r w:rsidRPr="00C75839">
              <w:rPr>
                <w:rStyle w:val="Hyperlink"/>
              </w:rPr>
              <w:t>Outcome 3 Ageing and Aged Care</w:t>
            </w:r>
            <w:r>
              <w:rPr>
                <w:webHidden/>
              </w:rPr>
              <w:tab/>
            </w:r>
            <w:r>
              <w:rPr>
                <w:webHidden/>
              </w:rPr>
              <w:fldChar w:fldCharType="begin"/>
            </w:r>
            <w:r>
              <w:rPr>
                <w:webHidden/>
              </w:rPr>
              <w:instrText xml:space="preserve"> PAGEREF _Toc175846512 \h </w:instrText>
            </w:r>
            <w:r>
              <w:rPr>
                <w:webHidden/>
              </w:rPr>
            </w:r>
            <w:r>
              <w:rPr>
                <w:webHidden/>
              </w:rPr>
              <w:fldChar w:fldCharType="separate"/>
            </w:r>
            <w:r>
              <w:rPr>
                <w:webHidden/>
              </w:rPr>
              <w:t>60</w:t>
            </w:r>
            <w:r>
              <w:rPr>
                <w:webHidden/>
              </w:rPr>
              <w:fldChar w:fldCharType="end"/>
            </w:r>
          </w:hyperlink>
        </w:p>
        <w:p w14:paraId="5D794B04" w14:textId="6339DAC0" w:rsidR="00CB6EA8" w:rsidRDefault="00CB6EA8">
          <w:pPr>
            <w:pStyle w:val="TOC2"/>
            <w:rPr>
              <w:rFonts w:asciiTheme="minorHAnsi" w:eastAsiaTheme="minorEastAsia" w:hAnsiTheme="minorHAnsi"/>
              <w:noProof/>
              <w:kern w:val="2"/>
              <w:sz w:val="22"/>
              <w:lang w:eastAsia="en-AU"/>
              <w14:ligatures w14:val="standardContextual"/>
            </w:rPr>
          </w:pPr>
          <w:hyperlink w:anchor="_Toc175846513" w:history="1">
            <w:r w:rsidRPr="00C75839">
              <w:rPr>
                <w:rStyle w:val="Hyperlink"/>
                <w:rFonts w:cs="Arial"/>
                <w:noProof/>
              </w:rPr>
              <w:t>Program 3.1 Access and Information</w:t>
            </w:r>
            <w:r>
              <w:rPr>
                <w:noProof/>
                <w:webHidden/>
              </w:rPr>
              <w:tab/>
            </w:r>
            <w:r>
              <w:rPr>
                <w:noProof/>
                <w:webHidden/>
              </w:rPr>
              <w:fldChar w:fldCharType="begin"/>
            </w:r>
            <w:r>
              <w:rPr>
                <w:noProof/>
                <w:webHidden/>
              </w:rPr>
              <w:instrText xml:space="preserve"> PAGEREF _Toc175846513 \h </w:instrText>
            </w:r>
            <w:r>
              <w:rPr>
                <w:noProof/>
                <w:webHidden/>
              </w:rPr>
            </w:r>
            <w:r>
              <w:rPr>
                <w:noProof/>
                <w:webHidden/>
              </w:rPr>
              <w:fldChar w:fldCharType="separate"/>
            </w:r>
            <w:r>
              <w:rPr>
                <w:noProof/>
                <w:webHidden/>
              </w:rPr>
              <w:t>61</w:t>
            </w:r>
            <w:r>
              <w:rPr>
                <w:noProof/>
                <w:webHidden/>
              </w:rPr>
              <w:fldChar w:fldCharType="end"/>
            </w:r>
          </w:hyperlink>
        </w:p>
        <w:p w14:paraId="113FC8B3" w14:textId="7431E8D8" w:rsidR="00CB6EA8" w:rsidRDefault="00CB6EA8">
          <w:pPr>
            <w:pStyle w:val="TOC2"/>
            <w:rPr>
              <w:rFonts w:asciiTheme="minorHAnsi" w:eastAsiaTheme="minorEastAsia" w:hAnsiTheme="minorHAnsi"/>
              <w:noProof/>
              <w:kern w:val="2"/>
              <w:sz w:val="22"/>
              <w:lang w:eastAsia="en-AU"/>
              <w14:ligatures w14:val="standardContextual"/>
            </w:rPr>
          </w:pPr>
          <w:hyperlink w:anchor="_Toc175846514" w:history="1">
            <w:r w:rsidRPr="00C75839">
              <w:rPr>
                <w:rStyle w:val="Hyperlink"/>
                <w:noProof/>
              </w:rPr>
              <w:t>Program 3.2 Aged Care Services</w:t>
            </w:r>
            <w:r>
              <w:rPr>
                <w:noProof/>
                <w:webHidden/>
              </w:rPr>
              <w:tab/>
            </w:r>
            <w:r>
              <w:rPr>
                <w:noProof/>
                <w:webHidden/>
              </w:rPr>
              <w:fldChar w:fldCharType="begin"/>
            </w:r>
            <w:r>
              <w:rPr>
                <w:noProof/>
                <w:webHidden/>
              </w:rPr>
              <w:instrText xml:space="preserve"> PAGEREF _Toc175846514 \h </w:instrText>
            </w:r>
            <w:r>
              <w:rPr>
                <w:noProof/>
                <w:webHidden/>
              </w:rPr>
            </w:r>
            <w:r>
              <w:rPr>
                <w:noProof/>
                <w:webHidden/>
              </w:rPr>
              <w:fldChar w:fldCharType="separate"/>
            </w:r>
            <w:r>
              <w:rPr>
                <w:noProof/>
                <w:webHidden/>
              </w:rPr>
              <w:t>63</w:t>
            </w:r>
            <w:r>
              <w:rPr>
                <w:noProof/>
                <w:webHidden/>
              </w:rPr>
              <w:fldChar w:fldCharType="end"/>
            </w:r>
          </w:hyperlink>
        </w:p>
        <w:p w14:paraId="57033240" w14:textId="59B199A7" w:rsidR="00CB6EA8" w:rsidRDefault="00CB6EA8">
          <w:pPr>
            <w:pStyle w:val="TOC2"/>
            <w:rPr>
              <w:rFonts w:asciiTheme="minorHAnsi" w:eastAsiaTheme="minorEastAsia" w:hAnsiTheme="minorHAnsi"/>
              <w:noProof/>
              <w:kern w:val="2"/>
              <w:sz w:val="22"/>
              <w:lang w:eastAsia="en-AU"/>
              <w14:ligatures w14:val="standardContextual"/>
            </w:rPr>
          </w:pPr>
          <w:hyperlink w:anchor="_Toc175846515" w:history="1">
            <w:r w:rsidRPr="00C75839">
              <w:rPr>
                <w:rStyle w:val="Hyperlink"/>
                <w:noProof/>
              </w:rPr>
              <w:t>Program 3.3 Aged Care Quality</w:t>
            </w:r>
            <w:r>
              <w:rPr>
                <w:noProof/>
                <w:webHidden/>
              </w:rPr>
              <w:tab/>
            </w:r>
            <w:r>
              <w:rPr>
                <w:noProof/>
                <w:webHidden/>
              </w:rPr>
              <w:fldChar w:fldCharType="begin"/>
            </w:r>
            <w:r>
              <w:rPr>
                <w:noProof/>
                <w:webHidden/>
              </w:rPr>
              <w:instrText xml:space="preserve"> PAGEREF _Toc175846515 \h </w:instrText>
            </w:r>
            <w:r>
              <w:rPr>
                <w:noProof/>
                <w:webHidden/>
              </w:rPr>
            </w:r>
            <w:r>
              <w:rPr>
                <w:noProof/>
                <w:webHidden/>
              </w:rPr>
              <w:fldChar w:fldCharType="separate"/>
            </w:r>
            <w:r>
              <w:rPr>
                <w:noProof/>
                <w:webHidden/>
              </w:rPr>
              <w:t>69</w:t>
            </w:r>
            <w:r>
              <w:rPr>
                <w:noProof/>
                <w:webHidden/>
              </w:rPr>
              <w:fldChar w:fldCharType="end"/>
            </w:r>
          </w:hyperlink>
        </w:p>
        <w:p w14:paraId="30AB9612" w14:textId="0DC5B04D" w:rsidR="00CB6EA8" w:rsidRDefault="00CB6EA8" w:rsidP="00CB6EA8">
          <w:pPr>
            <w:pStyle w:val="TOC1"/>
            <w:rPr>
              <w:rFonts w:asciiTheme="minorHAnsi" w:hAnsiTheme="minorHAnsi" w:cstheme="minorBidi"/>
              <w:kern w:val="2"/>
              <w:sz w:val="22"/>
              <w:lang w:val="en-AU" w:eastAsia="en-AU"/>
              <w14:ligatures w14:val="standardContextual"/>
            </w:rPr>
          </w:pPr>
          <w:hyperlink w:anchor="_Toc175846516" w:history="1">
            <w:r w:rsidRPr="00C75839">
              <w:rPr>
                <w:rStyle w:val="Hyperlink"/>
              </w:rPr>
              <w:t>Outcome 4 Sport and Physical Activity</w:t>
            </w:r>
            <w:r>
              <w:rPr>
                <w:webHidden/>
              </w:rPr>
              <w:tab/>
            </w:r>
            <w:r>
              <w:rPr>
                <w:webHidden/>
              </w:rPr>
              <w:fldChar w:fldCharType="begin"/>
            </w:r>
            <w:r>
              <w:rPr>
                <w:webHidden/>
              </w:rPr>
              <w:instrText xml:space="preserve"> PAGEREF _Toc175846516 \h </w:instrText>
            </w:r>
            <w:r>
              <w:rPr>
                <w:webHidden/>
              </w:rPr>
            </w:r>
            <w:r>
              <w:rPr>
                <w:webHidden/>
              </w:rPr>
              <w:fldChar w:fldCharType="separate"/>
            </w:r>
            <w:r>
              <w:rPr>
                <w:webHidden/>
              </w:rPr>
              <w:t>72</w:t>
            </w:r>
            <w:r>
              <w:rPr>
                <w:webHidden/>
              </w:rPr>
              <w:fldChar w:fldCharType="end"/>
            </w:r>
          </w:hyperlink>
        </w:p>
        <w:p w14:paraId="41A8FBB1" w14:textId="7567F5E7" w:rsidR="00CB6EA8" w:rsidRDefault="00CB6EA8">
          <w:pPr>
            <w:pStyle w:val="TOC2"/>
            <w:rPr>
              <w:rFonts w:asciiTheme="minorHAnsi" w:eastAsiaTheme="minorEastAsia" w:hAnsiTheme="minorHAnsi"/>
              <w:noProof/>
              <w:kern w:val="2"/>
              <w:sz w:val="22"/>
              <w:lang w:eastAsia="en-AU"/>
              <w14:ligatures w14:val="standardContextual"/>
            </w:rPr>
          </w:pPr>
          <w:hyperlink w:anchor="_Toc175846517" w:history="1">
            <w:r w:rsidRPr="00C75839">
              <w:rPr>
                <w:rStyle w:val="Hyperlink"/>
                <w:noProof/>
              </w:rPr>
              <w:t>Program 4.1 Sport and Physical Activity</w:t>
            </w:r>
            <w:r>
              <w:rPr>
                <w:noProof/>
                <w:webHidden/>
              </w:rPr>
              <w:tab/>
            </w:r>
            <w:r>
              <w:rPr>
                <w:noProof/>
                <w:webHidden/>
              </w:rPr>
              <w:fldChar w:fldCharType="begin"/>
            </w:r>
            <w:r>
              <w:rPr>
                <w:noProof/>
                <w:webHidden/>
              </w:rPr>
              <w:instrText xml:space="preserve"> PAGEREF _Toc175846517 \h </w:instrText>
            </w:r>
            <w:r>
              <w:rPr>
                <w:noProof/>
                <w:webHidden/>
              </w:rPr>
            </w:r>
            <w:r>
              <w:rPr>
                <w:noProof/>
                <w:webHidden/>
              </w:rPr>
              <w:fldChar w:fldCharType="separate"/>
            </w:r>
            <w:r>
              <w:rPr>
                <w:noProof/>
                <w:webHidden/>
              </w:rPr>
              <w:t>72</w:t>
            </w:r>
            <w:r>
              <w:rPr>
                <w:noProof/>
                <w:webHidden/>
              </w:rPr>
              <w:fldChar w:fldCharType="end"/>
            </w:r>
          </w:hyperlink>
        </w:p>
        <w:p w14:paraId="0ACC9643" w14:textId="2E32675B" w:rsidR="00CB6EA8" w:rsidRDefault="00CB6EA8" w:rsidP="00CB6EA8">
          <w:pPr>
            <w:pStyle w:val="TOC1"/>
            <w:rPr>
              <w:rFonts w:asciiTheme="minorHAnsi" w:hAnsiTheme="minorHAnsi" w:cstheme="minorBidi"/>
              <w:kern w:val="2"/>
              <w:sz w:val="22"/>
              <w:lang w:val="en-AU" w:eastAsia="en-AU"/>
              <w14:ligatures w14:val="standardContextual"/>
            </w:rPr>
          </w:pPr>
          <w:hyperlink w:anchor="_Toc175846518" w:history="1">
            <w:r w:rsidRPr="00C75839">
              <w:rPr>
                <w:rStyle w:val="Hyperlink"/>
              </w:rPr>
              <w:t>List of Requirements</w:t>
            </w:r>
            <w:r>
              <w:rPr>
                <w:webHidden/>
              </w:rPr>
              <w:tab/>
            </w:r>
            <w:r>
              <w:rPr>
                <w:webHidden/>
              </w:rPr>
              <w:fldChar w:fldCharType="begin"/>
            </w:r>
            <w:r>
              <w:rPr>
                <w:webHidden/>
              </w:rPr>
              <w:instrText xml:space="preserve"> PAGEREF _Toc175846518 \h </w:instrText>
            </w:r>
            <w:r>
              <w:rPr>
                <w:webHidden/>
              </w:rPr>
            </w:r>
            <w:r>
              <w:rPr>
                <w:webHidden/>
              </w:rPr>
              <w:fldChar w:fldCharType="separate"/>
            </w:r>
            <w:r>
              <w:rPr>
                <w:webHidden/>
              </w:rPr>
              <w:t>75</w:t>
            </w:r>
            <w:r>
              <w:rPr>
                <w:webHidden/>
              </w:rPr>
              <w:fldChar w:fldCharType="end"/>
            </w:r>
          </w:hyperlink>
        </w:p>
        <w:p w14:paraId="41DED6B1" w14:textId="65AD3D76" w:rsidR="00CB6EA8" w:rsidRDefault="00CB6EA8" w:rsidP="00CB6EA8">
          <w:pPr>
            <w:rPr>
              <w:b/>
              <w:bCs/>
              <w:noProof/>
            </w:rPr>
          </w:pPr>
          <w:r>
            <w:rPr>
              <w:rFonts w:eastAsiaTheme="minorEastAsia" w:cs="Arial"/>
              <w:b/>
              <w:bCs/>
              <w:noProof/>
              <w:lang w:val="en-US"/>
            </w:rPr>
            <w:fldChar w:fldCharType="end"/>
          </w:r>
        </w:p>
      </w:sdtContent>
    </w:sdt>
    <w:p w14:paraId="3E6B7204" w14:textId="2933C37A" w:rsidR="00CB6EA8" w:rsidRDefault="00CB6EA8" w:rsidP="00CB6EA8">
      <w:r>
        <w:br w:type="page"/>
      </w:r>
    </w:p>
    <w:p w14:paraId="3B01DFFD" w14:textId="7556A608" w:rsidR="004D7B74" w:rsidRPr="004B5C7C" w:rsidRDefault="004D7B74" w:rsidP="00CB6EA8">
      <w:pPr>
        <w:pStyle w:val="Heading1"/>
        <w:rPr>
          <w:rFonts w:eastAsia="Arial"/>
        </w:rPr>
      </w:pPr>
      <w:bookmarkStart w:id="2" w:name="_Secretary’s_Foreword"/>
      <w:bookmarkStart w:id="3" w:name="_Toc175293602"/>
      <w:bookmarkStart w:id="4" w:name="_Toc175846461"/>
      <w:bookmarkEnd w:id="2"/>
      <w:r w:rsidRPr="000E30A3">
        <w:rPr>
          <w:rFonts w:eastAsia="Arial"/>
          <w:lang w:val="en-US"/>
        </w:rPr>
        <w:lastRenderedPageBreak/>
        <w:t>Secretary’s Foreword</w:t>
      </w:r>
      <w:bookmarkEnd w:id="3"/>
      <w:bookmarkEnd w:id="4"/>
    </w:p>
    <w:p w14:paraId="51FAD343" w14:textId="77777777" w:rsidR="004D7B74" w:rsidRPr="001C41D5" w:rsidRDefault="004D7B74" w:rsidP="004B5C7C">
      <w:pPr>
        <w:rPr>
          <w:lang w:val="en-US"/>
        </w:rPr>
      </w:pPr>
      <w:r w:rsidRPr="001C41D5">
        <w:rPr>
          <w:lang w:val="en-US"/>
        </w:rPr>
        <w:t xml:space="preserve">I am pleased to share the Department of Health and Aged Care’s 2024–25 Corporate Plan. This is our primary planning document and outlines our objectives for the current financial year. It defines our strategies for delivering quality health, aged </w:t>
      </w:r>
      <w:proofErr w:type="gramStart"/>
      <w:r w:rsidRPr="001C41D5">
        <w:rPr>
          <w:lang w:val="en-US"/>
        </w:rPr>
        <w:t>care</w:t>
      </w:r>
      <w:proofErr w:type="gramEnd"/>
      <w:r w:rsidRPr="001C41D5">
        <w:rPr>
          <w:lang w:val="en-US"/>
        </w:rPr>
        <w:t xml:space="preserve"> and sports systems on behalf of the Australian Government and provides a framework for measuring our performance.</w:t>
      </w:r>
    </w:p>
    <w:p w14:paraId="1E878FD4" w14:textId="68DF8A52" w:rsidR="00616623" w:rsidRDefault="004D7B74" w:rsidP="004B5C7C">
      <w:pPr>
        <w:rPr>
          <w:lang w:val="en-US"/>
        </w:rPr>
      </w:pPr>
      <w:r w:rsidRPr="001C41D5">
        <w:rPr>
          <w:lang w:val="en-US"/>
        </w:rPr>
        <w:t>This plan has been prepared to meet the obligations of paragraph 35(1)(b) of the</w:t>
      </w:r>
      <w:r w:rsidR="002B071B" w:rsidRPr="001C41D5">
        <w:rPr>
          <w:lang w:val="en-US"/>
        </w:rPr>
        <w:t xml:space="preserve"> </w:t>
      </w:r>
      <w:r w:rsidR="002B071B" w:rsidRPr="004B5C7C">
        <w:rPr>
          <w:rStyle w:val="Emphasis"/>
        </w:rPr>
        <w:t>Public Governance, Performance and Accountability Act 2013</w:t>
      </w:r>
      <w:r w:rsidR="002B071B" w:rsidRPr="001C41D5">
        <w:t xml:space="preserve"> (</w:t>
      </w:r>
      <w:r w:rsidR="002B071B" w:rsidRPr="001C41D5">
        <w:rPr>
          <w:lang w:val="en-US"/>
        </w:rPr>
        <w:t>PGPA Act)</w:t>
      </w:r>
      <w:r w:rsidRPr="001C41D5">
        <w:rPr>
          <w:lang w:val="en-US"/>
        </w:rPr>
        <w:t xml:space="preserve">. It covers the </w:t>
      </w:r>
      <w:r w:rsidR="00CB6EA8" w:rsidRPr="001C41D5">
        <w:rPr>
          <w:lang w:val="en-US"/>
        </w:rPr>
        <w:t>4-year</w:t>
      </w:r>
      <w:r w:rsidRPr="001C41D5">
        <w:rPr>
          <w:lang w:val="en-US"/>
        </w:rPr>
        <w:t xml:space="preserve"> period from 2024–2025 to 2027–28.</w:t>
      </w:r>
    </w:p>
    <w:p w14:paraId="3D61BE0B" w14:textId="77777777" w:rsidR="00616623" w:rsidRDefault="00616623">
      <w:pPr>
        <w:rPr>
          <w:rFonts w:eastAsia="Arial" w:cs="Arial"/>
          <w:spacing w:val="-2"/>
          <w:lang w:val="en-US"/>
        </w:rPr>
      </w:pPr>
      <w:r>
        <w:rPr>
          <w:rFonts w:eastAsia="Arial" w:cs="Arial"/>
          <w:spacing w:val="-2"/>
          <w:lang w:val="en-US"/>
        </w:rPr>
        <w:br w:type="page"/>
      </w:r>
    </w:p>
    <w:p w14:paraId="51A56D5D" w14:textId="77777777" w:rsidR="004D7B74" w:rsidRPr="00616623" w:rsidRDefault="004D7B74" w:rsidP="004D7B74">
      <w:pPr>
        <w:spacing w:before="120" w:after="120"/>
        <w:rPr>
          <w:rFonts w:eastAsia="Arial" w:cs="Arial"/>
          <w:b/>
          <w:bCs/>
          <w:spacing w:val="-2"/>
          <w:lang w:val="en-US"/>
        </w:rPr>
      </w:pPr>
      <w:r w:rsidRPr="00616623">
        <w:rPr>
          <w:rFonts w:eastAsia="Arial" w:cs="Arial"/>
          <w:b/>
          <w:bCs/>
          <w:spacing w:val="-2"/>
          <w:lang w:val="en-US"/>
        </w:rPr>
        <w:lastRenderedPageBreak/>
        <w:t>Our key priorities for the financial year ahead include:</w:t>
      </w:r>
    </w:p>
    <w:p w14:paraId="52616F36" w14:textId="0650EA9C" w:rsidR="004D7B74" w:rsidRPr="00525E0E" w:rsidRDefault="002B071B" w:rsidP="004D7B74">
      <w:pPr>
        <w:pStyle w:val="ListParagraph"/>
        <w:numPr>
          <w:ilvl w:val="0"/>
          <w:numId w:val="95"/>
        </w:numPr>
        <w:spacing w:before="120" w:after="120"/>
        <w:rPr>
          <w:rFonts w:eastAsia="Arial" w:cs="Arial"/>
          <w:spacing w:val="-2"/>
          <w:szCs w:val="20"/>
          <w:lang w:val="en-US"/>
        </w:rPr>
      </w:pPr>
      <w:r>
        <w:rPr>
          <w:rFonts w:eastAsia="Arial" w:cs="Arial"/>
          <w:spacing w:val="-2"/>
          <w:szCs w:val="20"/>
          <w:lang w:val="en-US"/>
        </w:rPr>
        <w:t>s</w:t>
      </w:r>
      <w:r w:rsidR="004D7B74">
        <w:rPr>
          <w:rFonts w:eastAsia="Arial" w:cs="Arial"/>
          <w:spacing w:val="-2"/>
          <w:szCs w:val="20"/>
          <w:lang w:val="en-US"/>
        </w:rPr>
        <w:t>trengthening</w:t>
      </w:r>
      <w:r w:rsidR="004D7B74" w:rsidRPr="00D86D77">
        <w:rPr>
          <w:rFonts w:eastAsia="Arial" w:cs="Arial"/>
          <w:spacing w:val="-2"/>
          <w:szCs w:val="20"/>
          <w:lang w:val="en-US"/>
        </w:rPr>
        <w:t xml:space="preserve"> Medicare</w:t>
      </w:r>
      <w:r w:rsidR="004D7B74">
        <w:rPr>
          <w:rFonts w:eastAsia="Arial" w:cs="Arial"/>
          <w:spacing w:val="-2"/>
          <w:szCs w:val="20"/>
          <w:lang w:val="en-US"/>
        </w:rPr>
        <w:t>, including</w:t>
      </w:r>
      <w:r w:rsidR="004D7B74" w:rsidRPr="00D86D77">
        <w:rPr>
          <w:rFonts w:eastAsia="Arial" w:cs="Arial"/>
          <w:spacing w:val="-2"/>
          <w:szCs w:val="20"/>
          <w:lang w:val="en-US"/>
        </w:rPr>
        <w:t xml:space="preserve"> </w:t>
      </w:r>
      <w:r w:rsidR="004D7B74" w:rsidRPr="00525E0E">
        <w:rPr>
          <w:rFonts w:eastAsia="Arial" w:cs="Arial"/>
          <w:spacing w:val="-2"/>
          <w:szCs w:val="20"/>
          <w:lang w:val="en-US"/>
        </w:rPr>
        <w:t xml:space="preserve">by boosting the number and capacity of Medicare Urgent Care </w:t>
      </w:r>
      <w:r w:rsidR="004D7B74" w:rsidRPr="00AE1B64">
        <w:rPr>
          <w:rFonts w:eastAsia="Arial" w:cs="Arial"/>
          <w:spacing w:val="-2"/>
          <w:szCs w:val="20"/>
          <w:lang w:val="en-US"/>
        </w:rPr>
        <w:t>Clinics</w:t>
      </w:r>
      <w:r w:rsidR="00784116">
        <w:rPr>
          <w:rFonts w:eastAsia="Arial" w:cs="Arial"/>
          <w:spacing w:val="-2"/>
          <w:szCs w:val="20"/>
          <w:lang w:val="en-US"/>
        </w:rPr>
        <w:t xml:space="preserve"> and leading reform of our health system to better support prevention and management of chronic conditions by multidisciplinary primary care teams</w:t>
      </w:r>
      <w:r w:rsidR="004D7B74">
        <w:rPr>
          <w:rFonts w:eastAsia="Arial" w:cs="Arial"/>
          <w:spacing w:val="-2"/>
          <w:szCs w:val="20"/>
          <w:lang w:val="en-US"/>
        </w:rPr>
        <w:t>.</w:t>
      </w:r>
    </w:p>
    <w:p w14:paraId="7EF45011" w14:textId="509DDF18" w:rsidR="004D7B74" w:rsidRPr="00525E0E" w:rsidRDefault="002B071B" w:rsidP="004D7B74">
      <w:pPr>
        <w:pStyle w:val="ListParagraph"/>
        <w:numPr>
          <w:ilvl w:val="0"/>
          <w:numId w:val="95"/>
        </w:numPr>
        <w:spacing w:before="120" w:after="120"/>
        <w:rPr>
          <w:rFonts w:eastAsia="Arial" w:cs="Arial"/>
          <w:spacing w:val="-2"/>
          <w:szCs w:val="20"/>
          <w:lang w:val="en-US"/>
        </w:rPr>
      </w:pPr>
      <w:r>
        <w:rPr>
          <w:rFonts w:eastAsia="Arial" w:cs="Arial"/>
          <w:spacing w:val="-2"/>
          <w:szCs w:val="20"/>
          <w:lang w:val="en-US"/>
        </w:rPr>
        <w:t>c</w:t>
      </w:r>
      <w:r w:rsidR="004D7B74" w:rsidRPr="00AE1B64">
        <w:rPr>
          <w:rFonts w:eastAsia="Arial" w:cs="Arial"/>
          <w:spacing w:val="-2"/>
          <w:szCs w:val="20"/>
          <w:lang w:val="en-US"/>
        </w:rPr>
        <w:t>ontinu</w:t>
      </w:r>
      <w:r w:rsidR="004D7B74">
        <w:rPr>
          <w:rFonts w:eastAsia="Arial" w:cs="Arial"/>
          <w:spacing w:val="-2"/>
          <w:szCs w:val="20"/>
          <w:lang w:val="en-US"/>
        </w:rPr>
        <w:t>ing to</w:t>
      </w:r>
      <w:r w:rsidR="004D7B74" w:rsidRPr="00AE1B64">
        <w:rPr>
          <w:rFonts w:eastAsia="Arial" w:cs="Arial"/>
          <w:spacing w:val="-2"/>
          <w:szCs w:val="20"/>
          <w:lang w:val="en-US"/>
        </w:rPr>
        <w:t xml:space="preserve"> work with the states and territories </w:t>
      </w:r>
      <w:r w:rsidR="004D7B74" w:rsidRPr="00525E0E">
        <w:rPr>
          <w:rFonts w:eastAsia="Arial" w:cs="Arial"/>
          <w:spacing w:val="-2"/>
          <w:szCs w:val="20"/>
          <w:lang w:val="en-US"/>
        </w:rPr>
        <w:t>on a new</w:t>
      </w:r>
      <w:r w:rsidR="004D7B74" w:rsidRPr="00AE1B64">
        <w:rPr>
          <w:rFonts w:eastAsia="Arial" w:cs="Arial"/>
          <w:spacing w:val="-2"/>
          <w:szCs w:val="20"/>
          <w:lang w:val="en-US"/>
        </w:rPr>
        <w:t xml:space="preserve"> National Health Reform Agreement</w:t>
      </w:r>
      <w:r w:rsidR="004D7B74" w:rsidRPr="00525E0E">
        <w:rPr>
          <w:rFonts w:eastAsia="Arial" w:cs="Arial"/>
          <w:spacing w:val="-2"/>
          <w:szCs w:val="20"/>
          <w:lang w:val="en-US"/>
        </w:rPr>
        <w:t xml:space="preserve"> to </w:t>
      </w:r>
      <w:r w:rsidR="004D7B74">
        <w:rPr>
          <w:rFonts w:eastAsia="Arial" w:cs="Arial"/>
          <w:spacing w:val="-2"/>
          <w:szCs w:val="20"/>
          <w:lang w:val="en-US"/>
        </w:rPr>
        <w:t>support</w:t>
      </w:r>
      <w:r w:rsidR="004D7B74" w:rsidRPr="00525E0E">
        <w:rPr>
          <w:rFonts w:eastAsia="Arial" w:cs="Arial"/>
          <w:spacing w:val="-2"/>
          <w:szCs w:val="20"/>
          <w:lang w:val="en-US"/>
        </w:rPr>
        <w:t xml:space="preserve"> </w:t>
      </w:r>
      <w:r w:rsidR="004D7B74">
        <w:rPr>
          <w:rFonts w:eastAsia="Arial" w:cs="Arial"/>
          <w:spacing w:val="-2"/>
          <w:szCs w:val="20"/>
          <w:lang w:val="en-US"/>
        </w:rPr>
        <w:t xml:space="preserve">investment </w:t>
      </w:r>
      <w:r w:rsidR="004D7B74" w:rsidRPr="00AE1B64">
        <w:rPr>
          <w:rFonts w:cs="Arial"/>
          <w:szCs w:val="20"/>
        </w:rPr>
        <w:t xml:space="preserve">in public hospitals, ease pressure on emergency departments and </w:t>
      </w:r>
      <w:r w:rsidR="004D7B74">
        <w:rPr>
          <w:rFonts w:cs="Arial"/>
          <w:szCs w:val="20"/>
        </w:rPr>
        <w:t xml:space="preserve">help </w:t>
      </w:r>
      <w:r w:rsidR="004D7B74" w:rsidRPr="00AE1B64">
        <w:rPr>
          <w:rFonts w:cs="Arial"/>
          <w:szCs w:val="20"/>
        </w:rPr>
        <w:t>clear elective surgery backlogs</w:t>
      </w:r>
      <w:r w:rsidR="004D7B74">
        <w:rPr>
          <w:rFonts w:cs="Arial"/>
          <w:szCs w:val="20"/>
        </w:rPr>
        <w:t>.</w:t>
      </w:r>
    </w:p>
    <w:p w14:paraId="71A3E658" w14:textId="27465CFF" w:rsidR="00784116" w:rsidRDefault="00784116" w:rsidP="004D7B74">
      <w:pPr>
        <w:pStyle w:val="ListParagraph"/>
        <w:numPr>
          <w:ilvl w:val="0"/>
          <w:numId w:val="95"/>
        </w:numPr>
        <w:spacing w:before="120" w:after="120"/>
        <w:rPr>
          <w:rFonts w:eastAsia="Arial" w:cs="Arial"/>
          <w:spacing w:val="-2"/>
          <w:szCs w:val="20"/>
          <w:lang w:val="en-US"/>
        </w:rPr>
      </w:pPr>
      <w:r w:rsidRPr="00525E0E">
        <w:rPr>
          <w:rFonts w:eastAsia="Arial" w:cs="Arial"/>
          <w:spacing w:val="-2"/>
          <w:szCs w:val="20"/>
          <w:lang w:val="en-US"/>
        </w:rPr>
        <w:t xml:space="preserve">ensuring </w:t>
      </w:r>
      <w:r w:rsidRPr="006F4927">
        <w:rPr>
          <w:rFonts w:eastAsia="Arial" w:cs="Arial"/>
          <w:spacing w:val="-2"/>
          <w:szCs w:val="20"/>
          <w:lang w:val="en-US"/>
        </w:rPr>
        <w:t xml:space="preserve">patients continue to receive cheaper medicines through measures under the Pharmaceutical Benefits Scheme, and related strategic agreements with the pharmacy sector, including approved pharmacies, the pharmacist profession, wholesalers, consumer groups, the </w:t>
      </w:r>
      <w:proofErr w:type="gramStart"/>
      <w:r w:rsidRPr="006F4927">
        <w:rPr>
          <w:rFonts w:eastAsia="Arial" w:cs="Arial"/>
          <w:spacing w:val="-2"/>
          <w:szCs w:val="20"/>
          <w:lang w:val="en-US"/>
        </w:rPr>
        <w:t>community controlled</w:t>
      </w:r>
      <w:proofErr w:type="gramEnd"/>
      <w:r w:rsidRPr="006F4927">
        <w:rPr>
          <w:rFonts w:eastAsia="Arial" w:cs="Arial"/>
          <w:spacing w:val="-2"/>
          <w:szCs w:val="20"/>
          <w:lang w:val="en-US"/>
        </w:rPr>
        <w:t xml:space="preserve"> sector and other interested stakeholders.</w:t>
      </w:r>
      <w:r>
        <w:rPr>
          <w:rFonts w:eastAsia="Arial" w:cs="Arial"/>
          <w:spacing w:val="-2"/>
          <w:szCs w:val="20"/>
          <w:lang w:val="en-US"/>
        </w:rPr>
        <w:t xml:space="preserve"> </w:t>
      </w:r>
    </w:p>
    <w:p w14:paraId="7B15CADD" w14:textId="4E216170" w:rsidR="004D7B74" w:rsidRPr="00BC7413" w:rsidRDefault="004D7B74" w:rsidP="004D7B74">
      <w:pPr>
        <w:pStyle w:val="ListParagraph"/>
        <w:numPr>
          <w:ilvl w:val="0"/>
          <w:numId w:val="95"/>
        </w:numPr>
        <w:spacing w:before="120" w:after="120"/>
        <w:rPr>
          <w:rFonts w:eastAsia="Arial" w:cs="Arial"/>
          <w:spacing w:val="-2"/>
          <w:szCs w:val="20"/>
          <w:lang w:val="en-US"/>
        </w:rPr>
      </w:pPr>
      <w:r>
        <w:rPr>
          <w:rFonts w:eastAsia="Arial" w:cs="Arial"/>
          <w:spacing w:val="-2"/>
          <w:szCs w:val="20"/>
          <w:lang w:val="en-US"/>
        </w:rPr>
        <w:t>i</w:t>
      </w:r>
      <w:r w:rsidRPr="00D86D77">
        <w:rPr>
          <w:rFonts w:eastAsia="Arial" w:cs="Arial"/>
          <w:spacing w:val="-2"/>
          <w:szCs w:val="20"/>
          <w:lang w:val="en-US"/>
        </w:rPr>
        <w:t xml:space="preserve">mproving mental health care </w:t>
      </w:r>
      <w:r>
        <w:rPr>
          <w:rFonts w:eastAsia="Arial" w:cs="Arial"/>
          <w:spacing w:val="-2"/>
          <w:szCs w:val="20"/>
          <w:lang w:val="en-US"/>
        </w:rPr>
        <w:t>and</w:t>
      </w:r>
      <w:r w:rsidRPr="00D86D77">
        <w:rPr>
          <w:rFonts w:eastAsia="Arial" w:cs="Arial"/>
          <w:spacing w:val="-2"/>
          <w:szCs w:val="20"/>
          <w:lang w:val="en-US"/>
        </w:rPr>
        <w:t xml:space="preserve"> </w:t>
      </w:r>
      <w:r w:rsidRPr="00AE1B64">
        <w:rPr>
          <w:rFonts w:cs="Arial"/>
          <w:szCs w:val="20"/>
        </w:rPr>
        <w:t xml:space="preserve">launching new free mental health services </w:t>
      </w:r>
      <w:r>
        <w:rPr>
          <w:rFonts w:cs="Arial"/>
          <w:szCs w:val="20"/>
        </w:rPr>
        <w:t>so</w:t>
      </w:r>
      <w:r w:rsidRPr="00AE1B64">
        <w:rPr>
          <w:rFonts w:cs="Arial"/>
          <w:szCs w:val="20"/>
        </w:rPr>
        <w:t xml:space="preserve"> </w:t>
      </w:r>
      <w:r w:rsidR="00996A64">
        <w:rPr>
          <w:rFonts w:cs="Arial"/>
          <w:szCs w:val="20"/>
        </w:rPr>
        <w:t xml:space="preserve">that </w:t>
      </w:r>
      <w:r w:rsidRPr="00AE1B64">
        <w:rPr>
          <w:rFonts w:cs="Arial"/>
          <w:szCs w:val="20"/>
        </w:rPr>
        <w:t>Australians get the right level of care for their level of need</w:t>
      </w:r>
      <w:r>
        <w:rPr>
          <w:rFonts w:cs="Arial"/>
          <w:szCs w:val="20"/>
        </w:rPr>
        <w:t xml:space="preserve">. </w:t>
      </w:r>
    </w:p>
    <w:p w14:paraId="0E146943" w14:textId="77777777" w:rsidR="004D7B74" w:rsidRPr="00D86D77" w:rsidRDefault="004D7B74" w:rsidP="004D7B74">
      <w:pPr>
        <w:pStyle w:val="ListParagraph"/>
        <w:numPr>
          <w:ilvl w:val="0"/>
          <w:numId w:val="95"/>
        </w:numPr>
        <w:spacing w:before="120" w:after="120"/>
        <w:rPr>
          <w:rFonts w:eastAsia="Arial" w:cs="Arial"/>
          <w:spacing w:val="-2"/>
          <w:szCs w:val="20"/>
          <w:lang w:val="en-US"/>
        </w:rPr>
      </w:pPr>
      <w:r w:rsidRPr="008F7D65">
        <w:rPr>
          <w:rFonts w:eastAsia="Arial" w:cs="Arial"/>
          <w:spacing w:val="-2"/>
          <w:szCs w:val="20"/>
          <w:lang w:val="en-US"/>
        </w:rPr>
        <w:t>making health care more responsive and accessible for</w:t>
      </w:r>
      <w:r w:rsidRPr="00116E39">
        <w:rPr>
          <w:rFonts w:eastAsia="Arial" w:cs="Arial"/>
          <w:spacing w:val="-2"/>
          <w:szCs w:val="20"/>
          <w:lang w:val="en-US"/>
        </w:rPr>
        <w:t xml:space="preserve"> women</w:t>
      </w:r>
      <w:r>
        <w:rPr>
          <w:rFonts w:cs="HelveticaNeueLT Std Lt"/>
          <w:color w:val="000000"/>
        </w:rPr>
        <w:t xml:space="preserve"> </w:t>
      </w:r>
      <w:r w:rsidRPr="00323406">
        <w:rPr>
          <w:rFonts w:eastAsia="Arial" w:cs="Arial"/>
          <w:spacing w:val="-2"/>
          <w:szCs w:val="20"/>
          <w:lang w:val="en-US"/>
        </w:rPr>
        <w:t>and addressing healthcare inequity</w:t>
      </w:r>
      <w:r>
        <w:rPr>
          <w:rFonts w:eastAsia="Arial" w:cs="Arial"/>
          <w:spacing w:val="-2"/>
          <w:szCs w:val="20"/>
          <w:lang w:val="en-US"/>
        </w:rPr>
        <w:t>.</w:t>
      </w:r>
    </w:p>
    <w:p w14:paraId="4016F540" w14:textId="53847299" w:rsidR="004D7B74" w:rsidRPr="00D86D77" w:rsidRDefault="004D7B74" w:rsidP="004D7B74">
      <w:pPr>
        <w:pStyle w:val="ListParagraph"/>
        <w:numPr>
          <w:ilvl w:val="0"/>
          <w:numId w:val="95"/>
        </w:numPr>
        <w:spacing w:before="120" w:after="120"/>
        <w:rPr>
          <w:rFonts w:eastAsia="Arial" w:cs="Arial"/>
          <w:spacing w:val="-2"/>
          <w:szCs w:val="20"/>
          <w:lang w:val="en-US"/>
        </w:rPr>
      </w:pPr>
      <w:r>
        <w:rPr>
          <w:rFonts w:eastAsia="Arial" w:cs="Arial"/>
          <w:spacing w:val="-2"/>
          <w:szCs w:val="20"/>
          <w:lang w:val="en-US"/>
        </w:rPr>
        <w:t>Closing</w:t>
      </w:r>
      <w:r w:rsidRPr="00D86D77">
        <w:rPr>
          <w:rFonts w:eastAsia="Arial" w:cs="Arial"/>
          <w:spacing w:val="-2"/>
          <w:szCs w:val="20"/>
          <w:lang w:val="en-US"/>
        </w:rPr>
        <w:t xml:space="preserve"> the </w:t>
      </w:r>
      <w:r w:rsidR="00996A64">
        <w:rPr>
          <w:rFonts w:eastAsia="Arial" w:cs="Arial"/>
          <w:spacing w:val="-2"/>
          <w:szCs w:val="20"/>
          <w:lang w:val="en-US"/>
        </w:rPr>
        <w:t>G</w:t>
      </w:r>
      <w:r w:rsidRPr="00D86D77">
        <w:rPr>
          <w:rFonts w:eastAsia="Arial" w:cs="Arial"/>
          <w:spacing w:val="-2"/>
          <w:szCs w:val="20"/>
          <w:lang w:val="en-US"/>
        </w:rPr>
        <w:t xml:space="preserve">ap in First Nations health and wellbeing outcomes by </w:t>
      </w:r>
      <w:r>
        <w:rPr>
          <w:rFonts w:eastAsia="Arial" w:cs="Arial"/>
          <w:spacing w:val="-2"/>
          <w:szCs w:val="20"/>
          <w:lang w:val="en-US"/>
        </w:rPr>
        <w:t>focusing</w:t>
      </w:r>
      <w:r w:rsidRPr="00D86D77">
        <w:rPr>
          <w:rFonts w:eastAsia="Arial" w:cs="Arial"/>
          <w:spacing w:val="-2"/>
          <w:szCs w:val="20"/>
          <w:lang w:val="en-US"/>
        </w:rPr>
        <w:t xml:space="preserve"> on early intervention strategies, education programs, </w:t>
      </w:r>
      <w:r>
        <w:rPr>
          <w:rFonts w:eastAsia="Arial" w:cs="Arial"/>
          <w:spacing w:val="-2"/>
          <w:szCs w:val="20"/>
          <w:lang w:val="en-US"/>
        </w:rPr>
        <w:t>better</w:t>
      </w:r>
      <w:r w:rsidRPr="00D86D77">
        <w:rPr>
          <w:rFonts w:eastAsia="Arial" w:cs="Arial"/>
          <w:spacing w:val="-2"/>
          <w:szCs w:val="20"/>
          <w:lang w:val="en-US"/>
        </w:rPr>
        <w:t xml:space="preserve"> access to culturally safe health services and </w:t>
      </w:r>
      <w:r>
        <w:rPr>
          <w:rFonts w:eastAsia="Arial" w:cs="Arial"/>
          <w:spacing w:val="-2"/>
          <w:szCs w:val="20"/>
          <w:lang w:val="en-US"/>
        </w:rPr>
        <w:t>expanding</w:t>
      </w:r>
      <w:r w:rsidRPr="00D86D77">
        <w:rPr>
          <w:rFonts w:eastAsia="Arial" w:cs="Arial"/>
          <w:spacing w:val="-2"/>
          <w:szCs w:val="20"/>
          <w:lang w:val="en-US"/>
        </w:rPr>
        <w:t xml:space="preserve"> the First Nations health workforce.</w:t>
      </w:r>
    </w:p>
    <w:p w14:paraId="655F3786" w14:textId="47D38D73" w:rsidR="00784116" w:rsidRDefault="00784116" w:rsidP="004D7B74">
      <w:pPr>
        <w:pStyle w:val="ListParagraph"/>
        <w:numPr>
          <w:ilvl w:val="0"/>
          <w:numId w:val="95"/>
        </w:numPr>
        <w:spacing w:before="120" w:after="120"/>
        <w:rPr>
          <w:rFonts w:eastAsia="Arial" w:cs="Arial"/>
          <w:spacing w:val="-2"/>
          <w:szCs w:val="20"/>
          <w:lang w:val="en-US"/>
        </w:rPr>
      </w:pPr>
      <w:r>
        <w:rPr>
          <w:rFonts w:eastAsia="Arial" w:cs="Arial"/>
          <w:spacing w:val="-2"/>
          <w:szCs w:val="20"/>
          <w:lang w:val="en-US"/>
        </w:rPr>
        <w:t>continuing to develop and implement</w:t>
      </w:r>
      <w:r w:rsidRPr="00D86D77">
        <w:rPr>
          <w:rFonts w:eastAsia="Arial" w:cs="Arial"/>
          <w:spacing w:val="-2"/>
          <w:szCs w:val="20"/>
          <w:lang w:val="en-US"/>
        </w:rPr>
        <w:t xml:space="preserve"> </w:t>
      </w:r>
      <w:r>
        <w:rPr>
          <w:rFonts w:eastAsia="Arial" w:cs="Arial"/>
          <w:spacing w:val="-2"/>
          <w:szCs w:val="20"/>
          <w:lang w:val="en-US"/>
        </w:rPr>
        <w:t xml:space="preserve">national workforce strategies, complete supply and demand modelling for priority professions </w:t>
      </w:r>
      <w:r w:rsidRPr="00D86D77">
        <w:rPr>
          <w:rFonts w:eastAsia="Arial" w:cs="Arial"/>
          <w:spacing w:val="-2"/>
          <w:szCs w:val="20"/>
          <w:lang w:val="en-US"/>
        </w:rPr>
        <w:t>and address health workforce shortage</w:t>
      </w:r>
      <w:r>
        <w:rPr>
          <w:rFonts w:eastAsia="Arial" w:cs="Arial"/>
          <w:spacing w:val="-2"/>
          <w:szCs w:val="20"/>
          <w:lang w:val="en-US"/>
        </w:rPr>
        <w:t>s</w:t>
      </w:r>
      <w:r w:rsidRPr="00D86D77">
        <w:rPr>
          <w:rFonts w:eastAsia="Arial" w:cs="Arial"/>
          <w:spacing w:val="-2"/>
          <w:szCs w:val="20"/>
          <w:lang w:val="en-US"/>
        </w:rPr>
        <w:t xml:space="preserve"> </w:t>
      </w:r>
      <w:r>
        <w:rPr>
          <w:rFonts w:eastAsia="Arial" w:cs="Arial"/>
          <w:spacing w:val="-2"/>
          <w:szCs w:val="20"/>
          <w:lang w:val="en-US"/>
        </w:rPr>
        <w:t xml:space="preserve">through reforms to Commonwealth programs and collaborative work with state and territory governments, other health employers, professional </w:t>
      </w:r>
      <w:proofErr w:type="gramStart"/>
      <w:r>
        <w:rPr>
          <w:rFonts w:eastAsia="Arial" w:cs="Arial"/>
          <w:spacing w:val="-2"/>
          <w:szCs w:val="20"/>
          <w:lang w:val="en-US"/>
        </w:rPr>
        <w:t>bodies</w:t>
      </w:r>
      <w:proofErr w:type="gramEnd"/>
      <w:r>
        <w:rPr>
          <w:rFonts w:eastAsia="Arial" w:cs="Arial"/>
          <w:spacing w:val="-2"/>
          <w:szCs w:val="20"/>
          <w:lang w:val="en-US"/>
        </w:rPr>
        <w:t xml:space="preserve"> and stakeholders.</w:t>
      </w:r>
    </w:p>
    <w:p w14:paraId="53D9B113" w14:textId="482F9B22" w:rsidR="004D7B74" w:rsidRPr="00D86D77" w:rsidRDefault="004D7B74" w:rsidP="004D7B74">
      <w:pPr>
        <w:pStyle w:val="ListParagraph"/>
        <w:numPr>
          <w:ilvl w:val="0"/>
          <w:numId w:val="95"/>
        </w:numPr>
        <w:spacing w:before="120" w:after="120"/>
        <w:rPr>
          <w:rFonts w:eastAsia="Arial" w:cs="Arial"/>
          <w:spacing w:val="-2"/>
          <w:szCs w:val="20"/>
          <w:lang w:val="en-US"/>
        </w:rPr>
      </w:pPr>
      <w:r>
        <w:rPr>
          <w:rFonts w:eastAsia="Arial" w:cs="Arial"/>
          <w:spacing w:val="-2"/>
          <w:szCs w:val="20"/>
          <w:lang w:val="en-US"/>
        </w:rPr>
        <w:t>reducing</w:t>
      </w:r>
      <w:r w:rsidRPr="00D86D77">
        <w:rPr>
          <w:rFonts w:eastAsia="Arial" w:cs="Arial"/>
          <w:spacing w:val="-2"/>
          <w:szCs w:val="20"/>
          <w:lang w:val="en-US"/>
        </w:rPr>
        <w:t xml:space="preserve"> smoking and vaping rates (particularly among young Australians) through stronger legislation, enforcement, </w:t>
      </w:r>
      <w:proofErr w:type="gramStart"/>
      <w:r w:rsidRPr="00D86D77">
        <w:rPr>
          <w:rFonts w:eastAsia="Arial" w:cs="Arial"/>
          <w:spacing w:val="-2"/>
          <w:szCs w:val="20"/>
          <w:lang w:val="en-US"/>
        </w:rPr>
        <w:t>education</w:t>
      </w:r>
      <w:proofErr w:type="gramEnd"/>
      <w:r w:rsidRPr="00D86D77">
        <w:rPr>
          <w:rFonts w:eastAsia="Arial" w:cs="Arial"/>
          <w:spacing w:val="-2"/>
          <w:szCs w:val="20"/>
          <w:lang w:val="en-US"/>
        </w:rPr>
        <w:t xml:space="preserve"> and support.</w:t>
      </w:r>
      <w:r w:rsidR="002B071B" w:rsidRPr="003B3C91">
        <w:rPr>
          <w:spacing w:val="-2"/>
          <w:lang w:val="en-US"/>
        </w:rPr>
        <w:t xml:space="preserve"> </w:t>
      </w:r>
      <w:r w:rsidR="002B071B">
        <w:rPr>
          <w:rFonts w:eastAsia="Arial" w:cs="Arial"/>
          <w:spacing w:val="-2"/>
          <w:szCs w:val="20"/>
          <w:lang w:val="en-US"/>
        </w:rPr>
        <w:t>To support this, t</w:t>
      </w:r>
      <w:r w:rsidRPr="00773DF6">
        <w:rPr>
          <w:rFonts w:eastAsia="Arial" w:cs="Arial"/>
          <w:spacing w:val="-2"/>
          <w:szCs w:val="20"/>
        </w:rPr>
        <w:t xml:space="preserve">he </w:t>
      </w:r>
      <w:r w:rsidRPr="00773DF6">
        <w:rPr>
          <w:rFonts w:eastAsia="Arial" w:cs="Arial"/>
          <w:i/>
          <w:iCs/>
          <w:spacing w:val="-2"/>
          <w:szCs w:val="20"/>
        </w:rPr>
        <w:t xml:space="preserve">Therapeutic Goods and Other Legislation Amendment (Vaping Reforms) Act 2024 </w:t>
      </w:r>
      <w:r w:rsidRPr="00773DF6">
        <w:rPr>
          <w:rFonts w:eastAsia="Arial" w:cs="Arial"/>
          <w:spacing w:val="-2"/>
          <w:szCs w:val="20"/>
        </w:rPr>
        <w:t>took effect on 1 July 2024</w:t>
      </w:r>
      <w:r w:rsidR="005852EA">
        <w:rPr>
          <w:rFonts w:eastAsia="Arial" w:cs="Arial"/>
          <w:spacing w:val="-2"/>
          <w:szCs w:val="20"/>
        </w:rPr>
        <w:t>.</w:t>
      </w:r>
    </w:p>
    <w:p w14:paraId="61748719" w14:textId="7C6C0FE6" w:rsidR="004D7B74" w:rsidRPr="005E6C26" w:rsidRDefault="004D7B74" w:rsidP="005E6C26">
      <w:pPr>
        <w:pStyle w:val="ListParagraph"/>
        <w:numPr>
          <w:ilvl w:val="0"/>
          <w:numId w:val="95"/>
        </w:numPr>
        <w:spacing w:before="120" w:after="120"/>
        <w:rPr>
          <w:rFonts w:eastAsia="Arial" w:cs="Arial"/>
          <w:spacing w:val="-2"/>
          <w:szCs w:val="20"/>
          <w:lang w:val="en-US"/>
        </w:rPr>
      </w:pPr>
      <w:r>
        <w:rPr>
          <w:rFonts w:eastAsia="Arial" w:cs="Arial"/>
          <w:spacing w:val="-2"/>
          <w:szCs w:val="20"/>
          <w:lang w:val="en-US"/>
        </w:rPr>
        <w:t>s</w:t>
      </w:r>
      <w:r w:rsidRPr="00B524E4">
        <w:rPr>
          <w:rFonts w:eastAsia="Arial" w:cs="Arial"/>
          <w:spacing w:val="-2"/>
          <w:szCs w:val="20"/>
          <w:lang w:val="en-US"/>
        </w:rPr>
        <w:t xml:space="preserve">trengthening the quality of aged care services </w:t>
      </w:r>
      <w:r w:rsidR="005E6C26">
        <w:rPr>
          <w:rFonts w:eastAsia="Arial" w:cs="Arial"/>
          <w:spacing w:val="-2"/>
          <w:szCs w:val="20"/>
          <w:lang w:val="en-US"/>
        </w:rPr>
        <w:t xml:space="preserve">by </w:t>
      </w:r>
      <w:r w:rsidRPr="005E6C26">
        <w:rPr>
          <w:rFonts w:eastAsia="Arial" w:cs="Arial"/>
          <w:spacing w:val="-2"/>
          <w:szCs w:val="20"/>
        </w:rPr>
        <w:t>improving wait times for in-home aged care, bolstering the workforce, and delivering an enhanced quality and safety regulator, as well as better technology</w:t>
      </w:r>
      <w:r w:rsidR="005E6C26">
        <w:rPr>
          <w:rFonts w:eastAsia="Arial" w:cs="Arial"/>
          <w:spacing w:val="-2"/>
          <w:szCs w:val="20"/>
        </w:rPr>
        <w:t>.</w:t>
      </w:r>
    </w:p>
    <w:p w14:paraId="4E6FB77A" w14:textId="77777777" w:rsidR="004D7B74" w:rsidRPr="00506136" w:rsidRDefault="004D7B74" w:rsidP="004D7B74">
      <w:pPr>
        <w:pStyle w:val="ListParagraph"/>
        <w:numPr>
          <w:ilvl w:val="0"/>
          <w:numId w:val="95"/>
        </w:numPr>
        <w:spacing w:before="120" w:after="120"/>
        <w:rPr>
          <w:lang w:val="en-US"/>
        </w:rPr>
      </w:pPr>
      <w:r>
        <w:rPr>
          <w:rFonts w:eastAsia="Arial" w:cs="Arial"/>
          <w:spacing w:val="-2"/>
          <w:szCs w:val="20"/>
        </w:rPr>
        <w:t>r</w:t>
      </w:r>
      <w:r w:rsidRPr="00D8607B">
        <w:rPr>
          <w:rFonts w:eastAsia="Arial" w:cs="Arial"/>
          <w:spacing w:val="-2"/>
          <w:szCs w:val="20"/>
        </w:rPr>
        <w:t>ebalancing the health system towards prevention to deliver better health for Australians and benefit our economy – now and for the future</w:t>
      </w:r>
      <w:r>
        <w:rPr>
          <w:rFonts w:eastAsia="Arial" w:cs="Arial"/>
          <w:spacing w:val="-2"/>
          <w:szCs w:val="20"/>
        </w:rPr>
        <w:t xml:space="preserve">. </w:t>
      </w:r>
    </w:p>
    <w:p w14:paraId="5ED8D1DD" w14:textId="1B3CE8D6" w:rsidR="00506136" w:rsidRPr="00506136" w:rsidRDefault="00506136" w:rsidP="00506136">
      <w:pPr>
        <w:pStyle w:val="ListParagraph"/>
        <w:numPr>
          <w:ilvl w:val="0"/>
          <w:numId w:val="95"/>
        </w:numPr>
        <w:spacing w:before="120" w:after="120"/>
        <w:rPr>
          <w:rFonts w:cs="Arial"/>
          <w:szCs w:val="20"/>
          <w:lang w:val="en-US"/>
        </w:rPr>
      </w:pPr>
      <w:r>
        <w:rPr>
          <w:rFonts w:cs="Arial"/>
          <w:szCs w:val="18"/>
        </w:rPr>
        <w:t xml:space="preserve">supporting participation in sport and physical activity, and </w:t>
      </w:r>
      <w:r w:rsidRPr="00084D05">
        <w:rPr>
          <w:rFonts w:cs="Arial"/>
          <w:szCs w:val="18"/>
        </w:rPr>
        <w:t xml:space="preserve">Commonwealth involvement in major sporting events </w:t>
      </w:r>
      <w:r>
        <w:rPr>
          <w:rFonts w:cs="Arial"/>
          <w:szCs w:val="18"/>
        </w:rPr>
        <w:t xml:space="preserve">to be </w:t>
      </w:r>
      <w:r w:rsidRPr="00CA6F87">
        <w:rPr>
          <w:rFonts w:cs="Arial"/>
          <w:szCs w:val="18"/>
        </w:rPr>
        <w:t>hosted in Australia</w:t>
      </w:r>
      <w:r>
        <w:rPr>
          <w:rFonts w:cs="Arial"/>
          <w:szCs w:val="18"/>
        </w:rPr>
        <w:t>.</w:t>
      </w:r>
      <w:r w:rsidRPr="00383C9D">
        <w:rPr>
          <w:rFonts w:eastAsia="Arial" w:cs="Arial"/>
          <w:spacing w:val="-2"/>
          <w:sz w:val="18"/>
          <w:szCs w:val="18"/>
        </w:rPr>
        <w:t xml:space="preserve"> </w:t>
      </w:r>
    </w:p>
    <w:p w14:paraId="2E5F72A3" w14:textId="4FA1A171" w:rsidR="004D7B74" w:rsidRPr="00616623" w:rsidRDefault="004D7B74" w:rsidP="004D7B74">
      <w:pPr>
        <w:spacing w:before="120" w:after="120"/>
        <w:rPr>
          <w:rFonts w:eastAsia="Arial" w:cs="Arial"/>
          <w:spacing w:val="-2"/>
          <w:szCs w:val="20"/>
          <w:lang w:val="en-US"/>
        </w:rPr>
      </w:pPr>
      <w:r w:rsidRPr="00616623">
        <w:rPr>
          <w:rFonts w:eastAsia="Arial" w:cs="Arial"/>
          <w:spacing w:val="-2"/>
          <w:szCs w:val="20"/>
          <w:lang w:val="en-US"/>
        </w:rPr>
        <w:t>On 1 January 2024, the department established an interim Centre for Disease Control (CDC).</w:t>
      </w:r>
      <w:r w:rsidR="00996A64" w:rsidRPr="00616623">
        <w:rPr>
          <w:rFonts w:eastAsia="Arial" w:cs="Arial"/>
          <w:spacing w:val="-2"/>
          <w:szCs w:val="20"/>
          <w:lang w:val="en-US"/>
        </w:rPr>
        <w:t xml:space="preserve"> </w:t>
      </w:r>
      <w:r w:rsidRPr="00616623">
        <w:rPr>
          <w:rFonts w:eastAsia="Arial" w:cs="Arial"/>
          <w:spacing w:val="-2"/>
          <w:szCs w:val="20"/>
          <w:lang w:val="en-US"/>
        </w:rPr>
        <w:t xml:space="preserve">The key priorities of the interim Australian CDC will be to prepare for future pandemics, advise on national responses to future infectious disease outbreaks, and work to prevent communicable diseases. </w:t>
      </w:r>
    </w:p>
    <w:p w14:paraId="1EBD9422" w14:textId="77777777" w:rsidR="004D7B74" w:rsidRPr="00616623" w:rsidRDefault="004D7B74" w:rsidP="004D7B74">
      <w:pPr>
        <w:spacing w:before="120" w:after="120"/>
        <w:rPr>
          <w:rFonts w:eastAsia="Arial" w:cs="Arial"/>
          <w:spacing w:val="-2"/>
          <w:szCs w:val="20"/>
          <w:lang w:val="en-US"/>
        </w:rPr>
      </w:pPr>
      <w:r w:rsidRPr="00616623">
        <w:rPr>
          <w:rFonts w:eastAsia="Arial" w:cs="Arial"/>
          <w:spacing w:val="-2"/>
          <w:szCs w:val="20"/>
          <w:lang w:val="en-US"/>
        </w:rPr>
        <w:t xml:space="preserve">The department relies on a capable and experienced workforce to effectively deliver the Government’s health, aged </w:t>
      </w:r>
      <w:proofErr w:type="gramStart"/>
      <w:r w:rsidRPr="00616623">
        <w:rPr>
          <w:rFonts w:eastAsia="Arial" w:cs="Arial"/>
          <w:spacing w:val="-2"/>
          <w:szCs w:val="20"/>
          <w:lang w:val="en-US"/>
        </w:rPr>
        <w:t>care</w:t>
      </w:r>
      <w:proofErr w:type="gramEnd"/>
      <w:r w:rsidRPr="00616623">
        <w:rPr>
          <w:rFonts w:eastAsia="Arial" w:cs="Arial"/>
          <w:spacing w:val="-2"/>
          <w:szCs w:val="20"/>
          <w:lang w:val="en-US"/>
        </w:rPr>
        <w:t xml:space="preserve"> and sports priorities. </w:t>
      </w:r>
    </w:p>
    <w:p w14:paraId="69E8A9AD" w14:textId="72BEB8D6" w:rsidR="004D7B74" w:rsidRPr="00616623" w:rsidRDefault="004D7B74" w:rsidP="004D7B74">
      <w:pPr>
        <w:spacing w:before="120" w:after="120"/>
        <w:rPr>
          <w:rFonts w:eastAsia="Arial" w:cs="Arial"/>
          <w:spacing w:val="-2"/>
          <w:szCs w:val="20"/>
          <w:lang w:val="en-US"/>
        </w:rPr>
      </w:pPr>
      <w:r w:rsidRPr="00616623">
        <w:rPr>
          <w:rFonts w:eastAsia="Arial" w:cs="Arial"/>
          <w:spacing w:val="-2"/>
          <w:szCs w:val="20"/>
          <w:lang w:val="en-US"/>
        </w:rPr>
        <w:t xml:space="preserve">The Australian Public Service Commission undertook a Capability Review of the department in 2023. We will continue to implement our responses, focusing on lifting our strategic policy capability, engaging better with our </w:t>
      </w:r>
      <w:proofErr w:type="gramStart"/>
      <w:r w:rsidRPr="00616623">
        <w:rPr>
          <w:rFonts w:eastAsia="Arial" w:cs="Arial"/>
          <w:spacing w:val="-2"/>
          <w:szCs w:val="20"/>
          <w:lang w:val="en-US"/>
        </w:rPr>
        <w:t>stakeholders</w:t>
      </w:r>
      <w:proofErr w:type="gramEnd"/>
      <w:r w:rsidRPr="00616623">
        <w:rPr>
          <w:rFonts w:eastAsia="Arial" w:cs="Arial"/>
          <w:spacing w:val="-2"/>
          <w:szCs w:val="20"/>
          <w:lang w:val="en-US"/>
        </w:rPr>
        <w:t xml:space="preserve"> and empowering our executive leaders.</w:t>
      </w:r>
    </w:p>
    <w:p w14:paraId="1DC23D13" w14:textId="77777777" w:rsidR="004D7B74" w:rsidRPr="00616623" w:rsidRDefault="004D7B74" w:rsidP="004D7B74">
      <w:pPr>
        <w:spacing w:before="120" w:after="120"/>
        <w:rPr>
          <w:rFonts w:eastAsia="Arial" w:cs="Arial"/>
          <w:spacing w:val="-2"/>
          <w:szCs w:val="20"/>
          <w:lang w:val="en-US"/>
        </w:rPr>
      </w:pPr>
      <w:r w:rsidRPr="00616623">
        <w:rPr>
          <w:rFonts w:eastAsia="Arial" w:cs="Arial"/>
          <w:spacing w:val="-2"/>
          <w:szCs w:val="20"/>
          <w:lang w:val="en-US"/>
        </w:rPr>
        <w:t>The Office of the Chief Health Economist was established in 2023–24. We will expand the Office to further uplift our internal capability.</w:t>
      </w:r>
    </w:p>
    <w:p w14:paraId="3FADB29B" w14:textId="2A43106B" w:rsidR="004D7B74" w:rsidRPr="00616623" w:rsidRDefault="004D7B74" w:rsidP="004D7B74">
      <w:pPr>
        <w:spacing w:before="120" w:after="120"/>
        <w:rPr>
          <w:rFonts w:eastAsia="Arial" w:cs="Arial"/>
          <w:spacing w:val="-2"/>
          <w:szCs w:val="20"/>
          <w:lang w:val="en-US"/>
        </w:rPr>
      </w:pPr>
      <w:r w:rsidRPr="00616623">
        <w:rPr>
          <w:rFonts w:eastAsia="Arial" w:cs="Arial"/>
          <w:spacing w:val="-2"/>
          <w:szCs w:val="20"/>
          <w:lang w:val="en-US"/>
        </w:rPr>
        <w:t xml:space="preserve">We will maintain a strong emphasis on developing our workforce capabilities, fostering a safe and respectful work </w:t>
      </w:r>
      <w:proofErr w:type="gramStart"/>
      <w:r w:rsidRPr="00616623">
        <w:rPr>
          <w:rFonts w:eastAsia="Arial" w:cs="Arial"/>
          <w:spacing w:val="-2"/>
          <w:szCs w:val="20"/>
          <w:lang w:val="en-US"/>
        </w:rPr>
        <w:t>environment</w:t>
      </w:r>
      <w:proofErr w:type="gramEnd"/>
      <w:r w:rsidRPr="00616623">
        <w:rPr>
          <w:rFonts w:eastAsia="Arial" w:cs="Arial"/>
          <w:spacing w:val="-2"/>
          <w:szCs w:val="20"/>
          <w:lang w:val="en-US"/>
        </w:rPr>
        <w:t xml:space="preserve"> and implementing strategies to support a diverse and inclusive workforce. A key focus of this work will be establishing a new Stretch Reconciliation Action Plan.</w:t>
      </w:r>
    </w:p>
    <w:p w14:paraId="05A9C0B3" w14:textId="69D99004" w:rsidR="004D7B74" w:rsidRPr="00616623" w:rsidRDefault="004D7B74" w:rsidP="004D7B74">
      <w:pPr>
        <w:spacing w:before="120" w:after="120"/>
        <w:rPr>
          <w:rFonts w:eastAsia="Arial" w:cs="Arial"/>
          <w:spacing w:val="-2"/>
          <w:szCs w:val="20"/>
          <w:lang w:val="en-US"/>
        </w:rPr>
      </w:pPr>
      <w:r w:rsidRPr="00616623">
        <w:rPr>
          <w:rFonts w:eastAsia="Arial" w:cs="Arial"/>
          <w:spacing w:val="-2"/>
          <w:szCs w:val="20"/>
          <w:lang w:val="en-US"/>
        </w:rPr>
        <w:t>Our corporate teams will collaborate to provide guidance and advise on compliance with legislative requirements, financial management, adherence to grants and procurement rules and project and program assurance. Additionally, they will ensure the department has the essential IT infrastructure and services to effectively do its job.</w:t>
      </w:r>
    </w:p>
    <w:p w14:paraId="5C524514" w14:textId="5A76DDAA" w:rsidR="004D7B74" w:rsidRPr="00616623" w:rsidRDefault="004D7B74" w:rsidP="004D7B74">
      <w:pPr>
        <w:spacing w:before="120" w:after="120"/>
        <w:rPr>
          <w:rFonts w:eastAsia="Arial" w:cs="Arial"/>
          <w:spacing w:val="-2"/>
          <w:szCs w:val="20"/>
          <w:lang w:val="en-US"/>
        </w:rPr>
      </w:pPr>
      <w:r w:rsidRPr="00616623">
        <w:rPr>
          <w:rFonts w:eastAsia="Arial" w:cs="Arial"/>
          <w:spacing w:val="-2"/>
          <w:szCs w:val="20"/>
          <w:lang w:val="en-US"/>
        </w:rPr>
        <w:t xml:space="preserve">Strong collaboration with our internal and external stakeholders is vital to develop and deliver successful policy and program solutions. These stakeholders include state and territory </w:t>
      </w:r>
      <w:r w:rsidR="00F242B4" w:rsidRPr="00616623">
        <w:rPr>
          <w:rFonts w:eastAsia="Arial" w:cs="Arial"/>
          <w:spacing w:val="-2"/>
          <w:szCs w:val="20"/>
          <w:lang w:val="en-US"/>
        </w:rPr>
        <w:t>government</w:t>
      </w:r>
      <w:r w:rsidR="003E5E7C" w:rsidRPr="00616623">
        <w:rPr>
          <w:rFonts w:eastAsia="Arial" w:cs="Arial"/>
          <w:spacing w:val="-2"/>
          <w:szCs w:val="20"/>
          <w:lang w:val="en-US"/>
        </w:rPr>
        <w:t>s</w:t>
      </w:r>
      <w:r w:rsidRPr="00616623">
        <w:rPr>
          <w:rFonts w:eastAsia="Arial" w:cs="Arial"/>
          <w:spacing w:val="-2"/>
          <w:szCs w:val="20"/>
          <w:lang w:val="en-US"/>
        </w:rPr>
        <w:t xml:space="preserve">, the private and not-for-profit sector, key peak bodies, international </w:t>
      </w:r>
      <w:proofErr w:type="gramStart"/>
      <w:r w:rsidRPr="00616623">
        <w:rPr>
          <w:rFonts w:eastAsia="Arial" w:cs="Arial"/>
          <w:spacing w:val="-2"/>
          <w:szCs w:val="20"/>
          <w:lang w:val="en-US"/>
        </w:rPr>
        <w:t>partners</w:t>
      </w:r>
      <w:proofErr w:type="gramEnd"/>
      <w:r w:rsidRPr="00616623">
        <w:rPr>
          <w:rFonts w:eastAsia="Arial" w:cs="Arial"/>
          <w:spacing w:val="-2"/>
          <w:szCs w:val="20"/>
          <w:lang w:val="en-US"/>
        </w:rPr>
        <w:t xml:space="preserve"> and other Australian Government entities. We will invest in these relationships to ensure we understand our partners perspectives and goals and can work together towards shared objective</w:t>
      </w:r>
      <w:r w:rsidR="00784116" w:rsidRPr="00616623">
        <w:rPr>
          <w:rFonts w:eastAsia="Arial" w:cs="Arial"/>
          <w:spacing w:val="-2"/>
          <w:szCs w:val="20"/>
          <w:lang w:val="en-US"/>
        </w:rPr>
        <w:t>s</w:t>
      </w:r>
      <w:r w:rsidRPr="00616623">
        <w:rPr>
          <w:rFonts w:eastAsia="Arial" w:cs="Arial"/>
          <w:spacing w:val="-2"/>
          <w:szCs w:val="20"/>
          <w:lang w:val="en-US"/>
        </w:rPr>
        <w:t xml:space="preserve">. </w:t>
      </w:r>
    </w:p>
    <w:p w14:paraId="5AF78130" w14:textId="77777777" w:rsidR="00D559CF" w:rsidRPr="00436B21" w:rsidRDefault="004D7B74" w:rsidP="00436B21">
      <w:r w:rsidRPr="00436B21">
        <w:t xml:space="preserve">Blair Comley PSM </w:t>
      </w:r>
    </w:p>
    <w:p w14:paraId="0080493E" w14:textId="22C782F4" w:rsidR="004D7B74" w:rsidRPr="00436B21" w:rsidRDefault="004D7B74" w:rsidP="00436B21">
      <w:r w:rsidRPr="00436B21">
        <w:t>Secretary</w:t>
      </w:r>
    </w:p>
    <w:p w14:paraId="54867044" w14:textId="0E129687" w:rsidR="004D7B74" w:rsidRPr="00E632CF" w:rsidRDefault="004D7B74" w:rsidP="00E632CF">
      <w:pPr>
        <w:pStyle w:val="Heading1"/>
      </w:pPr>
      <w:r w:rsidRPr="00D86D77">
        <w:rPr>
          <w:rFonts w:eastAsia="Arial"/>
          <w:color w:val="00727E"/>
          <w:sz w:val="20"/>
          <w:szCs w:val="22"/>
          <w:lang w:val="en-US"/>
        </w:rPr>
        <w:br w:type="column"/>
      </w:r>
      <w:bookmarkStart w:id="5" w:name="_Toc175293603"/>
      <w:bookmarkStart w:id="6" w:name="_Toc175846462"/>
      <w:r w:rsidRPr="00E632CF">
        <w:lastRenderedPageBreak/>
        <w:t>Role of the Corporate Plan</w:t>
      </w:r>
      <w:bookmarkEnd w:id="5"/>
      <w:bookmarkEnd w:id="6"/>
    </w:p>
    <w:p w14:paraId="448DC901" w14:textId="393B4D5F" w:rsidR="004D7B74" w:rsidRPr="00E8084B" w:rsidRDefault="004D7B74" w:rsidP="004D7B74">
      <w:pPr>
        <w:spacing w:before="120" w:after="120"/>
        <w:rPr>
          <w:rFonts w:cs="Arial"/>
        </w:rPr>
      </w:pPr>
      <w:r w:rsidRPr="00E8084B">
        <w:rPr>
          <w:rFonts w:cs="Arial"/>
        </w:rPr>
        <w:t xml:space="preserve">The Department of Health and Aged Care Corporate Plan (the Plan) is the primary planning document for the </w:t>
      </w:r>
      <w:r w:rsidR="00802487" w:rsidRPr="00E8084B">
        <w:rPr>
          <w:rFonts w:cs="Arial"/>
        </w:rPr>
        <w:t>department and</w:t>
      </w:r>
      <w:r w:rsidR="000F228C" w:rsidRPr="00E8084B">
        <w:rPr>
          <w:rFonts w:cs="Arial"/>
        </w:rPr>
        <w:t xml:space="preserve"> presents our </w:t>
      </w:r>
      <w:r w:rsidRPr="00E8084B">
        <w:rPr>
          <w:rFonts w:cs="Arial"/>
        </w:rPr>
        <w:t xml:space="preserve">operating environment, </w:t>
      </w:r>
      <w:proofErr w:type="gramStart"/>
      <w:r w:rsidRPr="00E8084B">
        <w:rPr>
          <w:rFonts w:cs="Arial"/>
        </w:rPr>
        <w:t>purposes</w:t>
      </w:r>
      <w:proofErr w:type="gramEnd"/>
      <w:r w:rsidR="004B69CF" w:rsidRPr="00E8084B">
        <w:rPr>
          <w:rFonts w:cs="Arial"/>
        </w:rPr>
        <w:t xml:space="preserve"> </w:t>
      </w:r>
      <w:r w:rsidRPr="00E8084B">
        <w:rPr>
          <w:rFonts w:cs="Arial"/>
        </w:rPr>
        <w:t xml:space="preserve">and key activities. It also demonstrates how our performance will be measured and assessed. In accordance with the requirements outlined in the Public Governance, Performance and Accountability Rule 2014 and under section 35 of the </w:t>
      </w:r>
      <w:r w:rsidRPr="00436B21">
        <w:rPr>
          <w:rStyle w:val="Emphasis"/>
        </w:rPr>
        <w:t>Public Governance, Performance and Accountability Act 2013</w:t>
      </w:r>
      <w:r w:rsidRPr="00E8084B">
        <w:rPr>
          <w:rFonts w:cs="Arial"/>
        </w:rPr>
        <w:t xml:space="preserve">, the Plan covers a horizon of </w:t>
      </w:r>
      <w:r w:rsidR="005A1EAE" w:rsidRPr="00E8084B">
        <w:rPr>
          <w:rFonts w:cs="Arial"/>
        </w:rPr>
        <w:t>4</w:t>
      </w:r>
      <w:r w:rsidRPr="00E8084B">
        <w:rPr>
          <w:rFonts w:cs="Arial"/>
        </w:rPr>
        <w:t xml:space="preserve"> years. </w:t>
      </w:r>
    </w:p>
    <w:p w14:paraId="0E650AAD" w14:textId="1941B83E" w:rsidR="004D7B74" w:rsidRPr="00E8084B" w:rsidRDefault="004D7B74" w:rsidP="004D7B74">
      <w:pPr>
        <w:spacing w:before="120" w:after="120"/>
        <w:rPr>
          <w:rFonts w:cs="Arial"/>
        </w:rPr>
      </w:pPr>
      <w:r w:rsidRPr="00E8084B">
        <w:rPr>
          <w:rFonts w:cs="Arial"/>
        </w:rPr>
        <w:t>Together with the 2024</w:t>
      </w:r>
      <w:r w:rsidRPr="00E8084B">
        <w:rPr>
          <w:rFonts w:eastAsia="Arial" w:cs="Arial"/>
          <w:spacing w:val="-2"/>
          <w:lang w:val="en-US"/>
        </w:rPr>
        <w:t>–</w:t>
      </w:r>
      <w:r w:rsidRPr="00E8084B">
        <w:rPr>
          <w:rFonts w:cs="Arial"/>
        </w:rPr>
        <w:t xml:space="preserve">25 </w:t>
      </w:r>
      <w:r w:rsidR="00ED54A0" w:rsidRPr="00E8084B">
        <w:rPr>
          <w:rFonts w:cs="Arial"/>
        </w:rPr>
        <w:t xml:space="preserve">Health and Aged Care </w:t>
      </w:r>
      <w:r w:rsidRPr="00E8084B">
        <w:rPr>
          <w:rFonts w:cs="Arial"/>
        </w:rPr>
        <w:t xml:space="preserve">Portfolio Budget Statements, the Plan will guide and support measurement of the </w:t>
      </w:r>
      <w:r w:rsidR="0031729B" w:rsidRPr="00E8084B">
        <w:rPr>
          <w:rFonts w:cs="Arial"/>
        </w:rPr>
        <w:t>d</w:t>
      </w:r>
      <w:r w:rsidRPr="00E8084B">
        <w:rPr>
          <w:rFonts w:cs="Arial"/>
        </w:rPr>
        <w:t xml:space="preserve">epartment’s activities. To support a clear read across the </w:t>
      </w:r>
      <w:r w:rsidR="0031729B" w:rsidRPr="00E8084B">
        <w:rPr>
          <w:rFonts w:cs="Arial"/>
        </w:rPr>
        <w:t>d</w:t>
      </w:r>
      <w:r w:rsidRPr="00E8084B">
        <w:rPr>
          <w:rFonts w:cs="Arial"/>
        </w:rPr>
        <w:t xml:space="preserve">epartment’s financial and non-financial planning and reporting, the Plan aligns to the outcomes and programs contained within the 2024–25 Health and Aged Care Portfolio Budget Statements. Where changes have been made, relevant footnotes have been included in the performance information section of the Plan, </w:t>
      </w:r>
      <w:r w:rsidR="000F228C" w:rsidRPr="00E8084B">
        <w:rPr>
          <w:rFonts w:cs="Arial"/>
        </w:rPr>
        <w:t>outlining</w:t>
      </w:r>
      <w:r w:rsidR="00097081" w:rsidRPr="00E8084B">
        <w:rPr>
          <w:rFonts w:cs="Arial"/>
        </w:rPr>
        <w:t xml:space="preserve"> </w:t>
      </w:r>
      <w:r w:rsidRPr="00E8084B">
        <w:rPr>
          <w:rFonts w:cs="Arial"/>
        </w:rPr>
        <w:t>the reason for the change. The Plan reinforces a clear line of sight between the strategic direction of the department and the contributions of individual staff in their performance and development agreements.</w:t>
      </w:r>
    </w:p>
    <w:p w14:paraId="0FDD38B9" w14:textId="131F07A6" w:rsidR="004D7B74" w:rsidRPr="00E8084B" w:rsidRDefault="004D7B74" w:rsidP="004D7B74">
      <w:pPr>
        <w:rPr>
          <w:rStyle w:val="Strong"/>
          <w:rFonts w:cs="Arial"/>
          <w:b w:val="0"/>
          <w:bCs w:val="0"/>
        </w:rPr>
      </w:pPr>
      <w:r w:rsidRPr="00E8084B">
        <w:rPr>
          <w:rFonts w:cs="Arial"/>
        </w:rPr>
        <w:t xml:space="preserve">The structure of the Plan </w:t>
      </w:r>
      <w:r w:rsidR="000F228C" w:rsidRPr="00E8084B">
        <w:rPr>
          <w:rFonts w:cs="Arial"/>
        </w:rPr>
        <w:t>has been</w:t>
      </w:r>
      <w:r w:rsidR="00097081" w:rsidRPr="00E8084B">
        <w:rPr>
          <w:rFonts w:cs="Arial"/>
        </w:rPr>
        <w:t xml:space="preserve"> </w:t>
      </w:r>
      <w:r w:rsidRPr="00E8084B">
        <w:rPr>
          <w:rFonts w:cs="Arial"/>
        </w:rPr>
        <w:t>amended from last year’s Corporate Plan to ensure adherence to legislative and governance requirements.</w:t>
      </w:r>
    </w:p>
    <w:p w14:paraId="3BFAE105" w14:textId="77777777" w:rsidR="00616623" w:rsidRPr="00E632CF" w:rsidRDefault="00616623" w:rsidP="00E632CF">
      <w:bookmarkStart w:id="7" w:name="_Toc175293604"/>
      <w:r w:rsidRPr="00E632CF">
        <w:br w:type="page"/>
      </w:r>
    </w:p>
    <w:p w14:paraId="34D5D46B" w14:textId="0AF6DFF8" w:rsidR="004D7B74" w:rsidRPr="00E632CF" w:rsidRDefault="004D7B74" w:rsidP="00E632CF">
      <w:pPr>
        <w:pStyle w:val="Heading1"/>
      </w:pPr>
      <w:bookmarkStart w:id="8" w:name="_Toc175846463"/>
      <w:r w:rsidRPr="00E632CF">
        <w:lastRenderedPageBreak/>
        <w:t>Our Vision</w:t>
      </w:r>
      <w:bookmarkEnd w:id="7"/>
      <w:bookmarkEnd w:id="8"/>
      <w:r w:rsidRPr="00E632CF">
        <w:t xml:space="preserve"> </w:t>
      </w:r>
    </w:p>
    <w:p w14:paraId="0A42E417" w14:textId="77777777" w:rsidR="004D7B74" w:rsidRPr="00E8084B" w:rsidRDefault="004D7B74" w:rsidP="004D7B74">
      <w:pPr>
        <w:spacing w:before="120" w:after="120"/>
        <w:rPr>
          <w:rFonts w:cs="Arial"/>
          <w:color w:val="000000" w:themeColor="text1"/>
        </w:rPr>
      </w:pPr>
      <w:r w:rsidRPr="00E8084B">
        <w:rPr>
          <w:rFonts w:cs="Arial"/>
          <w:color w:val="000000" w:themeColor="text1"/>
        </w:rPr>
        <w:t>Better health and wellbeing for all Australians, now and for future generations.</w:t>
      </w:r>
    </w:p>
    <w:p w14:paraId="43350A51" w14:textId="77777777" w:rsidR="004D7B74" w:rsidRPr="00E632CF" w:rsidRDefault="004D7B74" w:rsidP="00E632CF">
      <w:pPr>
        <w:pStyle w:val="Heading1"/>
      </w:pPr>
      <w:bookmarkStart w:id="9" w:name="_Toc175293605"/>
      <w:bookmarkStart w:id="10" w:name="_Toc175846464"/>
      <w:r w:rsidRPr="00E632CF">
        <w:t>Our Purpose and Outcomes</w:t>
      </w:r>
      <w:bookmarkEnd w:id="9"/>
      <w:bookmarkEnd w:id="10"/>
    </w:p>
    <w:p w14:paraId="64D99599" w14:textId="3313F67A" w:rsidR="004D7B74" w:rsidRPr="00E8084B" w:rsidRDefault="004D7B74" w:rsidP="00CB6EA8">
      <w:pPr>
        <w:rPr>
          <w:bCs/>
          <w:color w:val="000000"/>
          <w:sz w:val="22"/>
        </w:rPr>
      </w:pPr>
      <w:bookmarkStart w:id="11" w:name="_Toc171340434"/>
      <w:bookmarkStart w:id="12" w:name="_Toc171411917"/>
      <w:bookmarkStart w:id="13" w:name="_Toc175293606"/>
      <w:r w:rsidRPr="00E8084B">
        <w:rPr>
          <w:color w:val="000000"/>
          <w:sz w:val="22"/>
        </w:rPr>
        <w:t xml:space="preserve">With our partners, we support the Government to lead and shape Australia’s health and aged care system and sporting outcomes through evidence-based policy, well targeted </w:t>
      </w:r>
      <w:proofErr w:type="gramStart"/>
      <w:r w:rsidRPr="00E8084B">
        <w:rPr>
          <w:color w:val="000000"/>
          <w:sz w:val="22"/>
        </w:rPr>
        <w:t>programs</w:t>
      </w:r>
      <w:proofErr w:type="gramEnd"/>
      <w:r w:rsidRPr="00E8084B">
        <w:rPr>
          <w:color w:val="000000"/>
          <w:sz w:val="22"/>
        </w:rPr>
        <w:t xml:space="preserve"> and best practice regulation.</w:t>
      </w:r>
      <w:bookmarkEnd w:id="11"/>
      <w:bookmarkEnd w:id="12"/>
      <w:bookmarkEnd w:id="13"/>
    </w:p>
    <w:p w14:paraId="0A4CF610" w14:textId="77777777" w:rsidR="004D7B74" w:rsidRPr="00E8084B" w:rsidRDefault="004D7B74" w:rsidP="004D7B74">
      <w:pPr>
        <w:spacing w:before="120" w:after="120"/>
        <w:rPr>
          <w:rStyle w:val="Strong"/>
          <w:rFonts w:cs="Arial"/>
          <w:b w:val="0"/>
          <w:bCs w:val="0"/>
          <w:color w:val="000000"/>
        </w:rPr>
      </w:pPr>
      <w:r w:rsidRPr="00E8084B">
        <w:rPr>
          <w:rFonts w:cs="Arial"/>
          <w:color w:val="000000"/>
        </w:rPr>
        <w:t>Our purpose is achieved through our outcomes and programs.</w:t>
      </w:r>
    </w:p>
    <w:p w14:paraId="4588715E" w14:textId="77777777" w:rsidR="004D7B74" w:rsidRPr="00E632CF" w:rsidRDefault="004D7B74" w:rsidP="00E632CF">
      <w:pPr>
        <w:rPr>
          <w:rStyle w:val="Strong"/>
        </w:rPr>
      </w:pPr>
      <w:r w:rsidRPr="00E632CF">
        <w:rPr>
          <w:rStyle w:val="Strong"/>
        </w:rPr>
        <w:t xml:space="preserve">Outcome 1 – Health Policy, </w:t>
      </w:r>
      <w:proofErr w:type="gramStart"/>
      <w:r w:rsidRPr="00E632CF">
        <w:rPr>
          <w:rStyle w:val="Strong"/>
        </w:rPr>
        <w:t>Access</w:t>
      </w:r>
      <w:proofErr w:type="gramEnd"/>
      <w:r w:rsidRPr="00E632CF">
        <w:rPr>
          <w:rStyle w:val="Strong"/>
        </w:rPr>
        <w:t xml:space="preserve"> and Support</w:t>
      </w:r>
    </w:p>
    <w:p w14:paraId="1E720DC6" w14:textId="77777777" w:rsidR="004D7B74" w:rsidRPr="00D86D77" w:rsidRDefault="004D7B74" w:rsidP="004D7B74">
      <w:pPr>
        <w:spacing w:before="120" w:after="120"/>
        <w:rPr>
          <w:rFonts w:cs="Arial"/>
          <w:color w:val="000000"/>
          <w:szCs w:val="20"/>
        </w:rPr>
      </w:pPr>
      <w:r w:rsidRPr="00D86D77">
        <w:rPr>
          <w:rFonts w:cs="Arial"/>
          <w:color w:val="000000"/>
          <w:szCs w:val="20"/>
        </w:rPr>
        <w:t>1.1 Health Research, Coordination and Access</w:t>
      </w:r>
    </w:p>
    <w:p w14:paraId="18872A9E" w14:textId="77777777" w:rsidR="004D7B74" w:rsidRPr="00D86D77" w:rsidRDefault="004D7B74" w:rsidP="004D7B74">
      <w:pPr>
        <w:spacing w:before="120" w:after="120"/>
        <w:rPr>
          <w:rFonts w:cs="Arial"/>
          <w:color w:val="000000"/>
          <w:szCs w:val="20"/>
        </w:rPr>
      </w:pPr>
      <w:r w:rsidRPr="00D86D77">
        <w:rPr>
          <w:rFonts w:cs="Arial"/>
          <w:color w:val="000000"/>
          <w:szCs w:val="20"/>
        </w:rPr>
        <w:t>1.2 Mental Health</w:t>
      </w:r>
    </w:p>
    <w:p w14:paraId="147AA008" w14:textId="77777777" w:rsidR="004D7B74" w:rsidRPr="00D86D77" w:rsidRDefault="004D7B74" w:rsidP="004D7B74">
      <w:pPr>
        <w:spacing w:before="120" w:after="120"/>
        <w:rPr>
          <w:rFonts w:cs="Arial"/>
          <w:color w:val="000000"/>
          <w:szCs w:val="20"/>
        </w:rPr>
      </w:pPr>
      <w:r w:rsidRPr="00D86D77">
        <w:rPr>
          <w:rFonts w:cs="Arial"/>
          <w:color w:val="000000"/>
          <w:szCs w:val="20"/>
        </w:rPr>
        <w:t>1.3 First Nations Health</w:t>
      </w:r>
    </w:p>
    <w:p w14:paraId="3F5A01F6" w14:textId="77777777" w:rsidR="004D7B74" w:rsidRPr="00D86D77" w:rsidRDefault="004D7B74" w:rsidP="004D7B74">
      <w:pPr>
        <w:spacing w:before="120" w:after="120"/>
        <w:rPr>
          <w:rFonts w:cs="Arial"/>
          <w:color w:val="000000"/>
          <w:szCs w:val="20"/>
        </w:rPr>
      </w:pPr>
      <w:r w:rsidRPr="00D86D77">
        <w:rPr>
          <w:rFonts w:cs="Arial"/>
          <w:color w:val="000000"/>
          <w:szCs w:val="20"/>
        </w:rPr>
        <w:t>1.4 Health Workforce</w:t>
      </w:r>
    </w:p>
    <w:p w14:paraId="7B0A16E6" w14:textId="77777777" w:rsidR="004D7B74" w:rsidRPr="00D86D77" w:rsidRDefault="004D7B74" w:rsidP="004D7B74">
      <w:pPr>
        <w:spacing w:before="120" w:after="120"/>
        <w:rPr>
          <w:rFonts w:cs="Arial"/>
          <w:color w:val="000000"/>
          <w:szCs w:val="20"/>
        </w:rPr>
      </w:pPr>
      <w:r w:rsidRPr="00D86D77">
        <w:rPr>
          <w:rFonts w:cs="Arial"/>
          <w:color w:val="000000"/>
          <w:szCs w:val="20"/>
        </w:rPr>
        <w:t>1.5 Preventive Health and Chronic Disease Support</w:t>
      </w:r>
    </w:p>
    <w:p w14:paraId="4D1D8245" w14:textId="77777777" w:rsidR="004D7B74" w:rsidRPr="00D86D77" w:rsidRDefault="004D7B74" w:rsidP="004D7B74">
      <w:pPr>
        <w:spacing w:before="120" w:after="120"/>
        <w:rPr>
          <w:rFonts w:cs="Arial"/>
          <w:color w:val="000000"/>
          <w:szCs w:val="20"/>
        </w:rPr>
      </w:pPr>
      <w:r w:rsidRPr="00D86D77">
        <w:rPr>
          <w:rFonts w:cs="Arial"/>
          <w:color w:val="000000"/>
          <w:szCs w:val="20"/>
        </w:rPr>
        <w:t>1.6 Primary Health Care Quality and Coordination</w:t>
      </w:r>
    </w:p>
    <w:p w14:paraId="001B6FB4" w14:textId="77777777" w:rsidR="004D7B74" w:rsidRPr="00D86D77" w:rsidRDefault="004D7B74" w:rsidP="004D7B74">
      <w:pPr>
        <w:spacing w:before="120" w:after="120"/>
        <w:rPr>
          <w:rFonts w:cs="Arial"/>
          <w:color w:val="000000"/>
          <w:szCs w:val="20"/>
        </w:rPr>
      </w:pPr>
      <w:r w:rsidRPr="00D86D77">
        <w:rPr>
          <w:rFonts w:cs="Arial"/>
          <w:color w:val="000000"/>
          <w:szCs w:val="20"/>
        </w:rPr>
        <w:t>1.7 Primary Care Practice Incentives and Medical Indemnity</w:t>
      </w:r>
    </w:p>
    <w:p w14:paraId="37990FAD" w14:textId="77777777" w:rsidR="004D7B74" w:rsidRPr="00D86D77" w:rsidRDefault="004D7B74" w:rsidP="004D7B74">
      <w:pPr>
        <w:spacing w:before="120" w:after="120"/>
        <w:rPr>
          <w:rFonts w:cs="Arial"/>
          <w:color w:val="000000"/>
          <w:szCs w:val="20"/>
        </w:rPr>
      </w:pPr>
      <w:r w:rsidRPr="00D86D77">
        <w:rPr>
          <w:rFonts w:cs="Arial"/>
          <w:color w:val="000000"/>
          <w:szCs w:val="20"/>
        </w:rPr>
        <w:t>1.8 Health Protection, Emergency Response and Regulation</w:t>
      </w:r>
    </w:p>
    <w:p w14:paraId="05FB3E0A" w14:textId="77777777" w:rsidR="004D7B74" w:rsidRPr="00D86D77" w:rsidRDefault="004D7B74" w:rsidP="004D7B74">
      <w:pPr>
        <w:spacing w:before="120" w:after="120"/>
        <w:rPr>
          <w:rFonts w:cs="Arial"/>
          <w:color w:val="000000"/>
          <w:szCs w:val="20"/>
        </w:rPr>
      </w:pPr>
      <w:r w:rsidRPr="00D86D77">
        <w:rPr>
          <w:rFonts w:cs="Arial"/>
          <w:color w:val="000000"/>
          <w:szCs w:val="20"/>
        </w:rPr>
        <w:t>1.9 Immunisation</w:t>
      </w:r>
    </w:p>
    <w:p w14:paraId="1287AD7F" w14:textId="77777777" w:rsidR="004D7B74" w:rsidRPr="00E632CF" w:rsidRDefault="004D7B74" w:rsidP="00E632CF">
      <w:pPr>
        <w:rPr>
          <w:rStyle w:val="Strong"/>
        </w:rPr>
      </w:pPr>
      <w:bookmarkStart w:id="14" w:name="_Outcome_2_–"/>
      <w:bookmarkEnd w:id="14"/>
      <w:r w:rsidRPr="00E632CF">
        <w:rPr>
          <w:rStyle w:val="Strong"/>
        </w:rPr>
        <w:t>Outcome 2 – Individual Health Benefits</w:t>
      </w:r>
    </w:p>
    <w:p w14:paraId="7A17ACE3" w14:textId="77777777" w:rsidR="004D7B74" w:rsidRPr="00D86D77" w:rsidRDefault="004D7B74" w:rsidP="004D7B74">
      <w:pPr>
        <w:spacing w:before="120" w:after="120"/>
        <w:rPr>
          <w:rFonts w:cs="Arial"/>
          <w:color w:val="000000"/>
          <w:szCs w:val="20"/>
        </w:rPr>
      </w:pPr>
      <w:r w:rsidRPr="00D86D77">
        <w:rPr>
          <w:rFonts w:cs="Arial"/>
          <w:color w:val="000000"/>
          <w:szCs w:val="20"/>
        </w:rPr>
        <w:t>2.1 Medical Benefits</w:t>
      </w:r>
    </w:p>
    <w:p w14:paraId="795072CD" w14:textId="77777777" w:rsidR="004D7B74" w:rsidRPr="00D86D77" w:rsidRDefault="004D7B74" w:rsidP="004D7B74">
      <w:pPr>
        <w:spacing w:before="120" w:after="120"/>
        <w:rPr>
          <w:rFonts w:cs="Arial"/>
          <w:color w:val="000000"/>
          <w:szCs w:val="20"/>
        </w:rPr>
      </w:pPr>
      <w:r w:rsidRPr="00D86D77">
        <w:rPr>
          <w:rFonts w:cs="Arial"/>
          <w:color w:val="000000"/>
          <w:szCs w:val="20"/>
        </w:rPr>
        <w:t>2.2 Hearing Services</w:t>
      </w:r>
    </w:p>
    <w:p w14:paraId="1E5129DF" w14:textId="77777777" w:rsidR="004D7B74" w:rsidRPr="00D86D77" w:rsidRDefault="004D7B74" w:rsidP="004D7B74">
      <w:pPr>
        <w:spacing w:before="120" w:after="120"/>
        <w:rPr>
          <w:rFonts w:cs="Arial"/>
          <w:color w:val="000000"/>
          <w:szCs w:val="20"/>
        </w:rPr>
      </w:pPr>
      <w:r w:rsidRPr="00D86D77">
        <w:rPr>
          <w:rFonts w:cs="Arial"/>
          <w:color w:val="000000"/>
          <w:szCs w:val="20"/>
        </w:rPr>
        <w:t>2.3 Pharmaceutical Benefits</w:t>
      </w:r>
    </w:p>
    <w:p w14:paraId="2AC00C2E" w14:textId="77777777" w:rsidR="004D7B74" w:rsidRPr="00D86D77" w:rsidRDefault="004D7B74" w:rsidP="004D7B74">
      <w:pPr>
        <w:spacing w:before="120" w:after="120"/>
        <w:rPr>
          <w:rFonts w:cs="Arial"/>
          <w:color w:val="000000"/>
          <w:szCs w:val="20"/>
        </w:rPr>
      </w:pPr>
      <w:r w:rsidRPr="00D86D77">
        <w:rPr>
          <w:rFonts w:cs="Arial"/>
          <w:color w:val="000000"/>
          <w:szCs w:val="20"/>
        </w:rPr>
        <w:t>2.4 Private Health Insurance</w:t>
      </w:r>
    </w:p>
    <w:p w14:paraId="24A01515" w14:textId="77777777" w:rsidR="004D7B74" w:rsidRPr="00D86D77" w:rsidRDefault="004D7B74" w:rsidP="004D7B74">
      <w:pPr>
        <w:spacing w:before="120" w:after="120"/>
        <w:rPr>
          <w:rFonts w:cs="Arial"/>
          <w:color w:val="000000"/>
          <w:szCs w:val="20"/>
        </w:rPr>
      </w:pPr>
      <w:r w:rsidRPr="00D86D77">
        <w:rPr>
          <w:rFonts w:cs="Arial"/>
          <w:color w:val="000000"/>
          <w:szCs w:val="20"/>
        </w:rPr>
        <w:t>2.5 Dental Services</w:t>
      </w:r>
    </w:p>
    <w:p w14:paraId="2C558E56" w14:textId="77777777" w:rsidR="004D7B74" w:rsidRPr="00D86D77" w:rsidRDefault="004D7B74" w:rsidP="004D7B74">
      <w:pPr>
        <w:spacing w:before="120" w:after="120"/>
        <w:rPr>
          <w:rFonts w:cs="Arial"/>
          <w:color w:val="000000"/>
          <w:szCs w:val="20"/>
        </w:rPr>
      </w:pPr>
      <w:r w:rsidRPr="00D86D77">
        <w:rPr>
          <w:rFonts w:cs="Arial"/>
          <w:color w:val="000000"/>
          <w:szCs w:val="20"/>
        </w:rPr>
        <w:t>2.6 Health Benefit Compliance</w:t>
      </w:r>
    </w:p>
    <w:p w14:paraId="69424C8F" w14:textId="77777777" w:rsidR="004D7B74" w:rsidRPr="00D86D77" w:rsidRDefault="004D7B74" w:rsidP="004D7B74">
      <w:pPr>
        <w:spacing w:before="120" w:after="120"/>
        <w:rPr>
          <w:rFonts w:cs="Arial"/>
          <w:color w:val="000000"/>
          <w:szCs w:val="20"/>
        </w:rPr>
      </w:pPr>
      <w:r w:rsidRPr="00D86D77">
        <w:rPr>
          <w:rFonts w:cs="Arial"/>
          <w:color w:val="000000"/>
          <w:szCs w:val="20"/>
        </w:rPr>
        <w:t>2.7 Assistance through Aids and Appliances</w:t>
      </w:r>
    </w:p>
    <w:p w14:paraId="2F80098E" w14:textId="77777777" w:rsidR="004D7B74" w:rsidRPr="00E632CF" w:rsidRDefault="004D7B74" w:rsidP="00E632CF">
      <w:pPr>
        <w:rPr>
          <w:rStyle w:val="Strong"/>
        </w:rPr>
      </w:pPr>
      <w:bookmarkStart w:id="15" w:name="_Outcome_3_–"/>
      <w:bookmarkEnd w:id="15"/>
      <w:r w:rsidRPr="00E632CF">
        <w:rPr>
          <w:rStyle w:val="Strong"/>
        </w:rPr>
        <w:t>Outcome 3 – Ageing and Aged Care</w:t>
      </w:r>
    </w:p>
    <w:p w14:paraId="5DFB4CDF" w14:textId="77777777" w:rsidR="004D7B74" w:rsidRPr="00D86D77" w:rsidRDefault="004D7B74" w:rsidP="004D7B74">
      <w:pPr>
        <w:spacing w:before="120" w:after="120"/>
        <w:rPr>
          <w:rFonts w:cs="Arial"/>
          <w:color w:val="000000"/>
          <w:szCs w:val="20"/>
        </w:rPr>
      </w:pPr>
      <w:r w:rsidRPr="00D86D77">
        <w:rPr>
          <w:rFonts w:cs="Arial"/>
          <w:color w:val="000000"/>
          <w:szCs w:val="20"/>
        </w:rPr>
        <w:t>3.1 Access and Information</w:t>
      </w:r>
    </w:p>
    <w:p w14:paraId="0CC10160" w14:textId="77777777" w:rsidR="004D7B74" w:rsidRPr="00D86D77" w:rsidRDefault="004D7B74" w:rsidP="004D7B74">
      <w:pPr>
        <w:spacing w:before="120" w:after="120"/>
        <w:rPr>
          <w:rFonts w:cs="Arial"/>
          <w:color w:val="000000"/>
          <w:szCs w:val="20"/>
        </w:rPr>
      </w:pPr>
      <w:r w:rsidRPr="00D86D77">
        <w:rPr>
          <w:rFonts w:cs="Arial"/>
          <w:color w:val="000000"/>
          <w:szCs w:val="20"/>
        </w:rPr>
        <w:t>3.2 Aged Care Services</w:t>
      </w:r>
    </w:p>
    <w:p w14:paraId="635E64BD" w14:textId="77777777" w:rsidR="004D7B74" w:rsidRPr="00D86D77" w:rsidRDefault="004D7B74" w:rsidP="004D7B74">
      <w:pPr>
        <w:spacing w:before="120" w:after="120"/>
        <w:rPr>
          <w:rFonts w:cs="Arial"/>
          <w:color w:val="000000"/>
          <w:szCs w:val="20"/>
        </w:rPr>
      </w:pPr>
      <w:r w:rsidRPr="00D86D77">
        <w:rPr>
          <w:rFonts w:cs="Arial"/>
          <w:color w:val="000000"/>
          <w:szCs w:val="20"/>
        </w:rPr>
        <w:t>3.3 Aged Care Quality</w:t>
      </w:r>
    </w:p>
    <w:p w14:paraId="374B8E96" w14:textId="77777777" w:rsidR="004D7B74" w:rsidRPr="00E632CF" w:rsidRDefault="004D7B74" w:rsidP="00E632CF">
      <w:pPr>
        <w:rPr>
          <w:rStyle w:val="Strong"/>
        </w:rPr>
      </w:pPr>
      <w:bookmarkStart w:id="16" w:name="_Outcome_4_–"/>
      <w:bookmarkEnd w:id="16"/>
      <w:r w:rsidRPr="00E632CF">
        <w:rPr>
          <w:rStyle w:val="Strong"/>
        </w:rPr>
        <w:t xml:space="preserve">Outcome 4 – Sport and Physical Activity </w:t>
      </w:r>
    </w:p>
    <w:p w14:paraId="68A9E7DB" w14:textId="77777777" w:rsidR="004D7B74" w:rsidRPr="00D86D77" w:rsidRDefault="004D7B74" w:rsidP="004D7B74">
      <w:pPr>
        <w:spacing w:before="120" w:after="120"/>
        <w:rPr>
          <w:rFonts w:cs="Arial"/>
          <w:color w:val="000000"/>
          <w:szCs w:val="20"/>
        </w:rPr>
      </w:pPr>
      <w:r w:rsidRPr="00D86D77">
        <w:rPr>
          <w:rFonts w:cs="Arial"/>
          <w:color w:val="000000"/>
          <w:szCs w:val="20"/>
        </w:rPr>
        <w:t>4.1 Sport and Physical Activity</w:t>
      </w:r>
    </w:p>
    <w:p w14:paraId="3C95A439" w14:textId="77777777" w:rsidR="004D7B74" w:rsidRPr="00E632CF" w:rsidRDefault="004D7B74" w:rsidP="00E632CF">
      <w:r w:rsidRPr="00E632CF">
        <w:br w:type="page"/>
      </w:r>
    </w:p>
    <w:p w14:paraId="53C9E091" w14:textId="77777777" w:rsidR="004D7B74" w:rsidRDefault="004D7B74" w:rsidP="004D7B74">
      <w:pPr>
        <w:rPr>
          <w:rFonts w:cs="Arial"/>
          <w:color w:val="00B050"/>
          <w:szCs w:val="20"/>
        </w:rPr>
      </w:pPr>
    </w:p>
    <w:p w14:paraId="02B90DEB" w14:textId="71A09C8C" w:rsidR="004D7B74" w:rsidRPr="00E632CF" w:rsidRDefault="004D7B74" w:rsidP="00E632CF">
      <w:pPr>
        <w:pStyle w:val="Heading1"/>
      </w:pPr>
      <w:bookmarkStart w:id="17" w:name="_Toc175293607"/>
      <w:bookmarkStart w:id="18" w:name="_Toc175846465"/>
      <w:r w:rsidRPr="00E632CF">
        <w:t>Our Corporate structure</w:t>
      </w:r>
      <w:bookmarkEnd w:id="17"/>
      <w:bookmarkEnd w:id="18"/>
      <w:r w:rsidRPr="00E632CF">
        <w:t xml:space="preserve"> </w:t>
      </w:r>
    </w:p>
    <w:p w14:paraId="1057B1C9" w14:textId="716C8327" w:rsidR="004D7B74" w:rsidRPr="00E632CF" w:rsidRDefault="004D7B74" w:rsidP="00E632CF">
      <w:pPr>
        <w:spacing w:after="0"/>
        <w:contextualSpacing/>
        <w:rPr>
          <w:rStyle w:val="Strong"/>
        </w:rPr>
      </w:pPr>
      <w:r w:rsidRPr="00E632CF">
        <w:rPr>
          <w:rStyle w:val="Strong"/>
        </w:rPr>
        <w:t>The Hon Mark Butler MP</w:t>
      </w:r>
    </w:p>
    <w:p w14:paraId="050E3038" w14:textId="77777777" w:rsidR="008C2250" w:rsidRPr="00E632CF" w:rsidRDefault="004D7B74" w:rsidP="00E632CF">
      <w:pPr>
        <w:pStyle w:val="NoSpacing"/>
      </w:pPr>
      <w:r w:rsidRPr="00E632CF">
        <w:t>Minister for Health and Aged Care</w:t>
      </w:r>
    </w:p>
    <w:p w14:paraId="0F4C3574" w14:textId="35D9F163" w:rsidR="004D7B74" w:rsidRPr="00E632CF" w:rsidRDefault="004D7B74" w:rsidP="00E632CF">
      <w:pPr>
        <w:pStyle w:val="NoSpacing"/>
      </w:pPr>
      <w:r w:rsidRPr="00E632CF">
        <w:t xml:space="preserve">Deputy Leader of the House </w:t>
      </w:r>
    </w:p>
    <w:p w14:paraId="79AB6DEA" w14:textId="5636B8CD" w:rsidR="004D7B74" w:rsidRPr="00E632CF" w:rsidRDefault="004D7B74" w:rsidP="00E632CF">
      <w:pPr>
        <w:spacing w:before="120" w:after="0"/>
        <w:rPr>
          <w:rStyle w:val="Strong"/>
        </w:rPr>
      </w:pPr>
      <w:r w:rsidRPr="00E632CF">
        <w:rPr>
          <w:rStyle w:val="Strong"/>
        </w:rPr>
        <w:t>The Hon Anika Wells MP</w:t>
      </w:r>
    </w:p>
    <w:p w14:paraId="376FF420" w14:textId="77777777" w:rsidR="008C2250" w:rsidRPr="00E632CF" w:rsidRDefault="004D7B74" w:rsidP="00E632CF">
      <w:pPr>
        <w:pStyle w:val="NoSpacing"/>
      </w:pPr>
      <w:r w:rsidRPr="00E632CF">
        <w:t>Minister for Aged Care</w:t>
      </w:r>
    </w:p>
    <w:p w14:paraId="40A4B4DA" w14:textId="39FCEF2A" w:rsidR="004D7B74" w:rsidRPr="00E632CF" w:rsidRDefault="004D7B74" w:rsidP="00E632CF">
      <w:pPr>
        <w:pStyle w:val="NoSpacing"/>
      </w:pPr>
      <w:r w:rsidRPr="00E632CF">
        <w:t xml:space="preserve">Minister for Sport </w:t>
      </w:r>
    </w:p>
    <w:p w14:paraId="09BAD901" w14:textId="77777777" w:rsidR="004D7B74" w:rsidRPr="00E632CF" w:rsidRDefault="004D7B74" w:rsidP="00E632CF">
      <w:pPr>
        <w:spacing w:before="120" w:after="0"/>
        <w:rPr>
          <w:rStyle w:val="Strong"/>
        </w:rPr>
      </w:pPr>
      <w:r w:rsidRPr="00E632CF">
        <w:rPr>
          <w:rStyle w:val="Strong"/>
        </w:rPr>
        <w:t xml:space="preserve">The Hon Ged Kearney MP </w:t>
      </w:r>
    </w:p>
    <w:p w14:paraId="52A3CAC3" w14:textId="77777777" w:rsidR="008C2250" w:rsidRPr="00E632CF" w:rsidRDefault="004D7B74" w:rsidP="00E632CF">
      <w:pPr>
        <w:pStyle w:val="NoSpacing"/>
      </w:pPr>
      <w:r w:rsidRPr="00E632CF">
        <w:t>Assistant Minister for Health and Aged Care</w:t>
      </w:r>
    </w:p>
    <w:p w14:paraId="6023AB9E" w14:textId="3C16D2DA" w:rsidR="004D7B74" w:rsidRPr="00E632CF" w:rsidRDefault="00D760D0" w:rsidP="00E632CF">
      <w:pPr>
        <w:pStyle w:val="NoSpacing"/>
      </w:pPr>
      <w:r w:rsidRPr="00E632CF">
        <w:t>Assistant Minister for Indigenous Health</w:t>
      </w:r>
      <w:r w:rsidR="004D7B74" w:rsidRPr="00E632CF">
        <w:t xml:space="preserve"> </w:t>
      </w:r>
    </w:p>
    <w:p w14:paraId="537BA556" w14:textId="77777777" w:rsidR="004D7B74" w:rsidRPr="00E632CF" w:rsidRDefault="004D7B74" w:rsidP="00E632CF">
      <w:pPr>
        <w:spacing w:before="120" w:after="0"/>
        <w:rPr>
          <w:rStyle w:val="Strong"/>
        </w:rPr>
      </w:pPr>
      <w:r w:rsidRPr="00E632CF">
        <w:rPr>
          <w:rStyle w:val="Strong"/>
        </w:rPr>
        <w:t xml:space="preserve">The Hon Emma McBride MP </w:t>
      </w:r>
    </w:p>
    <w:p w14:paraId="067C6FC2" w14:textId="77777777" w:rsidR="008C2250" w:rsidRPr="00E632CF" w:rsidRDefault="004D7B74" w:rsidP="00E632CF">
      <w:pPr>
        <w:pStyle w:val="NoSpacing"/>
      </w:pPr>
      <w:r w:rsidRPr="00E632CF">
        <w:t>Assistant Minister for Mental Health and Suicide Prevention</w:t>
      </w:r>
    </w:p>
    <w:p w14:paraId="4982C562" w14:textId="3BAA11DF" w:rsidR="004D7B74" w:rsidRPr="00E632CF" w:rsidRDefault="004D7B74" w:rsidP="00E632CF">
      <w:pPr>
        <w:pStyle w:val="NoSpacing"/>
      </w:pPr>
      <w:r w:rsidRPr="00E632CF">
        <w:t xml:space="preserve">Assistant Minister for Rural and Regional Health </w:t>
      </w:r>
    </w:p>
    <w:p w14:paraId="38DB2515" w14:textId="3B1A3BF3" w:rsidR="004D7B74" w:rsidRPr="00E632CF" w:rsidRDefault="00C10C1B" w:rsidP="00E632CF">
      <w:pPr>
        <w:spacing w:before="240" w:after="0"/>
      </w:pPr>
      <w:r w:rsidRPr="00E632CF">
        <w:rPr>
          <w:rStyle w:val="Strong"/>
        </w:rPr>
        <w:t>The</w:t>
      </w:r>
      <w:r w:rsidR="004D7B74" w:rsidRPr="00E632CF">
        <w:rPr>
          <w:rStyle w:val="Strong"/>
        </w:rPr>
        <w:t xml:space="preserve"> Hon </w:t>
      </w:r>
      <w:r w:rsidR="00415CBC" w:rsidRPr="00E632CF">
        <w:rPr>
          <w:rStyle w:val="Strong"/>
        </w:rPr>
        <w:t>Kate Thwaites</w:t>
      </w:r>
      <w:r w:rsidR="0065384B" w:rsidRPr="00E632CF">
        <w:rPr>
          <w:rStyle w:val="Strong"/>
        </w:rPr>
        <w:t xml:space="preserve"> </w:t>
      </w:r>
      <w:r w:rsidRPr="00E632CF">
        <w:rPr>
          <w:rStyle w:val="Strong"/>
        </w:rPr>
        <w:t>MP</w:t>
      </w:r>
      <w:r w:rsidR="008C2250" w:rsidRPr="00E632CF">
        <w:rPr>
          <w:vertAlign w:val="superscript"/>
        </w:rPr>
        <w:footnoteReference w:id="2"/>
      </w:r>
    </w:p>
    <w:p w14:paraId="160DD6FA" w14:textId="77777777" w:rsidR="007A1C13" w:rsidRPr="00E632CF" w:rsidRDefault="004D7B74" w:rsidP="00E632CF">
      <w:pPr>
        <w:pStyle w:val="NoSpacing"/>
      </w:pPr>
      <w:r w:rsidRPr="00E632CF">
        <w:t xml:space="preserve">Assistant Minister for </w:t>
      </w:r>
      <w:r w:rsidR="00415CBC" w:rsidRPr="00E632CF">
        <w:t>Ageing</w:t>
      </w:r>
    </w:p>
    <w:p w14:paraId="608E235F" w14:textId="75B40417" w:rsidR="007A1C13" w:rsidRPr="00E632CF" w:rsidRDefault="007A1C13" w:rsidP="00E632CF">
      <w:pPr>
        <w:pStyle w:val="NoSpacing"/>
      </w:pPr>
      <w:r w:rsidRPr="00E632CF">
        <w:t>Assistant Minister for Social Security</w:t>
      </w:r>
    </w:p>
    <w:p w14:paraId="56BF7912" w14:textId="5440205E" w:rsidR="004D7B74" w:rsidRPr="00E632CF" w:rsidRDefault="007A1C13" w:rsidP="00E632CF">
      <w:pPr>
        <w:pStyle w:val="NoSpacing"/>
      </w:pPr>
      <w:r w:rsidRPr="00E632CF">
        <w:t>Assistant Minister for Women</w:t>
      </w:r>
    </w:p>
    <w:p w14:paraId="222F24DA" w14:textId="77777777" w:rsidR="00616623" w:rsidRPr="00E632CF" w:rsidRDefault="00616623" w:rsidP="00E632CF">
      <w:r w:rsidRPr="00E632CF">
        <w:br w:type="page"/>
      </w:r>
    </w:p>
    <w:p w14:paraId="0A94849B" w14:textId="229751F0" w:rsidR="004D7B74" w:rsidRPr="00436B21" w:rsidRDefault="004D7B74" w:rsidP="00436B21">
      <w:pPr>
        <w:pStyle w:val="Heading2"/>
        <w:rPr>
          <w:rStyle w:val="Strong"/>
        </w:rPr>
      </w:pPr>
      <w:r w:rsidRPr="00436B21">
        <w:rPr>
          <w:rStyle w:val="Strong"/>
        </w:rPr>
        <w:lastRenderedPageBreak/>
        <w:t>Secretary, Blair Comley PSM</w:t>
      </w:r>
    </w:p>
    <w:p w14:paraId="7EAFD258" w14:textId="77777777" w:rsidR="004D7B74" w:rsidRPr="00D86D77" w:rsidRDefault="004D7B74" w:rsidP="004D7B74">
      <w:pPr>
        <w:spacing w:before="120" w:after="120" w:line="240" w:lineRule="auto"/>
        <w:rPr>
          <w:rStyle w:val="Strong"/>
          <w:rFonts w:cs="Arial"/>
        </w:rPr>
      </w:pPr>
      <w:r>
        <w:rPr>
          <w:rStyle w:val="Strong"/>
          <w:rFonts w:cs="Arial"/>
        </w:rPr>
        <w:t xml:space="preserve">Interim Australian Centre for Disease Control </w:t>
      </w:r>
    </w:p>
    <w:p w14:paraId="3A258855" w14:textId="77777777" w:rsidR="004D7B74" w:rsidRPr="00436B21" w:rsidRDefault="004D7B74" w:rsidP="00436B21">
      <w:pPr>
        <w:pStyle w:val="ListBullet"/>
      </w:pPr>
      <w:r w:rsidRPr="00436B21">
        <w:t xml:space="preserve">Health Protection Policy and Surveillance  </w:t>
      </w:r>
    </w:p>
    <w:p w14:paraId="4CEC0337" w14:textId="77777777" w:rsidR="004D7B74" w:rsidRPr="00436B21" w:rsidRDefault="004D7B74" w:rsidP="00436B21">
      <w:pPr>
        <w:pStyle w:val="ListBullet"/>
      </w:pPr>
      <w:r w:rsidRPr="00436B21">
        <w:t>Health Security and Emergency Management</w:t>
      </w:r>
    </w:p>
    <w:p w14:paraId="154422C2" w14:textId="77777777" w:rsidR="004D7B74" w:rsidRPr="00436B21" w:rsidRDefault="004D7B74" w:rsidP="00436B21">
      <w:pPr>
        <w:pStyle w:val="ListBullet"/>
      </w:pPr>
      <w:r w:rsidRPr="00436B21">
        <w:t>ACDC Establishment Taskforce</w:t>
      </w:r>
    </w:p>
    <w:p w14:paraId="71F634C8" w14:textId="77777777" w:rsidR="004D7B74" w:rsidRPr="00D86D77" w:rsidRDefault="004D7B74" w:rsidP="004D7B74">
      <w:pPr>
        <w:spacing w:before="120" w:after="120" w:line="240" w:lineRule="auto"/>
        <w:rPr>
          <w:rStyle w:val="Strong"/>
          <w:rFonts w:cs="Arial"/>
        </w:rPr>
      </w:pPr>
      <w:r w:rsidRPr="00D86D77">
        <w:rPr>
          <w:rStyle w:val="Strong"/>
          <w:rFonts w:cs="Arial"/>
        </w:rPr>
        <w:t>Health Products Regulation</w:t>
      </w:r>
    </w:p>
    <w:p w14:paraId="0D53C15D" w14:textId="77777777" w:rsidR="004D7B74" w:rsidRPr="00436B21" w:rsidRDefault="004D7B74" w:rsidP="00436B21">
      <w:pPr>
        <w:pStyle w:val="ListBullet"/>
      </w:pPr>
      <w:r w:rsidRPr="00436B21">
        <w:t>Chief Medical Adviser</w:t>
      </w:r>
    </w:p>
    <w:p w14:paraId="612DC50E" w14:textId="77777777" w:rsidR="004D7B74" w:rsidRPr="00436B21" w:rsidRDefault="004D7B74" w:rsidP="00436B21">
      <w:pPr>
        <w:pStyle w:val="ListBullet"/>
      </w:pPr>
      <w:r w:rsidRPr="00436B21">
        <w:t>Medicines Regulation</w:t>
      </w:r>
    </w:p>
    <w:p w14:paraId="33ED93BC" w14:textId="77777777" w:rsidR="004D7B74" w:rsidRPr="00436B21" w:rsidRDefault="004D7B74" w:rsidP="00436B21">
      <w:pPr>
        <w:pStyle w:val="ListBullet"/>
      </w:pPr>
      <w:r w:rsidRPr="00436B21">
        <w:t>Medical Devices and Product Quality</w:t>
      </w:r>
    </w:p>
    <w:p w14:paraId="3C49717B" w14:textId="77777777" w:rsidR="004D7B74" w:rsidRPr="00436B21" w:rsidRDefault="004D7B74" w:rsidP="00436B21">
      <w:pPr>
        <w:pStyle w:val="ListBullet"/>
      </w:pPr>
      <w:r w:rsidRPr="00436B21">
        <w:t>Principal Legal and Policy Adviser / Regulatory Legal Services</w:t>
      </w:r>
    </w:p>
    <w:p w14:paraId="689361E2" w14:textId="77777777" w:rsidR="004D7B74" w:rsidRPr="00436B21" w:rsidRDefault="004D7B74" w:rsidP="00436B21">
      <w:pPr>
        <w:pStyle w:val="ListBullet"/>
      </w:pPr>
      <w:r w:rsidRPr="00436B21">
        <w:t>Regulatory Practice and Support</w:t>
      </w:r>
    </w:p>
    <w:p w14:paraId="791F1202" w14:textId="77777777" w:rsidR="004D7B74" w:rsidRPr="00D86D77" w:rsidRDefault="004D7B74" w:rsidP="004D7B74">
      <w:pPr>
        <w:spacing w:before="120" w:after="120" w:line="240" w:lineRule="auto"/>
        <w:rPr>
          <w:rStyle w:val="Strong"/>
          <w:rFonts w:cs="Arial"/>
        </w:rPr>
      </w:pPr>
      <w:r w:rsidRPr="00D86D77">
        <w:rPr>
          <w:rStyle w:val="Strong"/>
          <w:rFonts w:cs="Arial"/>
        </w:rPr>
        <w:t>Ageing and Aged Care</w:t>
      </w:r>
    </w:p>
    <w:p w14:paraId="3802E10C" w14:textId="77777777" w:rsidR="004D7B74" w:rsidRPr="00436B21" w:rsidRDefault="004D7B74" w:rsidP="00436B21">
      <w:pPr>
        <w:pStyle w:val="ListBullet"/>
      </w:pPr>
      <w:r w:rsidRPr="00436B21">
        <w:t>Reform Implementation</w:t>
      </w:r>
    </w:p>
    <w:p w14:paraId="618048D2" w14:textId="77777777" w:rsidR="004D7B74" w:rsidRPr="00436B21" w:rsidRDefault="004D7B74" w:rsidP="00436B21">
      <w:pPr>
        <w:pStyle w:val="ListBullet"/>
      </w:pPr>
      <w:r w:rsidRPr="00436B21">
        <w:t>Home and Residential</w:t>
      </w:r>
    </w:p>
    <w:p w14:paraId="11769ABA" w14:textId="77777777" w:rsidR="004D7B74" w:rsidRPr="00436B21" w:rsidRDefault="004D7B74" w:rsidP="00436B21">
      <w:pPr>
        <w:pStyle w:val="ListBullet"/>
      </w:pPr>
      <w:r w:rsidRPr="00436B21">
        <w:t>Aged Care Taskforce</w:t>
      </w:r>
    </w:p>
    <w:p w14:paraId="0E1A7D68" w14:textId="77777777" w:rsidR="004D7B74" w:rsidRPr="00436B21" w:rsidRDefault="004D7B74" w:rsidP="00436B21">
      <w:pPr>
        <w:pStyle w:val="ListBullet"/>
      </w:pPr>
      <w:r w:rsidRPr="00436B21">
        <w:t>Market and Workforce</w:t>
      </w:r>
    </w:p>
    <w:p w14:paraId="2949BC39" w14:textId="77777777" w:rsidR="004D7B74" w:rsidRPr="00436B21" w:rsidRDefault="004D7B74" w:rsidP="00436B21">
      <w:pPr>
        <w:pStyle w:val="ListBullet"/>
      </w:pPr>
      <w:r w:rsidRPr="00436B21">
        <w:t>Service Delivery</w:t>
      </w:r>
    </w:p>
    <w:p w14:paraId="0CC6AE74" w14:textId="77777777" w:rsidR="004D7B74" w:rsidRPr="00436B21" w:rsidRDefault="004D7B74" w:rsidP="00436B21">
      <w:pPr>
        <w:pStyle w:val="ListBullet"/>
      </w:pPr>
      <w:r w:rsidRPr="00436B21">
        <w:t>Quality and Assurance</w:t>
      </w:r>
    </w:p>
    <w:p w14:paraId="3D1F4027" w14:textId="77777777" w:rsidR="004D7B74" w:rsidRPr="00D86D77" w:rsidRDefault="004D7B74" w:rsidP="004D7B74">
      <w:pPr>
        <w:spacing w:before="120" w:after="120" w:line="240" w:lineRule="auto"/>
        <w:rPr>
          <w:rStyle w:val="Strong"/>
          <w:rFonts w:cs="Arial"/>
        </w:rPr>
      </w:pPr>
      <w:r w:rsidRPr="00D86D77">
        <w:rPr>
          <w:rStyle w:val="Strong"/>
          <w:rFonts w:cs="Arial"/>
        </w:rPr>
        <w:t>Primary and Community Care</w:t>
      </w:r>
    </w:p>
    <w:p w14:paraId="72ECF1DB" w14:textId="77777777" w:rsidR="004D7B74" w:rsidRPr="00436B21" w:rsidRDefault="004D7B74" w:rsidP="00436B21">
      <w:pPr>
        <w:pStyle w:val="ListBullet"/>
      </w:pPr>
      <w:r w:rsidRPr="00436B21">
        <w:t>Population Health</w:t>
      </w:r>
    </w:p>
    <w:p w14:paraId="070748A9" w14:textId="77777777" w:rsidR="004D7B74" w:rsidRPr="00436B21" w:rsidRDefault="004D7B74" w:rsidP="00436B21">
      <w:pPr>
        <w:pStyle w:val="ListBullet"/>
      </w:pPr>
      <w:r w:rsidRPr="00436B21">
        <w:t>Cancer, Hearing and Chronic Conditions</w:t>
      </w:r>
    </w:p>
    <w:p w14:paraId="3D7B36AA" w14:textId="77777777" w:rsidR="004D7B74" w:rsidRPr="00436B21" w:rsidRDefault="004D7B74" w:rsidP="00436B21">
      <w:pPr>
        <w:pStyle w:val="ListBullet"/>
      </w:pPr>
      <w:r w:rsidRPr="00436B21">
        <w:t>Mental Health and Suicide Prevention</w:t>
      </w:r>
    </w:p>
    <w:p w14:paraId="3AECE53C" w14:textId="77777777" w:rsidR="004D7B74" w:rsidRPr="00436B21" w:rsidRDefault="004D7B74" w:rsidP="00436B21">
      <w:pPr>
        <w:pStyle w:val="ListBullet"/>
      </w:pPr>
      <w:r w:rsidRPr="00436B21">
        <w:t>Primary Care</w:t>
      </w:r>
    </w:p>
    <w:p w14:paraId="507D7CC0" w14:textId="4DCB2995" w:rsidR="003E5E7C" w:rsidRPr="00436B21" w:rsidRDefault="003E5E7C" w:rsidP="00436B21">
      <w:pPr>
        <w:pStyle w:val="ListBullet"/>
      </w:pPr>
      <w:r w:rsidRPr="00436B21">
        <w:t>National Immunisation</w:t>
      </w:r>
    </w:p>
    <w:p w14:paraId="2D230198" w14:textId="77777777" w:rsidR="004D7B74" w:rsidRPr="00D86D77" w:rsidRDefault="004D7B74" w:rsidP="004D7B74">
      <w:pPr>
        <w:spacing w:before="120" w:after="120" w:line="240" w:lineRule="auto"/>
        <w:rPr>
          <w:rStyle w:val="Strong"/>
          <w:rFonts w:cs="Arial"/>
        </w:rPr>
      </w:pPr>
      <w:r w:rsidRPr="00D86D77">
        <w:rPr>
          <w:rStyle w:val="Strong"/>
          <w:rFonts w:cs="Arial"/>
        </w:rPr>
        <w:t>Health Resourcing</w:t>
      </w:r>
    </w:p>
    <w:p w14:paraId="3300F30B" w14:textId="77777777" w:rsidR="004D7B74" w:rsidRPr="00436B21" w:rsidRDefault="004D7B74" w:rsidP="00436B21">
      <w:pPr>
        <w:pStyle w:val="ListBullet"/>
      </w:pPr>
      <w:r w:rsidRPr="00436B21">
        <w:t>Chief Nursing and Midwifery Officer</w:t>
      </w:r>
    </w:p>
    <w:p w14:paraId="4678CA22" w14:textId="77777777" w:rsidR="004D7B74" w:rsidRPr="00436B21" w:rsidRDefault="004D7B74" w:rsidP="00436B21">
      <w:pPr>
        <w:pStyle w:val="ListBullet"/>
      </w:pPr>
      <w:r w:rsidRPr="00436B21">
        <w:t>Health Workforce</w:t>
      </w:r>
    </w:p>
    <w:p w14:paraId="22EF4BBA" w14:textId="77777777" w:rsidR="004D7B74" w:rsidRPr="00436B21" w:rsidRDefault="004D7B74" w:rsidP="00436B21">
      <w:pPr>
        <w:pStyle w:val="ListBullet"/>
      </w:pPr>
      <w:r w:rsidRPr="00436B21">
        <w:t>Technology Assessment and Access</w:t>
      </w:r>
    </w:p>
    <w:p w14:paraId="5138DC16" w14:textId="77777777" w:rsidR="004D7B74" w:rsidRPr="00436B21" w:rsidRDefault="004D7B74" w:rsidP="00436B21">
      <w:pPr>
        <w:pStyle w:val="ListBullet"/>
      </w:pPr>
      <w:r w:rsidRPr="00436B21">
        <w:t>Benefits Integrity</w:t>
      </w:r>
    </w:p>
    <w:p w14:paraId="0D6016B4" w14:textId="77777777" w:rsidR="004D7B74" w:rsidRPr="00436B21" w:rsidRDefault="004D7B74" w:rsidP="00436B21">
      <w:pPr>
        <w:pStyle w:val="ListBullet"/>
      </w:pPr>
      <w:r w:rsidRPr="00436B21">
        <w:t>Medical Benefits and Digital Health</w:t>
      </w:r>
    </w:p>
    <w:p w14:paraId="3A53C1A5" w14:textId="77777777" w:rsidR="004D7B74" w:rsidRPr="00D86D77" w:rsidRDefault="004D7B74" w:rsidP="004D7B74">
      <w:pPr>
        <w:spacing w:before="120" w:after="120" w:line="240" w:lineRule="auto"/>
        <w:rPr>
          <w:rStyle w:val="Strong"/>
          <w:rFonts w:cs="Arial"/>
        </w:rPr>
      </w:pPr>
      <w:r w:rsidRPr="00D86D77">
        <w:rPr>
          <w:rStyle w:val="Strong"/>
          <w:rFonts w:cs="Arial"/>
        </w:rPr>
        <w:t>Strategy, Evidence and Research</w:t>
      </w:r>
    </w:p>
    <w:p w14:paraId="3A38B102" w14:textId="77777777" w:rsidR="004D7B74" w:rsidRPr="00436B21" w:rsidRDefault="004D7B74" w:rsidP="00436B21">
      <w:pPr>
        <w:pStyle w:val="ListBullet"/>
      </w:pPr>
      <w:r w:rsidRPr="00436B21">
        <w:t>First Nations Health</w:t>
      </w:r>
    </w:p>
    <w:p w14:paraId="2BEB59F1" w14:textId="77777777" w:rsidR="004D7B74" w:rsidRPr="00436B21" w:rsidRDefault="004D7B74" w:rsidP="00436B21">
      <w:pPr>
        <w:pStyle w:val="ListBullet"/>
      </w:pPr>
      <w:r w:rsidRPr="00436B21">
        <w:t>Health Economics and Research</w:t>
      </w:r>
    </w:p>
    <w:p w14:paraId="7EE63F93" w14:textId="2667475F" w:rsidR="004D7B74" w:rsidRPr="00436B21" w:rsidRDefault="004D7B74" w:rsidP="00436B21">
      <w:pPr>
        <w:pStyle w:val="ListBullet"/>
      </w:pPr>
      <w:r w:rsidRPr="00436B21">
        <w:t>Health Strategy</w:t>
      </w:r>
      <w:r w:rsidR="00207784" w:rsidRPr="00436B21">
        <w:t xml:space="preserve">, First </w:t>
      </w:r>
      <w:proofErr w:type="gramStart"/>
      <w:r w:rsidR="00207784" w:rsidRPr="00436B21">
        <w:t>Nations</w:t>
      </w:r>
      <w:proofErr w:type="gramEnd"/>
      <w:r w:rsidR="00207784" w:rsidRPr="00436B21">
        <w:t xml:space="preserve"> and Sport</w:t>
      </w:r>
    </w:p>
    <w:p w14:paraId="6221E01D" w14:textId="77777777" w:rsidR="004D7B74" w:rsidRPr="00436B21" w:rsidRDefault="004D7B74" w:rsidP="00436B21">
      <w:pPr>
        <w:pStyle w:val="ListBullet"/>
      </w:pPr>
      <w:r w:rsidRPr="00436B21">
        <w:t>Office for Sport</w:t>
      </w:r>
    </w:p>
    <w:p w14:paraId="489FA029" w14:textId="77777777" w:rsidR="004D7B74" w:rsidRPr="00436B21" w:rsidRDefault="004D7B74" w:rsidP="00436B21">
      <w:pPr>
        <w:pStyle w:val="ListBullet"/>
      </w:pPr>
      <w:r w:rsidRPr="00436B21">
        <w:t>Office of the Chief Health Economist</w:t>
      </w:r>
    </w:p>
    <w:p w14:paraId="2ED026C1" w14:textId="77777777" w:rsidR="004D7B74" w:rsidRPr="00D86D77" w:rsidRDefault="004D7B74" w:rsidP="004D7B74">
      <w:pPr>
        <w:spacing w:before="120" w:after="120"/>
        <w:rPr>
          <w:rStyle w:val="Strong"/>
          <w:rFonts w:cs="Arial"/>
        </w:rPr>
      </w:pPr>
      <w:r w:rsidRPr="00D86D77">
        <w:rPr>
          <w:rStyle w:val="Strong"/>
          <w:rFonts w:cs="Arial"/>
        </w:rPr>
        <w:t>Corporate Operations</w:t>
      </w:r>
    </w:p>
    <w:p w14:paraId="026B7623" w14:textId="77777777" w:rsidR="004D7B74" w:rsidRPr="00436B21" w:rsidRDefault="004D7B74" w:rsidP="00436B21">
      <w:pPr>
        <w:pStyle w:val="ListBullet"/>
      </w:pPr>
      <w:r w:rsidRPr="00436B21">
        <w:t>Digital Transformation and Delivery</w:t>
      </w:r>
    </w:p>
    <w:p w14:paraId="6F9FBCC8" w14:textId="77777777" w:rsidR="004D7B74" w:rsidRPr="00436B21" w:rsidRDefault="004D7B74" w:rsidP="00436B21">
      <w:pPr>
        <w:pStyle w:val="ListBullet"/>
      </w:pPr>
      <w:r w:rsidRPr="00436B21">
        <w:t>Financial Management</w:t>
      </w:r>
    </w:p>
    <w:p w14:paraId="5E1A3AF8" w14:textId="77777777" w:rsidR="004D7B74" w:rsidRPr="00436B21" w:rsidRDefault="004D7B74" w:rsidP="00436B21">
      <w:pPr>
        <w:pStyle w:val="ListBullet"/>
      </w:pPr>
      <w:r w:rsidRPr="00436B21">
        <w:t>Information Technology</w:t>
      </w:r>
    </w:p>
    <w:p w14:paraId="2F5525AB" w14:textId="77777777" w:rsidR="004D7B74" w:rsidRPr="00436B21" w:rsidRDefault="004D7B74" w:rsidP="00436B21">
      <w:pPr>
        <w:pStyle w:val="ListBullet"/>
      </w:pPr>
      <w:r w:rsidRPr="00436B21">
        <w:t>Integrity and Assurance</w:t>
      </w:r>
    </w:p>
    <w:p w14:paraId="7092E856" w14:textId="77777777" w:rsidR="004D7B74" w:rsidRPr="00436B21" w:rsidRDefault="004D7B74" w:rsidP="00436B21">
      <w:pPr>
        <w:pStyle w:val="ListBullet"/>
      </w:pPr>
      <w:r w:rsidRPr="00436B21">
        <w:t>Legal</w:t>
      </w:r>
    </w:p>
    <w:p w14:paraId="4EE81591" w14:textId="61D19D2D" w:rsidR="004D7B74" w:rsidRPr="00436B21" w:rsidRDefault="004D7B74" w:rsidP="00436B21">
      <w:pPr>
        <w:pStyle w:val="ListBullet"/>
      </w:pPr>
      <w:r w:rsidRPr="00436B21">
        <w:t>People, Communication and Parliamentary</w:t>
      </w:r>
    </w:p>
    <w:p w14:paraId="38902BED" w14:textId="77777777" w:rsidR="004D7B74" w:rsidRPr="00436B21" w:rsidRDefault="004D7B74" w:rsidP="00436B21">
      <w:pPr>
        <w:pStyle w:val="Heading2"/>
      </w:pPr>
      <w:r w:rsidRPr="00436B21">
        <w:t>Statutory ofﬁce holders</w:t>
      </w:r>
    </w:p>
    <w:p w14:paraId="0DF1EB2F" w14:textId="2F73C96B" w:rsidR="004D7B74" w:rsidRPr="00436B21" w:rsidRDefault="004D7B74" w:rsidP="00436B21">
      <w:pPr>
        <w:pStyle w:val="NoSpacing"/>
        <w:rPr>
          <w:rStyle w:val="Strong"/>
        </w:rPr>
      </w:pPr>
      <w:r w:rsidRPr="00436B21">
        <w:rPr>
          <w:rStyle w:val="Strong"/>
        </w:rPr>
        <w:t>Aged Care Quality and Safety Commissioner</w:t>
      </w:r>
    </w:p>
    <w:p w14:paraId="7E7004CE" w14:textId="77777777" w:rsidR="00761D55" w:rsidRPr="00436B21" w:rsidRDefault="00761D55" w:rsidP="00436B21">
      <w:pPr>
        <w:pStyle w:val="NoSpacing"/>
      </w:pPr>
      <w:r w:rsidRPr="00436B21">
        <w:t>Janet Anderson PSM</w:t>
      </w:r>
    </w:p>
    <w:p w14:paraId="14D81383" w14:textId="4F0ECC65" w:rsidR="004D7B74" w:rsidRPr="00436B21" w:rsidRDefault="004D7B74" w:rsidP="00436B21">
      <w:pPr>
        <w:pStyle w:val="NoSpacing"/>
        <w:spacing w:before="120"/>
        <w:rPr>
          <w:rStyle w:val="Strong"/>
        </w:rPr>
      </w:pPr>
      <w:r w:rsidRPr="00436B21">
        <w:rPr>
          <w:rStyle w:val="Strong"/>
        </w:rPr>
        <w:t xml:space="preserve">Executive Director, Australian Industrial Chemicals Introduction Scheme </w:t>
      </w:r>
    </w:p>
    <w:p w14:paraId="45568A0F" w14:textId="7AF596D5" w:rsidR="00761D55" w:rsidRPr="00436B21" w:rsidRDefault="00761D55" w:rsidP="00436B21">
      <w:pPr>
        <w:pStyle w:val="NoSpacing"/>
      </w:pPr>
      <w:r w:rsidRPr="00436B21">
        <w:t>Graeme Barden</w:t>
      </w:r>
    </w:p>
    <w:p w14:paraId="40714D39" w14:textId="7DB5A630" w:rsidR="004D7B74" w:rsidRPr="00436B21" w:rsidRDefault="004D7B74" w:rsidP="00436B21">
      <w:pPr>
        <w:pStyle w:val="NoSpacing"/>
        <w:spacing w:before="120"/>
        <w:rPr>
          <w:rStyle w:val="Strong"/>
        </w:rPr>
      </w:pPr>
      <w:r w:rsidRPr="00436B21">
        <w:rPr>
          <w:rStyle w:val="Strong"/>
        </w:rPr>
        <w:t>Gene Technology Regulator</w:t>
      </w:r>
    </w:p>
    <w:p w14:paraId="68A9E74E" w14:textId="193F304B" w:rsidR="00761D55" w:rsidRPr="00436B21" w:rsidRDefault="00761D55" w:rsidP="00436B21">
      <w:pPr>
        <w:pStyle w:val="NoSpacing"/>
      </w:pPr>
      <w:r w:rsidRPr="00436B21">
        <w:t xml:space="preserve">Dr Raj </w:t>
      </w:r>
      <w:proofErr w:type="spellStart"/>
      <w:r w:rsidRPr="00436B21">
        <w:t>Bhula</w:t>
      </w:r>
      <w:proofErr w:type="spellEnd"/>
    </w:p>
    <w:p w14:paraId="55AC6C3B" w14:textId="64028133" w:rsidR="004D7B74" w:rsidRPr="00436B21" w:rsidRDefault="004D7B74" w:rsidP="00436B21">
      <w:pPr>
        <w:pStyle w:val="NoSpacing"/>
        <w:spacing w:before="120"/>
        <w:rPr>
          <w:rStyle w:val="Strong"/>
        </w:rPr>
      </w:pPr>
      <w:r w:rsidRPr="00436B21">
        <w:rPr>
          <w:rStyle w:val="Strong"/>
        </w:rPr>
        <w:lastRenderedPageBreak/>
        <w:t>National Health Funding Pool Administrator</w:t>
      </w:r>
    </w:p>
    <w:p w14:paraId="253AB5C4" w14:textId="428BCA09" w:rsidR="00761D55" w:rsidRPr="00436B21" w:rsidRDefault="00761D55" w:rsidP="00436B21">
      <w:pPr>
        <w:pStyle w:val="NoSpacing"/>
      </w:pPr>
      <w:r w:rsidRPr="00436B21">
        <w:t>Toni Cunningham</w:t>
      </w:r>
    </w:p>
    <w:p w14:paraId="52C0FC2F" w14:textId="63C75379" w:rsidR="004D7B74" w:rsidRPr="00436B21" w:rsidRDefault="004D7B74" w:rsidP="00436B21">
      <w:pPr>
        <w:pStyle w:val="NoSpacing"/>
        <w:spacing w:before="120"/>
        <w:rPr>
          <w:rStyle w:val="Strong"/>
        </w:rPr>
      </w:pPr>
      <w:r w:rsidRPr="00436B21">
        <w:rPr>
          <w:rStyle w:val="Strong"/>
        </w:rPr>
        <w:t>National Health and Medical Research Council Commissioner of Complaints</w:t>
      </w:r>
    </w:p>
    <w:p w14:paraId="7E8C3A37" w14:textId="3EC0514B" w:rsidR="00761D55" w:rsidRPr="00436B21" w:rsidRDefault="00761D55" w:rsidP="00436B21">
      <w:pPr>
        <w:pStyle w:val="NoSpacing"/>
      </w:pPr>
      <w:r w:rsidRPr="00436B21">
        <w:t>Chris Reid</w:t>
      </w:r>
    </w:p>
    <w:p w14:paraId="50976E5D" w14:textId="1F0F0E14" w:rsidR="004D7B74" w:rsidRPr="00436B21" w:rsidRDefault="004D7B74" w:rsidP="00436B21">
      <w:pPr>
        <w:pStyle w:val="NoSpacing"/>
        <w:spacing w:before="120"/>
        <w:rPr>
          <w:rStyle w:val="Strong"/>
        </w:rPr>
      </w:pPr>
      <w:r w:rsidRPr="00436B21">
        <w:rPr>
          <w:rStyle w:val="Strong"/>
        </w:rPr>
        <w:t>National Rural Health Commissioner</w:t>
      </w:r>
    </w:p>
    <w:p w14:paraId="387C1B29" w14:textId="5DE79C37" w:rsidR="00761D55" w:rsidRPr="00436B21" w:rsidRDefault="00761D55" w:rsidP="00436B21">
      <w:pPr>
        <w:pStyle w:val="NoSpacing"/>
      </w:pPr>
      <w:r w:rsidRPr="00436B21">
        <w:t>Professor Jenny May AM</w:t>
      </w:r>
    </w:p>
    <w:p w14:paraId="5C71D713" w14:textId="5E7DB31F" w:rsidR="004D7B74" w:rsidRPr="00436B21" w:rsidRDefault="004D7B74" w:rsidP="00436B21">
      <w:pPr>
        <w:pStyle w:val="NoSpacing"/>
        <w:spacing w:before="120"/>
        <w:rPr>
          <w:rStyle w:val="Strong"/>
        </w:rPr>
      </w:pPr>
      <w:r w:rsidRPr="00436B21">
        <w:rPr>
          <w:rStyle w:val="Strong"/>
        </w:rPr>
        <w:t>CEO, National Sports Tribunal</w:t>
      </w:r>
    </w:p>
    <w:p w14:paraId="146641E3" w14:textId="173FFCA1" w:rsidR="00761D55" w:rsidRPr="00436B21" w:rsidRDefault="00761D55" w:rsidP="00436B21">
      <w:pPr>
        <w:pStyle w:val="NoSpacing"/>
      </w:pPr>
      <w:r w:rsidRPr="00436B21">
        <w:t>Dr Michelle Gallen</w:t>
      </w:r>
    </w:p>
    <w:p w14:paraId="3A42BDEE" w14:textId="37AD3742" w:rsidR="00975D72" w:rsidRPr="00436B21" w:rsidRDefault="00975D72" w:rsidP="00436B21">
      <w:pPr>
        <w:pStyle w:val="NoSpacing"/>
        <w:spacing w:before="120"/>
        <w:rPr>
          <w:rStyle w:val="Strong"/>
        </w:rPr>
      </w:pPr>
      <w:r w:rsidRPr="00436B21">
        <w:rPr>
          <w:rStyle w:val="Strong"/>
        </w:rPr>
        <w:t>Acting Inspector-General, Office of the Inspector-General of Aged Care</w:t>
      </w:r>
    </w:p>
    <w:p w14:paraId="71F8B40A" w14:textId="7760E95B" w:rsidR="00761D55" w:rsidRPr="00436B21" w:rsidRDefault="00761D55" w:rsidP="00436B21">
      <w:pPr>
        <w:pStyle w:val="NoSpacing"/>
      </w:pPr>
      <w:r w:rsidRPr="00436B21">
        <w:t>Ian Yates AM</w:t>
      </w:r>
    </w:p>
    <w:p w14:paraId="3B85701C" w14:textId="77777777" w:rsidR="00616623" w:rsidRPr="00436B21" w:rsidRDefault="00616623" w:rsidP="00436B21">
      <w:bookmarkStart w:id="19" w:name="_Toc175293608"/>
      <w:r>
        <w:rPr>
          <w:rStyle w:val="Strong"/>
        </w:rPr>
        <w:br w:type="page"/>
      </w:r>
    </w:p>
    <w:p w14:paraId="1654E652" w14:textId="12E75914" w:rsidR="004D7B74" w:rsidRPr="00436B21" w:rsidRDefault="004D7B74" w:rsidP="00436B21">
      <w:pPr>
        <w:pStyle w:val="Heading1"/>
      </w:pPr>
      <w:bookmarkStart w:id="20" w:name="_Toc175846466"/>
      <w:r w:rsidRPr="00436B21">
        <w:lastRenderedPageBreak/>
        <w:t>Our Partners</w:t>
      </w:r>
      <w:bookmarkEnd w:id="19"/>
      <w:bookmarkEnd w:id="20"/>
    </w:p>
    <w:p w14:paraId="7B490930" w14:textId="77B7B501" w:rsidR="004D7B74" w:rsidRPr="00E632CF" w:rsidRDefault="00E632CF" w:rsidP="00E632CF">
      <w:r>
        <w:rPr>
          <w:noProof/>
        </w:rPr>
        <w:drawing>
          <wp:inline distT="0" distB="0" distL="0" distR="0" wp14:anchorId="5DA7D3DC" wp14:editId="0A77795D">
            <wp:extent cx="4869576" cy="3152899"/>
            <wp:effectExtent l="0" t="0" r="7620" b="0"/>
            <wp:docPr id="1" name="Picture 1" descr="A map of Australia with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ustralia with labels"/>
                    <pic:cNvPicPr/>
                  </pic:nvPicPr>
                  <pic:blipFill>
                    <a:blip r:embed="rId9"/>
                    <a:stretch>
                      <a:fillRect/>
                    </a:stretch>
                  </pic:blipFill>
                  <pic:spPr>
                    <a:xfrm>
                      <a:off x="0" y="0"/>
                      <a:ext cx="4886841" cy="3164078"/>
                    </a:xfrm>
                    <a:prstGeom prst="rect">
                      <a:avLst/>
                    </a:prstGeom>
                  </pic:spPr>
                </pic:pic>
              </a:graphicData>
            </a:graphic>
          </wp:inline>
        </w:drawing>
      </w:r>
    </w:p>
    <w:p w14:paraId="3BF272D2" w14:textId="1DC41331" w:rsidR="004D7B74" w:rsidRPr="00E632CF" w:rsidRDefault="004D7B74" w:rsidP="00E632CF">
      <w:r w:rsidRPr="00E632CF">
        <w:t xml:space="preserve">To assist the Australian Government in leading and shaping Australia’s health and aged care and sporting outcomes, we collaborate closely with a range of local and international partners. </w:t>
      </w:r>
    </w:p>
    <w:p w14:paraId="5F2BA9D8" w14:textId="0CCB6942" w:rsidR="004D7B74" w:rsidRPr="00E632CF" w:rsidRDefault="004D7B74" w:rsidP="00E632CF">
      <w:r w:rsidRPr="00E632CF">
        <w:t>Partnerships with Services Australia and other Australian Government entities, state and territory governments and our portfolio agencies are crucial for long-term</w:t>
      </w:r>
      <w:r w:rsidR="007A1C13" w:rsidRPr="00E632CF">
        <w:t>,</w:t>
      </w:r>
      <w:r w:rsidRPr="00E632CF">
        <w:t xml:space="preserve"> system-wide health reform, better integration across the healthcare</w:t>
      </w:r>
      <w:r w:rsidR="00784116" w:rsidRPr="00E632CF">
        <w:t xml:space="preserve"> and aged care</w:t>
      </w:r>
      <w:r w:rsidRPr="00E632CF">
        <w:t xml:space="preserve"> system</w:t>
      </w:r>
      <w:r w:rsidR="00784116" w:rsidRPr="00E632CF">
        <w:t>s</w:t>
      </w:r>
      <w:r w:rsidRPr="00E632CF">
        <w:t xml:space="preserve"> and co-investment and joint planning including for major sporting events.</w:t>
      </w:r>
    </w:p>
    <w:p w14:paraId="291FAF38" w14:textId="7A934288" w:rsidR="004D7B74" w:rsidRPr="00E632CF" w:rsidRDefault="004D7B74" w:rsidP="00E632CF">
      <w:r w:rsidRPr="00E632CF">
        <w:t xml:space="preserve">Working with </w:t>
      </w:r>
      <w:r w:rsidR="003B44F0" w:rsidRPr="00E632CF">
        <w:t xml:space="preserve">researchers, academics, </w:t>
      </w:r>
      <w:r w:rsidRPr="00E632CF">
        <w:t xml:space="preserve">consumers, health care providers, key peak bodies and the broader healthcare sector also allows us to develop consumer centric and evidence-based policies and programs. </w:t>
      </w:r>
    </w:p>
    <w:p w14:paraId="3F91B276" w14:textId="7E05728E" w:rsidR="004D7B74" w:rsidRPr="00E632CF" w:rsidRDefault="004D7B74" w:rsidP="00E632CF">
      <w:r w:rsidRPr="00E632CF">
        <w:t>Strategic international engagement with organisations such as the World Health Organization, the G20</w:t>
      </w:r>
      <w:r w:rsidRPr="00E632CF">
        <w:footnoteReference w:id="3"/>
      </w:r>
      <w:r w:rsidRPr="00E632CF">
        <w:t xml:space="preserve"> and the Organisation for Economic Co</w:t>
      </w:r>
      <w:r w:rsidR="00ED6C5F" w:rsidRPr="00E632CF">
        <w:t>-</w:t>
      </w:r>
      <w:r w:rsidRPr="00E632CF">
        <w:t xml:space="preserve">operation and Development further supports the </w:t>
      </w:r>
      <w:r w:rsidR="00ED6C5F" w:rsidRPr="00E632CF">
        <w:t>g</w:t>
      </w:r>
      <w:r w:rsidRPr="00E632CF">
        <w:t xml:space="preserve">overnment’s priorities to enhance our health system and contribute to regional and global health security. </w:t>
      </w:r>
    </w:p>
    <w:p w14:paraId="470CE69B" w14:textId="2FF77DC9" w:rsidR="004D7B74" w:rsidRPr="00E632CF" w:rsidRDefault="004D7B74" w:rsidP="00E632CF">
      <w:pPr>
        <w:pStyle w:val="Heading1"/>
      </w:pPr>
      <w:r w:rsidRPr="00655A42">
        <w:br w:type="column"/>
      </w:r>
      <w:bookmarkStart w:id="21" w:name="_Toc175293609"/>
      <w:bookmarkStart w:id="22" w:name="_Hlk171411332"/>
      <w:bookmarkStart w:id="23" w:name="_Toc175846467"/>
      <w:r w:rsidRPr="00E632CF">
        <w:lastRenderedPageBreak/>
        <w:t>Our Operating Context</w:t>
      </w:r>
      <w:bookmarkEnd w:id="21"/>
      <w:bookmarkEnd w:id="22"/>
      <w:bookmarkEnd w:id="23"/>
    </w:p>
    <w:p w14:paraId="395111C8" w14:textId="10BC399A" w:rsidR="004D7B74" w:rsidRPr="00436B21" w:rsidRDefault="004D7B74" w:rsidP="00436B21">
      <w:r w:rsidRPr="00436B21">
        <w:t>Australia’s health, sport and aged care systems are complex and evolving, with all levels of government involved in funding and administration.</w:t>
      </w:r>
      <w:r w:rsidR="00ED6C5F" w:rsidRPr="00436B21">
        <w:t xml:space="preserve"> </w:t>
      </w:r>
      <w:r w:rsidRPr="00436B21">
        <w:t xml:space="preserve">Achieving the best outcomes for Australians through these important areas of their lives is a shared responsibility. </w:t>
      </w:r>
    </w:p>
    <w:p w14:paraId="7623F9DF" w14:textId="6E042E3C" w:rsidR="004D7B74" w:rsidRPr="00436B21" w:rsidRDefault="004D7B74" w:rsidP="00436B21">
      <w:r w:rsidRPr="00436B21">
        <w:t xml:space="preserve">Numerous stakeholders act on and are affected by the health, </w:t>
      </w:r>
      <w:proofErr w:type="gramStart"/>
      <w:r w:rsidRPr="00436B21">
        <w:t>sport</w:t>
      </w:r>
      <w:proofErr w:type="gramEnd"/>
      <w:r w:rsidRPr="00436B21">
        <w:t xml:space="preserve"> and aged care systems. Their</w:t>
      </w:r>
      <w:r w:rsidR="00ED6C5F" w:rsidRPr="00436B21">
        <w:t xml:space="preserve"> </w:t>
      </w:r>
      <w:r w:rsidRPr="00436B21">
        <w:t>priorities, which are often competing, must be considered.</w:t>
      </w:r>
    </w:p>
    <w:p w14:paraId="5D35E682" w14:textId="77777777" w:rsidR="004D7B74" w:rsidRPr="00436B21" w:rsidRDefault="004D7B74" w:rsidP="00436B21">
      <w:r w:rsidRPr="00436B21">
        <w:t>The needs of Australians are also changing. Our population is growing and ageing. More people are suffering chronic health and mental health conditions. There is an ever-present threat of major public health emergencies.</w:t>
      </w:r>
    </w:p>
    <w:p w14:paraId="77D8E4DC" w14:textId="6A2939F1" w:rsidR="004D7B74" w:rsidRPr="00436B21" w:rsidRDefault="008A402B" w:rsidP="00436B21">
      <w:r w:rsidRPr="00436B21">
        <w:t>Factors in our environment that are outside our control include g</w:t>
      </w:r>
      <w:r w:rsidR="004D7B74" w:rsidRPr="00436B21">
        <w:t xml:space="preserve">lobal health challenges, climate change, natural disasters, evolving technology, international cooperation and conflict, workforce shortages and economic factors, </w:t>
      </w:r>
      <w:r w:rsidRPr="00436B21">
        <w:t>but</w:t>
      </w:r>
      <w:r w:rsidR="004D7B74" w:rsidRPr="00436B21">
        <w:t xml:space="preserve"> all play a role in our work.</w:t>
      </w:r>
    </w:p>
    <w:p w14:paraId="56D0D1BE" w14:textId="77777777" w:rsidR="004D7B74" w:rsidRPr="00436B21" w:rsidRDefault="004D7B74" w:rsidP="00436B21">
      <w:r w:rsidRPr="00436B21">
        <w:t>We acknowledge that our work plays a fundamental role in Australian society and has significant effects on the health and wellbeing of all Australians. We accept the responsibility that goes with that role.</w:t>
      </w:r>
    </w:p>
    <w:p w14:paraId="240B4FC0" w14:textId="43F375F5" w:rsidR="004D7B74" w:rsidRPr="00436B21" w:rsidRDefault="004D7B74" w:rsidP="00436B21">
      <w:r w:rsidRPr="00436B21">
        <w:t xml:space="preserve">We must manage our resources in line with community and stakeholder expectations, as well as the </w:t>
      </w:r>
      <w:r w:rsidR="00D67D6E" w:rsidRPr="00436B21">
        <w:t>g</w:t>
      </w:r>
      <w:r w:rsidRPr="00436B21">
        <w:t>overnment’s policy priorities.</w:t>
      </w:r>
    </w:p>
    <w:p w14:paraId="60FF378A" w14:textId="77777777" w:rsidR="004D7B74" w:rsidRPr="00436B21" w:rsidRDefault="004D7B74" w:rsidP="00436B21">
      <w:r w:rsidRPr="00436B21">
        <w:t xml:space="preserve">Every dollar allocated in health, aged care and sport must be spent efficiently, transparently and in a way that delivers the best possible outcomes for all Australians. This expectation is as great as ever as many in the community face challenging economic circumstances. </w:t>
      </w:r>
    </w:p>
    <w:p w14:paraId="3A028B37" w14:textId="767C7C77" w:rsidR="004D7B74" w:rsidRPr="00436B21" w:rsidRDefault="004D7B74" w:rsidP="00436B21">
      <w:r w:rsidRPr="00436B21">
        <w:t xml:space="preserve">All our decisions must be </w:t>
      </w:r>
      <w:proofErr w:type="gramStart"/>
      <w:r w:rsidRPr="00436B21">
        <w:t>lawful</w:t>
      </w:r>
      <w:proofErr w:type="gramEnd"/>
      <w:r w:rsidRPr="00436B21">
        <w:t xml:space="preserve"> and we must remain accountable to the Australian Parliament and community.</w:t>
      </w:r>
    </w:p>
    <w:p w14:paraId="0EA38DE8" w14:textId="087ABFC2" w:rsidR="004D7B74" w:rsidRPr="00436B21" w:rsidRDefault="004D7B74" w:rsidP="00436B21">
      <w:r w:rsidRPr="00436B21">
        <w:t xml:space="preserve">We will continue to work closely with and leverage the expertise of others to research, learn and seek improvements to our policy design and program implementation. This includes our portfolio agencies, all levels of government, the broader health sector, </w:t>
      </w:r>
      <w:proofErr w:type="gramStart"/>
      <w:r w:rsidRPr="00436B21">
        <w:t>consumers</w:t>
      </w:r>
      <w:proofErr w:type="gramEnd"/>
      <w:r w:rsidRPr="00436B21">
        <w:t xml:space="preserve"> and their representative peak bodies, as well as international partners.</w:t>
      </w:r>
      <w:bookmarkStart w:id="24" w:name="_Toc166829758"/>
      <w:bookmarkStart w:id="25" w:name="_Toc165885077"/>
    </w:p>
    <w:p w14:paraId="4420176E" w14:textId="77777777" w:rsidR="00616623" w:rsidRPr="00E632CF" w:rsidRDefault="00616623" w:rsidP="00E632CF">
      <w:bookmarkStart w:id="26" w:name="_Toc175293610"/>
      <w:r w:rsidRPr="00E632CF">
        <w:br w:type="page"/>
      </w:r>
    </w:p>
    <w:p w14:paraId="7891C8C4" w14:textId="092AA59C" w:rsidR="004D7B74" w:rsidRPr="000C093F" w:rsidRDefault="004D7B74" w:rsidP="000C093F">
      <w:pPr>
        <w:pStyle w:val="Heading1"/>
      </w:pPr>
      <w:bookmarkStart w:id="27" w:name="_Toc175846468"/>
      <w:r w:rsidRPr="000E30A3">
        <w:lastRenderedPageBreak/>
        <w:t>Our Regulatory Approach</w:t>
      </w:r>
      <w:bookmarkEnd w:id="26"/>
      <w:bookmarkEnd w:id="27"/>
    </w:p>
    <w:p w14:paraId="0BCFF593" w14:textId="0F59E7DB" w:rsidR="004D7B74" w:rsidRPr="00BB4FE7" w:rsidRDefault="004D7B74" w:rsidP="00BB4FE7">
      <w:r w:rsidRPr="00BB4FE7">
        <w:t>The regulatory environment in the health and aged care sector is complex and broad. The Australian Government, through the department and its portfolio entities, has significant responsibility for regulating a wide range of health and aged care systems, including:</w:t>
      </w:r>
    </w:p>
    <w:p w14:paraId="440CD14F" w14:textId="77777777" w:rsidR="004D7B74" w:rsidRPr="00BB4FE7" w:rsidRDefault="004D7B74" w:rsidP="00E632CF">
      <w:pPr>
        <w:pStyle w:val="ListBullet"/>
      </w:pPr>
      <w:r w:rsidRPr="00BB4FE7">
        <w:t>ageing and aged care services</w:t>
      </w:r>
    </w:p>
    <w:p w14:paraId="3AC6936C" w14:textId="77777777" w:rsidR="004D7B74" w:rsidRPr="00BB4FE7" w:rsidRDefault="004D7B74" w:rsidP="00E632CF">
      <w:pPr>
        <w:pStyle w:val="ListBullet"/>
      </w:pPr>
      <w:r w:rsidRPr="00BB4FE7">
        <w:t>controlled drugs</w:t>
      </w:r>
    </w:p>
    <w:p w14:paraId="6F127A43" w14:textId="77777777" w:rsidR="004D7B74" w:rsidRPr="00BB4FE7" w:rsidRDefault="004D7B74" w:rsidP="00E632CF">
      <w:pPr>
        <w:pStyle w:val="ListBullet"/>
      </w:pPr>
      <w:r w:rsidRPr="00BB4FE7">
        <w:t>food standards</w:t>
      </w:r>
    </w:p>
    <w:p w14:paraId="32E948FD" w14:textId="77777777" w:rsidR="004D7B74" w:rsidRPr="00BB4FE7" w:rsidRDefault="004D7B74" w:rsidP="00E632CF">
      <w:pPr>
        <w:pStyle w:val="ListBullet"/>
      </w:pPr>
      <w:r w:rsidRPr="00BB4FE7">
        <w:t>gene technology</w:t>
      </w:r>
    </w:p>
    <w:p w14:paraId="3AA1D413" w14:textId="77777777" w:rsidR="004D7B74" w:rsidRPr="00BB4FE7" w:rsidRDefault="004D7B74" w:rsidP="00E632CF">
      <w:pPr>
        <w:pStyle w:val="ListBullet"/>
      </w:pPr>
      <w:r w:rsidRPr="00BB4FE7">
        <w:t>health and aged care related grants</w:t>
      </w:r>
    </w:p>
    <w:p w14:paraId="6D519F49" w14:textId="3F70CE15" w:rsidR="004D7B74" w:rsidRPr="00BB4FE7" w:rsidRDefault="004D7B74" w:rsidP="00E632CF">
      <w:pPr>
        <w:pStyle w:val="ListBullet"/>
      </w:pPr>
      <w:r w:rsidRPr="00BB4FE7">
        <w:t>health promotion</w:t>
      </w:r>
    </w:p>
    <w:p w14:paraId="6F58B12C" w14:textId="77777777" w:rsidR="004D7B74" w:rsidRPr="00BB4FE7" w:rsidRDefault="004D7B74" w:rsidP="00E632CF">
      <w:pPr>
        <w:pStyle w:val="ListBullet"/>
      </w:pPr>
      <w:r w:rsidRPr="00BB4FE7">
        <w:t>health research and data</w:t>
      </w:r>
    </w:p>
    <w:p w14:paraId="3891D65A" w14:textId="77777777" w:rsidR="004D7B74" w:rsidRPr="00BB4FE7" w:rsidRDefault="004D7B74" w:rsidP="00E632CF">
      <w:pPr>
        <w:pStyle w:val="ListBullet"/>
      </w:pPr>
      <w:r w:rsidRPr="00BB4FE7">
        <w:t>health security and international health</w:t>
      </w:r>
    </w:p>
    <w:p w14:paraId="4DD90DCA" w14:textId="77777777" w:rsidR="004D7B74" w:rsidRPr="00BB4FE7" w:rsidRDefault="004D7B74" w:rsidP="00E632CF">
      <w:pPr>
        <w:pStyle w:val="ListBullet"/>
      </w:pPr>
      <w:r w:rsidRPr="00BB4FE7">
        <w:t>human cloning and embryo research</w:t>
      </w:r>
    </w:p>
    <w:p w14:paraId="1AF2E915" w14:textId="77777777" w:rsidR="004D7B74" w:rsidRPr="00BB4FE7" w:rsidRDefault="004D7B74" w:rsidP="00E632CF">
      <w:pPr>
        <w:pStyle w:val="ListBullet"/>
      </w:pPr>
      <w:r w:rsidRPr="00BB4FE7">
        <w:t>industrial chemicals</w:t>
      </w:r>
    </w:p>
    <w:p w14:paraId="73E49747" w14:textId="657B5B7F" w:rsidR="004D7B74" w:rsidRPr="00BB4FE7" w:rsidRDefault="004D7B74" w:rsidP="00E632CF">
      <w:pPr>
        <w:pStyle w:val="ListBullet"/>
      </w:pPr>
      <w:r w:rsidRPr="00BB4FE7">
        <w:t xml:space="preserve">medical, pharmaceutical, </w:t>
      </w:r>
      <w:proofErr w:type="gramStart"/>
      <w:r w:rsidRPr="00BB4FE7">
        <w:t>dental</w:t>
      </w:r>
      <w:proofErr w:type="gramEnd"/>
      <w:r w:rsidR="00784116" w:rsidRPr="00BB4FE7">
        <w:t xml:space="preserve"> and</w:t>
      </w:r>
      <w:r w:rsidRPr="00BB4FE7">
        <w:t xml:space="preserve"> hearing benefits</w:t>
      </w:r>
    </w:p>
    <w:p w14:paraId="15800197" w14:textId="7C4D490D" w:rsidR="00784116" w:rsidRPr="00BB4FE7" w:rsidRDefault="00784116" w:rsidP="00E632CF">
      <w:pPr>
        <w:pStyle w:val="ListBullet"/>
      </w:pPr>
      <w:r w:rsidRPr="00BB4FE7">
        <w:t>health professional practice, through joint Ministerial responsibilities for the National Registration and Accreditation Scheme</w:t>
      </w:r>
    </w:p>
    <w:p w14:paraId="238C7807" w14:textId="77777777" w:rsidR="004D7B74" w:rsidRPr="00BB4FE7" w:rsidRDefault="004D7B74" w:rsidP="00E632CF">
      <w:pPr>
        <w:pStyle w:val="ListBullet"/>
      </w:pPr>
      <w:r w:rsidRPr="00BB4FE7">
        <w:t>organ and tissue donation</w:t>
      </w:r>
    </w:p>
    <w:p w14:paraId="5EE57A7C" w14:textId="77777777" w:rsidR="004D7B74" w:rsidRPr="00BB4FE7" w:rsidRDefault="004D7B74" w:rsidP="00E632CF">
      <w:pPr>
        <w:pStyle w:val="ListBullet"/>
      </w:pPr>
      <w:r w:rsidRPr="00BB4FE7">
        <w:t>private health insurance</w:t>
      </w:r>
    </w:p>
    <w:p w14:paraId="2498CE00" w14:textId="77777777" w:rsidR="004D7B74" w:rsidRPr="00BB4FE7" w:rsidRDefault="004D7B74" w:rsidP="00E632CF">
      <w:pPr>
        <w:pStyle w:val="ListBullet"/>
      </w:pPr>
      <w:r w:rsidRPr="00BB4FE7">
        <w:t>radiation protection and nuclear safety</w:t>
      </w:r>
    </w:p>
    <w:p w14:paraId="15239F82" w14:textId="77777777" w:rsidR="004D7B74" w:rsidRPr="00BB4FE7" w:rsidRDefault="004D7B74" w:rsidP="00E632CF">
      <w:pPr>
        <w:pStyle w:val="ListBullet"/>
      </w:pPr>
      <w:r w:rsidRPr="00BB4FE7">
        <w:t>security sensitive biological agents</w:t>
      </w:r>
    </w:p>
    <w:p w14:paraId="12AAF8F9" w14:textId="77777777" w:rsidR="004D7B74" w:rsidRPr="00BB4FE7" w:rsidRDefault="004D7B74" w:rsidP="00E632CF">
      <w:pPr>
        <w:pStyle w:val="ListBullet"/>
      </w:pPr>
      <w:r w:rsidRPr="00BB4FE7">
        <w:t>sport and sport integrity including anti-</w:t>
      </w:r>
      <w:proofErr w:type="gramStart"/>
      <w:r w:rsidRPr="00BB4FE7">
        <w:t>doping</w:t>
      </w:r>
      <w:proofErr w:type="gramEnd"/>
    </w:p>
    <w:p w14:paraId="54785698" w14:textId="4F346EC2" w:rsidR="004D7B74" w:rsidRPr="00BB4FE7" w:rsidRDefault="004D7B74" w:rsidP="00E632CF">
      <w:pPr>
        <w:pStyle w:val="ListBullet"/>
      </w:pPr>
      <w:r w:rsidRPr="00BB4FE7">
        <w:t>therapeutic goods and products such as medicines, vaccines, cell</w:t>
      </w:r>
      <w:r w:rsidR="000F228C" w:rsidRPr="00BB4FE7">
        <w:t>s and</w:t>
      </w:r>
      <w:r w:rsidRPr="00BB4FE7">
        <w:t xml:space="preserve"> tissue</w:t>
      </w:r>
      <w:r w:rsidR="000F228C" w:rsidRPr="00BB4FE7">
        <w:t>s</w:t>
      </w:r>
      <w:r w:rsidRPr="00BB4FE7">
        <w:t xml:space="preserve">, blood </w:t>
      </w:r>
      <w:r w:rsidR="000F228C" w:rsidRPr="00BB4FE7">
        <w:t xml:space="preserve">products </w:t>
      </w:r>
      <w:r w:rsidRPr="00BB4FE7">
        <w:t>and</w:t>
      </w:r>
      <w:r w:rsidR="00097081" w:rsidRPr="00BB4FE7">
        <w:t xml:space="preserve"> </w:t>
      </w:r>
      <w:r w:rsidRPr="00BB4FE7">
        <w:t>medical devices</w:t>
      </w:r>
    </w:p>
    <w:p w14:paraId="279EF7C9" w14:textId="037D3D6C" w:rsidR="004D7B74" w:rsidRPr="00BB4FE7" w:rsidRDefault="004D7B74" w:rsidP="00E632CF">
      <w:pPr>
        <w:pStyle w:val="ListBullet"/>
      </w:pPr>
      <w:r w:rsidRPr="00BB4FE7">
        <w:t xml:space="preserve">tobacco </w:t>
      </w:r>
      <w:r w:rsidR="00F01E35" w:rsidRPr="00BB4FE7">
        <w:t>products</w:t>
      </w:r>
      <w:r w:rsidRPr="00BB4FE7">
        <w:t>.</w:t>
      </w:r>
    </w:p>
    <w:p w14:paraId="1894A972" w14:textId="2FA2EDF3" w:rsidR="004D7B74" w:rsidRPr="00BB4FE7" w:rsidRDefault="004D7B74" w:rsidP="00BB4FE7">
      <w:r w:rsidRPr="00BB4FE7">
        <w:t>Our regulators play a vital role in administering legislation that covers thousands of professionals, organisations</w:t>
      </w:r>
      <w:r w:rsidR="00FC5A71" w:rsidRPr="00BB4FE7">
        <w:t xml:space="preserve"> </w:t>
      </w:r>
      <w:r w:rsidRPr="00BB4FE7">
        <w:t>and businesses that support the health and wellbeing of Australians.</w:t>
      </w:r>
    </w:p>
    <w:p w14:paraId="1A354293" w14:textId="4671B5D1" w:rsidR="004D7B74" w:rsidRPr="00BB4FE7" w:rsidRDefault="004D7B74" w:rsidP="00BB4FE7">
      <w:r w:rsidRPr="00BB4FE7">
        <w:t xml:space="preserve">Through our regulation, the department aims to protect the health, </w:t>
      </w:r>
      <w:proofErr w:type="gramStart"/>
      <w:r w:rsidRPr="00BB4FE7">
        <w:t>safety</w:t>
      </w:r>
      <w:proofErr w:type="gramEnd"/>
      <w:r w:rsidRPr="00BB4FE7">
        <w:t xml:space="preserve"> and wellbeing of all Australians by identifying risks to human health and the environment and managing those risks to prevent harm through education and effective, proportionate compliance activities.</w:t>
      </w:r>
    </w:p>
    <w:p w14:paraId="0847B1CF" w14:textId="071AC606" w:rsidR="004D7B74" w:rsidRPr="00BB4FE7" w:rsidRDefault="004D7B74" w:rsidP="00BB4FE7">
      <w:r w:rsidRPr="00BB4FE7">
        <w:t xml:space="preserve">The development, management and review of our regulation is guided by the Health Regulatory Policy Framework, which sets out the 3 principles of the best practice </w:t>
      </w:r>
      <w:r w:rsidR="000F228C" w:rsidRPr="00BB4FE7">
        <w:t xml:space="preserve">against which </w:t>
      </w:r>
      <w:r w:rsidRPr="00BB4FE7">
        <w:t>regulators are required to report</w:t>
      </w:r>
      <w:r w:rsidR="00AE1868" w:rsidRPr="00BB4FE7">
        <w:t xml:space="preserve"> on</w:t>
      </w:r>
      <w:r w:rsidRPr="00BB4FE7">
        <w:t>:</w:t>
      </w:r>
    </w:p>
    <w:p w14:paraId="7FAFBF40" w14:textId="77777777" w:rsidR="00207784" w:rsidRPr="00E632CF" w:rsidRDefault="004D7B74" w:rsidP="00E632CF">
      <w:pPr>
        <w:pStyle w:val="Heading2"/>
      </w:pPr>
      <w:bookmarkStart w:id="28" w:name="_Toc175846469"/>
      <w:r w:rsidRPr="00E632CF">
        <w:t>Principle 1. Continuous improvement and building trust.</w:t>
      </w:r>
      <w:bookmarkEnd w:id="28"/>
    </w:p>
    <w:p w14:paraId="7643B904" w14:textId="65E91BA6" w:rsidR="004D7B74" w:rsidRPr="00E632CF" w:rsidRDefault="004D7B74" w:rsidP="00E632CF">
      <w:r w:rsidRPr="00E632CF">
        <w:t>We adopt a whole of system perspective to regulation, continuously improving our performance, capability, and culture to build trust and confidence in our regulatory system.</w:t>
      </w:r>
    </w:p>
    <w:p w14:paraId="1F1DB3AF" w14:textId="77777777" w:rsidR="004D7B74" w:rsidRPr="00E632CF" w:rsidRDefault="004D7B74" w:rsidP="00E632CF">
      <w:pPr>
        <w:pStyle w:val="Heading2"/>
      </w:pPr>
      <w:bookmarkStart w:id="29" w:name="_Toc175846470"/>
      <w:r w:rsidRPr="00E632CF">
        <w:t>Principle 2. Risk-based and data-driven.</w:t>
      </w:r>
      <w:bookmarkEnd w:id="29"/>
    </w:p>
    <w:p w14:paraId="51830356" w14:textId="2132D8E6" w:rsidR="004D7B74" w:rsidRPr="00BB4FE7" w:rsidRDefault="004D7B74" w:rsidP="00BB4FE7">
      <w:r w:rsidRPr="00BB4FE7">
        <w:t>We manage risks proportionately, apply treatments which are specific to the prevailing risks and maintain essential safeguards while minimising unnecessary regulatory burden and leverage data and digital technology to support those we regulate to comply and grow.</w:t>
      </w:r>
    </w:p>
    <w:p w14:paraId="2A23CE04" w14:textId="77777777" w:rsidR="004D7B74" w:rsidRPr="00E632CF" w:rsidRDefault="004D7B74" w:rsidP="00E632CF">
      <w:pPr>
        <w:pStyle w:val="Heading2"/>
      </w:pPr>
      <w:bookmarkStart w:id="30" w:name="_Toc175846471"/>
      <w:r w:rsidRPr="00E632CF">
        <w:t>Principle 3. Collaboration and engagement.</w:t>
      </w:r>
      <w:bookmarkEnd w:id="30"/>
    </w:p>
    <w:p w14:paraId="3AA325C7" w14:textId="77777777" w:rsidR="004D7B74" w:rsidRPr="00BB4FE7" w:rsidRDefault="004D7B74" w:rsidP="00BB4FE7">
      <w:r w:rsidRPr="00BB4FE7">
        <w:t>We are transparent and responsive communicators, implementing regulations in a modern and collaborative way.</w:t>
      </w:r>
    </w:p>
    <w:p w14:paraId="1FED1138" w14:textId="77777777" w:rsidR="004D7B74" w:rsidRPr="00BB4FE7" w:rsidRDefault="004D7B74" w:rsidP="00BB4FE7">
      <w:r w:rsidRPr="00BB4FE7">
        <w:t>We recognise that we have a shared responsibility for the stewardship of our regulatory systems. We adopt a whole of system view to regulation and take a proactive and collaborative approach to the delivery of the regulatory functions which the department oversees.</w:t>
      </w:r>
    </w:p>
    <w:p w14:paraId="64BA6796" w14:textId="77777777" w:rsidR="004D7B74" w:rsidRPr="00BB4FE7" w:rsidRDefault="004D7B74" w:rsidP="00BB4FE7">
      <w:r w:rsidRPr="00BB4FE7">
        <w:br w:type="column"/>
      </w:r>
    </w:p>
    <w:tbl>
      <w:tblPr>
        <w:tblStyle w:val="TableGrid"/>
        <w:tblW w:w="5000" w:type="pct"/>
        <w:tblLook w:val="0620" w:firstRow="1" w:lastRow="0" w:firstColumn="0" w:lastColumn="0" w:noHBand="1" w:noVBand="1"/>
      </w:tblPr>
      <w:tblGrid>
        <w:gridCol w:w="8556"/>
        <w:gridCol w:w="1904"/>
      </w:tblGrid>
      <w:tr w:rsidR="004D7B74" w:rsidRPr="00E632CF" w14:paraId="5EFC01C9" w14:textId="77777777" w:rsidTr="000C093F">
        <w:trPr>
          <w:cnfStyle w:val="100000000000" w:firstRow="1" w:lastRow="0" w:firstColumn="0" w:lastColumn="0" w:oddVBand="0" w:evenVBand="0" w:oddHBand="0" w:evenHBand="0" w:firstRowFirstColumn="0" w:firstRowLastColumn="0" w:lastRowFirstColumn="0" w:lastRowLastColumn="0"/>
          <w:trHeight w:val="625"/>
          <w:tblHeader/>
        </w:trPr>
        <w:tc>
          <w:tcPr>
            <w:tcW w:w="4090" w:type="pct"/>
          </w:tcPr>
          <w:p w14:paraId="5E24C1F4" w14:textId="77777777" w:rsidR="004D7B74" w:rsidRPr="00E632CF" w:rsidRDefault="004D7B74" w:rsidP="00E632CF">
            <w:pPr>
              <w:rPr>
                <w:rFonts w:eastAsiaTheme="minorHAnsi"/>
              </w:rPr>
            </w:pPr>
            <w:r w:rsidRPr="00E632CF">
              <w:rPr>
                <w:rFonts w:eastAsiaTheme="minorHAnsi"/>
              </w:rPr>
              <w:t>Regulator / Regulatory function</w:t>
            </w:r>
          </w:p>
        </w:tc>
        <w:tc>
          <w:tcPr>
            <w:tcW w:w="910" w:type="pct"/>
          </w:tcPr>
          <w:p w14:paraId="43318D06" w14:textId="77777777" w:rsidR="004D7B74" w:rsidRPr="00E632CF" w:rsidRDefault="004D7B74" w:rsidP="00E632CF">
            <w:pPr>
              <w:rPr>
                <w:rFonts w:eastAsiaTheme="minorHAnsi"/>
              </w:rPr>
            </w:pPr>
            <w:r w:rsidRPr="00E632CF">
              <w:rPr>
                <w:rFonts w:eastAsiaTheme="minorHAnsi"/>
              </w:rPr>
              <w:t>Program</w:t>
            </w:r>
          </w:p>
        </w:tc>
      </w:tr>
      <w:tr w:rsidR="004D7B74" w:rsidRPr="00E632CF" w14:paraId="08A4A86D" w14:textId="77777777" w:rsidTr="000C093F">
        <w:trPr>
          <w:trHeight w:val="773"/>
        </w:trPr>
        <w:tc>
          <w:tcPr>
            <w:tcW w:w="4090" w:type="pct"/>
          </w:tcPr>
          <w:p w14:paraId="04DD575C" w14:textId="77777777" w:rsidR="004D7B74" w:rsidRPr="00E632CF" w:rsidRDefault="004D7B74" w:rsidP="00E632CF">
            <w:pPr>
              <w:rPr>
                <w:rFonts w:eastAsiaTheme="minorHAnsi"/>
              </w:rPr>
            </w:pPr>
            <w:r w:rsidRPr="00E632CF">
              <w:rPr>
                <w:rFonts w:eastAsiaTheme="minorHAnsi"/>
              </w:rPr>
              <w:t>* Regulatory oversight of therapeutic goods by the Therapeutic Goods Administration</w:t>
            </w:r>
          </w:p>
        </w:tc>
        <w:tc>
          <w:tcPr>
            <w:tcW w:w="910" w:type="pct"/>
          </w:tcPr>
          <w:p w14:paraId="3A6D2802" w14:textId="77777777" w:rsidR="004D7B74" w:rsidRPr="00E632CF" w:rsidRDefault="004D7B74" w:rsidP="00E632CF">
            <w:pPr>
              <w:rPr>
                <w:rFonts w:eastAsiaTheme="minorHAnsi"/>
              </w:rPr>
            </w:pPr>
            <w:r w:rsidRPr="00E632CF">
              <w:rPr>
                <w:rFonts w:eastAsiaTheme="minorHAnsi"/>
              </w:rPr>
              <w:t>Program 1.8</w:t>
            </w:r>
          </w:p>
        </w:tc>
      </w:tr>
      <w:tr w:rsidR="004D7B74" w:rsidRPr="00E632CF" w14:paraId="48D73BCE" w14:textId="77777777" w:rsidTr="000C093F">
        <w:trPr>
          <w:trHeight w:val="814"/>
        </w:trPr>
        <w:tc>
          <w:tcPr>
            <w:tcW w:w="4090" w:type="pct"/>
          </w:tcPr>
          <w:p w14:paraId="2FDE0CF4" w14:textId="77777777" w:rsidR="004D7B74" w:rsidRPr="00E632CF" w:rsidRDefault="004D7B74" w:rsidP="00E632CF">
            <w:pPr>
              <w:rPr>
                <w:rFonts w:eastAsiaTheme="minorHAnsi"/>
              </w:rPr>
            </w:pPr>
            <w:r w:rsidRPr="00E632CF">
              <w:rPr>
                <w:rFonts w:eastAsiaTheme="minorHAnsi"/>
              </w:rPr>
              <w:t>* Regulatory oversight of controlled drugs by the Office of Drug Control</w:t>
            </w:r>
          </w:p>
        </w:tc>
        <w:tc>
          <w:tcPr>
            <w:tcW w:w="910" w:type="pct"/>
          </w:tcPr>
          <w:p w14:paraId="74A3BEAF" w14:textId="77777777" w:rsidR="004D7B74" w:rsidRPr="00E632CF" w:rsidRDefault="004D7B74" w:rsidP="00E632CF">
            <w:pPr>
              <w:rPr>
                <w:rFonts w:eastAsiaTheme="minorHAnsi"/>
              </w:rPr>
            </w:pPr>
            <w:r w:rsidRPr="00E632CF">
              <w:rPr>
                <w:rFonts w:eastAsiaTheme="minorHAnsi"/>
              </w:rPr>
              <w:t>Program 1.8</w:t>
            </w:r>
          </w:p>
        </w:tc>
      </w:tr>
      <w:tr w:rsidR="004D7B74" w:rsidRPr="00E632CF" w14:paraId="7EFA2B85" w14:textId="77777777" w:rsidTr="000C093F">
        <w:trPr>
          <w:trHeight w:val="814"/>
        </w:trPr>
        <w:tc>
          <w:tcPr>
            <w:tcW w:w="4090" w:type="pct"/>
          </w:tcPr>
          <w:p w14:paraId="041E2DF9" w14:textId="6D009B41" w:rsidR="004D7B74" w:rsidRPr="00E632CF" w:rsidRDefault="004D7B74" w:rsidP="00E632CF">
            <w:pPr>
              <w:rPr>
                <w:rFonts w:eastAsiaTheme="minorHAnsi"/>
              </w:rPr>
            </w:pPr>
            <w:r w:rsidRPr="00E632CF">
              <w:rPr>
                <w:rFonts w:eastAsiaTheme="minorHAnsi"/>
              </w:rPr>
              <w:t>** Administration of the Australian Industrial Chemicals Introduction</w:t>
            </w:r>
            <w:r w:rsidR="00AE1868" w:rsidRPr="00E632CF">
              <w:rPr>
                <w:rFonts w:eastAsiaTheme="minorHAnsi"/>
              </w:rPr>
              <w:t xml:space="preserve"> </w:t>
            </w:r>
            <w:r w:rsidRPr="00E632CF">
              <w:rPr>
                <w:rFonts w:eastAsiaTheme="minorHAnsi"/>
              </w:rPr>
              <w:t>Scheme by the Office of Chemical Safety</w:t>
            </w:r>
          </w:p>
        </w:tc>
        <w:tc>
          <w:tcPr>
            <w:tcW w:w="910" w:type="pct"/>
          </w:tcPr>
          <w:p w14:paraId="14D65EA9" w14:textId="77777777" w:rsidR="004D7B74" w:rsidRPr="00E632CF" w:rsidRDefault="004D7B74" w:rsidP="00E632CF">
            <w:pPr>
              <w:rPr>
                <w:rFonts w:eastAsiaTheme="minorHAnsi"/>
              </w:rPr>
            </w:pPr>
            <w:r w:rsidRPr="00E632CF">
              <w:rPr>
                <w:rFonts w:eastAsiaTheme="minorHAnsi"/>
              </w:rPr>
              <w:t>Program 1.8</w:t>
            </w:r>
          </w:p>
        </w:tc>
      </w:tr>
      <w:tr w:rsidR="004D7B74" w:rsidRPr="00E632CF" w14:paraId="788DB04D" w14:textId="77777777" w:rsidTr="000C093F">
        <w:trPr>
          <w:trHeight w:val="814"/>
        </w:trPr>
        <w:tc>
          <w:tcPr>
            <w:tcW w:w="4090" w:type="pct"/>
          </w:tcPr>
          <w:p w14:paraId="5E647B03" w14:textId="75342872" w:rsidR="004D7B74" w:rsidRPr="00E632CF" w:rsidRDefault="004D7B74" w:rsidP="00E632CF">
            <w:pPr>
              <w:rPr>
                <w:rFonts w:eastAsiaTheme="minorHAnsi"/>
              </w:rPr>
            </w:pPr>
            <w:r w:rsidRPr="00E632CF">
              <w:rPr>
                <w:rFonts w:eastAsiaTheme="minorHAnsi"/>
              </w:rPr>
              <w:t>** Gene Technology Regulator / Office of the Gene Technology Regulator</w:t>
            </w:r>
          </w:p>
        </w:tc>
        <w:tc>
          <w:tcPr>
            <w:tcW w:w="910" w:type="pct"/>
          </w:tcPr>
          <w:p w14:paraId="4FCFF8EE" w14:textId="77777777" w:rsidR="004D7B74" w:rsidRPr="00E632CF" w:rsidRDefault="004D7B74" w:rsidP="00E632CF">
            <w:pPr>
              <w:rPr>
                <w:rFonts w:eastAsiaTheme="minorHAnsi"/>
              </w:rPr>
            </w:pPr>
            <w:r w:rsidRPr="00E632CF">
              <w:rPr>
                <w:rFonts w:eastAsiaTheme="minorHAnsi"/>
              </w:rPr>
              <w:t>Program 1.8</w:t>
            </w:r>
          </w:p>
        </w:tc>
      </w:tr>
      <w:tr w:rsidR="004D7B74" w:rsidRPr="00E632CF" w14:paraId="331EF730" w14:textId="77777777" w:rsidTr="000C093F">
        <w:trPr>
          <w:trHeight w:val="814"/>
        </w:trPr>
        <w:tc>
          <w:tcPr>
            <w:tcW w:w="4090" w:type="pct"/>
          </w:tcPr>
          <w:p w14:paraId="6EB1851D" w14:textId="77777777" w:rsidR="004D7B74" w:rsidRPr="00E632CF" w:rsidRDefault="004D7B74" w:rsidP="00E632CF">
            <w:pPr>
              <w:rPr>
                <w:rFonts w:eastAsiaTheme="minorHAnsi"/>
              </w:rPr>
            </w:pPr>
            <w:r w:rsidRPr="00E632CF">
              <w:rPr>
                <w:rFonts w:eastAsiaTheme="minorHAnsi"/>
              </w:rPr>
              <w:t>* Supporting access to high-quality hearing services through the Hearing Services Program</w:t>
            </w:r>
          </w:p>
        </w:tc>
        <w:tc>
          <w:tcPr>
            <w:tcW w:w="910" w:type="pct"/>
          </w:tcPr>
          <w:p w14:paraId="2B4C8F37" w14:textId="77777777" w:rsidR="004D7B74" w:rsidRPr="00E632CF" w:rsidRDefault="004D7B74" w:rsidP="00E632CF">
            <w:pPr>
              <w:rPr>
                <w:rFonts w:eastAsiaTheme="minorHAnsi"/>
              </w:rPr>
            </w:pPr>
            <w:r w:rsidRPr="00E632CF">
              <w:rPr>
                <w:rFonts w:eastAsiaTheme="minorHAnsi"/>
              </w:rPr>
              <w:t>Program 2.2</w:t>
            </w:r>
          </w:p>
        </w:tc>
      </w:tr>
      <w:tr w:rsidR="004D7B74" w:rsidRPr="00E632CF" w14:paraId="79386C93" w14:textId="77777777" w:rsidTr="000C093F">
        <w:trPr>
          <w:trHeight w:val="814"/>
        </w:trPr>
        <w:tc>
          <w:tcPr>
            <w:tcW w:w="4090" w:type="pct"/>
          </w:tcPr>
          <w:p w14:paraId="45FDCDD8" w14:textId="7CE75C61" w:rsidR="004D7B74" w:rsidRPr="00E632CF" w:rsidRDefault="004D7B74" w:rsidP="00E632CF">
            <w:pPr>
              <w:rPr>
                <w:rFonts w:eastAsiaTheme="minorHAnsi"/>
              </w:rPr>
            </w:pPr>
            <w:r w:rsidRPr="00E632CF">
              <w:rPr>
                <w:rFonts w:eastAsiaTheme="minorHAnsi"/>
              </w:rPr>
              <w:t>* Regulatory oversight of private health insurance and private hospitals</w:t>
            </w:r>
            <w:r w:rsidRPr="00E632CF">
              <w:footnoteReference w:id="4"/>
            </w:r>
          </w:p>
        </w:tc>
        <w:tc>
          <w:tcPr>
            <w:tcW w:w="910" w:type="pct"/>
          </w:tcPr>
          <w:p w14:paraId="34CEB667" w14:textId="77777777" w:rsidR="004D7B74" w:rsidRPr="00E632CF" w:rsidRDefault="004D7B74" w:rsidP="00E632CF">
            <w:pPr>
              <w:rPr>
                <w:rFonts w:eastAsiaTheme="minorHAnsi"/>
              </w:rPr>
            </w:pPr>
            <w:r w:rsidRPr="00E632CF">
              <w:rPr>
                <w:rFonts w:eastAsiaTheme="minorHAnsi"/>
              </w:rPr>
              <w:t>Program 2.4</w:t>
            </w:r>
          </w:p>
        </w:tc>
      </w:tr>
      <w:tr w:rsidR="004D7B74" w:rsidRPr="00E632CF" w14:paraId="6285EE28" w14:textId="77777777" w:rsidTr="000C093F">
        <w:trPr>
          <w:trHeight w:val="814"/>
        </w:trPr>
        <w:tc>
          <w:tcPr>
            <w:tcW w:w="4090" w:type="pct"/>
          </w:tcPr>
          <w:p w14:paraId="04AA3778" w14:textId="77777777" w:rsidR="004D7B74" w:rsidRPr="00E632CF" w:rsidRDefault="004D7B74" w:rsidP="00E632CF">
            <w:pPr>
              <w:rPr>
                <w:rFonts w:eastAsiaTheme="minorHAnsi"/>
              </w:rPr>
            </w:pPr>
            <w:r w:rsidRPr="00E632CF">
              <w:rPr>
                <w:rFonts w:eastAsiaTheme="minorHAnsi"/>
              </w:rPr>
              <w:t>* Supporting the integrity of health benefit claims</w:t>
            </w:r>
          </w:p>
        </w:tc>
        <w:tc>
          <w:tcPr>
            <w:tcW w:w="910" w:type="pct"/>
          </w:tcPr>
          <w:p w14:paraId="111EB802" w14:textId="77777777" w:rsidR="004D7B74" w:rsidRPr="00E632CF" w:rsidRDefault="004D7B74" w:rsidP="00E632CF">
            <w:pPr>
              <w:rPr>
                <w:rFonts w:eastAsiaTheme="minorHAnsi"/>
              </w:rPr>
            </w:pPr>
            <w:r w:rsidRPr="00E632CF">
              <w:rPr>
                <w:rFonts w:eastAsiaTheme="minorHAnsi"/>
              </w:rPr>
              <w:t>Program 2.6</w:t>
            </w:r>
          </w:p>
        </w:tc>
      </w:tr>
    </w:tbl>
    <w:p w14:paraId="0AECE3AB" w14:textId="18C4F5CD" w:rsidR="004D7B74" w:rsidRPr="001A6DDD" w:rsidRDefault="004D7B74" w:rsidP="001A6DDD">
      <w:pPr>
        <w:pStyle w:val="FootnoteText"/>
      </w:pPr>
      <w:r w:rsidRPr="00E632CF">
        <w:t xml:space="preserve">* For these regulatory functions, the </w:t>
      </w:r>
      <w:r w:rsidR="00C621EC" w:rsidRPr="00E632CF">
        <w:t>d</w:t>
      </w:r>
      <w:r w:rsidRPr="00E632CF">
        <w:t xml:space="preserve">epartment has in place a Ministerial Statement of Expectations (SOE), which provides expectations of how the </w:t>
      </w:r>
      <w:r w:rsidR="00C621EC" w:rsidRPr="00E632CF">
        <w:t>d</w:t>
      </w:r>
      <w:r w:rsidRPr="00E632CF">
        <w:t>epartment will achieve its regulatory objectives</w:t>
      </w:r>
      <w:r w:rsidR="00200736" w:rsidRPr="00E632CF">
        <w:t xml:space="preserve">. </w:t>
      </w:r>
      <w:r w:rsidR="004F55AF" w:rsidRPr="00E632CF">
        <w:t>The SOE also demonstrates how the department</w:t>
      </w:r>
      <w:r w:rsidRPr="00E632CF">
        <w:t xml:space="preserve"> carr</w:t>
      </w:r>
      <w:r w:rsidR="004F55AF" w:rsidRPr="00E632CF">
        <w:t>ies</w:t>
      </w:r>
      <w:r w:rsidRPr="00E632CF">
        <w:t xml:space="preserve"> out its regulatory functions</w:t>
      </w:r>
      <w:r w:rsidR="004F55AF" w:rsidRPr="00E632CF">
        <w:t xml:space="preserve"> and</w:t>
      </w:r>
      <w:r w:rsidRPr="00E632CF">
        <w:t xml:space="preserve"> exercise</w:t>
      </w:r>
      <w:r w:rsidR="004F55AF" w:rsidRPr="00E632CF">
        <w:t>s</w:t>
      </w:r>
      <w:r w:rsidRPr="00E632CF">
        <w:t xml:space="preserve"> its powers</w:t>
      </w:r>
      <w:r w:rsidR="004F55AF" w:rsidRPr="00E632CF">
        <w:t xml:space="preserve">. The SOE </w:t>
      </w:r>
      <w:r w:rsidRPr="00E632CF">
        <w:t>respond</w:t>
      </w:r>
      <w:r w:rsidR="004F55AF" w:rsidRPr="00E632CF">
        <w:t>s to the</w:t>
      </w:r>
      <w:r w:rsidRPr="00E632CF">
        <w:t xml:space="preserve"> Statement of Intent (SOI), which sets out the </w:t>
      </w:r>
      <w:r w:rsidR="00D46301" w:rsidRPr="00E632CF">
        <w:t>d</w:t>
      </w:r>
      <w:r w:rsidRPr="00E632CF">
        <w:t xml:space="preserve">epartment’s intentions on how the regulators and regulatory functions will deliver on those expectations. The SOE and SOI are available on the </w:t>
      </w:r>
      <w:r w:rsidR="00C621EC" w:rsidRPr="00E632CF">
        <w:t>d</w:t>
      </w:r>
      <w:r w:rsidRPr="00E632CF">
        <w:t>epartment’s website.</w:t>
      </w:r>
    </w:p>
    <w:p w14:paraId="626DE0BB" w14:textId="48E729C1" w:rsidR="004D7B74" w:rsidRPr="001A6DDD" w:rsidRDefault="004D7B74" w:rsidP="001A6DDD">
      <w:pPr>
        <w:pStyle w:val="FootnoteText"/>
      </w:pPr>
      <w:r w:rsidRPr="00E632CF">
        <w:t>** The Australian Industrial Chemicals Introduction Scheme and the Gene Technology Regulator have their own respective SOEs and SOIs, which are available on their websites.</w:t>
      </w:r>
    </w:p>
    <w:p w14:paraId="1393EE88" w14:textId="5DC08B40" w:rsidR="004D7B74" w:rsidRPr="00E632CF" w:rsidRDefault="004D7B74" w:rsidP="00E632CF">
      <w:pPr>
        <w:pStyle w:val="Heading1"/>
        <w:rPr>
          <w:rFonts w:eastAsiaTheme="minorHAnsi"/>
        </w:rPr>
      </w:pPr>
      <w:r w:rsidRPr="00D86D77">
        <w:rPr>
          <w:rFonts w:eastAsiaTheme="minorHAnsi"/>
        </w:rPr>
        <w:br w:type="column"/>
      </w:r>
      <w:bookmarkStart w:id="31" w:name="_Toc175293611"/>
      <w:bookmarkStart w:id="32" w:name="_Toc175846472"/>
      <w:r w:rsidRPr="00E632CF">
        <w:rPr>
          <w:rFonts w:eastAsiaTheme="minorHAnsi"/>
        </w:rPr>
        <w:lastRenderedPageBreak/>
        <w:t>Corporate Governance</w:t>
      </w:r>
      <w:bookmarkEnd w:id="31"/>
      <w:r w:rsidRPr="00E632CF">
        <w:rPr>
          <w:rFonts w:eastAsiaTheme="minorHAnsi"/>
        </w:rPr>
        <w:t xml:space="preserve"> </w:t>
      </w:r>
      <w:bookmarkEnd w:id="24"/>
      <w:r w:rsidR="00910862" w:rsidRPr="00E632CF">
        <w:rPr>
          <w:rFonts w:eastAsiaTheme="minorHAnsi"/>
        </w:rPr>
        <w:t xml:space="preserve">and Risk </w:t>
      </w:r>
      <w:r w:rsidR="007A1C13" w:rsidRPr="00E632CF">
        <w:rPr>
          <w:rFonts w:eastAsiaTheme="minorHAnsi"/>
        </w:rPr>
        <w:t>O</w:t>
      </w:r>
      <w:r w:rsidR="00910862" w:rsidRPr="00E632CF">
        <w:rPr>
          <w:rFonts w:eastAsiaTheme="minorHAnsi"/>
        </w:rPr>
        <w:t>versight</w:t>
      </w:r>
      <w:bookmarkEnd w:id="32"/>
    </w:p>
    <w:p w14:paraId="2D328710" w14:textId="77777777" w:rsidR="004D7B74" w:rsidRPr="00E632CF" w:rsidRDefault="004D7B74" w:rsidP="00E632CF">
      <w:r w:rsidRPr="00E632CF">
        <w:t>Corporate governance plays an integral role in ensuring Australian Government priorities and program outcomes are delivered efficiently and effectively.</w:t>
      </w:r>
    </w:p>
    <w:p w14:paraId="0674385F" w14:textId="77777777" w:rsidR="004D7B74" w:rsidRPr="00E632CF" w:rsidRDefault="004D7B74" w:rsidP="00E632CF">
      <w:r w:rsidRPr="00E632CF">
        <w:t>Seven senior governance committees provide advice and make recommendations to our executive on strategic portfolio policy issues. These committees focus on improving the performance of health, aged care and sport systems, organisational performance, delivery of administered programs and implementation of our change projects that have the highest risk.</w:t>
      </w:r>
    </w:p>
    <w:tbl>
      <w:tblPr>
        <w:tblStyle w:val="TableGrid"/>
        <w:tblW w:w="0" w:type="auto"/>
        <w:tblLook w:val="0620" w:firstRow="1" w:lastRow="0" w:firstColumn="0" w:lastColumn="0" w:noHBand="1" w:noVBand="1"/>
      </w:tblPr>
      <w:tblGrid>
        <w:gridCol w:w="3224"/>
        <w:gridCol w:w="6989"/>
      </w:tblGrid>
      <w:tr w:rsidR="001A6DDD" w:rsidRPr="00E632CF" w14:paraId="3B5F16B3" w14:textId="77777777" w:rsidTr="001A6DDD">
        <w:trPr>
          <w:cnfStyle w:val="100000000000" w:firstRow="1" w:lastRow="0" w:firstColumn="0" w:lastColumn="0" w:oddVBand="0" w:evenVBand="0" w:oddHBand="0" w:evenHBand="0" w:firstRowFirstColumn="0" w:firstRowLastColumn="0" w:lastRowFirstColumn="0" w:lastRowLastColumn="0"/>
          <w:trHeight w:val="569"/>
        </w:trPr>
        <w:tc>
          <w:tcPr>
            <w:tcW w:w="3224" w:type="dxa"/>
          </w:tcPr>
          <w:p w14:paraId="3314668B" w14:textId="5DC59EC7" w:rsidR="001A6DDD" w:rsidRPr="00E632CF" w:rsidRDefault="001A6DDD" w:rsidP="00E632CF">
            <w:r>
              <w:t>S</w:t>
            </w:r>
            <w:r w:rsidRPr="001A6DDD">
              <w:t>enior governance committees</w:t>
            </w:r>
          </w:p>
        </w:tc>
        <w:tc>
          <w:tcPr>
            <w:tcW w:w="6989" w:type="dxa"/>
          </w:tcPr>
          <w:p w14:paraId="30AEC241" w14:textId="742DF31F" w:rsidR="001A6DDD" w:rsidRPr="00E632CF" w:rsidRDefault="001A6DDD" w:rsidP="00E632CF">
            <w:r>
              <w:t>Advice and recommendations</w:t>
            </w:r>
          </w:p>
        </w:tc>
      </w:tr>
      <w:tr w:rsidR="004D7B74" w:rsidRPr="00E632CF" w14:paraId="60E1F070" w14:textId="77777777" w:rsidTr="001A6DDD">
        <w:trPr>
          <w:trHeight w:val="1306"/>
        </w:trPr>
        <w:tc>
          <w:tcPr>
            <w:tcW w:w="3224" w:type="dxa"/>
          </w:tcPr>
          <w:p w14:paraId="33A359E5" w14:textId="77777777" w:rsidR="004D7B74" w:rsidRPr="00E632CF" w:rsidRDefault="004D7B74" w:rsidP="00E632CF">
            <w:r w:rsidRPr="00E632CF">
              <w:t>Executive Committee</w:t>
            </w:r>
          </w:p>
        </w:tc>
        <w:tc>
          <w:tcPr>
            <w:tcW w:w="6989" w:type="dxa"/>
          </w:tcPr>
          <w:p w14:paraId="1CBC87AD" w14:textId="77777777" w:rsidR="004D7B74" w:rsidRPr="00E632CF" w:rsidRDefault="004D7B74" w:rsidP="001A6DDD">
            <w:pPr>
              <w:pStyle w:val="ListBullet2"/>
            </w:pPr>
            <w:r w:rsidRPr="00E632CF">
              <w:t>Provides strategic direction and leadership to ensure outcomes documented in Portfolio Budget Statements (PB Statements) and the Corporate Plan are achieved. </w:t>
            </w:r>
          </w:p>
          <w:p w14:paraId="2E612C01" w14:textId="6B1668AF" w:rsidR="004D7B74" w:rsidRPr="00E632CF" w:rsidRDefault="004D7B74" w:rsidP="001A6DDD">
            <w:pPr>
              <w:pStyle w:val="ListBullet2"/>
            </w:pPr>
            <w:r w:rsidRPr="00E632CF">
              <w:t>Operates in an advisory capacity to the Secretary as the Accountable Authority. </w:t>
            </w:r>
          </w:p>
        </w:tc>
      </w:tr>
      <w:tr w:rsidR="004D7B74" w:rsidRPr="00E632CF" w14:paraId="10AE98C9" w14:textId="77777777" w:rsidTr="001A6DDD">
        <w:trPr>
          <w:trHeight w:val="507"/>
        </w:trPr>
        <w:tc>
          <w:tcPr>
            <w:tcW w:w="3224" w:type="dxa"/>
          </w:tcPr>
          <w:p w14:paraId="56D1DCDE" w14:textId="77777777" w:rsidR="004D7B74" w:rsidRPr="00E632CF" w:rsidRDefault="004D7B74" w:rsidP="00E632CF">
            <w:r w:rsidRPr="00E632CF">
              <w:t>Audit and Risk Committee</w:t>
            </w:r>
          </w:p>
        </w:tc>
        <w:tc>
          <w:tcPr>
            <w:tcW w:w="6989" w:type="dxa"/>
          </w:tcPr>
          <w:p w14:paraId="4C1304DE" w14:textId="2B411F0B" w:rsidR="004D7B74" w:rsidRPr="00E632CF" w:rsidRDefault="004D7B74" w:rsidP="001A6DDD">
            <w:pPr>
              <w:pStyle w:val="ListBullet2"/>
            </w:pPr>
            <w:r w:rsidRPr="00E632CF">
              <w:t>Provides independent advice and assurance to the Secretary on the appropriateness of our financial reporting, systems of internal control, performance reporting, and systems of risk oversight and management.</w:t>
            </w:r>
          </w:p>
        </w:tc>
      </w:tr>
      <w:tr w:rsidR="004D7B74" w:rsidRPr="00E632CF" w14:paraId="121152DF" w14:textId="77777777" w:rsidTr="001A6DDD">
        <w:trPr>
          <w:trHeight w:val="495"/>
        </w:trPr>
        <w:tc>
          <w:tcPr>
            <w:tcW w:w="3224" w:type="dxa"/>
          </w:tcPr>
          <w:p w14:paraId="15280C39" w14:textId="77777777" w:rsidR="004D7B74" w:rsidRPr="00E632CF" w:rsidRDefault="004D7B74" w:rsidP="00E632CF">
            <w:r w:rsidRPr="00E632CF">
              <w:t>Strategic Policy Forum</w:t>
            </w:r>
          </w:p>
        </w:tc>
        <w:tc>
          <w:tcPr>
            <w:tcW w:w="6989" w:type="dxa"/>
          </w:tcPr>
          <w:p w14:paraId="3C6998D6" w14:textId="034E7DFF" w:rsidR="004D7B74" w:rsidRPr="00E632CF" w:rsidRDefault="004D7B74" w:rsidP="001A6DDD">
            <w:pPr>
              <w:pStyle w:val="ListBullet2"/>
            </w:pPr>
            <w:r w:rsidRPr="00E632CF">
              <w:t>Provides the Executive Committee with a whole-of-portfolio view of new policy development and current policy challenges.</w:t>
            </w:r>
          </w:p>
          <w:p w14:paraId="3A191113" w14:textId="3DD165A3" w:rsidR="004D7B74" w:rsidRPr="00E632CF" w:rsidRDefault="004D7B74" w:rsidP="001A6DDD">
            <w:pPr>
              <w:pStyle w:val="ListBullet2"/>
            </w:pPr>
            <w:r w:rsidRPr="00E632CF">
              <w:t>Brings together senior leaders to inform early policy design, policy implementation and ongoing monitoring and evaluation of critical initiatives.</w:t>
            </w:r>
          </w:p>
          <w:p w14:paraId="6EB0DCBE" w14:textId="79970CB8" w:rsidR="004D7B74" w:rsidRPr="00E632CF" w:rsidRDefault="000F228C" w:rsidP="001A6DDD">
            <w:pPr>
              <w:pStyle w:val="ListBullet2"/>
            </w:pPr>
            <w:r w:rsidRPr="00E632CF">
              <w:t>Fosters</w:t>
            </w:r>
            <w:r w:rsidR="00097081" w:rsidRPr="00E632CF">
              <w:t xml:space="preserve"> </w:t>
            </w:r>
            <w:r w:rsidR="004D7B74" w:rsidRPr="00E632CF">
              <w:t xml:space="preserve">a culture of innovation, </w:t>
            </w:r>
            <w:proofErr w:type="gramStart"/>
            <w:r w:rsidR="004D7B74" w:rsidRPr="00E632CF">
              <w:t>collaboration</w:t>
            </w:r>
            <w:proofErr w:type="gramEnd"/>
            <w:r w:rsidR="004D7B74" w:rsidRPr="00E632CF">
              <w:t xml:space="preserve"> and contestability.</w:t>
            </w:r>
          </w:p>
        </w:tc>
      </w:tr>
      <w:tr w:rsidR="004D7B74" w:rsidRPr="00E632CF" w14:paraId="432CCC20" w14:textId="77777777" w:rsidTr="001A6DDD">
        <w:trPr>
          <w:trHeight w:val="495"/>
        </w:trPr>
        <w:tc>
          <w:tcPr>
            <w:tcW w:w="3224" w:type="dxa"/>
          </w:tcPr>
          <w:p w14:paraId="3DA4F394" w14:textId="77777777" w:rsidR="004D7B74" w:rsidRPr="00E632CF" w:rsidRDefault="004D7B74" w:rsidP="00E632CF">
            <w:r w:rsidRPr="00E632CF">
              <w:t>Program Assurance Committee</w:t>
            </w:r>
          </w:p>
        </w:tc>
        <w:tc>
          <w:tcPr>
            <w:tcW w:w="6989" w:type="dxa"/>
          </w:tcPr>
          <w:p w14:paraId="0CFD3C4C" w14:textId="7D93158A" w:rsidR="008D03D9" w:rsidRPr="00E632CF" w:rsidRDefault="008D03D9" w:rsidP="001A6DDD">
            <w:pPr>
              <w:pStyle w:val="ListBullet2"/>
            </w:pPr>
            <w:r w:rsidRPr="00E632CF">
              <w:t xml:space="preserve">Provides oversight, </w:t>
            </w:r>
            <w:proofErr w:type="gramStart"/>
            <w:r w:rsidRPr="00E632CF">
              <w:t>advice</w:t>
            </w:r>
            <w:proofErr w:type="gramEnd"/>
            <w:r w:rsidRPr="00E632CF">
              <w:t xml:space="preserve"> and assurance to the Executive Committee on effective management of programs administered by the department.</w:t>
            </w:r>
          </w:p>
          <w:p w14:paraId="22EB97D7" w14:textId="2C2AA872" w:rsidR="004D7B74" w:rsidRPr="00E632CF" w:rsidRDefault="004D7B74" w:rsidP="001A6DDD">
            <w:pPr>
              <w:pStyle w:val="ListBullet2"/>
            </w:pPr>
            <w:r w:rsidRPr="00E632CF">
              <w:t>Reviews sub-programs to assure the effectiveness of program management through a risk-based assessment approach, with a focus on the highest-risk sub-programs.</w:t>
            </w:r>
          </w:p>
        </w:tc>
      </w:tr>
      <w:tr w:rsidR="004D7B74" w:rsidRPr="00E632CF" w14:paraId="2B7A9006" w14:textId="77777777" w:rsidTr="001A6DDD">
        <w:trPr>
          <w:trHeight w:val="755"/>
        </w:trPr>
        <w:tc>
          <w:tcPr>
            <w:tcW w:w="3224" w:type="dxa"/>
          </w:tcPr>
          <w:p w14:paraId="289FCA3B" w14:textId="77777777" w:rsidR="004D7B74" w:rsidRPr="00E632CF" w:rsidRDefault="004D7B74" w:rsidP="00E632CF">
            <w:r w:rsidRPr="00E632CF">
              <w:t>Digital, Data and Implementation Board</w:t>
            </w:r>
          </w:p>
        </w:tc>
        <w:tc>
          <w:tcPr>
            <w:tcW w:w="6989" w:type="dxa"/>
          </w:tcPr>
          <w:p w14:paraId="151E14C6" w14:textId="6EE73F31" w:rsidR="004D7B74" w:rsidRPr="00E632CF" w:rsidRDefault="004D7B74" w:rsidP="001A6DDD">
            <w:pPr>
              <w:pStyle w:val="ListBullet2"/>
            </w:pPr>
            <w:r w:rsidRPr="00E632CF">
              <w:t xml:space="preserve">Provides oversight, </w:t>
            </w:r>
            <w:proofErr w:type="gramStart"/>
            <w:r w:rsidRPr="00E632CF">
              <w:t>advice</w:t>
            </w:r>
            <w:proofErr w:type="gramEnd"/>
            <w:r w:rsidRPr="00E632CF">
              <w:t xml:space="preserve"> and assurance to the Executive Committee on effective management and ongoing viability of highest risk change projects and portfolio</w:t>
            </w:r>
            <w:r w:rsidR="008D03D9" w:rsidRPr="00E632CF">
              <w:t>s</w:t>
            </w:r>
            <w:r w:rsidRPr="00E632CF">
              <w:t xml:space="preserve"> of work.</w:t>
            </w:r>
          </w:p>
          <w:p w14:paraId="3E0FB384" w14:textId="02DD454A" w:rsidR="004D7B74" w:rsidRPr="00E632CF" w:rsidRDefault="004D7B74" w:rsidP="001A6DDD">
            <w:pPr>
              <w:pStyle w:val="ListBullet2"/>
            </w:pPr>
            <w:r w:rsidRPr="00E632CF">
              <w:t>Provides strategic advice and leadership on our digital, data, and ICT work programs.</w:t>
            </w:r>
          </w:p>
          <w:p w14:paraId="7B66A2A5" w14:textId="77777777" w:rsidR="004D7B74" w:rsidRPr="00E632CF" w:rsidRDefault="004D7B74" w:rsidP="001A6DDD">
            <w:pPr>
              <w:pStyle w:val="ListBullet2"/>
            </w:pPr>
            <w:r w:rsidRPr="00E632CF">
              <w:t>Ensures we leverage existing technologies, patterns, and capabilities to effectively deliver on new and emerging priorities of government, while ensuring alignment with the digital transformation agenda. </w:t>
            </w:r>
          </w:p>
        </w:tc>
      </w:tr>
      <w:tr w:rsidR="004D7B74" w:rsidRPr="00E632CF" w14:paraId="1393DE9D" w14:textId="77777777" w:rsidTr="001A6DDD">
        <w:trPr>
          <w:trHeight w:val="991"/>
        </w:trPr>
        <w:tc>
          <w:tcPr>
            <w:tcW w:w="3224" w:type="dxa"/>
          </w:tcPr>
          <w:p w14:paraId="17F4083B" w14:textId="77777777" w:rsidR="004D7B74" w:rsidRPr="00E632CF" w:rsidRDefault="004D7B74" w:rsidP="00E632CF">
            <w:r w:rsidRPr="00E632CF">
              <w:t>Security and Workforce Integrity Assurance Committee</w:t>
            </w:r>
          </w:p>
        </w:tc>
        <w:tc>
          <w:tcPr>
            <w:tcW w:w="6989" w:type="dxa"/>
          </w:tcPr>
          <w:p w14:paraId="07EC6EF1" w14:textId="269885B2" w:rsidR="004D7B74" w:rsidRPr="00E632CF" w:rsidRDefault="004D7B74" w:rsidP="001A6DDD">
            <w:pPr>
              <w:pStyle w:val="ListBullet2"/>
            </w:pPr>
            <w:r w:rsidRPr="00E632CF">
              <w:t>Supports the Secretary and Executive in providing a cohesive and coordinated security and workforce integrity risk approach.</w:t>
            </w:r>
          </w:p>
          <w:p w14:paraId="1468CD2C" w14:textId="56BBB2C3" w:rsidR="004D7B74" w:rsidRPr="00E632CF" w:rsidRDefault="004D7B74" w:rsidP="001A6DDD">
            <w:pPr>
              <w:pStyle w:val="ListBullet2"/>
            </w:pPr>
            <w:r w:rsidRPr="00E632CF">
              <w:t>Considers our long-term protective security goals, objectives, and responses as we deliver government outcomes.</w:t>
            </w:r>
          </w:p>
        </w:tc>
      </w:tr>
      <w:tr w:rsidR="004D7B74" w:rsidRPr="00E632CF" w14:paraId="1DD798AC" w14:textId="77777777" w:rsidTr="001A6DDD">
        <w:trPr>
          <w:trHeight w:val="743"/>
        </w:trPr>
        <w:tc>
          <w:tcPr>
            <w:tcW w:w="3224" w:type="dxa"/>
          </w:tcPr>
          <w:p w14:paraId="2ACFE768" w14:textId="77777777" w:rsidR="004D7B74" w:rsidRPr="00E632CF" w:rsidRDefault="004D7B74" w:rsidP="00E632CF">
            <w:r w:rsidRPr="00E632CF">
              <w:t>Closing the Gap Steering Committee</w:t>
            </w:r>
          </w:p>
        </w:tc>
        <w:tc>
          <w:tcPr>
            <w:tcW w:w="6989" w:type="dxa"/>
          </w:tcPr>
          <w:p w14:paraId="04ED475E" w14:textId="111AFA0B" w:rsidR="004D7B74" w:rsidRPr="00E632CF" w:rsidRDefault="004D7B74" w:rsidP="001A6DDD">
            <w:pPr>
              <w:pStyle w:val="ListBullet2"/>
            </w:pPr>
            <w:r w:rsidRPr="00E632CF">
              <w:t xml:space="preserve">Champions and drives action across the 4 Priority Reforms set out in the National Agreement on Closing the Gap in our structures, </w:t>
            </w:r>
            <w:proofErr w:type="gramStart"/>
            <w:r w:rsidRPr="00E632CF">
              <w:t>processes</w:t>
            </w:r>
            <w:proofErr w:type="gramEnd"/>
            <w:r w:rsidRPr="00E632CF">
              <w:t xml:space="preserve"> and work.</w:t>
            </w:r>
          </w:p>
        </w:tc>
      </w:tr>
    </w:tbl>
    <w:p w14:paraId="534664F6" w14:textId="77777777" w:rsidR="00DC6048" w:rsidRPr="00E12EA7" w:rsidRDefault="00DC6048" w:rsidP="00E12EA7">
      <w:r w:rsidRPr="00E12EA7">
        <w:br w:type="page"/>
      </w:r>
    </w:p>
    <w:p w14:paraId="330CB499" w14:textId="77777777" w:rsidR="004D7B74" w:rsidRPr="00E12EA7" w:rsidRDefault="004D7B74" w:rsidP="00E12EA7">
      <w:pPr>
        <w:pStyle w:val="Heading2"/>
      </w:pPr>
      <w:bookmarkStart w:id="33" w:name="_Toc141785425"/>
      <w:bookmarkStart w:id="34" w:name="_Toc175293612"/>
      <w:bookmarkStart w:id="35" w:name="_Toc175846473"/>
      <w:r w:rsidRPr="00E12EA7">
        <w:lastRenderedPageBreak/>
        <w:t>Risk Management</w:t>
      </w:r>
      <w:bookmarkEnd w:id="33"/>
      <w:bookmarkEnd w:id="34"/>
      <w:bookmarkEnd w:id="35"/>
      <w:r w:rsidRPr="00E12EA7">
        <w:t xml:space="preserve"> </w:t>
      </w:r>
    </w:p>
    <w:p w14:paraId="09790DC1" w14:textId="13A39AED" w:rsidR="004D7B74" w:rsidRPr="00F20345" w:rsidRDefault="004D7B74" w:rsidP="00E12EA7">
      <w:pPr>
        <w:rPr>
          <w:rFonts w:cs="Arial"/>
        </w:rPr>
      </w:pPr>
      <w:r w:rsidRPr="00E12EA7">
        <w:t xml:space="preserve">Effective risk management assists our people to make better decisions, encourages engagement with risk, and positions us to be more agile to deal with current and emerging challenges. The </w:t>
      </w:r>
      <w:hyperlink r:id="rId10" w:history="1">
        <w:r w:rsidRPr="00E12EA7">
          <w:rPr>
            <w:rStyle w:val="Hyperlink"/>
          </w:rPr>
          <w:t>Risk Management Policy</w:t>
        </w:r>
      </w:hyperlink>
      <w:r w:rsidRPr="00E12EA7">
        <w:t xml:space="preserve"> is a key strategic document to support the achievement of the department’s outcomes. The </w:t>
      </w:r>
      <w:hyperlink r:id="rId11" w:history="1">
        <w:r w:rsidRPr="00E12EA7">
          <w:rPr>
            <w:rStyle w:val="Hyperlink"/>
          </w:rPr>
          <w:t>Risk Management Framework</w:t>
        </w:r>
      </w:hyperlink>
      <w:r w:rsidRPr="00E12EA7">
        <w:t xml:space="preserve"> supports the Risk Management Policy and provides practical insight into how to embed risk management practices across all aspects</w:t>
      </w:r>
      <w:r w:rsidRPr="00F20345">
        <w:rPr>
          <w:rFonts w:cs="Arial"/>
        </w:rPr>
        <w:t xml:space="preserve"> of the department’s operations. Both documents were developed in accordance with the </w:t>
      </w:r>
      <w:r w:rsidRPr="00E632CF">
        <w:rPr>
          <w:rStyle w:val="Emphasis"/>
        </w:rPr>
        <w:t>Public Governance, Performance and Accountability Act 2013</w:t>
      </w:r>
      <w:r w:rsidR="000F228C" w:rsidRPr="00F20345">
        <w:rPr>
          <w:rFonts w:cs="Arial"/>
        </w:rPr>
        <w:t xml:space="preserve"> </w:t>
      </w:r>
      <w:r w:rsidRPr="00F20345">
        <w:rPr>
          <w:rFonts w:cs="Arial"/>
        </w:rPr>
        <w:t xml:space="preserve">and Commonwealth Risk Management </w:t>
      </w:r>
      <w:r w:rsidR="002D25F2" w:rsidRPr="00F20345">
        <w:rPr>
          <w:rFonts w:cs="Arial"/>
        </w:rPr>
        <w:t>Policy and</w:t>
      </w:r>
      <w:r w:rsidRPr="00F20345">
        <w:rPr>
          <w:rFonts w:cs="Arial"/>
        </w:rPr>
        <w:t xml:space="preserve"> are aligned to the Risk Management – Guidelines.</w:t>
      </w:r>
      <w:r w:rsidR="0067788B" w:rsidRPr="00F20345">
        <w:rPr>
          <w:rStyle w:val="FootnoteReference"/>
          <w:rFonts w:cs="Arial"/>
        </w:rPr>
        <w:footnoteReference w:id="5"/>
      </w:r>
    </w:p>
    <w:p w14:paraId="04115320" w14:textId="385B32E4" w:rsidR="004D7B74" w:rsidRPr="00F20345" w:rsidRDefault="004D7B74" w:rsidP="00E632CF">
      <w:pPr>
        <w:rPr>
          <w:rFonts w:cs="Arial"/>
        </w:rPr>
      </w:pPr>
      <w:r w:rsidRPr="00F20345">
        <w:rPr>
          <w:rFonts w:cs="Arial"/>
        </w:rPr>
        <w:t xml:space="preserve">The department has a positive risk culture, </w:t>
      </w:r>
      <w:r w:rsidR="000F228C" w:rsidRPr="00F20345">
        <w:rPr>
          <w:rFonts w:cs="Arial"/>
        </w:rPr>
        <w:t xml:space="preserve">in which </w:t>
      </w:r>
      <w:r w:rsidRPr="00F20345">
        <w:rPr>
          <w:rFonts w:cs="Arial"/>
        </w:rPr>
        <w:t xml:space="preserve">people are encouraged to take appropriate and calculated risks, in accordance with the risk tolerance, to achieve the department’s objectives. Our leaders encourage this through an open, no blame </w:t>
      </w:r>
      <w:r w:rsidRPr="00E632CF">
        <w:t>approach</w:t>
      </w:r>
      <w:r w:rsidRPr="00F20345">
        <w:rPr>
          <w:rFonts w:cs="Arial"/>
        </w:rPr>
        <w:t xml:space="preserve"> that ensures our people are comfortable with reporting and escalating risks where necessary. By taking this proactive approach to risk, we can benefit from healthy risk-taking behaviour to achieve our objectives, whilst applying appropriate controls to manage those risks.</w:t>
      </w:r>
    </w:p>
    <w:p w14:paraId="27AE93F8" w14:textId="502C9EAD" w:rsidR="004D7B74" w:rsidRPr="003106EF" w:rsidRDefault="004D7B74" w:rsidP="004B5C7C">
      <w:pPr>
        <w:pStyle w:val="Heading2"/>
      </w:pPr>
      <w:bookmarkStart w:id="36" w:name="_Toc175846474"/>
      <w:r w:rsidRPr="003106EF">
        <w:t>Risk Reporting</w:t>
      </w:r>
      <w:bookmarkEnd w:id="36"/>
    </w:p>
    <w:p w14:paraId="1F6C0FC0" w14:textId="0D8C7184" w:rsidR="004D7B74" w:rsidRPr="00F20345" w:rsidRDefault="004D7B74" w:rsidP="00D03E10">
      <w:pPr>
        <w:rPr>
          <w:rFonts w:cs="Arial"/>
        </w:rPr>
      </w:pPr>
      <w:r w:rsidRPr="003106EF">
        <w:t>The department undertakes a range of risk reporting to the executive.</w:t>
      </w:r>
      <w:r w:rsidR="00D03E10" w:rsidRPr="00F20345">
        <w:rPr>
          <w:rFonts w:cs="Arial"/>
        </w:rPr>
        <w:t xml:space="preserve"> </w:t>
      </w:r>
      <w:r w:rsidRPr="003106EF">
        <w:t>The Executive Dashboard report is provided to the Executive Committee on a quarterly basis and provides oversight of a range of key metrics and Key Performance Indicators (KPIs) across the department. This in turn provides insights into key risks and demonstrates what acceptable and unacceptable performance looks like.</w:t>
      </w:r>
    </w:p>
    <w:p w14:paraId="0FA4F91E" w14:textId="653CBB9F" w:rsidR="004D7B74" w:rsidRPr="003106EF" w:rsidRDefault="004D7B74" w:rsidP="003106EF">
      <w:r w:rsidRPr="003106EF">
        <w:t>The Chief Risk Officer provides a quarterly update to the Audit and Risk Committee and the Executive Committee.</w:t>
      </w:r>
      <w:r w:rsidR="00D03E10" w:rsidRPr="003106EF">
        <w:t xml:space="preserve"> </w:t>
      </w:r>
      <w:r w:rsidRPr="003106EF">
        <w:t xml:space="preserve">This forms part of the Chief Risk Officer’s responsibility to provide written advice to the Secretary regarding the appropriateness of the </w:t>
      </w:r>
      <w:r w:rsidR="00264B46" w:rsidRPr="003106EF">
        <w:t>d</w:t>
      </w:r>
      <w:r w:rsidRPr="003106EF">
        <w:t>epartment</w:t>
      </w:r>
      <w:r w:rsidR="000412B1" w:rsidRPr="003106EF">
        <w:t>’</w:t>
      </w:r>
      <w:r w:rsidRPr="003106EF">
        <w:t>s systems of risk oversight and management. </w:t>
      </w:r>
    </w:p>
    <w:p w14:paraId="46F5A87F" w14:textId="067B453A" w:rsidR="004D7B74" w:rsidRPr="003106EF" w:rsidRDefault="004D7B74" w:rsidP="003106EF">
      <w:r w:rsidRPr="003106EF">
        <w:t xml:space="preserve">Quarterly Group Risk Reports support increased oversight of strategic and enterprise risks across the </w:t>
      </w:r>
      <w:r w:rsidR="008D03D9" w:rsidRPr="003106EF">
        <w:t>d</w:t>
      </w:r>
      <w:r w:rsidRPr="003106EF">
        <w:t>epartment. These reports are incorporated into the Chief Risk Officer report and outline the top risks impacting each group, including emerging risks.</w:t>
      </w:r>
    </w:p>
    <w:p w14:paraId="64A6329B" w14:textId="77777777" w:rsidR="004D7B74" w:rsidRPr="00DC6048" w:rsidRDefault="004D7B74" w:rsidP="00E632CF">
      <w:pPr>
        <w:pStyle w:val="Heading2"/>
        <w:rPr>
          <w:b w:val="0"/>
          <w:bCs w:val="0"/>
        </w:rPr>
      </w:pPr>
      <w:bookmarkStart w:id="37" w:name="_Toc141785427"/>
      <w:bookmarkStart w:id="38" w:name="_Toc175293614"/>
      <w:bookmarkStart w:id="39" w:name="_Toc175846475"/>
      <w:r w:rsidRPr="00DC6048">
        <w:t>Enterprise Risks</w:t>
      </w:r>
      <w:bookmarkEnd w:id="37"/>
      <w:bookmarkEnd w:id="38"/>
      <w:bookmarkEnd w:id="39"/>
    </w:p>
    <w:p w14:paraId="11937EC5" w14:textId="21EAE371" w:rsidR="004D7B74" w:rsidRPr="00F20345" w:rsidRDefault="004D7B74" w:rsidP="008D03D9">
      <w:pPr>
        <w:rPr>
          <w:rFonts w:cs="Arial"/>
        </w:rPr>
      </w:pPr>
      <w:r w:rsidRPr="00F20345">
        <w:rPr>
          <w:rFonts w:cs="Arial"/>
        </w:rPr>
        <w:t>The department has identified 8 Enterprise Risks that have the most significant impact on our strategic priorities and operations.</w:t>
      </w:r>
    </w:p>
    <w:tbl>
      <w:tblPr>
        <w:tblStyle w:val="TableGrid"/>
        <w:tblW w:w="9923" w:type="dxa"/>
        <w:tblLayout w:type="fixed"/>
        <w:tblLook w:val="0620" w:firstRow="1" w:lastRow="0" w:firstColumn="0" w:lastColumn="0" w:noHBand="1" w:noVBand="1"/>
      </w:tblPr>
      <w:tblGrid>
        <w:gridCol w:w="3828"/>
        <w:gridCol w:w="6095"/>
      </w:tblGrid>
      <w:tr w:rsidR="00D03E10" w:rsidRPr="00E12EA7" w14:paraId="4164329B" w14:textId="77777777" w:rsidTr="001A6DDD">
        <w:trPr>
          <w:cnfStyle w:val="100000000000" w:firstRow="1" w:lastRow="0" w:firstColumn="0" w:lastColumn="0" w:oddVBand="0" w:evenVBand="0" w:oddHBand="0" w:evenHBand="0" w:firstRowFirstColumn="0" w:firstRowLastColumn="0" w:lastRowFirstColumn="0" w:lastRowLastColumn="0"/>
          <w:trHeight w:val="626"/>
          <w:tblHeader/>
        </w:trPr>
        <w:tc>
          <w:tcPr>
            <w:tcW w:w="3828" w:type="dxa"/>
          </w:tcPr>
          <w:p w14:paraId="103A7BC5" w14:textId="00DEBBA3" w:rsidR="00D03E10" w:rsidRPr="00E12EA7" w:rsidRDefault="00D03E10" w:rsidP="00E12EA7">
            <w:pPr>
              <w:rPr>
                <w:rFonts w:eastAsia="Arial"/>
              </w:rPr>
            </w:pPr>
            <w:bookmarkStart w:id="40" w:name="_Hlk138407763"/>
            <w:r w:rsidRPr="00E12EA7">
              <w:rPr>
                <w:rFonts w:eastAsia="Arial"/>
              </w:rPr>
              <w:t>Enterprise Risk Category</w:t>
            </w:r>
            <w:r w:rsidR="00E12EA7" w:rsidRPr="00E12EA7">
              <w:rPr>
                <w:rFonts w:eastAsia="Arial"/>
              </w:rPr>
              <w:t xml:space="preserve"> </w:t>
            </w:r>
            <w:r w:rsidRPr="00E12EA7">
              <w:rPr>
                <w:rFonts w:eastAsia="Arial"/>
              </w:rPr>
              <w:t>(alphabetical order)</w:t>
            </w:r>
          </w:p>
        </w:tc>
        <w:tc>
          <w:tcPr>
            <w:tcW w:w="6095" w:type="dxa"/>
          </w:tcPr>
          <w:p w14:paraId="2EAAEC17" w14:textId="77777777" w:rsidR="00D03E10" w:rsidRPr="00E12EA7" w:rsidRDefault="00D03E10" w:rsidP="00E12EA7">
            <w:pPr>
              <w:rPr>
                <w:rFonts w:eastAsia="Arial"/>
              </w:rPr>
            </w:pPr>
            <w:r w:rsidRPr="00E12EA7">
              <w:rPr>
                <w:rFonts w:eastAsia="Arial"/>
              </w:rPr>
              <w:t>Enterprise Risk Statement</w:t>
            </w:r>
          </w:p>
        </w:tc>
      </w:tr>
      <w:tr w:rsidR="00D03E10" w:rsidRPr="00E12EA7" w14:paraId="73CF5C13" w14:textId="77777777" w:rsidTr="001A6DDD">
        <w:trPr>
          <w:trHeight w:val="496"/>
        </w:trPr>
        <w:tc>
          <w:tcPr>
            <w:tcW w:w="3828" w:type="dxa"/>
          </w:tcPr>
          <w:p w14:paraId="3BF646D7" w14:textId="77777777" w:rsidR="00D03E10" w:rsidRPr="00E12EA7" w:rsidRDefault="00D03E10" w:rsidP="00E12EA7">
            <w:pPr>
              <w:rPr>
                <w:rFonts w:eastAsia="Arial"/>
              </w:rPr>
            </w:pPr>
            <w:r w:rsidRPr="00E12EA7">
              <w:rPr>
                <w:rFonts w:eastAsia="Arial"/>
              </w:rPr>
              <w:t>Delivery</w:t>
            </w:r>
          </w:p>
        </w:tc>
        <w:tc>
          <w:tcPr>
            <w:tcW w:w="6095" w:type="dxa"/>
          </w:tcPr>
          <w:p w14:paraId="72087A79" w14:textId="77777777" w:rsidR="00D03E10" w:rsidRPr="00E12EA7" w:rsidRDefault="00D03E10" w:rsidP="00E12EA7">
            <w:pPr>
              <w:rPr>
                <w:rFonts w:eastAsia="Arial"/>
              </w:rPr>
            </w:pPr>
            <w:r w:rsidRPr="00E12EA7">
              <w:rPr>
                <w:rFonts w:eastAsia="Arial"/>
              </w:rPr>
              <w:t xml:space="preserve">Failure to design and deliver key programs, </w:t>
            </w:r>
            <w:proofErr w:type="gramStart"/>
            <w:r w:rsidRPr="00E12EA7">
              <w:rPr>
                <w:rFonts w:eastAsia="Arial"/>
              </w:rPr>
              <w:t>projects</w:t>
            </w:r>
            <w:proofErr w:type="gramEnd"/>
            <w:r w:rsidRPr="00E12EA7">
              <w:rPr>
                <w:rFonts w:eastAsia="Arial"/>
              </w:rPr>
              <w:t xml:space="preserve"> and services in accordance with the department’s strategic objectives.</w:t>
            </w:r>
          </w:p>
        </w:tc>
      </w:tr>
      <w:tr w:rsidR="00D03E10" w:rsidRPr="00E12EA7" w14:paraId="175A151B" w14:textId="77777777" w:rsidTr="001A6DDD">
        <w:trPr>
          <w:trHeight w:val="610"/>
        </w:trPr>
        <w:tc>
          <w:tcPr>
            <w:tcW w:w="3828" w:type="dxa"/>
          </w:tcPr>
          <w:p w14:paraId="750C32F8" w14:textId="77777777" w:rsidR="00D03E10" w:rsidRPr="00E12EA7" w:rsidRDefault="00D03E10" w:rsidP="00E12EA7">
            <w:pPr>
              <w:rPr>
                <w:rFonts w:eastAsia="Arial"/>
              </w:rPr>
            </w:pPr>
            <w:r w:rsidRPr="00E12EA7">
              <w:rPr>
                <w:rFonts w:eastAsia="Arial"/>
              </w:rPr>
              <w:t>Financial</w:t>
            </w:r>
          </w:p>
        </w:tc>
        <w:tc>
          <w:tcPr>
            <w:tcW w:w="6095" w:type="dxa"/>
          </w:tcPr>
          <w:p w14:paraId="700C4DDA" w14:textId="77777777" w:rsidR="00D03E10" w:rsidRPr="00E12EA7" w:rsidRDefault="00D03E10" w:rsidP="00E12EA7">
            <w:pPr>
              <w:rPr>
                <w:rFonts w:eastAsia="Arial"/>
              </w:rPr>
            </w:pPr>
            <w:r w:rsidRPr="00E12EA7">
              <w:rPr>
                <w:rFonts w:eastAsia="Arial"/>
              </w:rPr>
              <w:t>Ineffective management of financial resources to ensure compliance, prevention of potential fraud and the delivery of Government priorities.</w:t>
            </w:r>
          </w:p>
        </w:tc>
      </w:tr>
      <w:tr w:rsidR="00D03E10" w:rsidRPr="00E12EA7" w14:paraId="2D44B9F7" w14:textId="77777777" w:rsidTr="001A6DDD">
        <w:trPr>
          <w:trHeight w:val="696"/>
        </w:trPr>
        <w:tc>
          <w:tcPr>
            <w:tcW w:w="3828" w:type="dxa"/>
          </w:tcPr>
          <w:p w14:paraId="75E87CFB" w14:textId="77777777" w:rsidR="00D03E10" w:rsidRPr="00E12EA7" w:rsidRDefault="00D03E10" w:rsidP="00E12EA7">
            <w:pPr>
              <w:rPr>
                <w:rFonts w:eastAsia="Arial"/>
              </w:rPr>
            </w:pPr>
            <w:r w:rsidRPr="00E12EA7">
              <w:rPr>
                <w:rFonts w:eastAsia="Arial"/>
              </w:rPr>
              <w:t>Information Technology, Data and Digital Services</w:t>
            </w:r>
          </w:p>
        </w:tc>
        <w:tc>
          <w:tcPr>
            <w:tcW w:w="6095" w:type="dxa"/>
          </w:tcPr>
          <w:p w14:paraId="730F90A8" w14:textId="7CCB3524" w:rsidR="00D03E10" w:rsidRPr="00E12EA7" w:rsidRDefault="00D03E10" w:rsidP="00E12EA7">
            <w:pPr>
              <w:rPr>
                <w:rFonts w:eastAsia="Arial"/>
              </w:rPr>
            </w:pPr>
            <w:r w:rsidRPr="00E12EA7">
              <w:rPr>
                <w:rFonts w:eastAsia="Arial"/>
              </w:rPr>
              <w:t xml:space="preserve">Failure to provide fit-for-purpose, information technology and digital services, including the protection of personal data and the safe and effective sharing of data for programs, </w:t>
            </w:r>
            <w:proofErr w:type="gramStart"/>
            <w:r w:rsidRPr="00E12EA7">
              <w:rPr>
                <w:rFonts w:eastAsia="Arial"/>
              </w:rPr>
              <w:t>projects</w:t>
            </w:r>
            <w:proofErr w:type="gramEnd"/>
            <w:r w:rsidRPr="00E12EA7">
              <w:rPr>
                <w:rFonts w:eastAsia="Arial"/>
              </w:rPr>
              <w:t xml:space="preserve"> and services.</w:t>
            </w:r>
          </w:p>
        </w:tc>
      </w:tr>
      <w:tr w:rsidR="00D03E10" w:rsidRPr="00E12EA7" w14:paraId="6A3D272B" w14:textId="77777777" w:rsidTr="001A6DDD">
        <w:trPr>
          <w:trHeight w:val="706"/>
        </w:trPr>
        <w:tc>
          <w:tcPr>
            <w:tcW w:w="3828" w:type="dxa"/>
          </w:tcPr>
          <w:p w14:paraId="409F077B" w14:textId="77777777" w:rsidR="00D03E10" w:rsidRPr="00E12EA7" w:rsidRDefault="00D03E10" w:rsidP="00E12EA7">
            <w:pPr>
              <w:rPr>
                <w:rFonts w:eastAsia="Arial"/>
              </w:rPr>
            </w:pPr>
            <w:r w:rsidRPr="00E12EA7">
              <w:rPr>
                <w:rFonts w:eastAsia="Arial"/>
              </w:rPr>
              <w:t>People</w:t>
            </w:r>
          </w:p>
        </w:tc>
        <w:tc>
          <w:tcPr>
            <w:tcW w:w="6095" w:type="dxa"/>
          </w:tcPr>
          <w:p w14:paraId="2FEECFDA" w14:textId="77777777" w:rsidR="00D03E10" w:rsidRPr="00E12EA7" w:rsidRDefault="00D03E10" w:rsidP="00E12EA7">
            <w:pPr>
              <w:rPr>
                <w:rFonts w:eastAsia="Arial"/>
              </w:rPr>
            </w:pPr>
            <w:r w:rsidRPr="00E12EA7">
              <w:rPr>
                <w:rFonts w:eastAsia="Arial"/>
              </w:rPr>
              <w:t xml:space="preserve">Inability to manage the capability and capacity of the department’s workforce, and inability to maintain the safety and wellbeing of our own people, </w:t>
            </w:r>
            <w:proofErr w:type="gramStart"/>
            <w:r w:rsidRPr="00E12EA7">
              <w:rPr>
                <w:rFonts w:eastAsia="Arial"/>
              </w:rPr>
              <w:t>in order to</w:t>
            </w:r>
            <w:proofErr w:type="gramEnd"/>
            <w:r w:rsidRPr="00E12EA7">
              <w:rPr>
                <w:rFonts w:eastAsia="Arial"/>
              </w:rPr>
              <w:t xml:space="preserve"> achieve Government priorities.</w:t>
            </w:r>
          </w:p>
        </w:tc>
      </w:tr>
      <w:tr w:rsidR="00D03E10" w:rsidRPr="00E12EA7" w14:paraId="1A894889" w14:textId="77777777" w:rsidTr="001A6DDD">
        <w:trPr>
          <w:trHeight w:val="468"/>
        </w:trPr>
        <w:tc>
          <w:tcPr>
            <w:tcW w:w="3828" w:type="dxa"/>
          </w:tcPr>
          <w:p w14:paraId="47149B40" w14:textId="77777777" w:rsidR="00D03E10" w:rsidRPr="00E12EA7" w:rsidRDefault="00D03E10" w:rsidP="00E12EA7">
            <w:pPr>
              <w:rPr>
                <w:rFonts w:eastAsia="Arial"/>
              </w:rPr>
            </w:pPr>
            <w:r w:rsidRPr="00E12EA7">
              <w:rPr>
                <w:rFonts w:eastAsia="Arial"/>
              </w:rPr>
              <w:t>Policy</w:t>
            </w:r>
          </w:p>
        </w:tc>
        <w:tc>
          <w:tcPr>
            <w:tcW w:w="6095" w:type="dxa"/>
          </w:tcPr>
          <w:p w14:paraId="7C94BF09" w14:textId="77777777" w:rsidR="00D03E10" w:rsidRPr="00E12EA7" w:rsidRDefault="00D03E10" w:rsidP="00E12EA7">
            <w:pPr>
              <w:rPr>
                <w:rFonts w:eastAsia="Arial"/>
              </w:rPr>
            </w:pPr>
            <w:r w:rsidRPr="00E12EA7">
              <w:rPr>
                <w:rFonts w:eastAsia="Arial"/>
              </w:rPr>
              <w:t>Failure to provide strategic and evidence-based policy advice in a timely manner to Government.</w:t>
            </w:r>
          </w:p>
        </w:tc>
      </w:tr>
      <w:tr w:rsidR="00D03E10" w:rsidRPr="00E12EA7" w14:paraId="6AAE0EB3" w14:textId="77777777" w:rsidTr="001A6DDD">
        <w:trPr>
          <w:trHeight w:val="695"/>
        </w:trPr>
        <w:tc>
          <w:tcPr>
            <w:tcW w:w="3828" w:type="dxa"/>
          </w:tcPr>
          <w:p w14:paraId="1FB06ABE" w14:textId="77777777" w:rsidR="00D03E10" w:rsidRPr="00E12EA7" w:rsidRDefault="00D03E10" w:rsidP="00E12EA7">
            <w:pPr>
              <w:rPr>
                <w:rFonts w:eastAsia="Arial"/>
              </w:rPr>
            </w:pPr>
            <w:r w:rsidRPr="00E12EA7">
              <w:rPr>
                <w:rFonts w:eastAsia="Arial"/>
              </w:rPr>
              <w:t>Reform</w:t>
            </w:r>
          </w:p>
        </w:tc>
        <w:tc>
          <w:tcPr>
            <w:tcW w:w="6095" w:type="dxa"/>
          </w:tcPr>
          <w:p w14:paraId="4DFBACA0" w14:textId="77777777" w:rsidR="00D03E10" w:rsidRPr="00E12EA7" w:rsidRDefault="00D03E10" w:rsidP="00E12EA7">
            <w:pPr>
              <w:rPr>
                <w:rFonts w:eastAsia="Arial"/>
              </w:rPr>
            </w:pPr>
            <w:r w:rsidRPr="00E12EA7">
              <w:rPr>
                <w:rFonts w:eastAsia="Arial"/>
              </w:rPr>
              <w:t xml:space="preserve">Failure to sufficiently anticipate and respond to emergencies and other challenges </w:t>
            </w:r>
            <w:proofErr w:type="gramStart"/>
            <w:r w:rsidRPr="00E12EA7">
              <w:rPr>
                <w:rFonts w:eastAsia="Arial"/>
              </w:rPr>
              <w:t>in order to</w:t>
            </w:r>
            <w:proofErr w:type="gramEnd"/>
            <w:r w:rsidRPr="00E12EA7">
              <w:rPr>
                <w:rFonts w:eastAsia="Arial"/>
              </w:rPr>
              <w:t xml:space="preserve"> deliver effective and efficient outcomes.</w:t>
            </w:r>
          </w:p>
        </w:tc>
      </w:tr>
      <w:tr w:rsidR="00D03E10" w:rsidRPr="00E12EA7" w14:paraId="3DBB8805" w14:textId="77777777" w:rsidTr="001A6DDD">
        <w:trPr>
          <w:trHeight w:val="729"/>
        </w:trPr>
        <w:tc>
          <w:tcPr>
            <w:tcW w:w="3828" w:type="dxa"/>
          </w:tcPr>
          <w:p w14:paraId="3276CE8E" w14:textId="77777777" w:rsidR="00D03E10" w:rsidRPr="00E12EA7" w:rsidRDefault="00D03E10" w:rsidP="00E12EA7">
            <w:pPr>
              <w:rPr>
                <w:rFonts w:eastAsia="Arial"/>
              </w:rPr>
            </w:pPr>
            <w:r w:rsidRPr="00E12EA7">
              <w:rPr>
                <w:rFonts w:eastAsia="Arial"/>
              </w:rPr>
              <w:t>Regulatory</w:t>
            </w:r>
          </w:p>
        </w:tc>
        <w:tc>
          <w:tcPr>
            <w:tcW w:w="6095" w:type="dxa"/>
          </w:tcPr>
          <w:p w14:paraId="12DEFC26" w14:textId="77777777" w:rsidR="00D03E10" w:rsidRPr="00E12EA7" w:rsidRDefault="00D03E10" w:rsidP="00E12EA7">
            <w:pPr>
              <w:rPr>
                <w:rFonts w:eastAsia="Arial"/>
              </w:rPr>
            </w:pPr>
            <w:r w:rsidRPr="00E12EA7">
              <w:rPr>
                <w:rFonts w:eastAsia="Arial"/>
              </w:rPr>
              <w:t>Failure to design and implement effective regulatory policies and practices to support good health outcomes.</w:t>
            </w:r>
          </w:p>
        </w:tc>
      </w:tr>
      <w:tr w:rsidR="00D03E10" w:rsidRPr="00E12EA7" w14:paraId="72698631" w14:textId="77777777" w:rsidTr="001A6DDD">
        <w:trPr>
          <w:trHeight w:val="600"/>
        </w:trPr>
        <w:tc>
          <w:tcPr>
            <w:tcW w:w="3828" w:type="dxa"/>
          </w:tcPr>
          <w:p w14:paraId="5E5E0B9F" w14:textId="77777777" w:rsidR="00D03E10" w:rsidRPr="00E12EA7" w:rsidRDefault="00D03E10" w:rsidP="00E12EA7">
            <w:pPr>
              <w:rPr>
                <w:rFonts w:eastAsia="Arial"/>
              </w:rPr>
            </w:pPr>
            <w:r w:rsidRPr="00E12EA7">
              <w:rPr>
                <w:rFonts w:eastAsia="Arial"/>
              </w:rPr>
              <w:lastRenderedPageBreak/>
              <w:t>Stakeholders</w:t>
            </w:r>
          </w:p>
        </w:tc>
        <w:tc>
          <w:tcPr>
            <w:tcW w:w="6095" w:type="dxa"/>
          </w:tcPr>
          <w:p w14:paraId="58F0AA80" w14:textId="77777777" w:rsidR="00D03E10" w:rsidRPr="00E12EA7" w:rsidRDefault="00D03E10" w:rsidP="00E12EA7">
            <w:pPr>
              <w:rPr>
                <w:rFonts w:eastAsia="Arial"/>
              </w:rPr>
            </w:pPr>
            <w:r w:rsidRPr="00E12EA7">
              <w:rPr>
                <w:rFonts w:eastAsia="Arial"/>
              </w:rPr>
              <w:t>Ineffective partnering and engagement with external and internal stakeholders to achieve good health outcomes.</w:t>
            </w:r>
          </w:p>
        </w:tc>
      </w:tr>
      <w:bookmarkEnd w:id="40"/>
    </w:tbl>
    <w:p w14:paraId="2C3AF245" w14:textId="01A50B32" w:rsidR="004D7B74" w:rsidRPr="00BB4FE7" w:rsidRDefault="004D7B74" w:rsidP="00BB4FE7">
      <w:pPr>
        <w:sectPr w:rsidR="004D7B74" w:rsidRPr="00BB4FE7" w:rsidSect="00E208F2">
          <w:footerReference w:type="default" r:id="rId12"/>
          <w:pgSz w:w="11910" w:h="16840"/>
          <w:pgMar w:top="720" w:right="720" w:bottom="720" w:left="720" w:header="709" w:footer="330" w:gutter="0"/>
          <w:pgNumType w:start="1"/>
          <w:cols w:space="720"/>
        </w:sectPr>
      </w:pPr>
    </w:p>
    <w:p w14:paraId="6C6CFECE" w14:textId="77777777" w:rsidR="004D7B74" w:rsidRPr="00E12EA7" w:rsidRDefault="004D7B74" w:rsidP="00E12EA7">
      <w:pPr>
        <w:pStyle w:val="Heading1"/>
      </w:pPr>
      <w:bookmarkStart w:id="41" w:name="_Toc175846476"/>
      <w:r w:rsidRPr="00E12EA7">
        <w:lastRenderedPageBreak/>
        <w:t xml:space="preserve">Our </w:t>
      </w:r>
      <w:bookmarkEnd w:id="25"/>
      <w:r w:rsidRPr="00E12EA7">
        <w:t>Capabilities</w:t>
      </w:r>
      <w:bookmarkEnd w:id="41"/>
      <w:r w:rsidRPr="00E12EA7">
        <w:t xml:space="preserve"> </w:t>
      </w:r>
    </w:p>
    <w:p w14:paraId="2C781874" w14:textId="6F7ECF60" w:rsidR="004D7B74" w:rsidRPr="00E12EA7" w:rsidRDefault="004D7B74" w:rsidP="00E12EA7">
      <w:pPr>
        <w:pStyle w:val="Heading2"/>
      </w:pPr>
      <w:bookmarkStart w:id="42" w:name="_Toc175846477"/>
      <w:r w:rsidRPr="00E12EA7">
        <w:t>Corporate Operations Group (Corporate) Strategy 2024–2</w:t>
      </w:r>
      <w:r w:rsidR="001D06D4" w:rsidRPr="00E12EA7">
        <w:t>02</w:t>
      </w:r>
      <w:r w:rsidRPr="00E12EA7">
        <w:t>7</w:t>
      </w:r>
      <w:bookmarkEnd w:id="42"/>
    </w:p>
    <w:p w14:paraId="41838A60" w14:textId="77777777" w:rsidR="000412B1" w:rsidRPr="00E12EA7" w:rsidRDefault="004D7B74" w:rsidP="001A6DDD">
      <w:r w:rsidRPr="00E12EA7">
        <w:t>In Corporate, we focus on and put our customers at the centre of everything we do to enable the Department of Health and Aged Care to thrive.</w:t>
      </w:r>
      <w:r w:rsidR="001C2A36" w:rsidRPr="00E12EA7">
        <w:t xml:space="preserve"> </w:t>
      </w:r>
    </w:p>
    <w:p w14:paraId="69C565F6" w14:textId="65F6A0CB" w:rsidR="004D7B74" w:rsidRPr="00E12EA7" w:rsidRDefault="004D7B74" w:rsidP="001A6DDD">
      <w:r w:rsidRPr="00E12EA7">
        <w:t xml:space="preserve">The Strategy, governed by the Corporate Operations Board, sets out an approach to enhance corporate service delivery and drive continuous improvement. It aims to: </w:t>
      </w:r>
    </w:p>
    <w:p w14:paraId="54E58C9F" w14:textId="77777777" w:rsidR="004D7B74" w:rsidRPr="00E12EA7" w:rsidRDefault="004D7B74" w:rsidP="00E12EA7">
      <w:pPr>
        <w:pStyle w:val="ListBullet"/>
      </w:pPr>
      <w:r w:rsidRPr="00E12EA7">
        <w:t xml:space="preserve">coordinate an approach to understand and prioritise our </w:t>
      </w:r>
      <w:proofErr w:type="gramStart"/>
      <w:r w:rsidRPr="00E12EA7">
        <w:t>customers</w:t>
      </w:r>
      <w:proofErr w:type="gramEnd"/>
      <w:r w:rsidRPr="00E12EA7">
        <w:t xml:space="preserve"> </w:t>
      </w:r>
    </w:p>
    <w:p w14:paraId="05508C14" w14:textId="77777777" w:rsidR="004D7B74" w:rsidRPr="00E12EA7" w:rsidRDefault="004D7B74" w:rsidP="001A6DDD">
      <w:pPr>
        <w:pStyle w:val="ListBullet"/>
      </w:pPr>
      <w:r w:rsidRPr="00E12EA7">
        <w:t xml:space="preserve">consistently deliver high quality corporate services to meet customer </w:t>
      </w:r>
      <w:proofErr w:type="gramStart"/>
      <w:r w:rsidRPr="00E12EA7">
        <w:t>needs</w:t>
      </w:r>
      <w:proofErr w:type="gramEnd"/>
      <w:r w:rsidRPr="00E12EA7">
        <w:t xml:space="preserve"> </w:t>
      </w:r>
    </w:p>
    <w:p w14:paraId="7E1A8659" w14:textId="77777777" w:rsidR="004D7B74" w:rsidRPr="00E12EA7" w:rsidRDefault="004D7B74" w:rsidP="00E12EA7">
      <w:pPr>
        <w:pStyle w:val="ListBullet"/>
      </w:pPr>
      <w:r w:rsidRPr="00E12EA7">
        <w:t xml:space="preserve">strengthen all aspects of project </w:t>
      </w:r>
      <w:proofErr w:type="gramStart"/>
      <w:r w:rsidRPr="00E12EA7">
        <w:t>delivery</w:t>
      </w:r>
      <w:proofErr w:type="gramEnd"/>
      <w:r w:rsidRPr="00E12EA7">
        <w:t xml:space="preserve"> </w:t>
      </w:r>
    </w:p>
    <w:p w14:paraId="5AA0EF2E" w14:textId="77777777" w:rsidR="004D7B74" w:rsidRPr="00E12EA7" w:rsidRDefault="004D7B74" w:rsidP="00E12EA7">
      <w:pPr>
        <w:pStyle w:val="ListBullet"/>
      </w:pPr>
      <w:r w:rsidRPr="00E12EA7">
        <w:t xml:space="preserve">enable improved policy development and program </w:t>
      </w:r>
      <w:proofErr w:type="gramStart"/>
      <w:r w:rsidRPr="00E12EA7">
        <w:t>management</w:t>
      </w:r>
      <w:proofErr w:type="gramEnd"/>
      <w:r w:rsidRPr="00E12EA7">
        <w:t xml:space="preserve"> </w:t>
      </w:r>
    </w:p>
    <w:p w14:paraId="60E93E71" w14:textId="77777777" w:rsidR="00467107" w:rsidRPr="00E12EA7" w:rsidRDefault="004D7B74" w:rsidP="00E12EA7">
      <w:pPr>
        <w:pStyle w:val="ListBullet"/>
      </w:pPr>
      <w:r w:rsidRPr="00E12EA7">
        <w:t xml:space="preserve">set our strategic direction and clarify accountability and obligations across </w:t>
      </w:r>
      <w:proofErr w:type="gramStart"/>
      <w:r w:rsidRPr="00E12EA7">
        <w:t>Corporate</w:t>
      </w:r>
      <w:proofErr w:type="gramEnd"/>
      <w:r w:rsidRPr="00E12EA7">
        <w:t xml:space="preserve"> </w:t>
      </w:r>
    </w:p>
    <w:p w14:paraId="6B049272" w14:textId="612844EE" w:rsidR="004D7B74" w:rsidRPr="00E12EA7" w:rsidRDefault="004D7B74" w:rsidP="00E12EA7">
      <w:pPr>
        <w:pStyle w:val="ListBullet"/>
      </w:pPr>
      <w:r w:rsidRPr="00E12EA7">
        <w:t xml:space="preserve">enhance our engagement </w:t>
      </w:r>
      <w:proofErr w:type="gramStart"/>
      <w:r w:rsidRPr="00E12EA7">
        <w:t>model</w:t>
      </w:r>
      <w:proofErr w:type="gramEnd"/>
      <w:r w:rsidRPr="00E12EA7">
        <w:t xml:space="preserve"> </w:t>
      </w:r>
    </w:p>
    <w:p w14:paraId="29731E58" w14:textId="77777777" w:rsidR="004D7B74" w:rsidRPr="00E12EA7" w:rsidRDefault="004D7B74" w:rsidP="00E12EA7">
      <w:pPr>
        <w:pStyle w:val="ListBullet"/>
      </w:pPr>
      <w:proofErr w:type="gramStart"/>
      <w:r w:rsidRPr="00E12EA7">
        <w:t>plan for the future</w:t>
      </w:r>
      <w:proofErr w:type="gramEnd"/>
      <w:r w:rsidRPr="00E12EA7">
        <w:t xml:space="preserve"> and build for sustainability.</w:t>
      </w:r>
    </w:p>
    <w:p w14:paraId="405FE46B" w14:textId="01EC5574" w:rsidR="004D7B74" w:rsidRPr="00E12EA7" w:rsidRDefault="004D7B74" w:rsidP="00E12EA7">
      <w:r w:rsidRPr="00E12EA7">
        <w:t>We listen to our customers to understand their priorities. Our customers’ priorities are our priorities. They help set our strategic direction.​ The major projects we invest in, detailed in our Corporate Transformation Plan 2024–2025 to 2026–2027, are themed​ around those priorities. Our investment will:</w:t>
      </w:r>
    </w:p>
    <w:p w14:paraId="39CABD87" w14:textId="0395384C" w:rsidR="004D7B74" w:rsidRPr="00E12EA7" w:rsidRDefault="00467107" w:rsidP="00E12EA7">
      <w:pPr>
        <w:pStyle w:val="ListBullet"/>
      </w:pPr>
      <w:r w:rsidRPr="00E12EA7">
        <w:t>b</w:t>
      </w:r>
      <w:r w:rsidR="004D7B74" w:rsidRPr="00E12EA7">
        <w:t xml:space="preserve">uild workforce and leadership </w:t>
      </w:r>
      <w:proofErr w:type="gramStart"/>
      <w:r w:rsidR="004D7B74" w:rsidRPr="00E12EA7">
        <w:t>capability​</w:t>
      </w:r>
      <w:proofErr w:type="gramEnd"/>
    </w:p>
    <w:p w14:paraId="31D5CA06" w14:textId="0E9D6DBD" w:rsidR="004D7B74" w:rsidRPr="00E12EA7" w:rsidRDefault="00467107" w:rsidP="00E12EA7">
      <w:pPr>
        <w:pStyle w:val="ListBullet"/>
      </w:pPr>
      <w:r w:rsidRPr="00E12EA7">
        <w:t>s</w:t>
      </w:r>
      <w:r w:rsidR="004D7B74" w:rsidRPr="00E12EA7">
        <w:t xml:space="preserve">harpen enterprise </w:t>
      </w:r>
      <w:proofErr w:type="gramStart"/>
      <w:r w:rsidR="004D7B74" w:rsidRPr="00E12EA7">
        <w:t>performance​</w:t>
      </w:r>
      <w:proofErr w:type="gramEnd"/>
    </w:p>
    <w:p w14:paraId="71B403D2" w14:textId="4887B2FE" w:rsidR="004D7B74" w:rsidRPr="00E12EA7" w:rsidRDefault="00467107" w:rsidP="00E12EA7">
      <w:pPr>
        <w:pStyle w:val="ListBullet"/>
      </w:pPr>
      <w:r w:rsidRPr="00E12EA7">
        <w:t>s</w:t>
      </w:r>
      <w:r w:rsidR="004D7B74" w:rsidRPr="00E12EA7">
        <w:t xml:space="preserve">trengthen our integrity </w:t>
      </w:r>
      <w:proofErr w:type="gramStart"/>
      <w:r w:rsidR="004D7B74" w:rsidRPr="00E12EA7">
        <w:t>culture​</w:t>
      </w:r>
      <w:proofErr w:type="gramEnd"/>
    </w:p>
    <w:p w14:paraId="22037F9C" w14:textId="18EA911E" w:rsidR="004D7B74" w:rsidRPr="00E12EA7" w:rsidRDefault="00467107" w:rsidP="00E12EA7">
      <w:pPr>
        <w:pStyle w:val="ListBullet"/>
      </w:pPr>
      <w:r w:rsidRPr="00E12EA7">
        <w:t>l</w:t>
      </w:r>
      <w:r w:rsidR="004D7B74" w:rsidRPr="00E12EA7">
        <w:t>everage digital opportunities.</w:t>
      </w:r>
    </w:p>
    <w:p w14:paraId="7B4341EF" w14:textId="77777777" w:rsidR="004D7B74" w:rsidRPr="00E12EA7" w:rsidRDefault="004D7B74" w:rsidP="00E12EA7">
      <w:r w:rsidRPr="00E12EA7">
        <w:t>The Corporate Strategy 2024–2027 supports the delivery of the department’s Corporate Plan and enables business areas to successfully deliver on their program objectives. We will continue to build and maintain our capability to support the Australian Government to lead and shape Australia’s health and aged care system.</w:t>
      </w:r>
    </w:p>
    <w:p w14:paraId="5E456BDA" w14:textId="29FCB825" w:rsidR="004D7B74" w:rsidRPr="00BB4FE7" w:rsidRDefault="004D7B74" w:rsidP="00E12EA7">
      <w:pPr>
        <w:pStyle w:val="Heading2"/>
      </w:pPr>
      <w:bookmarkStart w:id="43" w:name="_Toc175846478"/>
      <w:r w:rsidRPr="00BB4FE7">
        <w:t>Workforce Capability</w:t>
      </w:r>
      <w:bookmarkEnd w:id="43"/>
    </w:p>
    <w:p w14:paraId="2847781E" w14:textId="62E40552" w:rsidR="004D7B74" w:rsidRPr="00BB4FE7" w:rsidRDefault="004D7B74" w:rsidP="00BB4FE7">
      <w:r w:rsidRPr="00BB4FE7">
        <w:t>We are committed to growing and developing the capability of the department, including addressing recommendations from the Department of Health and Aged Care Capability Review (the Capability Review) released in July 2023, and implementing A</w:t>
      </w:r>
      <w:r w:rsidR="0060598E" w:rsidRPr="00BB4FE7">
        <w:t xml:space="preserve">ustralian </w:t>
      </w:r>
      <w:r w:rsidRPr="00BB4FE7">
        <w:t>P</w:t>
      </w:r>
      <w:r w:rsidR="0060598E" w:rsidRPr="00BB4FE7">
        <w:t xml:space="preserve">ublic </w:t>
      </w:r>
      <w:r w:rsidRPr="00BB4FE7">
        <w:t>S</w:t>
      </w:r>
      <w:r w:rsidR="0060598E" w:rsidRPr="00BB4FE7">
        <w:t>ervice (APS)</w:t>
      </w:r>
      <w:r w:rsidRPr="00BB4FE7">
        <w:t xml:space="preserve"> Reform agenda</w:t>
      </w:r>
      <w:r w:rsidRPr="00BB4FE7">
        <w:footnoteReference w:id="6"/>
      </w:r>
      <w:r w:rsidRPr="00BB4FE7">
        <w:t xml:space="preserve"> initiatives.</w:t>
      </w:r>
    </w:p>
    <w:p w14:paraId="58D7DC48" w14:textId="35D65DAC" w:rsidR="004D7B74" w:rsidRPr="00BB4FE7" w:rsidRDefault="004D7B74" w:rsidP="00BB4FE7">
      <w:r w:rsidRPr="00BB4FE7">
        <w:t xml:space="preserve">The department published its response to the Capability Review in October 2023. The response outlines three key themes. </w:t>
      </w:r>
    </w:p>
    <w:p w14:paraId="6C2A97A3" w14:textId="77777777" w:rsidR="004D7B74" w:rsidRPr="00BB4FE7" w:rsidRDefault="004D7B74" w:rsidP="00E12EA7">
      <w:pPr>
        <w:pStyle w:val="ListBullet"/>
      </w:pPr>
      <w:r w:rsidRPr="00BB4FE7">
        <w:t>Lifting our strategic policy capability</w:t>
      </w:r>
    </w:p>
    <w:p w14:paraId="39082E1E" w14:textId="77777777" w:rsidR="004D7B74" w:rsidRPr="00BB4FE7" w:rsidRDefault="004D7B74" w:rsidP="00E12EA7">
      <w:pPr>
        <w:pStyle w:val="ListBullet"/>
      </w:pPr>
      <w:r w:rsidRPr="00BB4FE7">
        <w:t>Deepening our engagement with the community and stakeholders, and</w:t>
      </w:r>
    </w:p>
    <w:p w14:paraId="09DE0FF1" w14:textId="7EC45953" w:rsidR="004D7B74" w:rsidRPr="00BB4FE7" w:rsidRDefault="004D7B74" w:rsidP="00E12EA7">
      <w:pPr>
        <w:pStyle w:val="ListBullet"/>
      </w:pPr>
      <w:r w:rsidRPr="00BB4FE7">
        <w:t>Unlocking our executive leader potential</w:t>
      </w:r>
      <w:r w:rsidR="000412B1" w:rsidRPr="00BB4FE7">
        <w:t>.</w:t>
      </w:r>
    </w:p>
    <w:p w14:paraId="27163844" w14:textId="77777777" w:rsidR="004D7B74" w:rsidRPr="00BB4FE7" w:rsidRDefault="004D7B74" w:rsidP="00BB4FE7">
      <w:r w:rsidRPr="00BB4FE7">
        <w:t>We have developed a Learning and Development Roadmap for 2024–25, the first of its kind for the department. The roadmap articulates the key learning and development actions for the financial year ahead, aligning to the capability needs identified in the department’s Workforce Strategy and Capability Review Response.</w:t>
      </w:r>
    </w:p>
    <w:p w14:paraId="1A794686" w14:textId="58B4F691" w:rsidR="004D7B74" w:rsidRPr="00BB4FE7" w:rsidRDefault="004D7B74" w:rsidP="00BB4FE7">
      <w:r w:rsidRPr="00BB4FE7">
        <w:t xml:space="preserve">We provide targeted and contemporary learning and development opportunities to all staff in all locations. We align to the APS Continuous Learning Model, ensuring staff are aware of and can access, relevant high-quality learning suitable to their needs, from bite-sized options through to intensive offerings. We maximise use of our enhanced IT capability and have improved staff access to learning platforms. We are improving our learning governance, and in 2024–25 will develop a learning governance framework to articulate the standards of learning across the department, as well as the </w:t>
      </w:r>
      <w:r w:rsidRPr="00BB4FE7">
        <w:lastRenderedPageBreak/>
        <w:t>shared responsibilities and expectations for learning services across the department and portfolio agencies.</w:t>
      </w:r>
    </w:p>
    <w:p w14:paraId="39933089" w14:textId="0441CB2A" w:rsidR="004D7B74" w:rsidRPr="00BB4FE7" w:rsidRDefault="004D7B74" w:rsidP="00BB4FE7">
      <w:r w:rsidRPr="00BB4FE7">
        <w:t xml:space="preserve">We are reviewing our entry level programs, developing tools and support to identify and measure capability, building workforce planning capability, </w:t>
      </w:r>
      <w:proofErr w:type="gramStart"/>
      <w:r w:rsidRPr="00BB4FE7">
        <w:t>updating</w:t>
      </w:r>
      <w:proofErr w:type="gramEnd"/>
      <w:r w:rsidRPr="00BB4FE7">
        <w:t xml:space="preserve"> and growing our learning and development offerings, and refining our approach to mobility. </w:t>
      </w:r>
      <w:r w:rsidR="000412B1" w:rsidRPr="00BB4FE7">
        <w:br/>
      </w:r>
      <w:r w:rsidRPr="00BB4FE7">
        <w:t xml:space="preserve">During 2024–25 we will further embed the departmental Employee Value Proposition we developed last year to assist in attracting and retaining people with the right skills and attributes. Through our Locations of Work Framework, we are expanding our footprint across Australia in a strategic way to ensure we can better represent the community we serve and attract and retain the skills and people we need. </w:t>
      </w:r>
    </w:p>
    <w:p w14:paraId="5EB9D7E7" w14:textId="5DEF805D" w:rsidR="004D7B74" w:rsidRPr="00BB4FE7" w:rsidRDefault="004D7B74" w:rsidP="00BB4FE7">
      <w:r w:rsidRPr="00BB4FE7">
        <w:t>The department is committed to ensuring APS employment is the default</w:t>
      </w:r>
      <w:r w:rsidR="00E73653" w:rsidRPr="00BB4FE7">
        <w:t xml:space="preserve">, </w:t>
      </w:r>
      <w:r w:rsidRPr="00BB4FE7">
        <w:t>and we maximise the benefit of external arrangements through implementing the principles of the APS Strategic Commissioning Framework.</w:t>
      </w:r>
      <w:r w:rsidR="000412B1" w:rsidRPr="00BB4FE7">
        <w:footnoteReference w:id="7"/>
      </w:r>
      <w:r w:rsidRPr="00BB4FE7">
        <w:t xml:space="preserve"> </w:t>
      </w:r>
    </w:p>
    <w:p w14:paraId="0F407814" w14:textId="3163F391" w:rsidR="00F20345" w:rsidRPr="00E12EA7" w:rsidRDefault="004D7B74" w:rsidP="00E12EA7">
      <w:pPr>
        <w:rPr>
          <w:rStyle w:val="Strong"/>
          <w:b w:val="0"/>
          <w:bCs w:val="0"/>
        </w:rPr>
      </w:pPr>
      <w:r w:rsidRPr="00BB4FE7">
        <w:t>In 2024</w:t>
      </w:r>
      <w:r w:rsidR="00806E96" w:rsidRPr="00BB4FE7">
        <w:t>–</w:t>
      </w:r>
      <w:r w:rsidRPr="00BB4FE7">
        <w:t xml:space="preserve">25, the </w:t>
      </w:r>
      <w:r w:rsidR="00207784" w:rsidRPr="00BB4FE7">
        <w:t>D</w:t>
      </w:r>
      <w:r w:rsidRPr="00BB4FE7">
        <w:t>epartment of Health and Aged Care will continue to reduce outsourcing of core work in line with the APS Strategic Commissioning Framework. Our targets for 2024</w:t>
      </w:r>
      <w:r w:rsidR="00806E96" w:rsidRPr="00BB4FE7">
        <w:t>–</w:t>
      </w:r>
      <w:r w:rsidRPr="00BB4FE7">
        <w:t xml:space="preserve">25 focus on reduced outsourcing in the job families of Accounting and Finance; Administration: Communications and Marketing; Compliance and Regulation; Policy; Portfolio, Program and Project Management; and Service Delivery. We anticipate a reduction of $8,948,250 in outsourcing expenditure. </w:t>
      </w:r>
    </w:p>
    <w:p w14:paraId="03F90B2E" w14:textId="60CC0DF6" w:rsidR="004D7B74" w:rsidRPr="00E12EA7" w:rsidRDefault="004D7B74" w:rsidP="00E12EA7">
      <w:pPr>
        <w:pStyle w:val="Heading2"/>
      </w:pPr>
      <w:bookmarkStart w:id="44" w:name="_Toc175846479"/>
      <w:r w:rsidRPr="00E12EA7">
        <w:t>Workforce Strategy</w:t>
      </w:r>
      <w:bookmarkEnd w:id="44"/>
    </w:p>
    <w:p w14:paraId="042E84AF" w14:textId="19B87487" w:rsidR="004D7B74" w:rsidRPr="00BB4FE7" w:rsidRDefault="004D7B74" w:rsidP="00BB4FE7">
      <w:r w:rsidRPr="00BB4FE7">
        <w:t>In recent years, rapid transformation has affected our workforce and how we manage it; increasing the risks we manage, changing our operating environment, and impacting our ability to attract and retain critical capabilities. Over this time, the A</w:t>
      </w:r>
      <w:r w:rsidR="001D56CC" w:rsidRPr="00BB4FE7">
        <w:t xml:space="preserve">ustralian </w:t>
      </w:r>
      <w:r w:rsidR="0064112A" w:rsidRPr="00BB4FE7">
        <w:t>P</w:t>
      </w:r>
      <w:r w:rsidR="001D56CC" w:rsidRPr="00BB4FE7">
        <w:t xml:space="preserve">ublic </w:t>
      </w:r>
      <w:r w:rsidR="0064112A" w:rsidRPr="00BB4FE7">
        <w:t>S</w:t>
      </w:r>
      <w:r w:rsidR="001D56CC" w:rsidRPr="00BB4FE7">
        <w:t>ervice (APS)</w:t>
      </w:r>
      <w:r w:rsidRPr="00BB4FE7">
        <w:t xml:space="preserve"> landscape has also evolved. Shifts in public sentiment and social issues continue to influence expectations, specifically where and how we need to deliver our work.</w:t>
      </w:r>
    </w:p>
    <w:p w14:paraId="07A4DE0E" w14:textId="6CFEB504" w:rsidR="004D7B74" w:rsidRPr="00BB4FE7" w:rsidRDefault="004D7B74" w:rsidP="00BB4FE7">
      <w:r w:rsidRPr="00BB4FE7">
        <w:t xml:space="preserve">There are over 7,000 APS employees people working at the </w:t>
      </w:r>
      <w:r w:rsidR="00207784" w:rsidRPr="00BB4FE7">
        <w:t>d</w:t>
      </w:r>
      <w:r w:rsidRPr="00BB4FE7">
        <w:t>epartment in locations around Australia. We undertake critical roles across 17 job families, including policy, portfolio, program and project management, science and health data</w:t>
      </w:r>
      <w:r w:rsidR="003B30F9" w:rsidRPr="00BB4FE7">
        <w:t>,</w:t>
      </w:r>
      <w:r w:rsidRPr="00BB4FE7">
        <w:t xml:space="preserve"> and research, and compliance and regulation.</w:t>
      </w:r>
    </w:p>
    <w:p w14:paraId="5AE78691" w14:textId="5A51355B" w:rsidR="004D7B74" w:rsidRPr="00BB4FE7" w:rsidRDefault="004D7B74" w:rsidP="00BB4FE7">
      <w:r w:rsidRPr="00BB4FE7">
        <w:t xml:space="preserve">Our Workforce Strategy (the Strategy) outlines how we will navigate changes in our environment and attract, retain, </w:t>
      </w:r>
      <w:proofErr w:type="gramStart"/>
      <w:r w:rsidRPr="00BB4FE7">
        <w:t>engage</w:t>
      </w:r>
      <w:proofErr w:type="gramEnd"/>
      <w:r w:rsidR="00E73653" w:rsidRPr="00BB4FE7">
        <w:t xml:space="preserve"> </w:t>
      </w:r>
      <w:r w:rsidRPr="00BB4FE7">
        <w:t xml:space="preserve">and develop a highly capable workforce. Annual implementation plans under the Strategy prioritise the actions we will take to understand, grow, </w:t>
      </w:r>
      <w:proofErr w:type="gramStart"/>
      <w:r w:rsidRPr="00BB4FE7">
        <w:t>support</w:t>
      </w:r>
      <w:proofErr w:type="gramEnd"/>
      <w:r w:rsidRPr="00BB4FE7">
        <w:t xml:space="preserve"> and mobilise the capability we need for a high-performing, diverse</w:t>
      </w:r>
      <w:r w:rsidR="00E73653" w:rsidRPr="00BB4FE7">
        <w:t xml:space="preserve"> </w:t>
      </w:r>
      <w:r w:rsidRPr="00BB4FE7">
        <w:t>and agile workforce.</w:t>
      </w:r>
    </w:p>
    <w:p w14:paraId="7F224D73" w14:textId="427284C8" w:rsidR="004D7B74" w:rsidRPr="00BB4FE7" w:rsidRDefault="004D7B74" w:rsidP="00BB4FE7">
      <w:r w:rsidRPr="00BB4FE7">
        <w:t xml:space="preserve">The Strategy has over </w:t>
      </w:r>
      <w:r w:rsidR="00627B09" w:rsidRPr="00BB4FE7">
        <w:t>4</w:t>
      </w:r>
      <w:r w:rsidRPr="00BB4FE7">
        <w:t xml:space="preserve"> strategic focus areas:</w:t>
      </w:r>
    </w:p>
    <w:p w14:paraId="620240BE" w14:textId="77777777" w:rsidR="004D7B74" w:rsidRPr="00BB4FE7" w:rsidRDefault="004D7B74" w:rsidP="001A6DDD">
      <w:pPr>
        <w:pStyle w:val="ListNumber3"/>
      </w:pPr>
      <w:r w:rsidRPr="00BB4FE7">
        <w:t>Compete for Talent</w:t>
      </w:r>
    </w:p>
    <w:p w14:paraId="0B7A9E8E" w14:textId="77777777" w:rsidR="004D7B74" w:rsidRPr="00BB4FE7" w:rsidRDefault="004D7B74" w:rsidP="001A6DDD">
      <w:pPr>
        <w:pStyle w:val="ListNumber3"/>
      </w:pPr>
      <w:r w:rsidRPr="00BB4FE7">
        <w:t xml:space="preserve">Grow our </w:t>
      </w:r>
      <w:proofErr w:type="gramStart"/>
      <w:r w:rsidRPr="00BB4FE7">
        <w:t>Own</w:t>
      </w:r>
      <w:proofErr w:type="gramEnd"/>
    </w:p>
    <w:p w14:paraId="7A2165C7" w14:textId="77777777" w:rsidR="004D7B74" w:rsidRPr="00BB4FE7" w:rsidRDefault="004D7B74" w:rsidP="001A6DDD">
      <w:pPr>
        <w:pStyle w:val="ListNumber3"/>
      </w:pPr>
      <w:r w:rsidRPr="00BB4FE7">
        <w:t>Support and Build Agility</w:t>
      </w:r>
    </w:p>
    <w:p w14:paraId="6E4A8C56" w14:textId="77777777" w:rsidR="004D7B74" w:rsidRPr="00BB4FE7" w:rsidRDefault="004D7B74" w:rsidP="001A6DDD">
      <w:pPr>
        <w:pStyle w:val="ListNumber3"/>
      </w:pPr>
      <w:r w:rsidRPr="00BB4FE7">
        <w:t>Leadership and Culture.</w:t>
      </w:r>
    </w:p>
    <w:p w14:paraId="3CF6A1A0" w14:textId="12B354B6" w:rsidR="004D7B74" w:rsidRPr="00BB4FE7" w:rsidRDefault="004D7B74" w:rsidP="00BB4FE7">
      <w:r w:rsidRPr="00BB4FE7">
        <w:t>The priorities and focus outlined in the Strategy and its annual implementation plans align with our Corporate Operations Group Strategy, the APS Workforce Strategy 2025</w:t>
      </w:r>
      <w:r w:rsidR="00BF67E7" w:rsidRPr="00BB4FE7">
        <w:t>,</w:t>
      </w:r>
      <w:r w:rsidRPr="00BB4FE7">
        <w:footnoteReference w:id="8"/>
      </w:r>
      <w:r w:rsidRPr="00BB4FE7">
        <w:t xml:space="preserve"> APS Reform initiatives, the APS Values, our Capability Review Response, and the cultural mindset outlined in our Behaviours in Action.</w:t>
      </w:r>
    </w:p>
    <w:p w14:paraId="5CA33DA2" w14:textId="71002F6B" w:rsidR="004D7B74" w:rsidRPr="00E12EA7" w:rsidRDefault="004D7B74" w:rsidP="00E12EA7">
      <w:pPr>
        <w:pStyle w:val="Heading2"/>
      </w:pPr>
      <w:bookmarkStart w:id="45" w:name="_Toc175846480"/>
      <w:r w:rsidRPr="00E12EA7">
        <w:t>Workplace Culture</w:t>
      </w:r>
      <w:bookmarkEnd w:id="45"/>
    </w:p>
    <w:p w14:paraId="05E7F45D" w14:textId="77777777" w:rsidR="001D06D4" w:rsidRPr="00BB4FE7" w:rsidRDefault="004D7B74" w:rsidP="00BB4FE7">
      <w:r w:rsidRPr="00BB4FE7">
        <w:t xml:space="preserve">The Capability Review identified the department has a strong sense of self, with clear values and professional and supportive culture and behaviours. Our positive culture encourages people to be </w:t>
      </w:r>
      <w:r w:rsidRPr="00BB4FE7">
        <w:lastRenderedPageBreak/>
        <w:t xml:space="preserve">innovative and provides an inclusive environment for different ways of thinking. Staff are highly engaged, and our workplace is supportive and promotes high integrity among its people. </w:t>
      </w:r>
    </w:p>
    <w:p w14:paraId="7D8046C4" w14:textId="77E67E69" w:rsidR="004D7B74" w:rsidRPr="00BB4FE7" w:rsidRDefault="00467107" w:rsidP="00BB4FE7">
      <w:r w:rsidRPr="00BB4FE7">
        <w:t xml:space="preserve">The </w:t>
      </w:r>
      <w:r w:rsidR="004D7B74" w:rsidRPr="00BB4FE7">
        <w:t xml:space="preserve">culture of the department is supportive and positive, </w:t>
      </w:r>
      <w:r w:rsidR="00E73653" w:rsidRPr="00BB4FE7">
        <w:t xml:space="preserve">demonstrated </w:t>
      </w:r>
      <w:r w:rsidR="004D7B74" w:rsidRPr="00BB4FE7">
        <w:t>by our employee surveys</w:t>
      </w:r>
      <w:r w:rsidR="000120A0" w:rsidRPr="00BB4FE7">
        <w:t xml:space="preserve"> including our</w:t>
      </w:r>
      <w:r w:rsidR="004D7B74" w:rsidRPr="00BB4FE7">
        <w:t xml:space="preserve"> recent Culture Survey (2024), </w:t>
      </w:r>
      <w:r w:rsidR="000120A0" w:rsidRPr="00BB4FE7">
        <w:t xml:space="preserve">where </w:t>
      </w:r>
      <w:r w:rsidR="004D7B74" w:rsidRPr="00BB4FE7">
        <w:t xml:space="preserve">86% of respondents indicated they would recommend the department as a good place to work. The department is committed to maintaining these strengths. </w:t>
      </w:r>
    </w:p>
    <w:p w14:paraId="3D27C204" w14:textId="1A14665C" w:rsidR="004D7B74" w:rsidRPr="00E12EA7" w:rsidRDefault="004D7B74" w:rsidP="00E12EA7">
      <w:pPr>
        <w:pStyle w:val="Heading1"/>
      </w:pPr>
      <w:bookmarkStart w:id="46" w:name="_Toc175846481"/>
      <w:r w:rsidRPr="00E12EA7">
        <w:t>Diversity and Inclusion</w:t>
      </w:r>
      <w:bookmarkEnd w:id="46"/>
    </w:p>
    <w:p w14:paraId="394AF430" w14:textId="044A078A" w:rsidR="004D7B74" w:rsidRPr="00BB4FE7" w:rsidRDefault="004D7B74" w:rsidP="00BB4FE7">
      <w:r w:rsidRPr="00BB4FE7">
        <w:t xml:space="preserve">We value the range of views and approaches diversity brings to our workplace. We are committed to being inclusive, culturally </w:t>
      </w:r>
      <w:proofErr w:type="gramStart"/>
      <w:r w:rsidRPr="00BB4FE7">
        <w:t>aware</w:t>
      </w:r>
      <w:proofErr w:type="gramEnd"/>
      <w:r w:rsidRPr="00BB4FE7">
        <w:t xml:space="preserve"> and responsive to the needs of individuals in our policies and practices. We actively pursue initiatives to broaden diversity and inclusion in our workplace, supporting a wide</w:t>
      </w:r>
      <w:r w:rsidR="004B69CF" w:rsidRPr="00BB4FE7">
        <w:t xml:space="preserve"> </w:t>
      </w:r>
      <w:r w:rsidRPr="00BB4FE7">
        <w:t>range of diversity dimensions including gender, age, disability, LGBTQIA+, neurodivergence, First Nations peoples, and cultural diversity.</w:t>
      </w:r>
    </w:p>
    <w:p w14:paraId="461C49B4" w14:textId="6118D501" w:rsidR="004D7B74" w:rsidRPr="00BB4FE7" w:rsidRDefault="004D7B74" w:rsidP="00BB4FE7">
      <w:r w:rsidRPr="00BB4FE7">
        <w:t>In addition to our commitments under the National Agreement on Closing the Gap, development of our Stretch Reconciliation Action Plan (RAP) 2025–2028 is underway. This RAP will focus on Indigenous recruitment and retention along with S</w:t>
      </w:r>
      <w:r w:rsidR="00447956" w:rsidRPr="00BB4FE7">
        <w:t xml:space="preserve">enior </w:t>
      </w:r>
      <w:r w:rsidRPr="00BB4FE7">
        <w:t>E</w:t>
      </w:r>
      <w:r w:rsidR="00447956" w:rsidRPr="00BB4FE7">
        <w:t xml:space="preserve">xecutive </w:t>
      </w:r>
      <w:r w:rsidRPr="00BB4FE7">
        <w:t>S</w:t>
      </w:r>
      <w:r w:rsidR="00447956" w:rsidRPr="00BB4FE7">
        <w:t>ervices (SES)</w:t>
      </w:r>
      <w:r w:rsidRPr="00BB4FE7">
        <w:t xml:space="preserve"> cultural competency, cultural capability uplift for all staff, self-determination, and </w:t>
      </w:r>
      <w:r w:rsidR="00E73653" w:rsidRPr="00BB4FE7">
        <w:t xml:space="preserve">the </w:t>
      </w:r>
      <w:r w:rsidRPr="00BB4FE7">
        <w:t xml:space="preserve">harnessing </w:t>
      </w:r>
      <w:r w:rsidR="00E73653" w:rsidRPr="00BB4FE7">
        <w:t xml:space="preserve">of </w:t>
      </w:r>
      <w:r w:rsidRPr="00BB4FE7">
        <w:t>the valuable perspectives and knowledge of our First Nations peoples including staff and stakeholders, under the 3 core pillars of ‘respect’, ‘relationships’</w:t>
      </w:r>
      <w:r w:rsidR="00E73653" w:rsidRPr="00BB4FE7">
        <w:t xml:space="preserve"> </w:t>
      </w:r>
      <w:r w:rsidRPr="00BB4FE7">
        <w:t>and ‘opportunities’.</w:t>
      </w:r>
    </w:p>
    <w:p w14:paraId="464448B8" w14:textId="4081B8F6" w:rsidR="004D7B74" w:rsidRPr="00E12EA7" w:rsidRDefault="004D7B74" w:rsidP="00E12EA7">
      <w:r w:rsidRPr="00BB4FE7">
        <w:t xml:space="preserve">We know self-determination is key to producing effective and sustainable improvements in First Nations health and wellbeing outcomes. We acknowledge that to deliver high-quality and culturally </w:t>
      </w:r>
      <w:r w:rsidRPr="00E12EA7">
        <w:t xml:space="preserve">appropriate services, </w:t>
      </w:r>
      <w:proofErr w:type="gramStart"/>
      <w:r w:rsidRPr="00E12EA7">
        <w:t>policies</w:t>
      </w:r>
      <w:proofErr w:type="gramEnd"/>
      <w:r w:rsidRPr="00E12EA7">
        <w:t xml:space="preserve"> and programs, we must demonstrate our understanding and respect of First Nations peoples, cultures, and histories.</w:t>
      </w:r>
    </w:p>
    <w:p w14:paraId="31036E34" w14:textId="2B45AC2D" w:rsidR="006F4927" w:rsidRPr="002A5A18" w:rsidRDefault="006F4927" w:rsidP="00E12EA7">
      <w:pPr>
        <w:rPr>
          <w:lang w:val="en-US" w:eastAsia="en-AU"/>
        </w:rPr>
      </w:pPr>
      <w:r w:rsidRPr="00E12EA7">
        <w:t>The department</w:t>
      </w:r>
      <w:r w:rsidRPr="002A5A18">
        <w:rPr>
          <w:lang w:val="en-US" w:eastAsia="en-AU"/>
        </w:rPr>
        <w:t xml:space="preserve"> established a Closing the Gap Steering Committee in 2022 to drive action across the department on the</w:t>
      </w:r>
      <w:r w:rsidRPr="002A5A18">
        <w:t xml:space="preserve"> </w:t>
      </w:r>
      <w:bookmarkStart w:id="47" w:name="_Hlk173844854"/>
      <w:r w:rsidRPr="002A5A18">
        <w:rPr>
          <w:rFonts w:asciiTheme="minorHAnsi" w:hAnsiTheme="minorHAnsi"/>
          <w:sz w:val="22"/>
        </w:rPr>
        <w:fldChar w:fldCharType="begin"/>
      </w:r>
      <w:r w:rsidRPr="002A5A18">
        <w:instrText>HYPERLINK "https://www.closingthegap.gov.au/national-agreement/priority-reforms"</w:instrText>
      </w:r>
      <w:r w:rsidRPr="002A5A18">
        <w:rPr>
          <w:rFonts w:asciiTheme="minorHAnsi" w:hAnsiTheme="minorHAnsi"/>
          <w:sz w:val="22"/>
        </w:rPr>
        <w:fldChar w:fldCharType="separate"/>
      </w:r>
      <w:r w:rsidRPr="002A5A18">
        <w:rPr>
          <w:rStyle w:val="Hyperlink"/>
          <w:rFonts w:cs="Arial"/>
          <w:szCs w:val="20"/>
        </w:rPr>
        <w:t>Closing the Gap Priority Reforms</w:t>
      </w:r>
      <w:r w:rsidRPr="002A5A18">
        <w:rPr>
          <w:rStyle w:val="Hyperlink"/>
          <w:rFonts w:cs="Arial"/>
          <w:szCs w:val="20"/>
        </w:rPr>
        <w:fldChar w:fldCharType="end"/>
      </w:r>
      <w:bookmarkEnd w:id="47"/>
      <w:r w:rsidRPr="002A5A18">
        <w:t>.</w:t>
      </w:r>
      <w:r w:rsidR="009D2A13" w:rsidRPr="002A5A18">
        <w:rPr>
          <w:rStyle w:val="FootnoteReference"/>
          <w:rFonts w:cs="Arial"/>
          <w:szCs w:val="20"/>
        </w:rPr>
        <w:footnoteReference w:id="9"/>
      </w:r>
      <w:r w:rsidRPr="002A5A18">
        <w:t xml:space="preserve"> </w:t>
      </w:r>
      <w:r w:rsidRPr="002A5A18">
        <w:rPr>
          <w:lang w:val="en-US" w:eastAsia="en-AU"/>
        </w:rPr>
        <w:t xml:space="preserve">The Steering Committee is guided by a Framework for Action </w:t>
      </w:r>
      <w:proofErr w:type="spellStart"/>
      <w:r w:rsidRPr="002A5A18">
        <w:rPr>
          <w:lang w:val="en-US" w:eastAsia="en-AU"/>
        </w:rPr>
        <w:t>centred</w:t>
      </w:r>
      <w:proofErr w:type="spellEnd"/>
      <w:r w:rsidRPr="002A5A18">
        <w:rPr>
          <w:lang w:val="en-US" w:eastAsia="en-AU"/>
        </w:rPr>
        <w:t xml:space="preserve"> around these Priority Reforms. Action progressed by the Steering Committee in 2023</w:t>
      </w:r>
      <w:r w:rsidR="009D2A13" w:rsidRPr="002A5A18">
        <w:rPr>
          <w:lang w:val="en-US" w:eastAsia="en-AU"/>
        </w:rPr>
        <w:t>–</w:t>
      </w:r>
      <w:r w:rsidRPr="002A5A18">
        <w:rPr>
          <w:lang w:val="en-US" w:eastAsia="en-AU"/>
        </w:rPr>
        <w:t xml:space="preserve">24 included convening an inaugural roundtable meeting with First Nations peak </w:t>
      </w:r>
      <w:proofErr w:type="spellStart"/>
      <w:r w:rsidRPr="002A5A18">
        <w:rPr>
          <w:lang w:val="en-US" w:eastAsia="en-AU"/>
        </w:rPr>
        <w:t>organisations</w:t>
      </w:r>
      <w:proofErr w:type="spellEnd"/>
      <w:r w:rsidRPr="002A5A18">
        <w:rPr>
          <w:lang w:val="en-US" w:eastAsia="en-AU"/>
        </w:rPr>
        <w:t xml:space="preserve">, </w:t>
      </w:r>
      <w:proofErr w:type="gramStart"/>
      <w:r w:rsidRPr="002A5A18">
        <w:rPr>
          <w:lang w:val="en-US" w:eastAsia="en-AU"/>
        </w:rPr>
        <w:t>establishing</w:t>
      </w:r>
      <w:proofErr w:type="gramEnd"/>
      <w:r w:rsidR="009D2A13" w:rsidRPr="002A5A18">
        <w:rPr>
          <w:lang w:val="en-US" w:eastAsia="en-AU"/>
        </w:rPr>
        <w:t xml:space="preserve"> and </w:t>
      </w:r>
      <w:r w:rsidRPr="002A5A18">
        <w:rPr>
          <w:lang w:val="en-US" w:eastAsia="en-AU"/>
        </w:rPr>
        <w:t xml:space="preserve">embedding the First Nations Funding Transition Project and developing New Policy Proposals in partnership with First Nations stakeholders. </w:t>
      </w:r>
    </w:p>
    <w:p w14:paraId="18EA7DF8" w14:textId="3A8A5CCA" w:rsidR="006F4927" w:rsidRPr="002A5A18" w:rsidRDefault="006F4927" w:rsidP="00E12EA7">
      <w:pPr>
        <w:rPr>
          <w:lang w:val="en-US" w:eastAsia="en-AU"/>
        </w:rPr>
      </w:pPr>
      <w:r w:rsidRPr="002A5A18">
        <w:rPr>
          <w:lang w:val="en-US" w:eastAsia="en-AU"/>
        </w:rPr>
        <w:t>In 2024</w:t>
      </w:r>
      <w:r w:rsidR="009D2A13" w:rsidRPr="002A5A18">
        <w:rPr>
          <w:lang w:val="en-US" w:eastAsia="en-AU"/>
        </w:rPr>
        <w:t>–</w:t>
      </w:r>
      <w:r w:rsidRPr="002A5A18">
        <w:rPr>
          <w:lang w:val="en-US" w:eastAsia="en-AU"/>
        </w:rPr>
        <w:t xml:space="preserve">25, the Steering Committee will: </w:t>
      </w:r>
    </w:p>
    <w:p w14:paraId="76EF52DB" w14:textId="18EE78C3" w:rsidR="006F4927" w:rsidRPr="00E12EA7" w:rsidRDefault="006F4927" w:rsidP="00E12EA7">
      <w:pPr>
        <w:pStyle w:val="ListBullet"/>
      </w:pPr>
      <w:r w:rsidRPr="00E12EA7">
        <w:t>implement the First Nations Partnerships and Engagement Framework</w:t>
      </w:r>
    </w:p>
    <w:p w14:paraId="564A8B80" w14:textId="466B2EC8" w:rsidR="006F4927" w:rsidRPr="00E12EA7" w:rsidRDefault="006F4927" w:rsidP="00E12EA7">
      <w:pPr>
        <w:pStyle w:val="ListBullet"/>
      </w:pPr>
      <w:r w:rsidRPr="00E12EA7">
        <w:t xml:space="preserve">continue to progress the </w:t>
      </w:r>
      <w:hyperlink r:id="rId13" w:history="1">
        <w:r w:rsidRPr="00E12EA7">
          <w:rPr>
            <w:rStyle w:val="Hyperlink"/>
          </w:rPr>
          <w:t>First Nations Funding Transition Project</w:t>
        </w:r>
      </w:hyperlink>
      <w:r w:rsidR="000120A0" w:rsidRPr="00E12EA7">
        <w:t xml:space="preserve"> </w:t>
      </w:r>
      <w:r w:rsidR="009D2A13" w:rsidRPr="00E12EA7">
        <w:footnoteReference w:id="10"/>
      </w:r>
      <w:r w:rsidRPr="00E12EA7">
        <w:t xml:space="preserve">  </w:t>
      </w:r>
    </w:p>
    <w:p w14:paraId="04D695BB" w14:textId="77777777" w:rsidR="006F4927" w:rsidRPr="00E12EA7" w:rsidRDefault="006F4927" w:rsidP="00E12EA7">
      <w:pPr>
        <w:pStyle w:val="ListBullet"/>
      </w:pPr>
      <w:r w:rsidRPr="00E12EA7">
        <w:t>contribute to First Nations-specific reforms for the National Health Reform Agreement; and,</w:t>
      </w:r>
    </w:p>
    <w:p w14:paraId="373ACD73" w14:textId="77777777" w:rsidR="006F4927" w:rsidRPr="00E12EA7" w:rsidRDefault="006F4927" w:rsidP="00E12EA7">
      <w:pPr>
        <w:pStyle w:val="ListBullet"/>
      </w:pPr>
      <w:r w:rsidRPr="00E12EA7">
        <w:t xml:space="preserve">establish the First Nations-led Governance of Indigenous Data Working Group. </w:t>
      </w:r>
    </w:p>
    <w:p w14:paraId="2F114AC8" w14:textId="55C63054" w:rsidR="006F4927" w:rsidRPr="001A6DDD" w:rsidRDefault="006F4927" w:rsidP="001A6DDD">
      <w:r w:rsidRPr="002A5A18">
        <w:rPr>
          <w:rFonts w:eastAsia="HelveticaNeueLTStd-Lt" w:cs="Arial"/>
          <w:color w:val="231F20"/>
          <w:szCs w:val="20"/>
          <w:lang w:val="en-US" w:eastAsia="en-AU"/>
        </w:rPr>
        <w:t xml:space="preserve">In addition, the Steering Committee will support implementation of the department’s </w:t>
      </w:r>
      <w:r w:rsidR="00A305FE" w:rsidRPr="002A5A18">
        <w:rPr>
          <w:rFonts w:eastAsia="HelveticaNeueLTStd-Lt" w:cs="Arial"/>
          <w:color w:val="231F20"/>
          <w:szCs w:val="20"/>
          <w:lang w:val="en-US" w:eastAsia="en-AU"/>
        </w:rPr>
        <w:t>S</w:t>
      </w:r>
      <w:r w:rsidRPr="002A5A18">
        <w:rPr>
          <w:rFonts w:eastAsia="HelveticaNeueLTStd-Lt" w:cs="Arial"/>
          <w:color w:val="231F20"/>
          <w:szCs w:val="20"/>
          <w:lang w:val="en-US" w:eastAsia="en-AU"/>
        </w:rPr>
        <w:t xml:space="preserve">tretch Reconciliation Action Plan (RAP) key priorities: Recruitment and Retention, Cultural Capability </w:t>
      </w:r>
      <w:r w:rsidR="00946579">
        <w:rPr>
          <w:rFonts w:eastAsia="HelveticaNeueLTStd-Lt" w:cs="Arial"/>
          <w:color w:val="231F20"/>
          <w:szCs w:val="20"/>
          <w:lang w:val="en-US" w:eastAsia="en-AU"/>
        </w:rPr>
        <w:t>and</w:t>
      </w:r>
      <w:r w:rsidRPr="002A5A18">
        <w:rPr>
          <w:rFonts w:eastAsia="HelveticaNeueLTStd-Lt" w:cs="Arial"/>
          <w:color w:val="231F20"/>
          <w:szCs w:val="20"/>
          <w:lang w:val="en-US" w:eastAsia="en-AU"/>
        </w:rPr>
        <w:t xml:space="preserve"> </w:t>
      </w:r>
      <w:r w:rsidR="009D2A13" w:rsidRPr="002A5A18">
        <w:rPr>
          <w:rFonts w:eastAsia="HelveticaNeueLTStd-Lt" w:cs="Arial"/>
          <w:color w:val="231F20"/>
          <w:szCs w:val="20"/>
          <w:lang w:val="en-US" w:eastAsia="en-AU"/>
        </w:rPr>
        <w:t>SES</w:t>
      </w:r>
      <w:r w:rsidRPr="002A5A18">
        <w:rPr>
          <w:rFonts w:eastAsia="HelveticaNeueLTStd-Lt" w:cs="Arial"/>
          <w:color w:val="231F20"/>
          <w:szCs w:val="20"/>
          <w:lang w:val="en-US" w:eastAsia="en-AU"/>
        </w:rPr>
        <w:t xml:space="preserve"> Leadership, Procurement, Partnership and Engagement</w:t>
      </w:r>
      <w:r w:rsidR="009D2A13" w:rsidRPr="002A5A18">
        <w:rPr>
          <w:rFonts w:eastAsia="HelveticaNeueLTStd-Lt" w:cs="Arial"/>
          <w:color w:val="231F20"/>
          <w:szCs w:val="20"/>
          <w:lang w:val="en-US" w:eastAsia="en-AU"/>
        </w:rPr>
        <w:t xml:space="preserve"> </w:t>
      </w:r>
      <w:r w:rsidRPr="002A5A18">
        <w:rPr>
          <w:rFonts w:eastAsia="HelveticaNeueLTStd-Lt" w:cs="Arial"/>
          <w:color w:val="231F20"/>
          <w:szCs w:val="20"/>
          <w:lang w:val="en-US" w:eastAsia="en-AU"/>
        </w:rPr>
        <w:t xml:space="preserve">and Cultural Safety. </w:t>
      </w:r>
    </w:p>
    <w:p w14:paraId="44A69BE0" w14:textId="061824C4" w:rsidR="004D7B74" w:rsidRPr="00E12EA7" w:rsidRDefault="004D7B74" w:rsidP="00E12EA7">
      <w:pPr>
        <w:pStyle w:val="Heading2"/>
      </w:pPr>
      <w:bookmarkStart w:id="48" w:name="_Toc175846482"/>
      <w:r w:rsidRPr="00E12EA7">
        <w:t>New Ways of Working</w:t>
      </w:r>
      <w:bookmarkEnd w:id="48"/>
    </w:p>
    <w:p w14:paraId="46B6C2D5" w14:textId="77777777" w:rsidR="004D7B74" w:rsidRPr="00BB4FE7" w:rsidRDefault="004D7B74" w:rsidP="00BB4FE7">
      <w:r w:rsidRPr="00BB4FE7">
        <w:t xml:space="preserve">Our people have told us they do their best work when they’re supported by a modern, flexible work environment and workplace culture that enables different working styles to thrive. </w:t>
      </w:r>
    </w:p>
    <w:p w14:paraId="6C5D32C7" w14:textId="2E3BD63F" w:rsidR="004D7B74" w:rsidRPr="00BB4FE7" w:rsidRDefault="004D7B74" w:rsidP="00BB4FE7">
      <w:r w:rsidRPr="00BB4FE7">
        <w:t xml:space="preserve">The New Ways of Working (NWOW) program continues to transform our workplace by delivering better designed, </w:t>
      </w:r>
      <w:proofErr w:type="gramStart"/>
      <w:r w:rsidRPr="00BB4FE7">
        <w:t>inclusive</w:t>
      </w:r>
      <w:proofErr w:type="gramEnd"/>
      <w:r w:rsidR="00097081" w:rsidRPr="00BB4FE7">
        <w:t xml:space="preserve"> </w:t>
      </w:r>
      <w:r w:rsidRPr="00BB4FE7">
        <w:t>and accessible workspaces with improved technology. NWOW provides a flexible work environment that supports improved collaboration, performance</w:t>
      </w:r>
      <w:r w:rsidR="00E73653" w:rsidRPr="00BB4FE7">
        <w:t xml:space="preserve"> and</w:t>
      </w:r>
      <w:r w:rsidRPr="00BB4FE7">
        <w:t xml:space="preserve"> hybrid working, and is focused on enabling our people to do their best work</w:t>
      </w:r>
      <w:r w:rsidR="00C60A29" w:rsidRPr="00BB4FE7">
        <w:t xml:space="preserve"> </w:t>
      </w:r>
      <w:r w:rsidRPr="00BB4FE7">
        <w:t xml:space="preserve">regardless of their location. </w:t>
      </w:r>
    </w:p>
    <w:p w14:paraId="4E71EE7C" w14:textId="202977E1" w:rsidR="004D7B74" w:rsidRPr="00BB4FE7" w:rsidRDefault="004D7B74" w:rsidP="00BB4FE7">
      <w:r w:rsidRPr="00BB4FE7">
        <w:lastRenderedPageBreak/>
        <w:t xml:space="preserve">The recent Culture </w:t>
      </w:r>
      <w:r w:rsidR="00CD77DA" w:rsidRPr="00BB4FE7">
        <w:t>S</w:t>
      </w:r>
      <w:r w:rsidRPr="00BB4FE7">
        <w:t xml:space="preserve">urvey results reinforce the benefits being delivered by the program, with over </w:t>
      </w:r>
      <w:r w:rsidR="00A93553" w:rsidRPr="00BB4FE7">
        <w:t>ninety</w:t>
      </w:r>
      <w:r w:rsidRPr="00BB4FE7">
        <w:t xml:space="preserve"> percent of those who responded feeling confident to work as part of a hybrid or geographically dispersed team. </w:t>
      </w:r>
    </w:p>
    <w:p w14:paraId="03D6DDFF" w14:textId="5A7CAC82" w:rsidR="004D7B74" w:rsidRPr="00BB4FE7" w:rsidRDefault="004D7B74" w:rsidP="00BB4FE7">
      <w:r w:rsidRPr="00BB4FE7">
        <w:t xml:space="preserve">By supporting hybrid working and geographically dispersed teams, the program ensures the department can focus on retaining the best people and attracting talent from across Australia. Complementing the delivery of a modernised physical work environment, NWOW is also embedding a cultural change across the department that has seen a significant shift in work practices, ensuring the full benefits of the program are realised and sustained well into the future. </w:t>
      </w:r>
    </w:p>
    <w:p w14:paraId="650F3608" w14:textId="2D704C3B" w:rsidR="004D7B74" w:rsidRPr="00BB4FE7" w:rsidRDefault="004D7B74" w:rsidP="00E12EA7">
      <w:pPr>
        <w:pStyle w:val="Heading2"/>
      </w:pPr>
      <w:bookmarkStart w:id="49" w:name="_Toc175846483"/>
      <w:r w:rsidRPr="00BB4FE7">
        <w:t>Climate Action in Government Operations</w:t>
      </w:r>
      <w:bookmarkEnd w:id="49"/>
    </w:p>
    <w:p w14:paraId="1398CC2B" w14:textId="2F38F470" w:rsidR="004D7B74" w:rsidRPr="00BB4FE7" w:rsidRDefault="004D7B74" w:rsidP="00BB4FE7">
      <w:r w:rsidRPr="00BB4FE7">
        <w:t>We continue to support the Government’s enhanced commitment to improving the energy efficiency of government operations and decreasing greenhouse gas emissions to reduce our environmental impact. Closely aligned to the APS Net Zero 2030 policy,</w:t>
      </w:r>
      <w:r w:rsidR="00200667" w:rsidRPr="00BB4FE7">
        <w:footnoteReference w:id="11"/>
      </w:r>
      <w:r w:rsidRPr="00BB4FE7">
        <w:t xml:space="preserve"> our activities focus on recycling, reducing energy use, waste minimisation and reducing consumption of office goods.</w:t>
      </w:r>
    </w:p>
    <w:p w14:paraId="67DD3961" w14:textId="0BBBCB80" w:rsidR="004D7B74" w:rsidRPr="00BB4FE7" w:rsidRDefault="002B071B" w:rsidP="00BB4FE7">
      <w:r w:rsidRPr="00BB4FE7">
        <w:t>I</w:t>
      </w:r>
      <w:r w:rsidR="004D7B74" w:rsidRPr="00BB4FE7">
        <w:t>n 2018</w:t>
      </w:r>
      <w:r w:rsidRPr="00BB4FE7">
        <w:t xml:space="preserve"> the Sirius Building</w:t>
      </w:r>
      <w:r w:rsidR="00A24F2D" w:rsidRPr="00BB4FE7">
        <w:footnoteReference w:id="12"/>
      </w:r>
      <w:r w:rsidR="004D7B74" w:rsidRPr="00BB4FE7">
        <w:t xml:space="preserve"> was announced as the first building in Australia to achieve a 6-star National Australian Built Environment Rating System energy rating, water rating, and Green Star performance rating. This exceeds the current requirements of the Energy Efficiency in Government Operations (EEGO) Policy and Green Lease Schedules which requires a minimum </w:t>
      </w:r>
      <w:proofErr w:type="gramStart"/>
      <w:r w:rsidR="004D7B74" w:rsidRPr="00BB4FE7">
        <w:t>4.5</w:t>
      </w:r>
      <w:r w:rsidR="00572B9D" w:rsidRPr="00BB4FE7">
        <w:t xml:space="preserve"> </w:t>
      </w:r>
      <w:r w:rsidR="004D7B74" w:rsidRPr="00BB4FE7">
        <w:t>star</w:t>
      </w:r>
      <w:proofErr w:type="gramEnd"/>
      <w:r w:rsidR="004D7B74" w:rsidRPr="00BB4FE7">
        <w:t xml:space="preserve"> rating for tenancies greater than 2000m</w:t>
      </w:r>
      <w:r w:rsidR="0089180A" w:rsidRPr="00BB4FE7">
        <w:t>2</w:t>
      </w:r>
      <w:r w:rsidR="004D7B74" w:rsidRPr="00BB4FE7">
        <w:t>. The milestone was achieved without the use of green power or externally sourced recycled water.</w:t>
      </w:r>
    </w:p>
    <w:p w14:paraId="6BEE83C3" w14:textId="09FE1D55" w:rsidR="004D7B74" w:rsidRPr="00BB4FE7" w:rsidRDefault="00EA5B8E" w:rsidP="00BB4FE7">
      <w:r w:rsidRPr="00BB4FE7">
        <w:t xml:space="preserve">By 2025, we aim to have 75% of the Commonwealth's fleet passenger vehicles as low-emissions vehicles, with a preference of zero-emissions vehicles. This aligns with the Australian Governments vehicle fleet targets. </w:t>
      </w:r>
      <w:r w:rsidR="004D7B74" w:rsidRPr="00BB4FE7">
        <w:t>We have aligned our transport leasing policies to this objective and are well placed to meet this target.</w:t>
      </w:r>
      <w:r w:rsidR="00D442BD" w:rsidRPr="00BB4FE7">
        <w:t xml:space="preserve"> With support from the department’s Chief Sustainability Officer and established governance arrangements, the department is working to assess organisation-wide climate risks and opportunities in line with the Climate Risk Management Organisation Application Guide.</w:t>
      </w:r>
      <w:r w:rsidR="00D442BD" w:rsidRPr="00BB4FE7">
        <w:footnoteReference w:id="13"/>
      </w:r>
    </w:p>
    <w:p w14:paraId="4499BCD7" w14:textId="5F354599" w:rsidR="009D63B8" w:rsidRPr="00BB4FE7" w:rsidRDefault="009D63B8" w:rsidP="00BB4FE7">
      <w:r w:rsidRPr="00BB4FE7">
        <w:t>In line with the Australian Government’s approach to climate risk and opportunity management in the public sector,</w:t>
      </w:r>
      <w:r w:rsidRPr="00BB4FE7">
        <w:footnoteReference w:id="14"/>
      </w:r>
      <w:r w:rsidRPr="00BB4FE7">
        <w:t xml:space="preserve"> we will be working to identify, assess, </w:t>
      </w:r>
      <w:proofErr w:type="gramStart"/>
      <w:r w:rsidRPr="00BB4FE7">
        <w:t>manage</w:t>
      </w:r>
      <w:proofErr w:type="gramEnd"/>
      <w:r w:rsidRPr="00BB4FE7">
        <w:t xml:space="preserve"> and disclose climate-related risks and opportunities across our operations</w:t>
      </w:r>
      <w:r w:rsidR="00C03A5D" w:rsidRPr="00BB4FE7">
        <w:t>. This</w:t>
      </w:r>
      <w:r w:rsidRPr="00BB4FE7">
        <w:t xml:space="preserve"> includ</w:t>
      </w:r>
      <w:r w:rsidR="00C03A5D" w:rsidRPr="00BB4FE7">
        <w:t>es</w:t>
      </w:r>
      <w:r w:rsidRPr="00BB4FE7">
        <w:t xml:space="preserve"> the policies, programs, assets, and services we provide. The National Health and Climate Strategy,</w:t>
      </w:r>
      <w:r w:rsidRPr="00BB4FE7">
        <w:footnoteReference w:id="15"/>
      </w:r>
      <w:r w:rsidRPr="00BB4FE7">
        <w:t xml:space="preserve"> released in December 2023 will provide a guiding framework for our action to address the impacts of climate change on health and health systems and to reduce emissions from Australia’s health system.  </w:t>
      </w:r>
    </w:p>
    <w:p w14:paraId="3841C434" w14:textId="13D70EB7" w:rsidR="004D7B74" w:rsidRPr="00BB4FE7" w:rsidRDefault="004D7B74" w:rsidP="00E12EA7">
      <w:pPr>
        <w:pStyle w:val="Heading2"/>
      </w:pPr>
      <w:bookmarkStart w:id="50" w:name="_Toc175846484"/>
      <w:r w:rsidRPr="00BB4FE7">
        <w:t>Information Communications and Technology Capability</w:t>
      </w:r>
      <w:bookmarkEnd w:id="50"/>
      <w:r w:rsidRPr="00BB4FE7">
        <w:t xml:space="preserve"> </w:t>
      </w:r>
    </w:p>
    <w:p w14:paraId="4E10DC2D" w14:textId="37063212" w:rsidR="004D7B74" w:rsidRPr="001B6666" w:rsidRDefault="004D7B74" w:rsidP="004D7B74">
      <w:pPr>
        <w:rPr>
          <w:rFonts w:cs="Arial"/>
        </w:rPr>
      </w:pPr>
      <w:r w:rsidRPr="001B6666">
        <w:rPr>
          <w:rFonts w:cs="Arial"/>
        </w:rPr>
        <w:t xml:space="preserve">Under the sponsorship of the Digital, Data and Implementation Board, the Department of </w:t>
      </w:r>
      <w:proofErr w:type="gramStart"/>
      <w:r w:rsidRPr="001B6666">
        <w:rPr>
          <w:rFonts w:cs="Arial"/>
        </w:rPr>
        <w:t>Health</w:t>
      </w:r>
      <w:proofErr w:type="gramEnd"/>
      <w:r w:rsidRPr="001B6666">
        <w:rPr>
          <w:rFonts w:cs="Arial"/>
        </w:rPr>
        <w:t xml:space="preserve"> and Aged Care ICT Strategy 2023–2026 (ICT Strategy) commenced implementation in 2023–24. The ICT Strategy aligns our broad ICT work program to the department’s program delivery framework encompassing the health and aged care sectors, wider health portfolio, and whole of government contexts. It ensures the department is leveraging existing technologies, </w:t>
      </w:r>
      <w:proofErr w:type="gramStart"/>
      <w:r w:rsidRPr="001B6666">
        <w:rPr>
          <w:rFonts w:cs="Arial"/>
        </w:rPr>
        <w:t>patterns</w:t>
      </w:r>
      <w:proofErr w:type="gramEnd"/>
      <w:r w:rsidRPr="001B6666">
        <w:rPr>
          <w:rFonts w:cs="Arial"/>
        </w:rPr>
        <w:t xml:space="preserve"> and capabilities to effectively deliver new and emerging priorities of government, while ensuring alignment to the digital transformation priorities and supporting a flexible digitally enabled working arrangement for our staff.</w:t>
      </w:r>
    </w:p>
    <w:p w14:paraId="77DB89A7" w14:textId="09A6123B" w:rsidR="004D7B74" w:rsidRPr="001B6666" w:rsidRDefault="004D7B74" w:rsidP="001A6DDD">
      <w:pPr>
        <w:keepNext/>
        <w:keepLines/>
        <w:rPr>
          <w:rFonts w:cs="Arial"/>
        </w:rPr>
      </w:pPr>
      <w:r w:rsidRPr="001B6666">
        <w:rPr>
          <w:rFonts w:cs="Arial"/>
        </w:rPr>
        <w:lastRenderedPageBreak/>
        <w:t xml:space="preserve">Implementation of the ICT Strategy in 2023–24 </w:t>
      </w:r>
      <w:r w:rsidR="00E73653" w:rsidRPr="001B6666">
        <w:rPr>
          <w:rFonts w:cs="Arial"/>
        </w:rPr>
        <w:t xml:space="preserve">laid </w:t>
      </w:r>
      <w:r w:rsidRPr="001B6666">
        <w:rPr>
          <w:rFonts w:cs="Arial"/>
        </w:rPr>
        <w:t xml:space="preserve">the foundations for: </w:t>
      </w:r>
    </w:p>
    <w:p w14:paraId="3C3CCDAB" w14:textId="67A6774F" w:rsidR="004D7B74" w:rsidRPr="00E12EA7" w:rsidRDefault="00946579" w:rsidP="001A6DDD">
      <w:pPr>
        <w:pStyle w:val="ListBullet"/>
        <w:keepNext/>
      </w:pPr>
      <w:r w:rsidRPr="00E12EA7">
        <w:t>a</w:t>
      </w:r>
      <w:r w:rsidR="004D7B74" w:rsidRPr="00E12EA7">
        <w:t xml:space="preserve"> more efficient, collaborative, and secure digital environment</w:t>
      </w:r>
    </w:p>
    <w:p w14:paraId="03AAF8A9" w14:textId="31263802" w:rsidR="004D7B74" w:rsidRPr="00E12EA7" w:rsidRDefault="00946579" w:rsidP="00E12EA7">
      <w:pPr>
        <w:pStyle w:val="ListBullet"/>
      </w:pPr>
      <w:r w:rsidRPr="00E12EA7">
        <w:t>m</w:t>
      </w:r>
      <w:r w:rsidR="004D7B74" w:rsidRPr="00E12EA7">
        <w:t xml:space="preserve">odern, agile, and user-centric platforms to support health and aged care </w:t>
      </w:r>
      <w:proofErr w:type="gramStart"/>
      <w:r w:rsidR="004D7B74" w:rsidRPr="00E12EA7">
        <w:t>services</w:t>
      </w:r>
      <w:proofErr w:type="gramEnd"/>
    </w:p>
    <w:p w14:paraId="51120F36" w14:textId="778E61DD" w:rsidR="004D7B74" w:rsidRPr="00E12EA7" w:rsidRDefault="00946579" w:rsidP="00E12EA7">
      <w:pPr>
        <w:pStyle w:val="ListBullet"/>
      </w:pPr>
      <w:r w:rsidRPr="00E12EA7">
        <w:t>t</w:t>
      </w:r>
      <w:r w:rsidR="004D7B74" w:rsidRPr="00E12EA7">
        <w:t xml:space="preserve">ransitioning from legacy technologies to more contemporary systems that support better performance and increased </w:t>
      </w:r>
      <w:proofErr w:type="gramStart"/>
      <w:r w:rsidR="004D7B74" w:rsidRPr="00E12EA7">
        <w:t>security</w:t>
      </w:r>
      <w:proofErr w:type="gramEnd"/>
    </w:p>
    <w:p w14:paraId="3CDE5DB7" w14:textId="2E09642D" w:rsidR="004D7B74" w:rsidRPr="00E12EA7" w:rsidRDefault="00946579" w:rsidP="00E12EA7">
      <w:pPr>
        <w:pStyle w:val="ListBullet"/>
      </w:pPr>
      <w:r w:rsidRPr="00E12EA7">
        <w:t>k</w:t>
      </w:r>
      <w:r w:rsidR="004D7B74" w:rsidRPr="00E12EA7">
        <w:t xml:space="preserve">ey technology enablers that support the department’s data-driven focus in delivering better health, aged </w:t>
      </w:r>
      <w:proofErr w:type="gramStart"/>
      <w:r w:rsidR="004D7B74" w:rsidRPr="00E12EA7">
        <w:t>care</w:t>
      </w:r>
      <w:proofErr w:type="gramEnd"/>
      <w:r w:rsidR="004D7B74" w:rsidRPr="00E12EA7">
        <w:t xml:space="preserve"> and sporting outcomes</w:t>
      </w:r>
    </w:p>
    <w:p w14:paraId="39BDF9D1" w14:textId="08FBAA5D" w:rsidR="004D7B74" w:rsidRPr="00E12EA7" w:rsidRDefault="00946579" w:rsidP="00E12EA7">
      <w:pPr>
        <w:pStyle w:val="ListBullet"/>
      </w:pPr>
      <w:r w:rsidRPr="00E12EA7">
        <w:t>i</w:t>
      </w:r>
      <w:r w:rsidR="004D7B74" w:rsidRPr="00E12EA7">
        <w:t xml:space="preserve">ncreased investment sustainability to deliver operational efficiency aligned to the department’s strategic objectives. </w:t>
      </w:r>
    </w:p>
    <w:p w14:paraId="48259394" w14:textId="77777777" w:rsidR="004D7B74" w:rsidRPr="001B6666" w:rsidRDefault="004D7B74" w:rsidP="004D7B74">
      <w:pPr>
        <w:rPr>
          <w:rFonts w:cs="Arial"/>
        </w:rPr>
      </w:pPr>
      <w:r w:rsidRPr="001B6666">
        <w:rPr>
          <w:rFonts w:cs="Arial"/>
        </w:rPr>
        <w:t>Implementation of the ICT Strategy will continue in 2024–25, with a focus on building on the foundations progressed in 2023–24. The 2024–25 focus includes:</w:t>
      </w:r>
    </w:p>
    <w:p w14:paraId="649B67A2" w14:textId="19FC16E6" w:rsidR="004D7B74" w:rsidRPr="00E12EA7" w:rsidRDefault="00946579" w:rsidP="00E12EA7">
      <w:pPr>
        <w:pStyle w:val="ListBullet"/>
      </w:pPr>
      <w:r w:rsidRPr="00E12EA7">
        <w:t>o</w:t>
      </w:r>
      <w:r w:rsidR="004D7B74" w:rsidRPr="00E12EA7">
        <w:t xml:space="preserve">perationalising fit-for-purpose communication and collaboration tools that enable better internal and cross-government </w:t>
      </w:r>
      <w:proofErr w:type="gramStart"/>
      <w:r w:rsidR="004D7B74" w:rsidRPr="00E12EA7">
        <w:t>engagement</w:t>
      </w:r>
      <w:proofErr w:type="gramEnd"/>
      <w:r w:rsidR="004D7B74" w:rsidRPr="00E12EA7">
        <w:t xml:space="preserve"> </w:t>
      </w:r>
    </w:p>
    <w:p w14:paraId="38E3AE02" w14:textId="6C4D2094" w:rsidR="004D7B74" w:rsidRPr="00E12EA7" w:rsidRDefault="00946579" w:rsidP="00E12EA7">
      <w:pPr>
        <w:pStyle w:val="ListBullet"/>
      </w:pPr>
      <w:r w:rsidRPr="00E12EA7">
        <w:t>u</w:t>
      </w:r>
      <w:r w:rsidR="004D7B74" w:rsidRPr="00E12EA7">
        <w:t>nifying the desktop experience for all staff working across unclassified and protected information</w:t>
      </w:r>
    </w:p>
    <w:p w14:paraId="11975BBF" w14:textId="087978FC" w:rsidR="004D7B74" w:rsidRPr="00E12EA7" w:rsidRDefault="00946579" w:rsidP="00E12EA7">
      <w:pPr>
        <w:pStyle w:val="ListBullet"/>
      </w:pPr>
      <w:r w:rsidRPr="00E12EA7">
        <w:t>a</w:t>
      </w:r>
      <w:r w:rsidR="004D7B74" w:rsidRPr="00E12EA7">
        <w:t xml:space="preserve">dvancing further consolidation and standardisation across new and existing externally facing health and aged care services </w:t>
      </w:r>
    </w:p>
    <w:p w14:paraId="76A759C4" w14:textId="54C264D8" w:rsidR="004D7B74" w:rsidRPr="00E12EA7" w:rsidRDefault="00946579" w:rsidP="00E12EA7">
      <w:pPr>
        <w:pStyle w:val="ListBullet"/>
      </w:pPr>
      <w:r w:rsidRPr="00E12EA7">
        <w:t>e</w:t>
      </w:r>
      <w:r w:rsidR="004D7B74" w:rsidRPr="00E12EA7">
        <w:t>nhancing the department’s data storage, sharing, interoperability and security capabilities</w:t>
      </w:r>
    </w:p>
    <w:p w14:paraId="61AEE05A" w14:textId="60A03DF6" w:rsidR="004D7B74" w:rsidRPr="00E12EA7" w:rsidRDefault="00946579" w:rsidP="00E12EA7">
      <w:pPr>
        <w:pStyle w:val="ListBullet"/>
      </w:pPr>
      <w:r w:rsidRPr="00E12EA7">
        <w:t>e</w:t>
      </w:r>
      <w:r w:rsidR="004D7B74" w:rsidRPr="00E12EA7">
        <w:t>mpowering informed decision making through an insights-driven approach to data access and use</w:t>
      </w:r>
    </w:p>
    <w:p w14:paraId="0CE1B6C3" w14:textId="0BA2BD5E" w:rsidR="004D7B74" w:rsidRPr="00E12EA7" w:rsidRDefault="00946579" w:rsidP="00E12EA7">
      <w:pPr>
        <w:pStyle w:val="ListBullet"/>
      </w:pPr>
      <w:r w:rsidRPr="00E12EA7">
        <w:t>s</w:t>
      </w:r>
      <w:r w:rsidR="004D7B74" w:rsidRPr="00E12EA7">
        <w:t xml:space="preserve">trengthening the department’s cyber security incident detection, </w:t>
      </w:r>
      <w:proofErr w:type="gramStart"/>
      <w:r w:rsidR="004D7B74" w:rsidRPr="00E12EA7">
        <w:t>response</w:t>
      </w:r>
      <w:proofErr w:type="gramEnd"/>
      <w:r w:rsidR="004D7B74" w:rsidRPr="00E12EA7">
        <w:t xml:space="preserve"> and resilience capabilities, supported by the </w:t>
      </w:r>
      <w:r w:rsidR="00253238" w:rsidRPr="00E12EA7">
        <w:t xml:space="preserve">Department of Health and Aged Care </w:t>
      </w:r>
      <w:r w:rsidR="004D7B74" w:rsidRPr="00E12EA7">
        <w:t>Security Strategy 2023–26</w:t>
      </w:r>
    </w:p>
    <w:p w14:paraId="410D451A" w14:textId="3B275D3A" w:rsidR="00253238" w:rsidRPr="00E12EA7" w:rsidRDefault="00946579" w:rsidP="00E12EA7">
      <w:pPr>
        <w:pStyle w:val="ListBullet"/>
      </w:pPr>
      <w:r w:rsidRPr="00E12EA7">
        <w:t>d</w:t>
      </w:r>
      <w:r w:rsidR="00253238" w:rsidRPr="00E12EA7">
        <w:t xml:space="preserve">evelopment of a strategic approach to digital transformation, supporting broader Whole-of-Government initiatives and the delivery of health and aged care services in a digital-first world. </w:t>
      </w:r>
    </w:p>
    <w:p w14:paraId="4A2D170E" w14:textId="23D8AA19" w:rsidR="004D7B74" w:rsidRPr="001B6666" w:rsidRDefault="004D7B74" w:rsidP="004D7B74">
      <w:pPr>
        <w:rPr>
          <w:rFonts w:cs="Arial"/>
        </w:rPr>
      </w:pPr>
      <w:r w:rsidRPr="001B6666">
        <w:rPr>
          <w:rFonts w:cs="Arial"/>
        </w:rPr>
        <w:t>The ICT Strategy focuses on 4 business-aligned strategic themes:</w:t>
      </w:r>
    </w:p>
    <w:p w14:paraId="3EDA411D" w14:textId="2CC6349D" w:rsidR="004D7B74" w:rsidRPr="00E12EA7" w:rsidRDefault="004D7B74" w:rsidP="00E12EA7">
      <w:pPr>
        <w:pStyle w:val="ListNumber"/>
      </w:pPr>
      <w:r w:rsidRPr="00E12EA7">
        <w:t>Modern workplace:</w:t>
      </w:r>
    </w:p>
    <w:p w14:paraId="5600C4E2" w14:textId="663DB10D" w:rsidR="004D7B74" w:rsidRPr="00DA5AB8" w:rsidRDefault="004D7B74" w:rsidP="00E12EA7">
      <w:r w:rsidRPr="00DA5AB8">
        <w:t>Focusing on improving the desktop and internal, external, and international collaboration experiences for our workforce.</w:t>
      </w:r>
    </w:p>
    <w:p w14:paraId="768DF9A6" w14:textId="262DA281" w:rsidR="004D7B74" w:rsidRPr="00E12EA7" w:rsidRDefault="004D7B74" w:rsidP="00E12EA7">
      <w:pPr>
        <w:pStyle w:val="ListNumber"/>
      </w:pPr>
      <w:r w:rsidRPr="00E12EA7">
        <w:t>Enterprise platforms:</w:t>
      </w:r>
    </w:p>
    <w:p w14:paraId="3FAF568E" w14:textId="4FAB8740" w:rsidR="004D7B74" w:rsidRPr="00DA5AB8" w:rsidRDefault="004D7B74" w:rsidP="00E12EA7">
      <w:r w:rsidRPr="00DA5AB8">
        <w:t>The necessary digital foundations to enable strategic transformation across our business and to improve external customer digital experiences.</w:t>
      </w:r>
    </w:p>
    <w:p w14:paraId="44986C2A" w14:textId="4B07C4C6" w:rsidR="004D7B74" w:rsidRPr="00E66A44" w:rsidRDefault="004D7B74" w:rsidP="00E12EA7">
      <w:pPr>
        <w:pStyle w:val="ListNumber"/>
      </w:pPr>
      <w:r w:rsidRPr="00E66A44">
        <w:t>Data and analytics:</w:t>
      </w:r>
    </w:p>
    <w:p w14:paraId="267A5449" w14:textId="67BE3D13" w:rsidR="004D7B74" w:rsidRPr="00DA5AB8" w:rsidRDefault="004D7B74" w:rsidP="00E12EA7">
      <w:r w:rsidRPr="00DA5AB8">
        <w:t xml:space="preserve">Technology changes necessary to support the department’s Data Strategy, to promote interoperability, seamless </w:t>
      </w:r>
      <w:proofErr w:type="gramStart"/>
      <w:r w:rsidRPr="00DA5AB8">
        <w:t>sharing</w:t>
      </w:r>
      <w:proofErr w:type="gramEnd"/>
      <w:r w:rsidRPr="00DA5AB8">
        <w:t xml:space="preserve"> and </w:t>
      </w:r>
      <w:r w:rsidR="00E73653" w:rsidRPr="00DA5AB8">
        <w:t xml:space="preserve">the </w:t>
      </w:r>
      <w:r w:rsidRPr="00DA5AB8">
        <w:t>exchange of data.</w:t>
      </w:r>
    </w:p>
    <w:p w14:paraId="3E0043DE" w14:textId="16F5FB4A" w:rsidR="004D7B74" w:rsidRPr="00E66A44" w:rsidRDefault="004D7B74" w:rsidP="00E12EA7">
      <w:pPr>
        <w:pStyle w:val="ListNumber"/>
      </w:pPr>
      <w:r w:rsidRPr="00E66A44">
        <w:t>ICT delivery and sustainment:</w:t>
      </w:r>
    </w:p>
    <w:p w14:paraId="2B388333" w14:textId="0839FDB0" w:rsidR="004D7B74" w:rsidRPr="00DA5AB8" w:rsidRDefault="004D7B74" w:rsidP="00E12EA7">
      <w:r w:rsidRPr="00DA5AB8">
        <w:t xml:space="preserve">Critical foundations for our ICT operations and security, to foster industrialised, reliable, </w:t>
      </w:r>
      <w:proofErr w:type="gramStart"/>
      <w:r w:rsidRPr="00DA5AB8">
        <w:t>sustainable</w:t>
      </w:r>
      <w:proofErr w:type="gramEnd"/>
      <w:r w:rsidR="00227966" w:rsidRPr="00DA5AB8">
        <w:t xml:space="preserve"> </w:t>
      </w:r>
      <w:r w:rsidRPr="00DA5AB8">
        <w:t>and unified ICT across our department.</w:t>
      </w:r>
    </w:p>
    <w:p w14:paraId="320E166B" w14:textId="4DD8BB86" w:rsidR="004D7B74" w:rsidRPr="00DA5AB8" w:rsidRDefault="004D7B74" w:rsidP="004D7B74">
      <w:pPr>
        <w:rPr>
          <w:rFonts w:cs="Arial"/>
          <w:szCs w:val="20"/>
        </w:rPr>
      </w:pPr>
      <w:r w:rsidRPr="00DA5AB8">
        <w:rPr>
          <w:rFonts w:cs="Arial"/>
          <w:szCs w:val="20"/>
        </w:rPr>
        <w:t xml:space="preserve">Uplifting our protective and cyber security maturity and implementation of the </w:t>
      </w:r>
      <w:r w:rsidR="00E73653" w:rsidRPr="00DA5AB8">
        <w:rPr>
          <w:rFonts w:cs="Arial"/>
          <w:szCs w:val="20"/>
        </w:rPr>
        <w:t xml:space="preserve">Department </w:t>
      </w:r>
      <w:r w:rsidRPr="00DA5AB8">
        <w:rPr>
          <w:rFonts w:cs="Arial"/>
          <w:szCs w:val="20"/>
        </w:rPr>
        <w:t>of Health and Aged Care Security Strategy 2023–26 continues to be a priority to mitigate residual security risks. Significant progress has been made in ensuring our buildings, assets and personnel remain safe, along with a strong focus on continuing the rollout of our essential 8 cyber security controls to protect our systems and data.</w:t>
      </w:r>
    </w:p>
    <w:p w14:paraId="617EC702" w14:textId="77777777" w:rsidR="004D7B74" w:rsidRPr="00E12EA7" w:rsidRDefault="004D7B74" w:rsidP="00E12EA7">
      <w:pPr>
        <w:pStyle w:val="Heading2"/>
      </w:pPr>
      <w:bookmarkStart w:id="51" w:name="_Toc175846485"/>
      <w:r w:rsidRPr="00E12EA7">
        <w:t>Economic Capability</w:t>
      </w:r>
      <w:bookmarkEnd w:id="51"/>
    </w:p>
    <w:p w14:paraId="57A58426" w14:textId="618C8F9C" w:rsidR="004D7B74" w:rsidRPr="00BB4FE7" w:rsidRDefault="004D7B74" w:rsidP="00BB4FE7">
      <w:r w:rsidRPr="00BB4FE7">
        <w:t xml:space="preserve">The department recognises the value of uplifting capability such as </w:t>
      </w:r>
      <w:r w:rsidR="00F030FC" w:rsidRPr="00BB4FE7">
        <w:t xml:space="preserve">producing </w:t>
      </w:r>
      <w:r w:rsidRPr="00BB4FE7">
        <w:t xml:space="preserve">an economics evidence base to inform policy. The department </w:t>
      </w:r>
      <w:r w:rsidR="003B44F0" w:rsidRPr="00BB4FE7">
        <w:t>has</w:t>
      </w:r>
      <w:r w:rsidRPr="00BB4FE7">
        <w:t xml:space="preserve"> establish</w:t>
      </w:r>
      <w:r w:rsidR="003B44F0" w:rsidRPr="00BB4FE7">
        <w:t>ed</w:t>
      </w:r>
      <w:r w:rsidRPr="00BB4FE7">
        <w:t xml:space="preserve"> an Office of the Chief Health Economist (the Office) to provide leadership on economic issues and engage in the public discourse on health</w:t>
      </w:r>
      <w:r w:rsidR="00236C92" w:rsidRPr="00BB4FE7">
        <w:t>, including preventative health and sport</w:t>
      </w:r>
      <w:r w:rsidRPr="00BB4FE7">
        <w:t xml:space="preserve"> and aged care system reform. </w:t>
      </w:r>
      <w:r w:rsidR="00946579" w:rsidRPr="00BB4FE7">
        <w:br/>
      </w:r>
      <w:r w:rsidRPr="00BB4FE7">
        <w:lastRenderedPageBreak/>
        <w:t xml:space="preserve">The Office’s primary duty will be to translate health economic principles and practices to design policy, implement programs, evaluate outcomes, and analyse impacts. The advice will be practical, timely, targeted, and sensitive to broader political and economic realities that are consistent with the Government’s policy agenda. The Office will produce economic commentary, </w:t>
      </w:r>
      <w:proofErr w:type="gramStart"/>
      <w:r w:rsidRPr="00BB4FE7">
        <w:t>analysi</w:t>
      </w:r>
      <w:r w:rsidR="00F030FC" w:rsidRPr="00BB4FE7">
        <w:t>s</w:t>
      </w:r>
      <w:proofErr w:type="gramEnd"/>
      <w:r w:rsidR="00F030FC" w:rsidRPr="00BB4FE7">
        <w:t xml:space="preserve"> </w:t>
      </w:r>
      <w:r w:rsidRPr="00BB4FE7">
        <w:t>and insights in the context of the health and aged care system to better understand its economic challenges.</w:t>
      </w:r>
    </w:p>
    <w:p w14:paraId="03CB7947" w14:textId="79752043" w:rsidR="004D7B74" w:rsidRPr="00BB4FE7" w:rsidRDefault="004D7B74" w:rsidP="00BB4FE7">
      <w:r w:rsidRPr="00BB4FE7">
        <w:t xml:space="preserve">The Australian health and aged care systems </w:t>
      </w:r>
      <w:r w:rsidR="00F030FC" w:rsidRPr="00BB4FE7">
        <w:t xml:space="preserve">face </w:t>
      </w:r>
      <w:r w:rsidRPr="00BB4FE7">
        <w:t xml:space="preserve">many economic challenges such as an ageing population, rising costs, workforce availability and emerging technologies. Health system redesign is more critical than ever to achieve value for money with appropriate resource allocation, and the </w:t>
      </w:r>
      <w:r w:rsidR="00227966" w:rsidRPr="00BB4FE7">
        <w:t xml:space="preserve">necessary </w:t>
      </w:r>
      <w:r w:rsidRPr="00BB4FE7">
        <w:t xml:space="preserve">increase in productivity. These challenges require strategic thinking and planning so the nation can have sustainable, high-quality healthcare and aged care systems for many years to come. The Office will </w:t>
      </w:r>
      <w:r w:rsidR="00F030FC" w:rsidRPr="00BB4FE7">
        <w:t xml:space="preserve">provide </w:t>
      </w:r>
      <w:r w:rsidRPr="00BB4FE7">
        <w:t xml:space="preserve">an economic lens to the department’s strategic activities, </w:t>
      </w:r>
      <w:r w:rsidR="00F030FC" w:rsidRPr="00BB4FE7">
        <w:t xml:space="preserve">enabling </w:t>
      </w:r>
      <w:r w:rsidRPr="00BB4FE7">
        <w:t>linkages across its fiscal reporting requirements. The Office will focus on building a forward-looking strategic policy agenda to achieve better health and aged care outcomes.</w:t>
      </w:r>
    </w:p>
    <w:p w14:paraId="2FF8599B" w14:textId="3A6074BA" w:rsidR="004D7B74" w:rsidRPr="00E12EA7" w:rsidRDefault="004D7B74" w:rsidP="00E12EA7">
      <w:pPr>
        <w:pStyle w:val="Heading2"/>
      </w:pPr>
      <w:bookmarkStart w:id="52" w:name="_Toc175846486"/>
      <w:r w:rsidRPr="00E12EA7">
        <w:t>Data Capability</w:t>
      </w:r>
      <w:bookmarkEnd w:id="52"/>
    </w:p>
    <w:p w14:paraId="65926DB7" w14:textId="05AD3619" w:rsidR="004D7B74" w:rsidRPr="00BB4FE7" w:rsidRDefault="004D7B74" w:rsidP="00BB4FE7">
      <w:r w:rsidRPr="00BB4FE7">
        <w:t>We foster a culture that promotes and values opportunities for the safe and effective use</w:t>
      </w:r>
      <w:r w:rsidR="00D41D9F" w:rsidRPr="00BB4FE7">
        <w:t xml:space="preserve"> of data. We also value the</w:t>
      </w:r>
      <w:r w:rsidRPr="00BB4FE7">
        <w:t xml:space="preserve"> sharing of data to drive better health and aged care outcomes for Australians.</w:t>
      </w:r>
    </w:p>
    <w:p w14:paraId="3D880097" w14:textId="1D63A85F" w:rsidR="004D7B74" w:rsidRPr="00BB4FE7" w:rsidRDefault="004D7B74" w:rsidP="00BB4FE7">
      <w:r w:rsidRPr="00BB4FE7">
        <w:t xml:space="preserve">We work collaboratively with other government entities, </w:t>
      </w:r>
      <w:proofErr w:type="gramStart"/>
      <w:r w:rsidRPr="00BB4FE7">
        <w:t>jurisdictions</w:t>
      </w:r>
      <w:proofErr w:type="gramEnd"/>
      <w:r w:rsidRPr="00BB4FE7">
        <w:t xml:space="preserve"> and non-government partners to enhance our data and analytics capability and capacity. We use analytics securely and appropriately to provide insights to decision makers, building on a strong foundation of data governance.</w:t>
      </w:r>
    </w:p>
    <w:p w14:paraId="258B650B" w14:textId="0270872F" w:rsidR="004D7B74" w:rsidRPr="00BB4FE7" w:rsidRDefault="004D7B74" w:rsidP="00BB4FE7">
      <w:r w:rsidRPr="00BB4FE7">
        <w:t xml:space="preserve">Through continued implementation of the Department of Health and Aged Care Data Strategy 2022–25, we will </w:t>
      </w:r>
      <w:r w:rsidR="00F030FC" w:rsidRPr="00BB4FE7">
        <w:t xml:space="preserve">build trust and transparency through </w:t>
      </w:r>
      <w:r w:rsidRPr="00BB4FE7">
        <w:t>advancements and improvements in our data governance arrangements, data asset discoverability, data sharing and release, data quality and integration</w:t>
      </w:r>
      <w:r w:rsidR="00F030FC" w:rsidRPr="00BB4FE7">
        <w:t xml:space="preserve"> and</w:t>
      </w:r>
      <w:r w:rsidRPr="00BB4FE7">
        <w:t xml:space="preserve"> technology and innovation. Staff capability efforts will include developing targeted opportunities to attract and retain data and analytics specialists, as well as lifting data literacy more broadly.</w:t>
      </w:r>
    </w:p>
    <w:p w14:paraId="6FB015B5" w14:textId="77777777" w:rsidR="004D7B74" w:rsidRPr="00E12EA7" w:rsidRDefault="004D7B74" w:rsidP="00E12EA7">
      <w:pPr>
        <w:pStyle w:val="Heading2"/>
      </w:pPr>
      <w:bookmarkStart w:id="53" w:name="_Toc175846487"/>
      <w:r w:rsidRPr="00E12EA7">
        <w:t>Evaluation</w:t>
      </w:r>
      <w:bookmarkEnd w:id="53"/>
    </w:p>
    <w:p w14:paraId="513DC23B" w14:textId="5BDEDEBB" w:rsidR="004D7B74" w:rsidRPr="00BB4FE7" w:rsidRDefault="004D7B74" w:rsidP="00BB4FE7">
      <w:r w:rsidRPr="00BB4FE7">
        <w:t xml:space="preserve">Our enhanced evaluation framework will be used as a tool to ensure decision making is evidence-based. It covers factors including the likely policy outcomes of funding, delivery track record, strategic significance or opportunities, and value for money. </w:t>
      </w:r>
      <w:r w:rsidR="00446320" w:rsidRPr="00BB4FE7">
        <w:t xml:space="preserve">Our evaluations are also scalable. These could range from speedy desktop reviews for </w:t>
      </w:r>
      <w:proofErr w:type="gramStart"/>
      <w:r w:rsidR="00446320" w:rsidRPr="00BB4FE7">
        <w:t>low risk</w:t>
      </w:r>
      <w:proofErr w:type="gramEnd"/>
      <w:r w:rsidR="00446320" w:rsidRPr="00BB4FE7">
        <w:t xml:space="preserve"> evaluations to urgent, detailed and comprehensive evaluations that may involve commissioning external expertise.</w:t>
      </w:r>
    </w:p>
    <w:p w14:paraId="6921BBD5" w14:textId="195B723C" w:rsidR="004D7B74" w:rsidRPr="00E12EA7" w:rsidRDefault="004D7B74" w:rsidP="00E12EA7">
      <w:pPr>
        <w:pStyle w:val="Heading2"/>
      </w:pPr>
      <w:bookmarkStart w:id="54" w:name="_Toc175846488"/>
      <w:r w:rsidRPr="00E12EA7">
        <w:t xml:space="preserve">Program </w:t>
      </w:r>
      <w:r w:rsidR="00446320" w:rsidRPr="00E12EA7">
        <w:t>L</w:t>
      </w:r>
      <w:r w:rsidRPr="00E12EA7">
        <w:t xml:space="preserve">ogic </w:t>
      </w:r>
      <w:r w:rsidR="00446320" w:rsidRPr="00E12EA7">
        <w:t>M</w:t>
      </w:r>
      <w:r w:rsidRPr="00E12EA7">
        <w:t xml:space="preserve">odelling </w:t>
      </w:r>
      <w:r w:rsidR="00446320" w:rsidRPr="00E12EA7">
        <w:t>P</w:t>
      </w:r>
      <w:r w:rsidRPr="00E12EA7">
        <w:t>ilot</w:t>
      </w:r>
      <w:bookmarkEnd w:id="54"/>
    </w:p>
    <w:p w14:paraId="4E2FB6FD" w14:textId="015E6663" w:rsidR="004D7B74" w:rsidRPr="001B6666" w:rsidRDefault="004D7B74" w:rsidP="004D7B74">
      <w:pPr>
        <w:spacing w:before="120" w:after="120"/>
        <w:rPr>
          <w:rFonts w:eastAsia="HelveticaNeueLTStd-Lt" w:cs="Arial"/>
          <w:color w:val="231F20"/>
          <w:lang w:val="en-US"/>
        </w:rPr>
      </w:pPr>
      <w:r w:rsidRPr="001B6666">
        <w:rPr>
          <w:rFonts w:eastAsia="HelveticaNeueLTStd-Lt" w:cs="Arial"/>
          <w:color w:val="231F20"/>
          <w:lang w:val="en-US"/>
        </w:rPr>
        <w:t>The department received 9 findings following the Australian National Audit Office’s (ANAO) audit of the department’s 2022–23 Annual Performance Statements.</w:t>
      </w:r>
      <w:r w:rsidR="007A6470" w:rsidRPr="00D41D9F">
        <w:rPr>
          <w:rStyle w:val="FootnoteReference"/>
          <w:rFonts w:eastAsia="HelveticaNeueLTStd-Lt" w:cs="Arial"/>
          <w:color w:val="231F20"/>
          <w:sz w:val="18"/>
          <w:szCs w:val="18"/>
          <w:lang w:val="en-US"/>
        </w:rPr>
        <w:footnoteReference w:id="16"/>
      </w:r>
      <w:r w:rsidRPr="00D41D9F">
        <w:rPr>
          <w:rFonts w:eastAsia="HelveticaNeueLTStd-Lt" w:cs="Arial"/>
          <w:color w:val="231F20"/>
          <w:sz w:val="18"/>
          <w:szCs w:val="18"/>
          <w:lang w:val="en-US"/>
        </w:rPr>
        <w:t xml:space="preserve"> </w:t>
      </w:r>
      <w:r w:rsidRPr="001B6666">
        <w:rPr>
          <w:rFonts w:eastAsia="HelveticaNeueLTStd-Lt" w:cs="Arial"/>
          <w:color w:val="231F20"/>
          <w:lang w:val="en-US"/>
        </w:rPr>
        <w:t>To support continued remediation efforts, two of the department’s programs</w:t>
      </w:r>
      <w:r w:rsidR="00802487" w:rsidRPr="001B6666">
        <w:rPr>
          <w:rFonts w:eastAsia="HelveticaNeueLTStd-Lt" w:cs="Arial"/>
          <w:color w:val="231F20"/>
          <w:lang w:val="en-US"/>
        </w:rPr>
        <w:t xml:space="preserve">: </w:t>
      </w:r>
      <w:r w:rsidRPr="001B6666">
        <w:rPr>
          <w:rFonts w:eastAsia="HelveticaNeueLTStd-Lt" w:cs="Arial"/>
          <w:color w:val="231F20"/>
          <w:lang w:val="en-US"/>
        </w:rPr>
        <w:t>Program 1.6 Primary Health Quality and Coordination and Program 4.1 Sport and Physical Activity</w:t>
      </w:r>
      <w:r w:rsidR="00802487" w:rsidRPr="001B6666">
        <w:rPr>
          <w:rFonts w:eastAsia="HelveticaNeueLTStd-Lt" w:cs="Arial"/>
          <w:color w:val="231F20"/>
          <w:lang w:val="en-US"/>
        </w:rPr>
        <w:t>;</w:t>
      </w:r>
      <w:r w:rsidRPr="001B6666">
        <w:rPr>
          <w:rFonts w:eastAsia="HelveticaNeueLTStd-Lt" w:cs="Arial"/>
          <w:color w:val="231F20"/>
          <w:lang w:val="en-US"/>
        </w:rPr>
        <w:t xml:space="preserve"> were selected to participate in a pilot of program logic modelling. Programs were selected following an analysis of the complexity of performance information, including quality assurance processes and the number of divisional inputs.</w:t>
      </w:r>
    </w:p>
    <w:p w14:paraId="178BF53C" w14:textId="4D83C701" w:rsidR="004D7B74" w:rsidRPr="001B6666" w:rsidRDefault="004D7B74" w:rsidP="004D7B74">
      <w:pPr>
        <w:spacing w:before="120" w:after="120"/>
        <w:rPr>
          <w:rFonts w:eastAsia="HelveticaNeueLTStd-Lt" w:cs="Arial"/>
          <w:color w:val="231F20"/>
          <w:lang w:val="en-US"/>
        </w:rPr>
      </w:pPr>
      <w:r w:rsidRPr="001B6666">
        <w:rPr>
          <w:rFonts w:eastAsia="HelveticaNeueLTStd-Lt" w:cs="Arial"/>
          <w:color w:val="231F20"/>
          <w:lang w:val="en-US"/>
        </w:rPr>
        <w:t xml:space="preserve">The pilot was intended to continue </w:t>
      </w:r>
      <w:r w:rsidR="00F030FC" w:rsidRPr="001B6666">
        <w:rPr>
          <w:rFonts w:eastAsia="HelveticaNeueLTStd-Lt" w:cs="Arial"/>
          <w:color w:val="231F20"/>
          <w:lang w:val="en-US"/>
        </w:rPr>
        <w:t xml:space="preserve">remediation </w:t>
      </w:r>
      <w:r w:rsidRPr="001B6666">
        <w:rPr>
          <w:rFonts w:eastAsia="HelveticaNeueLTStd-Lt" w:cs="Arial"/>
          <w:color w:val="231F20"/>
          <w:lang w:val="en-US"/>
        </w:rPr>
        <w:t xml:space="preserve">efforts for the audit findings allocated to pilot program key activities and measures. The pilot aimed to identify best practice models for all divisions to continue remediation efforts, including providing an evidence base for 2024–25 Corporate Plan performance information and the 2024–25 Portfolio Budget Statements. </w:t>
      </w:r>
    </w:p>
    <w:p w14:paraId="5F8E272C" w14:textId="15DFC3FE" w:rsidR="002333A2" w:rsidRPr="00E12EA7" w:rsidRDefault="004D7B74" w:rsidP="00E12EA7">
      <w:pPr>
        <w:spacing w:after="0"/>
        <w:rPr>
          <w:rFonts w:eastAsia="HelveticaNeueLTStd-Lt" w:cs="Arial"/>
          <w:color w:val="231F20"/>
          <w:lang w:val="en-US"/>
        </w:rPr>
      </w:pPr>
      <w:r w:rsidRPr="001B6666">
        <w:rPr>
          <w:rFonts w:eastAsia="HelveticaNeueLTStd-Lt" w:cs="Arial"/>
          <w:color w:val="231F20"/>
          <w:lang w:val="en-US"/>
        </w:rPr>
        <w:t xml:space="preserve">The department intends to </w:t>
      </w:r>
      <w:proofErr w:type="spellStart"/>
      <w:r w:rsidRPr="001B6666">
        <w:rPr>
          <w:rFonts w:eastAsia="HelveticaNeueLTStd-Lt" w:cs="Arial"/>
          <w:color w:val="231F20"/>
          <w:lang w:val="en-US"/>
        </w:rPr>
        <w:t>utilise</w:t>
      </w:r>
      <w:proofErr w:type="spellEnd"/>
      <w:r w:rsidRPr="001B6666">
        <w:rPr>
          <w:rFonts w:eastAsia="HelveticaNeueLTStd-Lt" w:cs="Arial"/>
          <w:color w:val="231F20"/>
          <w:lang w:val="en-US"/>
        </w:rPr>
        <w:t xml:space="preserve"> the lessons learned from this pilot and roll</w:t>
      </w:r>
      <w:r w:rsidR="00F030FC" w:rsidRPr="001B6666">
        <w:rPr>
          <w:rFonts w:eastAsia="HelveticaNeueLTStd-Lt" w:cs="Arial"/>
          <w:color w:val="231F20"/>
          <w:lang w:val="en-US"/>
        </w:rPr>
        <w:t xml:space="preserve"> </w:t>
      </w:r>
      <w:r w:rsidRPr="001B6666">
        <w:rPr>
          <w:rFonts w:eastAsia="HelveticaNeueLTStd-Lt" w:cs="Arial"/>
          <w:color w:val="231F20"/>
          <w:lang w:val="en-US"/>
        </w:rPr>
        <w:t xml:space="preserve">out across each program area throughout 2024–25 to ensure our performance continues to be underpinned by evidence-based, reliable, verifiable and </w:t>
      </w:r>
      <w:r w:rsidR="00236C92" w:rsidRPr="001B6666">
        <w:rPr>
          <w:rFonts w:eastAsia="HelveticaNeueLTStd-Lt" w:cs="Arial"/>
          <w:color w:val="231F20"/>
          <w:lang w:val="en-US"/>
        </w:rPr>
        <w:t>information</w:t>
      </w:r>
      <w:r w:rsidR="004F7890" w:rsidRPr="001B6666">
        <w:rPr>
          <w:rFonts w:eastAsia="HelveticaNeueLTStd-Lt" w:cs="Arial"/>
          <w:color w:val="231F20"/>
          <w:lang w:val="en-US"/>
        </w:rPr>
        <w:t xml:space="preserve"> that i</w:t>
      </w:r>
      <w:r w:rsidR="0097510F" w:rsidRPr="001B6666">
        <w:rPr>
          <w:rFonts w:eastAsia="HelveticaNeueLTStd-Lt" w:cs="Arial"/>
          <w:color w:val="231F20"/>
          <w:lang w:val="en-US"/>
        </w:rPr>
        <w:t>s free from bias</w:t>
      </w:r>
      <w:r w:rsidRPr="001B6666">
        <w:rPr>
          <w:rFonts w:eastAsia="HelveticaNeueLTStd-Lt" w:cs="Arial"/>
          <w:color w:val="231F20"/>
          <w:lang w:val="en-US"/>
        </w:rPr>
        <w:t>.</w:t>
      </w:r>
      <w:r w:rsidR="00DE5963" w:rsidRPr="001B6666">
        <w:rPr>
          <w:rFonts w:eastAsia="HelveticaNeueLTStd-Lt" w:cs="Arial"/>
          <w:color w:val="231F20"/>
          <w:lang w:val="en-US"/>
        </w:rPr>
        <w:t xml:space="preserve"> </w:t>
      </w:r>
      <w:r w:rsidR="00406129" w:rsidRPr="001B6666">
        <w:rPr>
          <w:rFonts w:eastAsia="HelveticaNeueLTStd-Lt" w:cs="Arial"/>
          <w:color w:val="231F20"/>
        </w:rPr>
        <w:t>In the pursuit of continuous improvement, we</w:t>
      </w:r>
      <w:r w:rsidR="0028176C" w:rsidRPr="001B6666">
        <w:rPr>
          <w:rFonts w:eastAsia="HelveticaNeueLTStd-Lt" w:cs="Arial"/>
          <w:color w:val="231F20"/>
        </w:rPr>
        <w:t xml:space="preserve"> will</w:t>
      </w:r>
      <w:r w:rsidR="00406129" w:rsidRPr="001B6666">
        <w:rPr>
          <w:rFonts w:eastAsia="HelveticaNeueLTStd-Lt" w:cs="Arial"/>
          <w:color w:val="231F20"/>
        </w:rPr>
        <w:t xml:space="preserve"> </w:t>
      </w:r>
      <w:r w:rsidR="00F27A23" w:rsidRPr="001B6666">
        <w:rPr>
          <w:rFonts w:eastAsia="HelveticaNeueLTStd-Lt" w:cs="Arial"/>
          <w:color w:val="231F20"/>
        </w:rPr>
        <w:t>continue to</w:t>
      </w:r>
      <w:r w:rsidR="00406129" w:rsidRPr="001B6666">
        <w:rPr>
          <w:rFonts w:eastAsia="HelveticaNeueLTStd-Lt" w:cs="Arial"/>
          <w:color w:val="231F20"/>
        </w:rPr>
        <w:t xml:space="preserve"> review </w:t>
      </w:r>
      <w:r w:rsidR="00133B6A" w:rsidRPr="001B6666">
        <w:rPr>
          <w:rFonts w:eastAsia="HelveticaNeueLTStd-Lt" w:cs="Arial"/>
          <w:color w:val="231F20"/>
        </w:rPr>
        <w:t xml:space="preserve">the </w:t>
      </w:r>
      <w:r w:rsidR="003C34CC" w:rsidRPr="001B6666">
        <w:rPr>
          <w:rFonts w:eastAsia="HelveticaNeueLTStd-Lt" w:cs="Arial"/>
          <w:color w:val="231F20"/>
        </w:rPr>
        <w:t>department</w:t>
      </w:r>
      <w:r w:rsidR="00133B6A" w:rsidRPr="001B6666">
        <w:rPr>
          <w:rFonts w:eastAsia="HelveticaNeueLTStd-Lt" w:cs="Arial"/>
          <w:color w:val="231F20"/>
        </w:rPr>
        <w:t>’s</w:t>
      </w:r>
      <w:r w:rsidR="00406129" w:rsidRPr="001B6666">
        <w:rPr>
          <w:rFonts w:eastAsia="HelveticaNeueLTStd-Lt" w:cs="Arial"/>
          <w:color w:val="231F20"/>
        </w:rPr>
        <w:t xml:space="preserve"> performance framework to ensure our key activities and corresponding performance measures are relevant, </w:t>
      </w:r>
      <w:proofErr w:type="gramStart"/>
      <w:r w:rsidR="00406129" w:rsidRPr="001B6666">
        <w:rPr>
          <w:rFonts w:eastAsia="HelveticaNeueLTStd-Lt" w:cs="Arial"/>
          <w:color w:val="231F20"/>
        </w:rPr>
        <w:t>up-to-date</w:t>
      </w:r>
      <w:proofErr w:type="gramEnd"/>
      <w:r w:rsidR="00406129" w:rsidRPr="001B6666">
        <w:rPr>
          <w:rFonts w:eastAsia="HelveticaNeueLTStd-Lt" w:cs="Arial"/>
          <w:color w:val="231F20"/>
        </w:rPr>
        <w:t xml:space="preserve"> and aligned with government priorities.</w:t>
      </w:r>
      <w:r w:rsidR="0096570B" w:rsidRPr="001B6666">
        <w:rPr>
          <w:rFonts w:eastAsia="HelveticaNeueLTStd-Lt" w:cs="Arial"/>
          <w:color w:val="231F20"/>
        </w:rPr>
        <w:t xml:space="preserve"> A prioritisation list is currently under development to determine which of the </w:t>
      </w:r>
      <w:r w:rsidR="0096570B" w:rsidRPr="001B6666">
        <w:rPr>
          <w:rFonts w:eastAsia="HelveticaNeueLTStd-Lt" w:cs="Arial"/>
          <w:color w:val="231F20"/>
        </w:rPr>
        <w:lastRenderedPageBreak/>
        <w:t>remaining 18 programs will be included in the next round of program logic modelling</w:t>
      </w:r>
      <w:r w:rsidR="00AA5F10" w:rsidRPr="001B6666">
        <w:rPr>
          <w:rFonts w:eastAsia="HelveticaNeueLTStd-Lt" w:cs="Arial"/>
          <w:color w:val="231F20"/>
        </w:rPr>
        <w:t>, which will occur over the next 12</w:t>
      </w:r>
      <w:r w:rsidR="002333A2" w:rsidRPr="001B6666">
        <w:rPr>
          <w:rFonts w:eastAsia="HelveticaNeueLTStd-Lt" w:cs="Arial"/>
          <w:color w:val="231F20"/>
        </w:rPr>
        <w:t xml:space="preserve"> to </w:t>
      </w:r>
      <w:r w:rsidR="00AA5F10" w:rsidRPr="001B6666">
        <w:rPr>
          <w:rFonts w:eastAsia="HelveticaNeueLTStd-Lt" w:cs="Arial"/>
          <w:color w:val="231F20"/>
        </w:rPr>
        <w:t xml:space="preserve">18 months. </w:t>
      </w:r>
    </w:p>
    <w:p w14:paraId="46171832" w14:textId="009B440C" w:rsidR="004D7B74" w:rsidRPr="00E12EA7" w:rsidRDefault="004D7B74" w:rsidP="00E12EA7">
      <w:pPr>
        <w:pStyle w:val="Heading2"/>
      </w:pPr>
      <w:bookmarkStart w:id="55" w:name="_Toc175846489"/>
      <w:r w:rsidRPr="00E12EA7">
        <w:t>Financial Management Capability</w:t>
      </w:r>
      <w:bookmarkEnd w:id="55"/>
      <w:r w:rsidRPr="00E12EA7">
        <w:t xml:space="preserve"> </w:t>
      </w:r>
    </w:p>
    <w:p w14:paraId="7F081924" w14:textId="6645EE36" w:rsidR="004D7B74" w:rsidRPr="00BB4FE7" w:rsidRDefault="004D7B74" w:rsidP="00BB4FE7">
      <w:r w:rsidRPr="00BB4FE7">
        <w:t xml:space="preserve">We are responsible for a significant portion of the Commonwealth Budget. One of our core responsibilities is ensuring resources made available by government on behalf of the Australian community are managed in an efficient, effective, </w:t>
      </w:r>
      <w:proofErr w:type="gramStart"/>
      <w:r w:rsidRPr="00BB4FE7">
        <w:t>economical</w:t>
      </w:r>
      <w:proofErr w:type="gramEnd"/>
      <w:r w:rsidRPr="00BB4FE7">
        <w:t xml:space="preserve"> and ethical manner. We deliver a strong financial management framework to ensure we make evidence-based financial decisions and meet our financial accountability, </w:t>
      </w:r>
      <w:proofErr w:type="gramStart"/>
      <w:r w:rsidRPr="00BB4FE7">
        <w:t>performance</w:t>
      </w:r>
      <w:proofErr w:type="gramEnd"/>
      <w:r w:rsidRPr="00BB4FE7">
        <w:t xml:space="preserve"> and governance obligations. Our Finance Strategy 2020–24 sets out a long-term vision based on 3 pillars of our financial management framework:</w:t>
      </w:r>
    </w:p>
    <w:p w14:paraId="74B97841" w14:textId="409C500F" w:rsidR="004D7B74" w:rsidRPr="00BB4FE7" w:rsidRDefault="0063127A" w:rsidP="001A6DDD">
      <w:pPr>
        <w:pStyle w:val="ListNumber3"/>
        <w:numPr>
          <w:ilvl w:val="0"/>
          <w:numId w:val="215"/>
        </w:numPr>
        <w:ind w:left="530"/>
      </w:pPr>
      <w:r w:rsidRPr="00BB4FE7">
        <w:t>a</w:t>
      </w:r>
      <w:r w:rsidR="004D7B74" w:rsidRPr="00BB4FE7">
        <w:t xml:space="preserve"> strong financial controls and assurance framework</w:t>
      </w:r>
    </w:p>
    <w:p w14:paraId="0A475153" w14:textId="220B3295" w:rsidR="004D7B74" w:rsidRPr="00BB4FE7" w:rsidRDefault="0063127A" w:rsidP="001A6DDD">
      <w:pPr>
        <w:pStyle w:val="ListNumber3"/>
      </w:pPr>
      <w:r w:rsidRPr="00BB4FE7">
        <w:t>p</w:t>
      </w:r>
      <w:r w:rsidR="004D7B74" w:rsidRPr="00BB4FE7">
        <w:t>roviding credible, accurate and consistent financial information and advice</w:t>
      </w:r>
    </w:p>
    <w:p w14:paraId="6D078C6E" w14:textId="66602F13" w:rsidR="004D7B74" w:rsidRPr="00BB4FE7" w:rsidRDefault="0063127A" w:rsidP="001A6DDD">
      <w:pPr>
        <w:pStyle w:val="ListNumber3"/>
      </w:pPr>
      <w:r w:rsidRPr="00BB4FE7">
        <w:t>a</w:t>
      </w:r>
      <w:r w:rsidR="004D7B74" w:rsidRPr="00BB4FE7">
        <w:t xml:space="preserve"> financial governance framework which promotes the effective and efficient use of resources.</w:t>
      </w:r>
    </w:p>
    <w:p w14:paraId="55A34967" w14:textId="77777777" w:rsidR="004D7B74" w:rsidRPr="00BB4FE7" w:rsidRDefault="004D7B74" w:rsidP="00BB4FE7">
      <w:r w:rsidRPr="00BB4FE7">
        <w:t>The department has commissioned a comprehensive external review of its financial controls and assurance framework in 2023–24, and enhancements to the framework will be implemented targeting increased understanding of, and compliance with, finance law.</w:t>
      </w:r>
    </w:p>
    <w:p w14:paraId="7443CE8E" w14:textId="77777777" w:rsidR="004D7B74" w:rsidRPr="00E12EA7" w:rsidRDefault="004D7B74" w:rsidP="00E12EA7">
      <w:bookmarkStart w:id="56" w:name="Our_Performance"/>
      <w:bookmarkStart w:id="57" w:name="_bookmark9"/>
      <w:bookmarkEnd w:id="56"/>
      <w:bookmarkEnd w:id="57"/>
      <w:r w:rsidRPr="007314B5">
        <w:br w:type="page"/>
      </w:r>
    </w:p>
    <w:p w14:paraId="68580B21" w14:textId="77777777" w:rsidR="004D7B74" w:rsidRPr="00E12EA7" w:rsidRDefault="004D7B74" w:rsidP="00E12EA7">
      <w:pPr>
        <w:pStyle w:val="Heading1"/>
      </w:pPr>
      <w:bookmarkStart w:id="58" w:name="_Toc175293615"/>
      <w:bookmarkStart w:id="59" w:name="_Toc175846490"/>
      <w:r w:rsidRPr="00E12EA7">
        <w:lastRenderedPageBreak/>
        <w:t>Our Performance Framework</w:t>
      </w:r>
      <w:bookmarkEnd w:id="58"/>
      <w:bookmarkEnd w:id="59"/>
    </w:p>
    <w:p w14:paraId="14AFE069" w14:textId="77777777" w:rsidR="004D7B74" w:rsidRPr="00E12EA7" w:rsidRDefault="004D7B74" w:rsidP="00E12EA7">
      <w:pPr>
        <w:pStyle w:val="Heading2"/>
      </w:pPr>
      <w:bookmarkStart w:id="60" w:name="_Toc175846491"/>
      <w:r w:rsidRPr="00E12EA7">
        <w:t>Commonwealth Performance Framework</w:t>
      </w:r>
      <w:bookmarkEnd w:id="60"/>
    </w:p>
    <w:p w14:paraId="3A40D371" w14:textId="77777777" w:rsidR="004D7B74" w:rsidRPr="00BB4FE7" w:rsidRDefault="004D7B74" w:rsidP="00BB4FE7">
      <w:r w:rsidRPr="00BB4FE7">
        <w:t>The Commonwealth Performance Framework is established by the Public Governance, Performance and Accountability Act 2013 (PGPA Act) and requires entities to demonstrate how public resources have been applied to achieve their purposes. It outlines the obligations of accountable authorities to prepare corporate plans, with section 16E of the Public Governance, Performance and Accountability Rule 2014 (PGPA Rule) prescribing the requirements for corporate plans and performance information published by entities.</w:t>
      </w:r>
    </w:p>
    <w:p w14:paraId="66A80C23" w14:textId="7C582E20" w:rsidR="004D7B74" w:rsidRPr="00D97A12" w:rsidRDefault="004D7B74" w:rsidP="00D97A12">
      <w:pPr>
        <w:rPr>
          <w:rStyle w:val="Strong"/>
        </w:rPr>
      </w:pPr>
      <w:r w:rsidRPr="00D97A12">
        <w:rPr>
          <w:rStyle w:val="Strong"/>
        </w:rPr>
        <w:t>Department of Health and Aged Care Performance Planning Framework</w:t>
      </w:r>
    </w:p>
    <w:p w14:paraId="70EF1AC7" w14:textId="7CEC9C12" w:rsidR="00E66A44" w:rsidRDefault="00E12EA7" w:rsidP="004D7B74">
      <w:pPr>
        <w:spacing w:before="120" w:after="120"/>
        <w:rPr>
          <w:rStyle w:val="Strong"/>
          <w:rFonts w:cs="Arial"/>
        </w:rPr>
      </w:pPr>
      <w:r>
        <w:rPr>
          <w:noProof/>
        </w:rPr>
        <w:drawing>
          <wp:inline distT="0" distB="0" distL="0" distR="0" wp14:anchorId="1C2C68EF" wp14:editId="47DA1866">
            <wp:extent cx="5324571" cy="4467225"/>
            <wp:effectExtent l="0" t="0" r="9525" b="0"/>
            <wp:docPr id="813164033" name="Picture 1" descr="Flow chart showing the Department of Health and Aged Care Performance Plann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64033" name="Picture 1" descr="Flow chart showing the Department of Health and Aged Care Performance Planning Framework"/>
                    <pic:cNvPicPr/>
                  </pic:nvPicPr>
                  <pic:blipFill>
                    <a:blip r:embed="rId14"/>
                    <a:stretch>
                      <a:fillRect/>
                    </a:stretch>
                  </pic:blipFill>
                  <pic:spPr>
                    <a:xfrm>
                      <a:off x="0" y="0"/>
                      <a:ext cx="5330514" cy="4472211"/>
                    </a:xfrm>
                    <a:prstGeom prst="rect">
                      <a:avLst/>
                    </a:prstGeom>
                  </pic:spPr>
                </pic:pic>
              </a:graphicData>
            </a:graphic>
          </wp:inline>
        </w:drawing>
      </w:r>
    </w:p>
    <w:p w14:paraId="3BD52ACA" w14:textId="32624581" w:rsidR="004D7B74" w:rsidRPr="00E12EA7" w:rsidRDefault="004D7B74" w:rsidP="00E12EA7">
      <w:pPr>
        <w:pStyle w:val="Heading2"/>
      </w:pPr>
      <w:bookmarkStart w:id="61" w:name="_Toc175846492"/>
      <w:r w:rsidRPr="00E12EA7">
        <w:t>Department’s Performance Measurement and Reporting Framework</w:t>
      </w:r>
      <w:bookmarkEnd w:id="61"/>
    </w:p>
    <w:p w14:paraId="7BD7633E" w14:textId="70B16326" w:rsidR="004D7B74" w:rsidRPr="00BB4FE7" w:rsidRDefault="004D7B74" w:rsidP="00BB4FE7">
      <w:r w:rsidRPr="00BB4FE7">
        <w:t xml:space="preserve">In addition to the Commonwealth Performance Framework, our Performance Measurement and Reporting Framework enables a clearer line of sight between planning, measuring, monitoring, </w:t>
      </w:r>
      <w:proofErr w:type="gramStart"/>
      <w:r w:rsidRPr="00BB4FE7">
        <w:t>evaluating</w:t>
      </w:r>
      <w:proofErr w:type="gramEnd"/>
      <w:r w:rsidRPr="00BB4FE7">
        <w:t xml:space="preserve"> and reporting performance, which in turn informs policy development and implementation.</w:t>
      </w:r>
    </w:p>
    <w:tbl>
      <w:tblPr>
        <w:tblStyle w:val="TableGrid"/>
        <w:tblW w:w="9493" w:type="dxa"/>
        <w:tblLook w:val="0420" w:firstRow="1" w:lastRow="0" w:firstColumn="0" w:lastColumn="0" w:noHBand="0" w:noVBand="1"/>
        <w:tblDescription w:val="Table to be read left to right, top to bottom. This table decribes the two main planning and reporting fields. First the external audience and then the internal audience."/>
      </w:tblPr>
      <w:tblGrid>
        <w:gridCol w:w="2689"/>
        <w:gridCol w:w="3269"/>
        <w:gridCol w:w="3535"/>
      </w:tblGrid>
      <w:tr w:rsidR="004D7B74" w:rsidRPr="00E12EA7" w14:paraId="2025BE17" w14:textId="77777777" w:rsidTr="00D97A12">
        <w:trPr>
          <w:cnfStyle w:val="100000000000" w:firstRow="1" w:lastRow="0" w:firstColumn="0" w:lastColumn="0" w:oddVBand="0" w:evenVBand="0" w:oddHBand="0" w:evenHBand="0" w:firstRowFirstColumn="0" w:firstRowLastColumn="0" w:lastRowFirstColumn="0" w:lastRowLastColumn="0"/>
          <w:trHeight w:val="454"/>
          <w:tblHeader/>
        </w:trPr>
        <w:tc>
          <w:tcPr>
            <w:tcW w:w="2689" w:type="dxa"/>
          </w:tcPr>
          <w:p w14:paraId="110735E4" w14:textId="20420A82" w:rsidR="004D7B74" w:rsidRPr="00D97A12" w:rsidRDefault="002D05DA" w:rsidP="00D97A12">
            <w:pPr>
              <w:rPr>
                <w:rFonts w:eastAsiaTheme="minorHAnsi"/>
              </w:rPr>
            </w:pPr>
            <w:r w:rsidRPr="00D97A12">
              <w:rPr>
                <w:rFonts w:eastAsiaTheme="minorHAnsi"/>
              </w:rPr>
              <w:t>Audience</w:t>
            </w:r>
          </w:p>
        </w:tc>
        <w:tc>
          <w:tcPr>
            <w:tcW w:w="3269" w:type="dxa"/>
          </w:tcPr>
          <w:p w14:paraId="5CAB22C0" w14:textId="77777777" w:rsidR="004D7B74" w:rsidRPr="00D97A12" w:rsidRDefault="004D7B74" w:rsidP="00D97A12">
            <w:pPr>
              <w:rPr>
                <w:rFonts w:eastAsiaTheme="minorHAnsi"/>
              </w:rPr>
            </w:pPr>
            <w:r w:rsidRPr="00D97A12">
              <w:rPr>
                <w:rFonts w:eastAsiaTheme="minorHAnsi"/>
              </w:rPr>
              <w:t>Planning</w:t>
            </w:r>
          </w:p>
        </w:tc>
        <w:tc>
          <w:tcPr>
            <w:tcW w:w="3535" w:type="dxa"/>
          </w:tcPr>
          <w:p w14:paraId="2C60FF0F" w14:textId="77777777" w:rsidR="004D7B74" w:rsidRPr="00D97A12" w:rsidRDefault="004D7B74" w:rsidP="00D97A12">
            <w:pPr>
              <w:rPr>
                <w:rFonts w:eastAsiaTheme="minorHAnsi"/>
              </w:rPr>
            </w:pPr>
            <w:r w:rsidRPr="00D97A12">
              <w:rPr>
                <w:rFonts w:eastAsiaTheme="minorHAnsi"/>
              </w:rPr>
              <w:t>Reporting</w:t>
            </w:r>
          </w:p>
        </w:tc>
      </w:tr>
      <w:tr w:rsidR="004D7B74" w:rsidRPr="00E12EA7" w14:paraId="31142A1D" w14:textId="77777777" w:rsidTr="00D97A12">
        <w:tc>
          <w:tcPr>
            <w:tcW w:w="2689" w:type="dxa"/>
          </w:tcPr>
          <w:p w14:paraId="62FA3173" w14:textId="77777777" w:rsidR="004D7B74" w:rsidRPr="00E12EA7" w:rsidRDefault="004D7B74" w:rsidP="00E12EA7">
            <w:r w:rsidRPr="00E12EA7">
              <w:t>External audience, less detail, broad scope</w:t>
            </w:r>
          </w:p>
        </w:tc>
        <w:tc>
          <w:tcPr>
            <w:tcW w:w="3269" w:type="dxa"/>
          </w:tcPr>
          <w:p w14:paraId="3347F25A" w14:textId="77777777" w:rsidR="004D7B74" w:rsidRPr="00E12EA7" w:rsidRDefault="004D7B74" w:rsidP="00831CC8">
            <w:pPr>
              <w:pStyle w:val="ListBullet2"/>
              <w:spacing w:before="0"/>
            </w:pPr>
            <w:r w:rsidRPr="00E12EA7">
              <w:t>Government Priorities</w:t>
            </w:r>
          </w:p>
          <w:p w14:paraId="6A293DE9" w14:textId="77777777" w:rsidR="004D7B74" w:rsidRPr="00E12EA7" w:rsidRDefault="004D7B74" w:rsidP="00831CC8">
            <w:pPr>
              <w:pStyle w:val="ListBullet2"/>
              <w:spacing w:before="0"/>
            </w:pPr>
            <w:r w:rsidRPr="00E12EA7">
              <w:t>Corporate Plan</w:t>
            </w:r>
          </w:p>
          <w:p w14:paraId="4B38FDF8" w14:textId="77777777" w:rsidR="004D7B74" w:rsidRPr="00E12EA7" w:rsidRDefault="004D7B74" w:rsidP="00831CC8">
            <w:pPr>
              <w:pStyle w:val="ListBullet2"/>
              <w:spacing w:before="0"/>
            </w:pPr>
            <w:r w:rsidRPr="00E12EA7">
              <w:t>Portfolio Budget Statements</w:t>
            </w:r>
          </w:p>
        </w:tc>
        <w:tc>
          <w:tcPr>
            <w:tcW w:w="3535" w:type="dxa"/>
          </w:tcPr>
          <w:p w14:paraId="6473E344" w14:textId="77777777" w:rsidR="004D7B74" w:rsidRPr="00E12EA7" w:rsidRDefault="004D7B74" w:rsidP="00E12EA7">
            <w:pPr>
              <w:pStyle w:val="ListBullet2"/>
            </w:pPr>
            <w:r w:rsidRPr="00E12EA7">
              <w:t>Annual Performance Statements</w:t>
            </w:r>
          </w:p>
          <w:p w14:paraId="2A9BABA2" w14:textId="4EDACAF8" w:rsidR="004D7B74" w:rsidRPr="00E12EA7" w:rsidRDefault="004D7B74" w:rsidP="00E12EA7">
            <w:pPr>
              <w:pStyle w:val="ListBullet2"/>
            </w:pPr>
            <w:r w:rsidRPr="00E12EA7">
              <w:t>Annual Report</w:t>
            </w:r>
          </w:p>
        </w:tc>
      </w:tr>
      <w:tr w:rsidR="004D7B74" w:rsidRPr="00E12EA7" w14:paraId="3FC9F897" w14:textId="77777777" w:rsidTr="00D97A12">
        <w:tc>
          <w:tcPr>
            <w:tcW w:w="2689" w:type="dxa"/>
          </w:tcPr>
          <w:p w14:paraId="6DA06037" w14:textId="77777777" w:rsidR="004D7B74" w:rsidRPr="00E12EA7" w:rsidRDefault="004D7B74" w:rsidP="00E12EA7">
            <w:r w:rsidRPr="00E12EA7">
              <w:t>Internal audience, more detail, narrow scope</w:t>
            </w:r>
          </w:p>
        </w:tc>
        <w:tc>
          <w:tcPr>
            <w:tcW w:w="3269" w:type="dxa"/>
          </w:tcPr>
          <w:p w14:paraId="3C981B56" w14:textId="77777777" w:rsidR="004D7B74" w:rsidRPr="00E12EA7" w:rsidRDefault="004D7B74" w:rsidP="00E12EA7">
            <w:pPr>
              <w:pStyle w:val="ListBullet2"/>
            </w:pPr>
            <w:r w:rsidRPr="00E12EA7">
              <w:t>Division business plans</w:t>
            </w:r>
          </w:p>
          <w:p w14:paraId="325D87BD" w14:textId="77777777" w:rsidR="004D7B74" w:rsidRPr="00E12EA7" w:rsidRDefault="004D7B74" w:rsidP="00E12EA7">
            <w:pPr>
              <w:pStyle w:val="ListBullet2"/>
            </w:pPr>
            <w:r w:rsidRPr="00E12EA7">
              <w:t>Branch and section plans</w:t>
            </w:r>
          </w:p>
          <w:p w14:paraId="492D1ACD" w14:textId="77777777" w:rsidR="004D7B74" w:rsidRPr="00E12EA7" w:rsidRDefault="004D7B74" w:rsidP="00E12EA7">
            <w:pPr>
              <w:pStyle w:val="ListBullet2"/>
            </w:pPr>
            <w:r w:rsidRPr="00E12EA7">
              <w:t xml:space="preserve">Program and project </w:t>
            </w:r>
            <w:proofErr w:type="gramStart"/>
            <w:r w:rsidRPr="00E12EA7">
              <w:t>plans</w:t>
            </w:r>
            <w:proofErr w:type="gramEnd"/>
          </w:p>
          <w:p w14:paraId="626A0CB4" w14:textId="77777777" w:rsidR="004D7B74" w:rsidRPr="00E12EA7" w:rsidRDefault="004D7B74" w:rsidP="00E12EA7">
            <w:pPr>
              <w:pStyle w:val="ListBullet2"/>
            </w:pPr>
            <w:r w:rsidRPr="00E12EA7">
              <w:t>Individual performance and development plans</w:t>
            </w:r>
          </w:p>
        </w:tc>
        <w:tc>
          <w:tcPr>
            <w:tcW w:w="3535" w:type="dxa"/>
          </w:tcPr>
          <w:p w14:paraId="19763441" w14:textId="77777777" w:rsidR="004D7B74" w:rsidRPr="00E12EA7" w:rsidRDefault="004D7B74" w:rsidP="00E12EA7">
            <w:pPr>
              <w:pStyle w:val="ListBullet2"/>
            </w:pPr>
            <w:r w:rsidRPr="00E12EA7">
              <w:t>Internal performance evaluation</w:t>
            </w:r>
          </w:p>
          <w:p w14:paraId="66BF5370" w14:textId="77777777" w:rsidR="004D7B74" w:rsidRPr="00E12EA7" w:rsidRDefault="004D7B74" w:rsidP="00E12EA7">
            <w:pPr>
              <w:pStyle w:val="ListBullet2"/>
            </w:pPr>
            <w:r w:rsidRPr="00E12EA7">
              <w:t>Reporting to governance bodies</w:t>
            </w:r>
          </w:p>
          <w:p w14:paraId="54F0E7DF" w14:textId="77777777" w:rsidR="004D7B74" w:rsidRPr="00E12EA7" w:rsidRDefault="004D7B74" w:rsidP="00E12EA7">
            <w:pPr>
              <w:pStyle w:val="ListBullet2"/>
            </w:pPr>
            <w:r w:rsidRPr="00E12EA7">
              <w:t xml:space="preserve">Program and project </w:t>
            </w:r>
            <w:proofErr w:type="gramStart"/>
            <w:r w:rsidRPr="00E12EA7">
              <w:t>reporting</w:t>
            </w:r>
            <w:proofErr w:type="gramEnd"/>
          </w:p>
          <w:p w14:paraId="38FC3D57" w14:textId="77777777" w:rsidR="004D7B74" w:rsidRPr="00E12EA7" w:rsidRDefault="004D7B74" w:rsidP="00E12EA7">
            <w:pPr>
              <w:pStyle w:val="ListBullet2"/>
            </w:pPr>
            <w:r w:rsidRPr="00E12EA7">
              <w:t>Individual performance reviews</w:t>
            </w:r>
          </w:p>
        </w:tc>
      </w:tr>
    </w:tbl>
    <w:p w14:paraId="72D2DF5A" w14:textId="72AEDD52" w:rsidR="004D7B74" w:rsidRPr="00E12EA7" w:rsidRDefault="004D7B74" w:rsidP="00E12EA7">
      <w:pPr>
        <w:pStyle w:val="Heading2"/>
      </w:pPr>
      <w:bookmarkStart w:id="62" w:name="_Toc175846493"/>
      <w:r w:rsidRPr="00E12EA7">
        <w:lastRenderedPageBreak/>
        <w:t>Our Performance Assessment and Assurance</w:t>
      </w:r>
      <w:bookmarkEnd w:id="62"/>
    </w:p>
    <w:p w14:paraId="1ECF8419" w14:textId="4E9C813C" w:rsidR="004D7B74" w:rsidRPr="001B6666" w:rsidRDefault="004D7B74" w:rsidP="004D7B74">
      <w:pPr>
        <w:spacing w:before="120" w:after="120" w:line="20" w:lineRule="atLeast"/>
        <w:rPr>
          <w:rFonts w:cs="Arial"/>
        </w:rPr>
      </w:pPr>
      <w:r w:rsidRPr="001B6666">
        <w:rPr>
          <w:rFonts w:cs="Arial"/>
        </w:rPr>
        <w:t>We</w:t>
      </w:r>
      <w:r w:rsidRPr="001B6666">
        <w:rPr>
          <w:rFonts w:cs="Arial"/>
          <w:spacing w:val="-14"/>
        </w:rPr>
        <w:t xml:space="preserve"> </w:t>
      </w:r>
      <w:r w:rsidRPr="001B6666">
        <w:rPr>
          <w:rFonts w:cs="Arial"/>
        </w:rPr>
        <w:t>assess</w:t>
      </w:r>
      <w:r w:rsidRPr="001B6666">
        <w:rPr>
          <w:rFonts w:cs="Arial"/>
          <w:spacing w:val="-14"/>
        </w:rPr>
        <w:t xml:space="preserve"> </w:t>
      </w:r>
      <w:r w:rsidRPr="001B6666">
        <w:rPr>
          <w:rFonts w:cs="Arial"/>
        </w:rPr>
        <w:t>our</w:t>
      </w:r>
      <w:r w:rsidRPr="001B6666">
        <w:rPr>
          <w:rFonts w:cs="Arial"/>
          <w:spacing w:val="-14"/>
        </w:rPr>
        <w:t xml:space="preserve"> </w:t>
      </w:r>
      <w:r w:rsidRPr="001B6666">
        <w:rPr>
          <w:rFonts w:cs="Arial"/>
        </w:rPr>
        <w:t>performance</w:t>
      </w:r>
      <w:r w:rsidRPr="001B6666">
        <w:rPr>
          <w:rFonts w:cs="Arial"/>
          <w:spacing w:val="-14"/>
        </w:rPr>
        <w:t xml:space="preserve"> </w:t>
      </w:r>
      <w:r w:rsidRPr="001B6666">
        <w:rPr>
          <w:rFonts w:cs="Arial"/>
        </w:rPr>
        <w:t>by</w:t>
      </w:r>
      <w:r w:rsidRPr="001B6666">
        <w:rPr>
          <w:rFonts w:cs="Arial"/>
          <w:spacing w:val="-14"/>
        </w:rPr>
        <w:t xml:space="preserve"> </w:t>
      </w:r>
      <w:r w:rsidRPr="001B6666">
        <w:rPr>
          <w:rFonts w:cs="Arial"/>
        </w:rPr>
        <w:t>measuring</w:t>
      </w:r>
      <w:r w:rsidRPr="001B6666">
        <w:rPr>
          <w:rFonts w:cs="Arial"/>
          <w:spacing w:val="-14"/>
        </w:rPr>
        <w:t xml:space="preserve"> </w:t>
      </w:r>
      <w:r w:rsidRPr="001B6666">
        <w:rPr>
          <w:rFonts w:cs="Arial"/>
        </w:rPr>
        <w:t>how</w:t>
      </w:r>
      <w:r w:rsidRPr="001B6666">
        <w:rPr>
          <w:rFonts w:cs="Arial"/>
          <w:spacing w:val="-14"/>
        </w:rPr>
        <w:t xml:space="preserve"> </w:t>
      </w:r>
      <w:r w:rsidRPr="001B6666">
        <w:rPr>
          <w:rFonts w:cs="Arial"/>
        </w:rPr>
        <w:t>we</w:t>
      </w:r>
      <w:r w:rsidRPr="001B6666">
        <w:rPr>
          <w:rFonts w:cs="Arial"/>
          <w:spacing w:val="-14"/>
        </w:rPr>
        <w:t xml:space="preserve"> </w:t>
      </w:r>
      <w:r w:rsidRPr="001B6666">
        <w:rPr>
          <w:rFonts w:cs="Arial"/>
        </w:rPr>
        <w:t xml:space="preserve">meet </w:t>
      </w:r>
      <w:r w:rsidRPr="001B6666">
        <w:rPr>
          <w:rFonts w:cs="Arial"/>
          <w:spacing w:val="-2"/>
        </w:rPr>
        <w:t>the</w:t>
      </w:r>
      <w:r w:rsidRPr="001B6666">
        <w:rPr>
          <w:rFonts w:cs="Arial"/>
          <w:spacing w:val="-12"/>
        </w:rPr>
        <w:t xml:space="preserve"> </w:t>
      </w:r>
      <w:r w:rsidRPr="001B6666">
        <w:rPr>
          <w:rFonts w:cs="Arial"/>
          <w:spacing w:val="-2"/>
        </w:rPr>
        <w:t>objectives</w:t>
      </w:r>
      <w:r w:rsidRPr="001B6666">
        <w:rPr>
          <w:rFonts w:cs="Arial"/>
          <w:spacing w:val="-12"/>
        </w:rPr>
        <w:t xml:space="preserve"> </w:t>
      </w:r>
      <w:r w:rsidRPr="001B6666">
        <w:rPr>
          <w:rFonts w:cs="Arial"/>
          <w:spacing w:val="-2"/>
        </w:rPr>
        <w:t>of</w:t>
      </w:r>
      <w:r w:rsidRPr="001B6666">
        <w:rPr>
          <w:rFonts w:cs="Arial"/>
          <w:spacing w:val="-12"/>
        </w:rPr>
        <w:t xml:space="preserve"> </w:t>
      </w:r>
      <w:r w:rsidRPr="001B6666">
        <w:rPr>
          <w:rFonts w:cs="Arial"/>
          <w:spacing w:val="-2"/>
        </w:rPr>
        <w:t>our</w:t>
      </w:r>
      <w:r w:rsidRPr="001B6666">
        <w:rPr>
          <w:rFonts w:cs="Arial"/>
          <w:spacing w:val="-12"/>
        </w:rPr>
        <w:t xml:space="preserve"> </w:t>
      </w:r>
      <w:r w:rsidRPr="001B6666">
        <w:rPr>
          <w:rFonts w:cs="Arial"/>
          <w:spacing w:val="-2"/>
        </w:rPr>
        <w:t>20</w:t>
      </w:r>
      <w:r w:rsidRPr="001B6666">
        <w:rPr>
          <w:rFonts w:cs="Arial"/>
          <w:spacing w:val="-12"/>
        </w:rPr>
        <w:t xml:space="preserve"> </w:t>
      </w:r>
      <w:r w:rsidRPr="001B6666">
        <w:rPr>
          <w:rFonts w:cs="Arial"/>
          <w:spacing w:val="-2"/>
        </w:rPr>
        <w:t>programs,</w:t>
      </w:r>
      <w:r w:rsidRPr="001B6666">
        <w:rPr>
          <w:rFonts w:cs="Arial"/>
          <w:spacing w:val="-12"/>
        </w:rPr>
        <w:t xml:space="preserve"> </w:t>
      </w:r>
      <w:r w:rsidRPr="001B6666">
        <w:rPr>
          <w:rFonts w:cs="Arial"/>
          <w:spacing w:val="-2"/>
        </w:rPr>
        <w:t>and</w:t>
      </w:r>
      <w:r w:rsidRPr="001B6666">
        <w:rPr>
          <w:rFonts w:cs="Arial"/>
          <w:spacing w:val="-12"/>
        </w:rPr>
        <w:t xml:space="preserve"> </w:t>
      </w:r>
      <w:r w:rsidRPr="001B6666">
        <w:rPr>
          <w:rFonts w:cs="Arial"/>
          <w:spacing w:val="-2"/>
        </w:rPr>
        <w:t>through</w:t>
      </w:r>
      <w:r w:rsidRPr="001B6666">
        <w:rPr>
          <w:rFonts w:cs="Arial"/>
          <w:spacing w:val="-12"/>
        </w:rPr>
        <w:t xml:space="preserve"> </w:t>
      </w:r>
      <w:r w:rsidRPr="001B6666">
        <w:rPr>
          <w:rFonts w:cs="Arial"/>
          <w:spacing w:val="-2"/>
        </w:rPr>
        <w:t>them</w:t>
      </w:r>
      <w:r w:rsidRPr="001B6666">
        <w:rPr>
          <w:rFonts w:cs="Arial"/>
          <w:spacing w:val="-12"/>
        </w:rPr>
        <w:t xml:space="preserve"> </w:t>
      </w:r>
      <w:r w:rsidRPr="001B6666">
        <w:rPr>
          <w:rFonts w:cs="Arial"/>
          <w:spacing w:val="-2"/>
        </w:rPr>
        <w:t xml:space="preserve">how </w:t>
      </w:r>
      <w:r w:rsidRPr="001B6666">
        <w:rPr>
          <w:rFonts w:eastAsia="Arial" w:cs="Arial"/>
          <w:lang w:val="en-US"/>
        </w:rPr>
        <w:t>we achieve our 4 outcomes. For each program, we list the material key activities we will undertake</w:t>
      </w:r>
      <w:r w:rsidR="00FD25F4" w:rsidRPr="001B6666">
        <w:rPr>
          <w:rFonts w:eastAsia="Arial" w:cs="Arial"/>
          <w:lang w:val="en-US"/>
        </w:rPr>
        <w:t xml:space="preserve"> </w:t>
      </w:r>
      <w:r w:rsidRPr="001B6666">
        <w:rPr>
          <w:rFonts w:eastAsia="Arial" w:cs="Arial"/>
          <w:lang w:val="en-US"/>
        </w:rPr>
        <w:t xml:space="preserve">and the performance measures and planned </w:t>
      </w:r>
      <w:r w:rsidRPr="001B6666">
        <w:rPr>
          <w:rFonts w:cs="Arial"/>
        </w:rPr>
        <w:t>performance results to track our progress.</w:t>
      </w:r>
    </w:p>
    <w:p w14:paraId="1A0B6510" w14:textId="33ED5214" w:rsidR="004D7B74" w:rsidRPr="00BB4FE7" w:rsidRDefault="004D7B74" w:rsidP="00BB4FE7">
      <w:r w:rsidRPr="00BB4FE7">
        <w:t>These evidence-based performance elements are designed to both plan and report our performance reliably and consisten</w:t>
      </w:r>
      <w:r w:rsidR="00F13814" w:rsidRPr="00BB4FE7">
        <w:t>c</w:t>
      </w:r>
      <w:r w:rsidRPr="00BB4FE7">
        <w:t xml:space="preserve">y across multiple performance cycles. </w:t>
      </w:r>
      <w:r w:rsidR="004075FC" w:rsidRPr="00BB4FE7">
        <w:t>Assessments and results of our performance measurement identified in the 2024–25 Corporate Plan will be reported in the 2024–25 Annual Performance Statements (included in our Annual Report).</w:t>
      </w:r>
    </w:p>
    <w:p w14:paraId="4230D035" w14:textId="77777777" w:rsidR="004D7B74" w:rsidRPr="00BB4FE7" w:rsidRDefault="004D7B74" w:rsidP="00BB4FE7">
      <w:r w:rsidRPr="00BB4FE7">
        <w:t>We seek to improve the clarity, reliability, and objectivity of our performance reporting through our Strategic Plan. This is achieved through:</w:t>
      </w:r>
    </w:p>
    <w:p w14:paraId="65B06056" w14:textId="2E4F90F1" w:rsidR="004D7B74" w:rsidRPr="00831CC8" w:rsidRDefault="004D7B74" w:rsidP="00831CC8">
      <w:pPr>
        <w:pStyle w:val="ListBullet3"/>
      </w:pPr>
      <w:r w:rsidRPr="00831CC8">
        <w:t xml:space="preserve">reviewing our performance framework to ensure our key activities and corresponding performance measures are relevant, up-to-date and aligned with government </w:t>
      </w:r>
      <w:proofErr w:type="gramStart"/>
      <w:r w:rsidRPr="00831CC8">
        <w:t>priorities</w:t>
      </w:r>
      <w:proofErr w:type="gramEnd"/>
    </w:p>
    <w:p w14:paraId="3A6CB057" w14:textId="4E392FFA" w:rsidR="004D7B74" w:rsidRPr="00831CC8" w:rsidRDefault="004D7B74" w:rsidP="00831CC8">
      <w:pPr>
        <w:pStyle w:val="ListBullet3"/>
      </w:pPr>
      <w:r w:rsidRPr="00831CC8">
        <w:t xml:space="preserve">ongoing review to streamline and align performance information across the </w:t>
      </w:r>
      <w:r w:rsidR="00E63AD7" w:rsidRPr="00831CC8">
        <w:br/>
      </w:r>
      <w:r w:rsidRPr="00831CC8">
        <w:t>Portfolio Budget Statements, Corporate Plan and Annual Performance Statements</w:t>
      </w:r>
    </w:p>
    <w:p w14:paraId="76B5BF10" w14:textId="069E7819" w:rsidR="004D7B74" w:rsidRPr="00831CC8" w:rsidRDefault="004D7B74" w:rsidP="00831CC8">
      <w:pPr>
        <w:pStyle w:val="ListBullet3"/>
      </w:pPr>
      <w:r w:rsidRPr="00831CC8">
        <w:t>ensuring performance data collected is reliable, verifiable</w:t>
      </w:r>
      <w:r w:rsidR="00745243" w:rsidRPr="00831CC8">
        <w:t xml:space="preserve"> </w:t>
      </w:r>
      <w:r w:rsidRPr="00831CC8">
        <w:t xml:space="preserve">and supported by proportionate assurance </w:t>
      </w:r>
      <w:proofErr w:type="gramStart"/>
      <w:r w:rsidRPr="00831CC8">
        <w:t>processes</w:t>
      </w:r>
      <w:proofErr w:type="gramEnd"/>
    </w:p>
    <w:p w14:paraId="356FB143" w14:textId="77777777" w:rsidR="004D7B74" w:rsidRPr="00831CC8" w:rsidRDefault="004D7B74" w:rsidP="00831CC8">
      <w:pPr>
        <w:pStyle w:val="ListBullet3"/>
      </w:pPr>
      <w:r w:rsidRPr="00831CC8">
        <w:t xml:space="preserve">improving the identification and documentation of data sources and methodologies used to measure results against performance </w:t>
      </w:r>
      <w:proofErr w:type="gramStart"/>
      <w:r w:rsidRPr="00831CC8">
        <w:t>measures</w:t>
      </w:r>
      <w:proofErr w:type="gramEnd"/>
    </w:p>
    <w:p w14:paraId="18F03946" w14:textId="77777777" w:rsidR="004D7B74" w:rsidRPr="00831CC8" w:rsidRDefault="004D7B74" w:rsidP="00831CC8">
      <w:pPr>
        <w:pStyle w:val="ListBullet3"/>
      </w:pPr>
      <w:r w:rsidRPr="00831CC8">
        <w:t xml:space="preserve">continuing analysis of performance measures to balance the mix of quantitative and qualitative measures of outputs, efficiency and </w:t>
      </w:r>
      <w:proofErr w:type="gramStart"/>
      <w:r w:rsidRPr="00831CC8">
        <w:t>effectiveness</w:t>
      </w:r>
      <w:proofErr w:type="gramEnd"/>
    </w:p>
    <w:p w14:paraId="52D1F56A" w14:textId="77777777" w:rsidR="004D7B74" w:rsidRPr="00831CC8" w:rsidRDefault="004D7B74" w:rsidP="00831CC8">
      <w:pPr>
        <w:pStyle w:val="ListBullet3"/>
      </w:pPr>
      <w:r w:rsidRPr="00831CC8">
        <w:t xml:space="preserve">disclosing any limitations associated with the data and methodology used to assess </w:t>
      </w:r>
      <w:proofErr w:type="gramStart"/>
      <w:r w:rsidRPr="00831CC8">
        <w:t>performance</w:t>
      </w:r>
      <w:proofErr w:type="gramEnd"/>
    </w:p>
    <w:p w14:paraId="5BC0CC2E" w14:textId="77777777" w:rsidR="004D7B74" w:rsidRPr="00831CC8" w:rsidRDefault="004D7B74" w:rsidP="00831CC8">
      <w:pPr>
        <w:pStyle w:val="ListBullet3"/>
      </w:pPr>
      <w:r w:rsidRPr="00831CC8">
        <w:t>seeking regular external assurance of performance information to ensure unbiased review of performance measures and the associated planned performance for adherence to the PGPA Rule.</w:t>
      </w:r>
    </w:p>
    <w:p w14:paraId="7E3F7E7C" w14:textId="0D31F252" w:rsidR="004D7B74" w:rsidRPr="001B6666" w:rsidRDefault="004D7B74" w:rsidP="004D7B74">
      <w:pPr>
        <w:rPr>
          <w:rFonts w:cs="Arial"/>
        </w:rPr>
      </w:pPr>
      <w:r w:rsidRPr="001B6666">
        <w:rPr>
          <w:rFonts w:cs="Arial"/>
        </w:rPr>
        <w:t xml:space="preserve">These steps will further help us to ensure consistency and ‘clear read’ is achieved between key reporting documents, thereby making our </w:t>
      </w:r>
      <w:r w:rsidR="00710219" w:rsidRPr="001B6666">
        <w:rPr>
          <w:rFonts w:cs="Arial"/>
        </w:rPr>
        <w:t xml:space="preserve">reporting more aligned with our </w:t>
      </w:r>
      <w:r w:rsidR="000643D3" w:rsidRPr="001B6666">
        <w:rPr>
          <w:rFonts w:cs="Arial"/>
        </w:rPr>
        <w:t xml:space="preserve">legislative requirements </w:t>
      </w:r>
      <w:r w:rsidRPr="001B6666">
        <w:rPr>
          <w:rFonts w:cs="Arial"/>
        </w:rPr>
        <w:t xml:space="preserve">to the Australian Government, </w:t>
      </w:r>
      <w:proofErr w:type="gramStart"/>
      <w:r w:rsidRPr="001B6666">
        <w:rPr>
          <w:rFonts w:cs="Arial"/>
        </w:rPr>
        <w:t>Parliament</w:t>
      </w:r>
      <w:proofErr w:type="gramEnd"/>
      <w:r w:rsidRPr="001B6666">
        <w:rPr>
          <w:rFonts w:cs="Arial"/>
        </w:rPr>
        <w:t xml:space="preserve"> and the public.</w:t>
      </w:r>
    </w:p>
    <w:p w14:paraId="5785662A" w14:textId="349A19CD" w:rsidR="000730D9" w:rsidRDefault="00E66A44" w:rsidP="002A42FD">
      <w:pPr>
        <w:rPr>
          <w:rStyle w:val="Heading1Char"/>
          <w:rFonts w:eastAsiaTheme="minorHAnsi"/>
          <w:color w:val="auto"/>
          <w:sz w:val="20"/>
          <w:szCs w:val="20"/>
        </w:rPr>
      </w:pPr>
      <w:bookmarkStart w:id="63" w:name="_Toc175293616"/>
      <w:bookmarkStart w:id="64" w:name="_Outcome_1_Health"/>
      <w:bookmarkEnd w:id="64"/>
      <w:r w:rsidRPr="001B6666">
        <w:rPr>
          <w:rStyle w:val="Heading1Char"/>
          <w:rFonts w:eastAsiaTheme="minorHAnsi"/>
          <w:color w:val="auto"/>
          <w:sz w:val="22"/>
          <w:szCs w:val="22"/>
        </w:rPr>
        <w:br w:type="page"/>
      </w:r>
    </w:p>
    <w:p w14:paraId="1557282D" w14:textId="7B611C3E" w:rsidR="004D7B74" w:rsidRPr="00831CC8" w:rsidRDefault="004D7B74" w:rsidP="002A42FD">
      <w:pPr>
        <w:pStyle w:val="Heading1"/>
        <w:rPr>
          <w:rFonts w:eastAsiaTheme="minorHAnsi"/>
        </w:rPr>
      </w:pPr>
      <w:bookmarkStart w:id="65" w:name="_Toc175846494"/>
      <w:r w:rsidRPr="00831CC8">
        <w:rPr>
          <w:rFonts w:eastAsiaTheme="minorHAnsi"/>
        </w:rPr>
        <w:lastRenderedPageBreak/>
        <w:t xml:space="preserve">Outcome 1 </w:t>
      </w:r>
      <w:bookmarkStart w:id="66" w:name="_Hlk175669696"/>
      <w:r w:rsidRPr="00831CC8">
        <w:rPr>
          <w:rFonts w:eastAsiaTheme="minorHAnsi"/>
        </w:rPr>
        <w:t xml:space="preserve">Health Policy, </w:t>
      </w:r>
      <w:proofErr w:type="gramStart"/>
      <w:r w:rsidRPr="00831CC8">
        <w:rPr>
          <w:rFonts w:eastAsiaTheme="minorHAnsi"/>
        </w:rPr>
        <w:t>Access</w:t>
      </w:r>
      <w:proofErr w:type="gramEnd"/>
      <w:r w:rsidRPr="00831CC8">
        <w:rPr>
          <w:rFonts w:eastAsiaTheme="minorHAnsi"/>
        </w:rPr>
        <w:t xml:space="preserve"> and Support</w:t>
      </w:r>
      <w:bookmarkEnd w:id="0"/>
      <w:bookmarkEnd w:id="63"/>
      <w:bookmarkEnd w:id="65"/>
      <w:bookmarkEnd w:id="66"/>
    </w:p>
    <w:p w14:paraId="4BACF5C7" w14:textId="77777777" w:rsidR="004D7B74" w:rsidRPr="00831CC8" w:rsidRDefault="004D7B74" w:rsidP="00831CC8">
      <w:r w:rsidRPr="00831CC8">
        <w:t xml:space="preserve">Better equip Australia to meet current and future health needs of all Australians through the delivery of evidence-based health policies; improved access to comprehensive and coordinated health care; ensuring sustainable funding for health services, </w:t>
      </w:r>
      <w:proofErr w:type="gramStart"/>
      <w:r w:rsidRPr="00831CC8">
        <w:t>research</w:t>
      </w:r>
      <w:proofErr w:type="gramEnd"/>
      <w:r w:rsidRPr="00831CC8">
        <w:t xml:space="preserve"> and technologies; and protecting the health and safety of the Australian community.</w:t>
      </w:r>
    </w:p>
    <w:p w14:paraId="41DB4361" w14:textId="03697128" w:rsidR="007754BE" w:rsidRPr="00831CC8" w:rsidRDefault="007754BE" w:rsidP="009B44A6">
      <w:pPr>
        <w:pBdr>
          <w:top w:val="single" w:sz="8" w:space="1" w:color="A5A5A5" w:themeColor="accent3"/>
        </w:pBdr>
        <w:rPr>
          <w:rStyle w:val="Strong"/>
        </w:rPr>
      </w:pPr>
      <w:r w:rsidRPr="00831CC8">
        <w:rPr>
          <w:rStyle w:val="Strong"/>
        </w:rPr>
        <w:t>Outcome 1 is delivered through the following programs:</w:t>
      </w:r>
    </w:p>
    <w:p w14:paraId="7AECF038" w14:textId="02A4FC07" w:rsidR="008F3D43" w:rsidRPr="002A42FD" w:rsidRDefault="002A42FD" w:rsidP="001B6666">
      <w:pPr>
        <w:rPr>
          <w:rStyle w:val="Hyperlink"/>
          <w:rFonts w:eastAsiaTheme="majorEastAsia" w:cs="Arial"/>
        </w:rPr>
      </w:pPr>
      <w:r>
        <w:rPr>
          <w:rFonts w:eastAsiaTheme="majorEastAsia" w:cs="Arial"/>
        </w:rPr>
        <w:fldChar w:fldCharType="begin"/>
      </w:r>
      <w:r>
        <w:rPr>
          <w:rFonts w:eastAsiaTheme="majorEastAsia" w:cs="Arial"/>
        </w:rPr>
        <w:instrText>HYPERLINK  \l "_Program_1.1_Health"</w:instrText>
      </w:r>
      <w:r>
        <w:rPr>
          <w:rFonts w:eastAsiaTheme="majorEastAsia" w:cs="Arial"/>
        </w:rPr>
      </w:r>
      <w:r>
        <w:rPr>
          <w:rFonts w:eastAsiaTheme="majorEastAsia" w:cs="Arial"/>
        </w:rPr>
        <w:fldChar w:fldCharType="separate"/>
      </w:r>
      <w:r w:rsidR="008F3D43" w:rsidRPr="002A42FD">
        <w:rPr>
          <w:rStyle w:val="Hyperlink"/>
          <w:rFonts w:eastAsiaTheme="majorEastAsia" w:cs="Arial"/>
        </w:rPr>
        <w:t>1.1 Health Research, Coordination and Access</w:t>
      </w:r>
    </w:p>
    <w:p w14:paraId="6EC8869B" w14:textId="74FF98A3" w:rsidR="008F3D43" w:rsidRPr="00946965" w:rsidRDefault="002A42FD" w:rsidP="001B6666">
      <w:pPr>
        <w:rPr>
          <w:rFonts w:eastAsiaTheme="majorEastAsia" w:cs="Arial"/>
        </w:rPr>
      </w:pPr>
      <w:r>
        <w:rPr>
          <w:rFonts w:eastAsiaTheme="majorEastAsia" w:cs="Arial"/>
        </w:rPr>
        <w:fldChar w:fldCharType="end"/>
      </w:r>
      <w:hyperlink w:anchor="_Program_1.2_Mental" w:history="1">
        <w:r w:rsidR="008F3D43" w:rsidRPr="002A42FD">
          <w:rPr>
            <w:rStyle w:val="Hyperlink"/>
            <w:rFonts w:eastAsiaTheme="majorEastAsia" w:cs="Arial"/>
          </w:rPr>
          <w:t>1.2 Mental Health</w:t>
        </w:r>
      </w:hyperlink>
    </w:p>
    <w:p w14:paraId="1DE0E8AA" w14:textId="43DD5279" w:rsidR="008F3D43" w:rsidRPr="00946965" w:rsidRDefault="002A42FD" w:rsidP="001B6666">
      <w:pPr>
        <w:rPr>
          <w:rFonts w:eastAsiaTheme="majorEastAsia" w:cs="Arial"/>
        </w:rPr>
      </w:pPr>
      <w:hyperlink w:anchor="_Program_1.3_First" w:history="1">
        <w:r w:rsidR="008F3D43" w:rsidRPr="002A42FD">
          <w:rPr>
            <w:rStyle w:val="Hyperlink"/>
            <w:rFonts w:eastAsiaTheme="majorEastAsia" w:cs="Arial"/>
          </w:rPr>
          <w:t>1.3 First Nations Health</w:t>
        </w:r>
      </w:hyperlink>
    </w:p>
    <w:p w14:paraId="584A7B14" w14:textId="45F27969" w:rsidR="008F3D43" w:rsidRPr="00946965" w:rsidRDefault="002A42FD" w:rsidP="001B6666">
      <w:pPr>
        <w:rPr>
          <w:rFonts w:eastAsiaTheme="majorEastAsia" w:cs="Arial"/>
        </w:rPr>
      </w:pPr>
      <w:hyperlink w:anchor="_Program_1.4_Health" w:history="1">
        <w:r w:rsidR="008F3D43" w:rsidRPr="002A42FD">
          <w:rPr>
            <w:rStyle w:val="Hyperlink"/>
            <w:rFonts w:eastAsiaTheme="majorEastAsia" w:cs="Arial"/>
          </w:rPr>
          <w:t>1.4 Health Workforce</w:t>
        </w:r>
      </w:hyperlink>
    </w:p>
    <w:p w14:paraId="3C608662" w14:textId="1D85CC2D" w:rsidR="008F3D43" w:rsidRPr="00946965" w:rsidRDefault="002A42FD" w:rsidP="001B6666">
      <w:pPr>
        <w:rPr>
          <w:rFonts w:eastAsiaTheme="majorEastAsia" w:cs="Arial"/>
        </w:rPr>
      </w:pPr>
      <w:hyperlink w:anchor="_Program_1.5_Preventive" w:history="1">
        <w:r w:rsidR="008F3D43" w:rsidRPr="002A42FD">
          <w:rPr>
            <w:rStyle w:val="Hyperlink"/>
            <w:rFonts w:eastAsiaTheme="majorEastAsia" w:cs="Arial"/>
          </w:rPr>
          <w:t>1.5 Preventable Health and Chronic Disease Support</w:t>
        </w:r>
      </w:hyperlink>
    </w:p>
    <w:p w14:paraId="5E102874" w14:textId="4CC0B5D2" w:rsidR="008F3D43" w:rsidRPr="00946965" w:rsidRDefault="002A42FD" w:rsidP="001B6666">
      <w:pPr>
        <w:rPr>
          <w:rFonts w:eastAsiaTheme="majorEastAsia" w:cs="Arial"/>
        </w:rPr>
      </w:pPr>
      <w:hyperlink w:anchor="_Program_1.6_Primary" w:history="1">
        <w:r w:rsidR="008F3D43" w:rsidRPr="002A42FD">
          <w:rPr>
            <w:rStyle w:val="Hyperlink"/>
            <w:rFonts w:eastAsiaTheme="majorEastAsia" w:cs="Arial"/>
          </w:rPr>
          <w:t>1.6 Primary Health Care Quality and Coordination</w:t>
        </w:r>
      </w:hyperlink>
    </w:p>
    <w:p w14:paraId="2CECD597" w14:textId="33DFE082" w:rsidR="008F3D43" w:rsidRPr="00946965" w:rsidRDefault="002A42FD" w:rsidP="001B6666">
      <w:pPr>
        <w:rPr>
          <w:rFonts w:eastAsiaTheme="majorEastAsia" w:cs="Arial"/>
        </w:rPr>
      </w:pPr>
      <w:hyperlink w:anchor="_Program_1.7_Primary" w:history="1">
        <w:r w:rsidR="008F3D43" w:rsidRPr="002A42FD">
          <w:rPr>
            <w:rStyle w:val="Hyperlink"/>
            <w:rFonts w:eastAsiaTheme="majorEastAsia" w:cs="Arial"/>
          </w:rPr>
          <w:t>1.7 Primary Care Practice Incentives and Medical Indemnity</w:t>
        </w:r>
      </w:hyperlink>
    </w:p>
    <w:p w14:paraId="14CAC778" w14:textId="597C2C7A" w:rsidR="008F3D43" w:rsidRPr="00946965" w:rsidRDefault="002A42FD" w:rsidP="001B6666">
      <w:pPr>
        <w:rPr>
          <w:rFonts w:eastAsiaTheme="majorEastAsia" w:cs="Arial"/>
        </w:rPr>
      </w:pPr>
      <w:hyperlink w:anchor="_Program_1.8_Health" w:history="1">
        <w:r w:rsidR="008F3D43" w:rsidRPr="002A42FD">
          <w:rPr>
            <w:rStyle w:val="Hyperlink"/>
            <w:rFonts w:eastAsiaTheme="majorEastAsia" w:cs="Arial"/>
          </w:rPr>
          <w:t>1.8 Health Protection, Emergency Response and Regulation</w:t>
        </w:r>
      </w:hyperlink>
    </w:p>
    <w:p w14:paraId="0E324D9D" w14:textId="0C1EBBB7" w:rsidR="007754BE" w:rsidRPr="00946965" w:rsidRDefault="00CA2D80" w:rsidP="009B44A6">
      <w:pPr>
        <w:pBdr>
          <w:bottom w:val="single" w:sz="8" w:space="1" w:color="A5A5A5" w:themeColor="accent3"/>
        </w:pBdr>
        <w:rPr>
          <w:rFonts w:eastAsiaTheme="majorEastAsia" w:cs="Arial"/>
        </w:rPr>
      </w:pPr>
      <w:hyperlink w:anchor="_Program_1.9_Immunisation" w:history="1">
        <w:r w:rsidR="008F3D43" w:rsidRPr="00CA2D80">
          <w:rPr>
            <w:rStyle w:val="Hyperlink"/>
            <w:rFonts w:eastAsiaTheme="majorEastAsia" w:cs="Arial"/>
          </w:rPr>
          <w:t>1.9 Immunisation</w:t>
        </w:r>
      </w:hyperlink>
    </w:p>
    <w:p w14:paraId="03D340DE" w14:textId="77777777" w:rsidR="00DC4280" w:rsidRPr="00831CC8" w:rsidRDefault="00DC4280" w:rsidP="00831CC8">
      <w:bookmarkStart w:id="67" w:name="_Toc166069785"/>
      <w:bookmarkStart w:id="68" w:name="_Toc171411928"/>
      <w:bookmarkStart w:id="69" w:name="_Toc175293617"/>
      <w:r w:rsidRPr="00831CC8">
        <w:br w:type="page"/>
      </w:r>
    </w:p>
    <w:p w14:paraId="455DAC4F" w14:textId="18D378F0" w:rsidR="004D7B74" w:rsidRPr="009A2C58" w:rsidRDefault="004D7B74" w:rsidP="00CA2D80">
      <w:pPr>
        <w:pStyle w:val="Heading2"/>
        <w:rPr>
          <w:b w:val="0"/>
          <w:bCs w:val="0"/>
        </w:rPr>
      </w:pPr>
      <w:bookmarkStart w:id="70" w:name="_Program_1.1_Health"/>
      <w:bookmarkStart w:id="71" w:name="_Toc175846495"/>
      <w:bookmarkEnd w:id="70"/>
      <w:r w:rsidRPr="009A2C58">
        <w:lastRenderedPageBreak/>
        <w:t>Program 1.1 Health Research, Coordination and Access</w:t>
      </w:r>
      <w:bookmarkEnd w:id="67"/>
      <w:bookmarkEnd w:id="68"/>
      <w:bookmarkEnd w:id="69"/>
      <w:bookmarkEnd w:id="71"/>
      <w:r w:rsidRPr="009A2C58">
        <w:t xml:space="preserve"> </w:t>
      </w:r>
    </w:p>
    <w:p w14:paraId="35A82472" w14:textId="77777777" w:rsidR="004D7B74" w:rsidRPr="00CA2D80" w:rsidRDefault="004D7B74" w:rsidP="00CA2D80">
      <w:pPr>
        <w:pStyle w:val="Heading3"/>
      </w:pPr>
      <w:bookmarkStart w:id="72" w:name="_Toc166069786"/>
      <w:bookmarkStart w:id="73" w:name="_Toc171411929"/>
      <w:bookmarkStart w:id="74" w:name="_Toc175293618"/>
      <w:r w:rsidRPr="00946965">
        <w:t>Program Objective</w:t>
      </w:r>
      <w:bookmarkEnd w:id="72"/>
      <w:bookmarkEnd w:id="73"/>
      <w:bookmarkEnd w:id="74"/>
    </w:p>
    <w:p w14:paraId="0E8B09C6" w14:textId="3A2913DE" w:rsidR="004D7B74" w:rsidRPr="00BB4FE7" w:rsidRDefault="00710219" w:rsidP="00BB4FE7">
      <w:r w:rsidRPr="00BB4FE7">
        <w:t xml:space="preserve">Collaborate with state and territory governments, the broader health care sector and engage internationally to improve </w:t>
      </w:r>
      <w:r w:rsidR="004D7B74" w:rsidRPr="00BB4FE7">
        <w:t>access to high-quality, comprehensive and coordinated health care to support better health outcomes for all Australians through nationally consistent approaches, sustainable public hospital funding, digital health, supporting health infrastructure, international standards and best practice, and improve the health and wellbeing of Australians through health and medical research.</w:t>
      </w:r>
    </w:p>
    <w:p w14:paraId="1F5928F9" w14:textId="77777777" w:rsidR="001A6DDD" w:rsidRDefault="004D7B74" w:rsidP="00A97E52">
      <w:pPr>
        <w:pStyle w:val="Keyactivity"/>
      </w:pPr>
      <w:r w:rsidRPr="002A42FD">
        <w:rPr>
          <w:rStyle w:val="Strong"/>
        </w:rPr>
        <w:t>Key Activity 1.1A:</w:t>
      </w:r>
      <w:r w:rsidRPr="002A42FD">
        <w:t xml:space="preserve"> </w:t>
      </w:r>
    </w:p>
    <w:p w14:paraId="0702BB0A" w14:textId="63AA8264" w:rsidR="004D7B74" w:rsidRPr="001D3BD5" w:rsidRDefault="004D7B74" w:rsidP="00A97E52">
      <w:pPr>
        <w:pStyle w:val="Keyactivity"/>
      </w:pPr>
      <w:r w:rsidRPr="001D3BD5">
        <w:t xml:space="preserve">Fund health and medical research through the Medical Research Future Fund (MRFF) that addresses the health priorities of all Australians. </w:t>
      </w:r>
    </w:p>
    <w:p w14:paraId="0ECE1466" w14:textId="6F80368C" w:rsidR="004D7B74" w:rsidRPr="00946965" w:rsidRDefault="0051101D" w:rsidP="001D3BD5">
      <w:pPr>
        <w:rPr>
          <w:rFonts w:eastAsia="Times New Roman" w:cs="Arial"/>
          <w:szCs w:val="20"/>
          <w:lang w:eastAsia="en-AU"/>
        </w:rPr>
      </w:pPr>
      <w:r w:rsidRPr="002A42FD">
        <w:rPr>
          <w:rStyle w:val="Strong"/>
        </w:rPr>
        <w:t xml:space="preserve">Key </w:t>
      </w:r>
      <w:r w:rsidR="00E63AD7" w:rsidRPr="002A42FD">
        <w:rPr>
          <w:rStyle w:val="Strong"/>
        </w:rPr>
        <w:t>a</w:t>
      </w:r>
      <w:r w:rsidRPr="002A42FD">
        <w:rPr>
          <w:rStyle w:val="Strong"/>
        </w:rPr>
        <w:t>ctivity rationale:</w:t>
      </w:r>
      <w:r w:rsidRPr="001D3BD5">
        <w:t xml:space="preserve"> This activity aims to address the health priorities of Australians by supporting research that contributes to improving their health and wellbeing.</w:t>
      </w:r>
    </w:p>
    <w:tbl>
      <w:tblPr>
        <w:tblStyle w:val="TableGridLight"/>
        <w:tblW w:w="5000" w:type="pct"/>
        <w:tblLook w:val="06A0" w:firstRow="1" w:lastRow="0" w:firstColumn="1" w:lastColumn="0" w:noHBand="1" w:noVBand="1"/>
      </w:tblPr>
      <w:tblGrid>
        <w:gridCol w:w="1700"/>
        <w:gridCol w:w="7316"/>
      </w:tblGrid>
      <w:tr w:rsidR="004D7B74" w:rsidRPr="001D3BD5" w14:paraId="7D2C450B" w14:textId="77777777" w:rsidTr="00D97A1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ADD7708" w14:textId="0DFDFA79" w:rsidR="004D7B74" w:rsidRPr="001D3BD5" w:rsidRDefault="004D7B74" w:rsidP="001D3BD5">
            <w:r w:rsidRPr="001D3BD5">
              <w:t>Measure 1.1A: MRFF funds are disbursed towards grants of financial assistance to support research that addresses the Australian Medical Research and Innovation Priorities.</w:t>
            </w:r>
          </w:p>
        </w:tc>
      </w:tr>
      <w:tr w:rsidR="004D7B74" w:rsidRPr="001D3BD5" w14:paraId="7FCF52C5" w14:textId="77777777" w:rsidTr="00D97A12">
        <w:tc>
          <w:tcPr>
            <w:cnfStyle w:val="001000000000" w:firstRow="0" w:lastRow="0" w:firstColumn="1" w:lastColumn="0" w:oddVBand="0" w:evenVBand="0" w:oddHBand="0" w:evenHBand="0" w:firstRowFirstColumn="0" w:firstRowLastColumn="0" w:lastRowFirstColumn="0" w:lastRowLastColumn="0"/>
            <w:tcW w:w="943" w:type="pct"/>
          </w:tcPr>
          <w:p w14:paraId="2661C0B7" w14:textId="77777777" w:rsidR="004D7B74" w:rsidRPr="001D3BD5" w:rsidRDefault="004D7B74" w:rsidP="00D97A12">
            <w:pPr>
              <w:pStyle w:val="TableTextleftaligned"/>
            </w:pPr>
            <w:r w:rsidRPr="001D3BD5">
              <w:t>Rationale</w:t>
            </w:r>
          </w:p>
        </w:tc>
        <w:tc>
          <w:tcPr>
            <w:tcW w:w="4057" w:type="pct"/>
          </w:tcPr>
          <w:p w14:paraId="0F2B00EE" w14:textId="77777777" w:rsidR="004D7B74" w:rsidRPr="001D3BD5" w:rsidRDefault="004D7B74" w:rsidP="001A6DDD">
            <w:pPr>
              <w:pStyle w:val="TableTextleftaligned"/>
              <w:cnfStyle w:val="000000000000" w:firstRow="0" w:lastRow="0" w:firstColumn="0" w:lastColumn="0" w:oddVBand="0" w:evenVBand="0" w:oddHBand="0" w:evenHBand="0" w:firstRowFirstColumn="0" w:firstRowLastColumn="0" w:lastRowFirstColumn="0" w:lastRowLastColumn="0"/>
            </w:pPr>
            <w:r w:rsidRPr="001D3BD5">
              <w:t xml:space="preserve">The purpose of the MRFF is to provide grants of financial assistance to support research that contributes to improving the health and wellbeing of all Australians. To do this, the Medical Research Future Fund Act 2015 (MRFF Act) requires that funding decisions </w:t>
            </w:r>
            <w:r w:rsidRPr="001A6DDD">
              <w:t>consider</w:t>
            </w:r>
            <w:r w:rsidRPr="001D3BD5">
              <w:t xml:space="preserve"> the Australian Medical Research and Innovation Priorities. Success against the performance measure is determined by the extent to which the department has met this legislated requirement. </w:t>
            </w:r>
          </w:p>
        </w:tc>
      </w:tr>
      <w:tr w:rsidR="004D7B74" w:rsidRPr="001D3BD5" w14:paraId="1805C2F3" w14:textId="77777777" w:rsidTr="001D3BD5">
        <w:tc>
          <w:tcPr>
            <w:cnfStyle w:val="001000000000" w:firstRow="0" w:lastRow="0" w:firstColumn="1" w:lastColumn="0" w:oddVBand="0" w:evenVBand="0" w:oddHBand="0" w:evenHBand="0" w:firstRowFirstColumn="0" w:firstRowLastColumn="0" w:lastRowFirstColumn="0" w:lastRowLastColumn="0"/>
            <w:tcW w:w="943" w:type="pct"/>
          </w:tcPr>
          <w:p w14:paraId="4FA74521" w14:textId="77777777" w:rsidR="004D7B74" w:rsidRPr="001D3BD5" w:rsidRDefault="004D7B74" w:rsidP="00D97A12">
            <w:pPr>
              <w:pStyle w:val="TableTextleftaligned"/>
            </w:pPr>
            <w:r w:rsidRPr="001D3BD5">
              <w:t>Measure Type</w:t>
            </w:r>
          </w:p>
        </w:tc>
        <w:tc>
          <w:tcPr>
            <w:tcW w:w="4057" w:type="pct"/>
          </w:tcPr>
          <w:p w14:paraId="5F13DCAD" w14:textId="77777777" w:rsidR="004D7B74" w:rsidRPr="001A6DDD" w:rsidRDefault="004D7B74" w:rsidP="001A6DDD">
            <w:pPr>
              <w:pStyle w:val="TableTextleftaligned"/>
              <w:cnfStyle w:val="000000000000" w:firstRow="0" w:lastRow="0" w:firstColumn="0" w:lastColumn="0" w:oddVBand="0" w:evenVBand="0" w:oddHBand="0" w:evenHBand="0" w:firstRowFirstColumn="0" w:firstRowLastColumn="0" w:lastRowFirstColumn="0" w:lastRowLastColumn="0"/>
            </w:pPr>
            <w:r w:rsidRPr="001D3BD5">
              <w:t>Quantitative / Output</w:t>
            </w:r>
          </w:p>
        </w:tc>
      </w:tr>
      <w:tr w:rsidR="004D7B74" w:rsidRPr="001D3BD5" w14:paraId="3CD5BA28" w14:textId="77777777" w:rsidTr="001D3BD5">
        <w:tc>
          <w:tcPr>
            <w:cnfStyle w:val="001000000000" w:firstRow="0" w:lastRow="0" w:firstColumn="1" w:lastColumn="0" w:oddVBand="0" w:evenVBand="0" w:oddHBand="0" w:evenHBand="0" w:firstRowFirstColumn="0" w:firstRowLastColumn="0" w:lastRowFirstColumn="0" w:lastRowLastColumn="0"/>
            <w:tcW w:w="943" w:type="pct"/>
          </w:tcPr>
          <w:p w14:paraId="22398B56" w14:textId="02943B92" w:rsidR="004D7B74" w:rsidRPr="001D3BD5" w:rsidRDefault="004D7B74" w:rsidP="00D97A12">
            <w:pPr>
              <w:pStyle w:val="TableTextleftaligned"/>
            </w:pPr>
            <w:r w:rsidRPr="001D3BD5">
              <w:t>Method</w:t>
            </w:r>
            <w:r w:rsidR="001D3BD5">
              <w:t xml:space="preserve"> </w:t>
            </w:r>
            <w:r w:rsidRPr="001D3BD5">
              <w:t>(Data Source and Methodology</w:t>
            </w:r>
            <w:r w:rsidR="00383ACF" w:rsidRPr="001D3BD5">
              <w:t>)</w:t>
            </w:r>
          </w:p>
        </w:tc>
        <w:tc>
          <w:tcPr>
            <w:tcW w:w="4057" w:type="pct"/>
          </w:tcPr>
          <w:p w14:paraId="14A3350A" w14:textId="77777777" w:rsidR="004D7B74" w:rsidRPr="001D3BD5" w:rsidRDefault="004D7B74" w:rsidP="001A6DDD">
            <w:pPr>
              <w:pStyle w:val="TableTextleftaligned"/>
              <w:cnfStyle w:val="000000000000" w:firstRow="0" w:lastRow="0" w:firstColumn="0" w:lastColumn="0" w:oddVBand="0" w:evenVBand="0" w:oddHBand="0" w:evenHBand="0" w:firstRowFirstColumn="0" w:firstRowLastColumn="0" w:lastRowFirstColumn="0" w:lastRowLastColumn="0"/>
            </w:pPr>
            <w:r w:rsidRPr="001D3BD5">
              <w:t>For both targets, the source data are held by the grant hubs for the MRFF (National Health and Medical Research Council (NHMRC) and Business Grants Hub (BGH)) within their online grants management systems and provided directly to the department.</w:t>
            </w:r>
          </w:p>
          <w:p w14:paraId="4C2A58A4" w14:textId="0BBE0BAF" w:rsidR="004D7B74" w:rsidRPr="001D3BD5" w:rsidRDefault="004D7B74" w:rsidP="001A6DDD">
            <w:pPr>
              <w:pStyle w:val="TableTextleftaligned"/>
              <w:cnfStyle w:val="000000000000" w:firstRow="0" w:lastRow="0" w:firstColumn="0" w:lastColumn="0" w:oddVBand="0" w:evenVBand="0" w:oddHBand="0" w:evenHBand="0" w:firstRowFirstColumn="0" w:firstRowLastColumn="0" w:lastRowFirstColumn="0" w:lastRowLastColumn="0"/>
            </w:pPr>
            <w:r w:rsidRPr="001D3BD5">
              <w:rPr>
                <w:rStyle w:val="Strong"/>
              </w:rPr>
              <w:t>For target a)</w:t>
            </w:r>
            <w:r w:rsidRPr="001D3BD5">
              <w:t>, the data used for reporting are the sum of expenses for the MRFF under Priority 4 (MRFF Health Special Account) in the relevant financial year and the available budget for the MRFF under Priority 4 in the relevant financial year.</w:t>
            </w:r>
          </w:p>
          <w:p w14:paraId="0F975CF4" w14:textId="77777777" w:rsidR="004D7B74" w:rsidRPr="001D3BD5" w:rsidRDefault="004D7B74" w:rsidP="001A6DDD">
            <w:pPr>
              <w:pStyle w:val="TableTextleftaligned"/>
              <w:cnfStyle w:val="000000000000" w:firstRow="0" w:lastRow="0" w:firstColumn="0" w:lastColumn="0" w:oddVBand="0" w:evenVBand="0" w:oddHBand="0" w:evenHBand="0" w:firstRowFirstColumn="0" w:firstRowLastColumn="0" w:lastRowFirstColumn="0" w:lastRowLastColumn="0"/>
            </w:pPr>
            <w:r w:rsidRPr="001D3BD5">
              <w:rPr>
                <w:rStyle w:val="Strong"/>
              </w:rPr>
              <w:t>For target b)</w:t>
            </w:r>
            <w:r w:rsidRPr="001D3BD5">
              <w:t xml:space="preserve">, the data used for reporting are the applications for funding submitted to NHMRC and BGH by researchers. These applications describe the health priorities that will be addressed by the research should they be successful in obtaining funding. </w:t>
            </w:r>
          </w:p>
        </w:tc>
      </w:tr>
      <w:tr w:rsidR="00553C7F" w:rsidRPr="001D3BD5" w14:paraId="5C997CB4" w14:textId="77777777" w:rsidTr="001D3BD5">
        <w:tc>
          <w:tcPr>
            <w:cnfStyle w:val="001000000000" w:firstRow="0" w:lastRow="0" w:firstColumn="1" w:lastColumn="0" w:oddVBand="0" w:evenVBand="0" w:oddHBand="0" w:evenHBand="0" w:firstRowFirstColumn="0" w:firstRowLastColumn="0" w:lastRowFirstColumn="0" w:lastRowLastColumn="0"/>
            <w:tcW w:w="943" w:type="pct"/>
          </w:tcPr>
          <w:p w14:paraId="455E9F72" w14:textId="14D30289" w:rsidR="00553C7F" w:rsidRPr="001D3BD5" w:rsidRDefault="00553C7F" w:rsidP="00D97A12">
            <w:pPr>
              <w:pStyle w:val="TableTextleftaligned"/>
            </w:pPr>
            <w:r w:rsidRPr="001D3BD5">
              <w:t>Linked to 2024–25 Portfolio Budget Statements</w:t>
            </w:r>
          </w:p>
        </w:tc>
        <w:tc>
          <w:tcPr>
            <w:tcW w:w="4057" w:type="pct"/>
          </w:tcPr>
          <w:p w14:paraId="5A17C2D0" w14:textId="07A30F84" w:rsidR="00553C7F" w:rsidRPr="001D3BD5" w:rsidRDefault="00553C7F" w:rsidP="001A6DDD">
            <w:pPr>
              <w:pStyle w:val="TableTextleftaligned"/>
              <w:cnfStyle w:val="000000000000" w:firstRow="0" w:lastRow="0" w:firstColumn="0" w:lastColumn="0" w:oddVBand="0" w:evenVBand="0" w:oddHBand="0" w:evenHBand="0" w:firstRowFirstColumn="0" w:firstRowLastColumn="0" w:lastRowFirstColumn="0" w:lastRowLastColumn="0"/>
            </w:pPr>
            <w:r w:rsidRPr="001D3BD5">
              <w:t xml:space="preserve">Program 1.1 </w:t>
            </w:r>
            <w:r w:rsidR="00B929CE" w:rsidRPr="001D3BD5">
              <w:t xml:space="preserve">- Health Research, </w:t>
            </w:r>
            <w:r w:rsidR="00B929CE" w:rsidRPr="001A6DDD">
              <w:t>Coordination</w:t>
            </w:r>
            <w:r w:rsidR="00B929CE" w:rsidRPr="001D3BD5">
              <w:t xml:space="preserve"> and Access</w:t>
            </w:r>
            <w:r w:rsidRPr="001D3BD5">
              <w:t xml:space="preserve"> – page </w:t>
            </w:r>
            <w:r w:rsidR="00DC1E77" w:rsidRPr="001D3BD5">
              <w:t>55</w:t>
            </w:r>
          </w:p>
        </w:tc>
      </w:tr>
    </w:tbl>
    <w:p w14:paraId="276625E9" w14:textId="77777777" w:rsidR="001D3BD5" w:rsidRDefault="001D3BD5"/>
    <w:tbl>
      <w:tblPr>
        <w:tblStyle w:val="TableGridLight"/>
        <w:tblW w:w="0" w:type="auto"/>
        <w:tblLook w:val="06A0" w:firstRow="1" w:lastRow="0" w:firstColumn="1" w:lastColumn="0" w:noHBand="1" w:noVBand="1"/>
      </w:tblPr>
      <w:tblGrid>
        <w:gridCol w:w="1479"/>
        <w:gridCol w:w="1840"/>
        <w:gridCol w:w="1894"/>
        <w:gridCol w:w="1907"/>
        <w:gridCol w:w="1896"/>
      </w:tblGrid>
      <w:tr w:rsidR="001D3BD5" w:rsidRPr="001D3BD5" w14:paraId="0AADF961" w14:textId="77777777" w:rsidTr="00D97A12">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0" w:type="auto"/>
            <w:gridSpan w:val="5"/>
            <w:vAlign w:val="center"/>
          </w:tcPr>
          <w:p w14:paraId="001A43F7" w14:textId="3E2F57A1" w:rsidR="001D3BD5" w:rsidRPr="001D3BD5" w:rsidRDefault="001D3BD5" w:rsidP="001D3BD5">
            <w:r w:rsidRPr="001D3BD5">
              <w:rPr>
                <w:rFonts w:eastAsia="Times New Roman"/>
                <w:szCs w:val="20"/>
                <w:lang w:eastAsia="en-AU"/>
              </w:rPr>
              <w:t>Measure 1.1A: MRFF funds are disbursed towards grants of financial assistance to support</w:t>
            </w:r>
            <w:r>
              <w:t xml:space="preserve"> </w:t>
            </w:r>
            <w:r w:rsidRPr="001D3BD5">
              <w:rPr>
                <w:rFonts w:eastAsia="Times New Roman"/>
                <w:szCs w:val="20"/>
                <w:lang w:eastAsia="en-AU"/>
              </w:rPr>
              <w:t>research that addresses the Australian Medical Research and Innovation Priorities.</w:t>
            </w:r>
          </w:p>
        </w:tc>
      </w:tr>
      <w:tr w:rsidR="00D97A12" w:rsidRPr="001D3BD5" w14:paraId="13888014" w14:textId="77777777" w:rsidTr="00D97A12">
        <w:trPr>
          <w:trHeight w:val="567"/>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E536F3D" w14:textId="77777777" w:rsidR="00553C7F" w:rsidRPr="001D3BD5" w:rsidRDefault="00553C7F" w:rsidP="00D97A12">
            <w:pPr>
              <w:pStyle w:val="TableTextleftaligned"/>
            </w:pPr>
            <w:r w:rsidRPr="001D3BD5">
              <w:t>Planned Performance Results</w:t>
            </w:r>
          </w:p>
        </w:tc>
        <w:tc>
          <w:tcPr>
            <w:tcW w:w="0" w:type="auto"/>
            <w:shd w:val="clear" w:color="auto" w:fill="BFBFBF" w:themeFill="background1" w:themeFillShade="BF"/>
            <w:vAlign w:val="center"/>
          </w:tcPr>
          <w:p w14:paraId="11DF67C8" w14:textId="77777777" w:rsidR="00553C7F" w:rsidRPr="001D3BD5" w:rsidRDefault="00553C7F" w:rsidP="00D97A12">
            <w:pPr>
              <w:pStyle w:val="TableTextstrong"/>
              <w:cnfStyle w:val="000000000000" w:firstRow="0" w:lastRow="0" w:firstColumn="0" w:lastColumn="0" w:oddVBand="0" w:evenVBand="0" w:oddHBand="0" w:evenHBand="0" w:firstRowFirstColumn="0" w:firstRowLastColumn="0" w:lastRowFirstColumn="0" w:lastRowLastColumn="0"/>
            </w:pPr>
            <w:r w:rsidRPr="001D3BD5">
              <w:t>2024–25</w:t>
            </w:r>
          </w:p>
        </w:tc>
        <w:tc>
          <w:tcPr>
            <w:tcW w:w="0" w:type="auto"/>
            <w:shd w:val="clear" w:color="auto" w:fill="BFBFBF" w:themeFill="background1" w:themeFillShade="BF"/>
            <w:vAlign w:val="center"/>
          </w:tcPr>
          <w:p w14:paraId="429D176F" w14:textId="77777777" w:rsidR="00553C7F" w:rsidRPr="001D3BD5" w:rsidRDefault="00553C7F" w:rsidP="00D97A12">
            <w:pPr>
              <w:pStyle w:val="TableTextstrong"/>
              <w:cnfStyle w:val="000000000000" w:firstRow="0" w:lastRow="0" w:firstColumn="0" w:lastColumn="0" w:oddVBand="0" w:evenVBand="0" w:oddHBand="0" w:evenHBand="0" w:firstRowFirstColumn="0" w:firstRowLastColumn="0" w:lastRowFirstColumn="0" w:lastRowLastColumn="0"/>
            </w:pPr>
            <w:r w:rsidRPr="001D3BD5">
              <w:t>2025–26</w:t>
            </w:r>
          </w:p>
        </w:tc>
        <w:tc>
          <w:tcPr>
            <w:tcW w:w="0" w:type="auto"/>
            <w:shd w:val="clear" w:color="auto" w:fill="BFBFBF" w:themeFill="background1" w:themeFillShade="BF"/>
            <w:vAlign w:val="center"/>
          </w:tcPr>
          <w:p w14:paraId="1F98C482" w14:textId="77777777" w:rsidR="00553C7F" w:rsidRPr="001D3BD5" w:rsidRDefault="00553C7F" w:rsidP="00D97A12">
            <w:pPr>
              <w:pStyle w:val="TableTextstrong"/>
              <w:cnfStyle w:val="000000000000" w:firstRow="0" w:lastRow="0" w:firstColumn="0" w:lastColumn="0" w:oddVBand="0" w:evenVBand="0" w:oddHBand="0" w:evenHBand="0" w:firstRowFirstColumn="0" w:firstRowLastColumn="0" w:lastRowFirstColumn="0" w:lastRowLastColumn="0"/>
            </w:pPr>
            <w:r w:rsidRPr="001D3BD5">
              <w:t>2026–27</w:t>
            </w:r>
          </w:p>
        </w:tc>
        <w:tc>
          <w:tcPr>
            <w:tcW w:w="0" w:type="auto"/>
            <w:shd w:val="clear" w:color="auto" w:fill="BFBFBF" w:themeFill="background1" w:themeFillShade="BF"/>
            <w:vAlign w:val="center"/>
          </w:tcPr>
          <w:p w14:paraId="42B77822" w14:textId="77777777" w:rsidR="00553C7F" w:rsidRPr="001D3BD5" w:rsidRDefault="00553C7F" w:rsidP="00D97A12">
            <w:pPr>
              <w:pStyle w:val="TableTextstrong"/>
              <w:cnfStyle w:val="000000000000" w:firstRow="0" w:lastRow="0" w:firstColumn="0" w:lastColumn="0" w:oddVBand="0" w:evenVBand="0" w:oddHBand="0" w:evenHBand="0" w:firstRowFirstColumn="0" w:firstRowLastColumn="0" w:lastRowFirstColumn="0" w:lastRowLastColumn="0"/>
            </w:pPr>
            <w:r w:rsidRPr="001D3BD5">
              <w:t>2027–28</w:t>
            </w:r>
          </w:p>
        </w:tc>
      </w:tr>
      <w:tr w:rsidR="001D3BD5" w:rsidRPr="001D3BD5" w14:paraId="0A575744" w14:textId="77777777" w:rsidTr="00D97A12">
        <w:tc>
          <w:tcPr>
            <w:cnfStyle w:val="001000000000" w:firstRow="0" w:lastRow="0" w:firstColumn="1" w:lastColumn="0" w:oddVBand="0" w:evenVBand="0" w:oddHBand="0" w:evenHBand="0" w:firstRowFirstColumn="0" w:firstRowLastColumn="0" w:lastRowFirstColumn="0" w:lastRowLastColumn="0"/>
            <w:tcW w:w="0" w:type="auto"/>
            <w:vMerge/>
          </w:tcPr>
          <w:p w14:paraId="76A63CEE" w14:textId="77777777" w:rsidR="00553C7F" w:rsidRPr="001D3BD5" w:rsidRDefault="00553C7F" w:rsidP="001D3BD5"/>
        </w:tc>
        <w:tc>
          <w:tcPr>
            <w:tcW w:w="0" w:type="auto"/>
          </w:tcPr>
          <w:p w14:paraId="627C631B" w14:textId="77777777" w:rsidR="00553C7F" w:rsidRPr="001D3BD5" w:rsidRDefault="00553C7F" w:rsidP="00D97A12">
            <w:pPr>
              <w:pStyle w:val="ListNumber2"/>
              <w:cnfStyle w:val="000000000000" w:firstRow="0" w:lastRow="0" w:firstColumn="0" w:lastColumn="0" w:oddVBand="0" w:evenVBand="0" w:oddHBand="0" w:evenHBand="0" w:firstRowFirstColumn="0" w:firstRowLastColumn="0" w:lastRowFirstColumn="0" w:lastRowLastColumn="0"/>
            </w:pPr>
            <w:r w:rsidRPr="00D97A12">
              <w:t>Disburse</w:t>
            </w:r>
            <w:r w:rsidRPr="001D3BD5">
              <w:t xml:space="preserve"> at least 99% of MRFF funds available in </w:t>
            </w:r>
            <w:r w:rsidRPr="001D3BD5">
              <w:lastRenderedPageBreak/>
              <w:t>2024–25 towards grants of financial assistance.</w:t>
            </w:r>
          </w:p>
          <w:p w14:paraId="58F2EB55" w14:textId="77777777" w:rsidR="00553C7F" w:rsidRPr="001D3BD5" w:rsidRDefault="00553C7F" w:rsidP="00D97A12">
            <w:pPr>
              <w:pStyle w:val="ListNumber2"/>
              <w:cnfStyle w:val="000000000000" w:firstRow="0" w:lastRow="0" w:firstColumn="0" w:lastColumn="0" w:oddVBand="0" w:evenVBand="0" w:oddHBand="0" w:evenHBand="0" w:firstRowFirstColumn="0" w:firstRowLastColumn="0" w:lastRowFirstColumn="0" w:lastRowLastColumn="0"/>
            </w:pPr>
            <w:r w:rsidRPr="001D3BD5">
              <w:t>100% of grants awarded in 2024–25 address one or more of the Australian Medical Research and Innovation Priorities in force at the time.</w:t>
            </w:r>
          </w:p>
        </w:tc>
        <w:tc>
          <w:tcPr>
            <w:tcW w:w="0" w:type="auto"/>
          </w:tcPr>
          <w:p w14:paraId="7A3B04A0" w14:textId="77777777" w:rsidR="00553C7F" w:rsidRPr="001D3BD5" w:rsidRDefault="00553C7F" w:rsidP="00D97A12">
            <w:pPr>
              <w:pStyle w:val="ListNumber2"/>
              <w:numPr>
                <w:ilvl w:val="0"/>
                <w:numId w:val="182"/>
              </w:numPr>
              <w:ind w:left="402"/>
              <w:cnfStyle w:val="000000000000" w:firstRow="0" w:lastRow="0" w:firstColumn="0" w:lastColumn="0" w:oddVBand="0" w:evenVBand="0" w:oddHBand="0" w:evenHBand="0" w:firstRowFirstColumn="0" w:firstRowLastColumn="0" w:lastRowFirstColumn="0" w:lastRowLastColumn="0"/>
            </w:pPr>
            <w:r w:rsidRPr="001D3BD5">
              <w:lastRenderedPageBreak/>
              <w:t xml:space="preserve">Disburse at least 99% of MRFF funds available in </w:t>
            </w:r>
            <w:r w:rsidRPr="001D3BD5">
              <w:lastRenderedPageBreak/>
              <w:t>2025–26 towards grants of financial assistance.</w:t>
            </w:r>
          </w:p>
          <w:p w14:paraId="452D6BC8" w14:textId="77777777" w:rsidR="00553C7F" w:rsidRPr="001D3BD5" w:rsidRDefault="00553C7F" w:rsidP="00D97A12">
            <w:pPr>
              <w:pStyle w:val="ListNumber2"/>
              <w:cnfStyle w:val="000000000000" w:firstRow="0" w:lastRow="0" w:firstColumn="0" w:lastColumn="0" w:oddVBand="0" w:evenVBand="0" w:oddHBand="0" w:evenHBand="0" w:firstRowFirstColumn="0" w:firstRowLastColumn="0" w:lastRowFirstColumn="0" w:lastRowLastColumn="0"/>
            </w:pPr>
            <w:r w:rsidRPr="001D3BD5">
              <w:t>100% of grants awarded in 2025–26 address one or more of the Australian Medical Research and Innovation Priorities in force at the time.</w:t>
            </w:r>
          </w:p>
        </w:tc>
        <w:tc>
          <w:tcPr>
            <w:tcW w:w="0" w:type="auto"/>
          </w:tcPr>
          <w:p w14:paraId="7A8CA2A8" w14:textId="77777777" w:rsidR="00553C7F" w:rsidRPr="001D3BD5" w:rsidRDefault="00553C7F" w:rsidP="00D97A12">
            <w:pPr>
              <w:pStyle w:val="ListNumber2"/>
              <w:numPr>
                <w:ilvl w:val="0"/>
                <w:numId w:val="185"/>
              </w:numPr>
              <w:ind w:left="415"/>
              <w:cnfStyle w:val="000000000000" w:firstRow="0" w:lastRow="0" w:firstColumn="0" w:lastColumn="0" w:oddVBand="0" w:evenVBand="0" w:oddHBand="0" w:evenHBand="0" w:firstRowFirstColumn="0" w:firstRowLastColumn="0" w:lastRowFirstColumn="0" w:lastRowLastColumn="0"/>
            </w:pPr>
            <w:r w:rsidRPr="001D3BD5">
              <w:lastRenderedPageBreak/>
              <w:t xml:space="preserve">Disburse at least 99% of MRFF funds available in </w:t>
            </w:r>
            <w:r w:rsidRPr="001D3BD5">
              <w:lastRenderedPageBreak/>
              <w:t>2026–27 towards grants of financial assistance.</w:t>
            </w:r>
          </w:p>
          <w:p w14:paraId="0BA1C63E" w14:textId="72A23102" w:rsidR="00553C7F" w:rsidRPr="001D3BD5" w:rsidRDefault="00553C7F" w:rsidP="00D97A12">
            <w:pPr>
              <w:pStyle w:val="ListNumber2"/>
              <w:numPr>
                <w:ilvl w:val="0"/>
                <w:numId w:val="182"/>
              </w:numPr>
              <w:cnfStyle w:val="000000000000" w:firstRow="0" w:lastRow="0" w:firstColumn="0" w:lastColumn="0" w:oddVBand="0" w:evenVBand="0" w:oddHBand="0" w:evenHBand="0" w:firstRowFirstColumn="0" w:firstRowLastColumn="0" w:lastRowFirstColumn="0" w:lastRowLastColumn="0"/>
            </w:pPr>
            <w:r w:rsidRPr="001D3BD5">
              <w:t>100% of grants awarded in 2026–27 address one or more of the Australian Medical Research and Innovation Priorities in force at the time.</w:t>
            </w:r>
          </w:p>
        </w:tc>
        <w:tc>
          <w:tcPr>
            <w:tcW w:w="0" w:type="auto"/>
          </w:tcPr>
          <w:p w14:paraId="583EE2EF" w14:textId="77777777" w:rsidR="00553C7F" w:rsidRPr="001D3BD5" w:rsidRDefault="00553C7F" w:rsidP="00D97A12">
            <w:pPr>
              <w:pStyle w:val="ListNumber2"/>
              <w:numPr>
                <w:ilvl w:val="0"/>
                <w:numId w:val="186"/>
              </w:numPr>
              <w:ind w:left="404"/>
              <w:cnfStyle w:val="000000000000" w:firstRow="0" w:lastRow="0" w:firstColumn="0" w:lastColumn="0" w:oddVBand="0" w:evenVBand="0" w:oddHBand="0" w:evenHBand="0" w:firstRowFirstColumn="0" w:firstRowLastColumn="0" w:lastRowFirstColumn="0" w:lastRowLastColumn="0"/>
            </w:pPr>
            <w:r w:rsidRPr="001D3BD5">
              <w:lastRenderedPageBreak/>
              <w:t xml:space="preserve">Disburse at least 99% of MRFF funds available in </w:t>
            </w:r>
            <w:r w:rsidRPr="001D3BD5">
              <w:lastRenderedPageBreak/>
              <w:t>2027–28 towards grants of financial assistance.</w:t>
            </w:r>
          </w:p>
          <w:p w14:paraId="7F94CBB2" w14:textId="77777777" w:rsidR="00553C7F" w:rsidRPr="001D3BD5" w:rsidRDefault="00553C7F" w:rsidP="00D97A12">
            <w:pPr>
              <w:pStyle w:val="ListNumber2"/>
              <w:numPr>
                <w:ilvl w:val="0"/>
                <w:numId w:val="182"/>
              </w:numPr>
              <w:cnfStyle w:val="000000000000" w:firstRow="0" w:lastRow="0" w:firstColumn="0" w:lastColumn="0" w:oddVBand="0" w:evenVBand="0" w:oddHBand="0" w:evenHBand="0" w:firstRowFirstColumn="0" w:firstRowLastColumn="0" w:lastRowFirstColumn="0" w:lastRowLastColumn="0"/>
            </w:pPr>
            <w:r w:rsidRPr="001D3BD5">
              <w:t>100% of grants awarded in 2027–28 address one or more of the Australian Medical Research and Innovation Priorities in force at the time.</w:t>
            </w:r>
          </w:p>
        </w:tc>
      </w:tr>
    </w:tbl>
    <w:p w14:paraId="53BB78E2" w14:textId="77777777" w:rsidR="004D7B74" w:rsidRPr="001D3BD5" w:rsidRDefault="004D7B74" w:rsidP="001D3BD5">
      <w:bookmarkStart w:id="75" w:name="_Toc166069787"/>
      <w:r>
        <w:rPr>
          <w:rFonts w:cs="Arial"/>
        </w:rPr>
        <w:br w:type="page"/>
      </w:r>
    </w:p>
    <w:p w14:paraId="5A19643F" w14:textId="63F1D302" w:rsidR="004D7B74" w:rsidRPr="00D97A12" w:rsidRDefault="004D7B74" w:rsidP="00D97A12">
      <w:pPr>
        <w:pStyle w:val="Heading2"/>
      </w:pPr>
      <w:bookmarkStart w:id="76" w:name="_Toc171411930"/>
      <w:bookmarkStart w:id="77" w:name="_Toc175293619"/>
      <w:bookmarkStart w:id="78" w:name="_Program_1.2_Mental"/>
      <w:bookmarkStart w:id="79" w:name="_Toc175846496"/>
      <w:bookmarkEnd w:id="78"/>
      <w:r w:rsidRPr="00D97A12">
        <w:lastRenderedPageBreak/>
        <w:t>Program 1.2 Mental Health</w:t>
      </w:r>
      <w:bookmarkEnd w:id="75"/>
      <w:bookmarkEnd w:id="76"/>
      <w:bookmarkEnd w:id="77"/>
      <w:bookmarkEnd w:id="79"/>
    </w:p>
    <w:p w14:paraId="1B279F2E" w14:textId="77777777" w:rsidR="004D7B74" w:rsidRPr="00D97A12" w:rsidRDefault="004D7B74" w:rsidP="00D97A12">
      <w:pPr>
        <w:pStyle w:val="Heading3"/>
      </w:pPr>
      <w:bookmarkStart w:id="80" w:name="_Toc171411931"/>
      <w:bookmarkStart w:id="81" w:name="_Toc175293620"/>
      <w:r w:rsidRPr="00D97A12">
        <w:t>Program Objective</w:t>
      </w:r>
      <w:bookmarkEnd w:id="80"/>
      <w:bookmarkEnd w:id="81"/>
    </w:p>
    <w:p w14:paraId="5A125677" w14:textId="77777777" w:rsidR="004D7B74" w:rsidRPr="00BB4FE7" w:rsidRDefault="004D7B74" w:rsidP="001D3BD5">
      <w:r w:rsidRPr="00BB4FE7">
        <w:t xml:space="preserve">Improve the mental health and wellbeing of </w:t>
      </w:r>
      <w:r w:rsidRPr="001D3BD5">
        <w:t>all</w:t>
      </w:r>
      <w:r w:rsidRPr="00BB4FE7">
        <w:t xml:space="preserve"> Australians, including a focus on suicide prevention.</w:t>
      </w:r>
    </w:p>
    <w:p w14:paraId="330587A8" w14:textId="76320175" w:rsidR="00F13D9A" w:rsidRDefault="004D7B74" w:rsidP="00D97A12">
      <w:pPr>
        <w:pStyle w:val="Keyactivity"/>
      </w:pPr>
      <w:r w:rsidRPr="002A42FD">
        <w:rPr>
          <w:rStyle w:val="Strong"/>
        </w:rPr>
        <w:t>Key Activity 1.2A</w:t>
      </w:r>
      <w:r w:rsidRPr="002A42FD">
        <w:t>:</w:t>
      </w:r>
    </w:p>
    <w:p w14:paraId="0C8BFA43" w14:textId="0AB73F56" w:rsidR="004D7B74" w:rsidRPr="001D3BD5" w:rsidRDefault="004D7B74" w:rsidP="00D97A12">
      <w:pPr>
        <w:pStyle w:val="Keyactivity"/>
      </w:pPr>
      <w:r w:rsidRPr="001D3BD5">
        <w:t>Increasing access to Primary Health Network (PHN)-commissioned mental health services.</w:t>
      </w:r>
    </w:p>
    <w:p w14:paraId="710C8672" w14:textId="7BAE151C" w:rsidR="004D7B74" w:rsidRPr="00176DBD" w:rsidRDefault="00C237FB" w:rsidP="00C237FB">
      <w:pPr>
        <w:rPr>
          <w:rFonts w:cs="Arial"/>
          <w:szCs w:val="20"/>
        </w:rPr>
      </w:pPr>
      <w:r w:rsidRPr="00BD1664">
        <w:rPr>
          <w:rStyle w:val="Strong"/>
        </w:rPr>
        <w:t xml:space="preserve">Key </w:t>
      </w:r>
      <w:r w:rsidR="00E63AD7" w:rsidRPr="00BD1664">
        <w:rPr>
          <w:rStyle w:val="Strong"/>
        </w:rPr>
        <w:t>a</w:t>
      </w:r>
      <w:r w:rsidRPr="00BD1664">
        <w:rPr>
          <w:rStyle w:val="Strong"/>
        </w:rPr>
        <w:t>ctivity rationale:</w:t>
      </w:r>
      <w:r w:rsidRPr="00176DBD">
        <w:rPr>
          <w:rFonts w:cs="Arial"/>
          <w:szCs w:val="20"/>
        </w:rPr>
        <w:t xml:space="preserve"> The key activity is directly aligned to the program objective for Program 1.2 Mental health. The planned performance directly relates to funding PHNs to commission mental health services.</w:t>
      </w:r>
    </w:p>
    <w:tbl>
      <w:tblPr>
        <w:tblStyle w:val="TableGridLight"/>
        <w:tblW w:w="5000" w:type="pct"/>
        <w:tblLook w:val="06A0" w:firstRow="1" w:lastRow="0" w:firstColumn="1" w:lastColumn="0" w:noHBand="1" w:noVBand="1"/>
      </w:tblPr>
      <w:tblGrid>
        <w:gridCol w:w="1701"/>
        <w:gridCol w:w="1828"/>
        <w:gridCol w:w="1830"/>
        <w:gridCol w:w="1830"/>
        <w:gridCol w:w="1827"/>
      </w:tblGrid>
      <w:tr w:rsidR="004D7B74" w:rsidRPr="00BD1664" w14:paraId="25D01018" w14:textId="77777777" w:rsidTr="00D97A12">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14CA0936" w14:textId="77777777" w:rsidR="004D7B74" w:rsidRPr="00BD1664" w:rsidRDefault="004D7B74" w:rsidP="00BD1664">
            <w:r w:rsidRPr="00BD1664">
              <w:t xml:space="preserve">Measure 1.2A: PHN-commissioned mental health services used per 100,000 population. </w:t>
            </w:r>
          </w:p>
        </w:tc>
      </w:tr>
      <w:tr w:rsidR="004D7B74" w:rsidRPr="00BD1664" w14:paraId="03984C13" w14:textId="77777777" w:rsidTr="00BD1664">
        <w:tc>
          <w:tcPr>
            <w:cnfStyle w:val="001000000000" w:firstRow="0" w:lastRow="0" w:firstColumn="1" w:lastColumn="0" w:oddVBand="0" w:evenVBand="0" w:oddHBand="0" w:evenHBand="0" w:firstRowFirstColumn="0" w:firstRowLastColumn="0" w:lastRowFirstColumn="0" w:lastRowLastColumn="0"/>
            <w:tcW w:w="943" w:type="pct"/>
          </w:tcPr>
          <w:p w14:paraId="3A063A64" w14:textId="77777777" w:rsidR="004D7B74" w:rsidRPr="00BD1664" w:rsidRDefault="004D7B74" w:rsidP="00D97A12">
            <w:pPr>
              <w:pStyle w:val="TableTextleftaligned"/>
            </w:pPr>
            <w:r w:rsidRPr="00BD1664">
              <w:t>Rationale</w:t>
            </w:r>
          </w:p>
        </w:tc>
        <w:tc>
          <w:tcPr>
            <w:tcW w:w="4057" w:type="pct"/>
            <w:gridSpan w:val="4"/>
          </w:tcPr>
          <w:p w14:paraId="1BFAE7B8" w14:textId="77777777" w:rsidR="004D7B74" w:rsidRPr="00BD1664" w:rsidRDefault="004D7B74" w:rsidP="00D97A12">
            <w:pPr>
              <w:pStyle w:val="TableTextleftaligned"/>
              <w:cnfStyle w:val="000000000000" w:firstRow="0" w:lastRow="0" w:firstColumn="0" w:lastColumn="0" w:oddVBand="0" w:evenVBand="0" w:oddHBand="0" w:evenHBand="0" w:firstRowFirstColumn="0" w:firstRowLastColumn="0" w:lastRowFirstColumn="0" w:lastRowLastColumn="0"/>
            </w:pPr>
            <w:r w:rsidRPr="00BD1664">
              <w:t xml:space="preserve">Use of PHN-commissioned mental health services provides a proxy measure of service access. The number of PHN-commissioned mental health services used per 100,000 population is one lens by which the department assesses its service accessibility. </w:t>
            </w:r>
          </w:p>
        </w:tc>
      </w:tr>
      <w:tr w:rsidR="004D7B74" w:rsidRPr="00BD1664" w14:paraId="66B01A96" w14:textId="77777777" w:rsidTr="00BD1664">
        <w:tc>
          <w:tcPr>
            <w:cnfStyle w:val="001000000000" w:firstRow="0" w:lastRow="0" w:firstColumn="1" w:lastColumn="0" w:oddVBand="0" w:evenVBand="0" w:oddHBand="0" w:evenHBand="0" w:firstRowFirstColumn="0" w:firstRowLastColumn="0" w:lastRowFirstColumn="0" w:lastRowLastColumn="0"/>
            <w:tcW w:w="943" w:type="pct"/>
          </w:tcPr>
          <w:p w14:paraId="04AB1A4C" w14:textId="77777777" w:rsidR="004D7B74" w:rsidRPr="00BD1664" w:rsidRDefault="004D7B74" w:rsidP="00D97A12">
            <w:pPr>
              <w:pStyle w:val="TableTextleftaligned"/>
            </w:pPr>
            <w:r w:rsidRPr="00BD1664">
              <w:t>Measure Type</w:t>
            </w:r>
          </w:p>
        </w:tc>
        <w:tc>
          <w:tcPr>
            <w:tcW w:w="4057" w:type="pct"/>
            <w:gridSpan w:val="4"/>
          </w:tcPr>
          <w:p w14:paraId="331C7B39" w14:textId="77777777" w:rsidR="004D7B74" w:rsidRPr="00BD1664" w:rsidRDefault="004D7B74" w:rsidP="00D97A12">
            <w:pPr>
              <w:pStyle w:val="TableTextleftaligned"/>
              <w:cnfStyle w:val="000000000000" w:firstRow="0" w:lastRow="0" w:firstColumn="0" w:lastColumn="0" w:oddVBand="0" w:evenVBand="0" w:oddHBand="0" w:evenHBand="0" w:firstRowFirstColumn="0" w:firstRowLastColumn="0" w:lastRowFirstColumn="0" w:lastRowLastColumn="0"/>
            </w:pPr>
            <w:r w:rsidRPr="00BD1664">
              <w:t>Quantitative / Output</w:t>
            </w:r>
          </w:p>
        </w:tc>
      </w:tr>
      <w:tr w:rsidR="004D7B74" w:rsidRPr="00BD1664" w14:paraId="5FDBA668" w14:textId="77777777" w:rsidTr="00BD1664">
        <w:tc>
          <w:tcPr>
            <w:cnfStyle w:val="001000000000" w:firstRow="0" w:lastRow="0" w:firstColumn="1" w:lastColumn="0" w:oddVBand="0" w:evenVBand="0" w:oddHBand="0" w:evenHBand="0" w:firstRowFirstColumn="0" w:firstRowLastColumn="0" w:lastRowFirstColumn="0" w:lastRowLastColumn="0"/>
            <w:tcW w:w="943" w:type="pct"/>
          </w:tcPr>
          <w:p w14:paraId="43D12385" w14:textId="779F82B0" w:rsidR="004D7B74" w:rsidRPr="00BD1664" w:rsidRDefault="004D7B74" w:rsidP="00D97A12">
            <w:pPr>
              <w:pStyle w:val="TableTextleftaligned"/>
            </w:pPr>
            <w:r w:rsidRPr="00BD1664">
              <w:t>Method</w:t>
            </w:r>
            <w:r w:rsidR="00BD1664">
              <w:t xml:space="preserve"> </w:t>
            </w:r>
            <w:r w:rsidRPr="00BD1664">
              <w:t>(Data Source and Methodology</w:t>
            </w:r>
            <w:r w:rsidR="00C233E3" w:rsidRPr="00BD1664">
              <w:t>)</w:t>
            </w:r>
          </w:p>
        </w:tc>
        <w:tc>
          <w:tcPr>
            <w:tcW w:w="4057" w:type="pct"/>
            <w:gridSpan w:val="4"/>
          </w:tcPr>
          <w:p w14:paraId="494C7065" w14:textId="77777777" w:rsidR="004D7B74" w:rsidRPr="00BD1664" w:rsidRDefault="004D7B74" w:rsidP="00BD1664">
            <w:pPr>
              <w:cnfStyle w:val="000000000000" w:firstRow="0" w:lastRow="0" w:firstColumn="0" w:lastColumn="0" w:oddVBand="0" w:evenVBand="0" w:oddHBand="0" w:evenHBand="0" w:firstRowFirstColumn="0" w:firstRowLastColumn="0" w:lastRowFirstColumn="0" w:lastRowLastColumn="0"/>
              <w:rPr>
                <w:rStyle w:val="Strong"/>
              </w:rPr>
            </w:pPr>
            <w:r w:rsidRPr="00BD1664">
              <w:rPr>
                <w:rStyle w:val="Strong"/>
              </w:rPr>
              <w:t>Data sources:</w:t>
            </w:r>
          </w:p>
          <w:p w14:paraId="1480ACAF" w14:textId="77777777" w:rsidR="004D7B74" w:rsidRPr="00BD1664" w:rsidRDefault="004D7B74" w:rsidP="00BD1664">
            <w:pPr>
              <w:pStyle w:val="ListBullet3"/>
              <w:cnfStyle w:val="000000000000" w:firstRow="0" w:lastRow="0" w:firstColumn="0" w:lastColumn="0" w:oddVBand="0" w:evenVBand="0" w:oddHBand="0" w:evenHBand="0" w:firstRowFirstColumn="0" w:firstRowLastColumn="0" w:lastRowFirstColumn="0" w:lastRowLastColumn="0"/>
            </w:pPr>
            <w:r w:rsidRPr="00BD1664">
              <w:rPr>
                <w:rStyle w:val="Strong"/>
              </w:rPr>
              <w:t>Numerator</w:t>
            </w:r>
            <w:r w:rsidRPr="00BD1664">
              <w:t>: Administrative data. The Primary Mental Health Care Minimum Data Set (PMHC MDS) provides the basis for PHNs and the department to monitor and report on service delivery, and to inform future improvements in the planning and funding of primary mental health care services funded by the Australian Government.</w:t>
            </w:r>
          </w:p>
          <w:p w14:paraId="276D6ED2" w14:textId="77777777" w:rsidR="004D7B74" w:rsidRPr="00BD1664" w:rsidRDefault="004D7B74" w:rsidP="00BD1664">
            <w:pPr>
              <w:pStyle w:val="ListBullet3"/>
              <w:cnfStyle w:val="000000000000" w:firstRow="0" w:lastRow="0" w:firstColumn="0" w:lastColumn="0" w:oddVBand="0" w:evenVBand="0" w:oddHBand="0" w:evenHBand="0" w:firstRowFirstColumn="0" w:firstRowLastColumn="0" w:lastRowFirstColumn="0" w:lastRowLastColumn="0"/>
            </w:pPr>
            <w:r w:rsidRPr="00BD1664">
              <w:rPr>
                <w:rStyle w:val="Strong"/>
              </w:rPr>
              <w:t>Denominator</w:t>
            </w:r>
            <w:r w:rsidRPr="00BD1664">
              <w:t xml:space="preserve">: The Estimated Resident Population (ERP) is calculated by the Australian Bureau of Statistic (ABS). </w:t>
            </w:r>
          </w:p>
          <w:p w14:paraId="2C413F70" w14:textId="77777777" w:rsidR="004D7B74" w:rsidRPr="00BD1664" w:rsidRDefault="004D7B74" w:rsidP="00BD1664">
            <w:pPr>
              <w:pStyle w:val="TableTextleftaligned"/>
              <w:cnfStyle w:val="000000000000" w:firstRow="0" w:lastRow="0" w:firstColumn="0" w:lastColumn="0" w:oddVBand="0" w:evenVBand="0" w:oddHBand="0" w:evenHBand="0" w:firstRowFirstColumn="0" w:firstRowLastColumn="0" w:lastRowFirstColumn="0" w:lastRowLastColumn="0"/>
            </w:pPr>
            <w:r w:rsidRPr="00BD1664">
              <w:t xml:space="preserve">ERP is the official measure of the population of states and territories of Australia according to a usual residence population concept. </w:t>
            </w:r>
          </w:p>
          <w:p w14:paraId="5E2B7AA9" w14:textId="77777777" w:rsidR="004D7B74" w:rsidRPr="00BD1664" w:rsidRDefault="004D7B74" w:rsidP="00BD1664">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BD1664">
              <w:rPr>
                <w:rStyle w:val="Strong"/>
              </w:rPr>
              <w:t>Methodology:</w:t>
            </w:r>
          </w:p>
          <w:p w14:paraId="450D9078" w14:textId="77777777" w:rsidR="004D7B74" w:rsidRPr="00BD1664" w:rsidRDefault="004D7B74" w:rsidP="00BD1664">
            <w:pPr>
              <w:pStyle w:val="TableTextleftaligned"/>
              <w:cnfStyle w:val="000000000000" w:firstRow="0" w:lastRow="0" w:firstColumn="0" w:lastColumn="0" w:oddVBand="0" w:evenVBand="0" w:oddHBand="0" w:evenHBand="0" w:firstRowFirstColumn="0" w:firstRowLastColumn="0" w:lastRowFirstColumn="0" w:lastRowLastColumn="0"/>
            </w:pPr>
            <w:r w:rsidRPr="00BD1664">
              <w:t>100,000 x (Numerator ÷ Denominator)</w:t>
            </w:r>
          </w:p>
          <w:p w14:paraId="346C14BA" w14:textId="77777777" w:rsidR="004D7B74" w:rsidRPr="00BD1664" w:rsidRDefault="004D7B74" w:rsidP="00BD1664">
            <w:pPr>
              <w:pStyle w:val="ListBullet3"/>
              <w:cnfStyle w:val="000000000000" w:firstRow="0" w:lastRow="0" w:firstColumn="0" w:lastColumn="0" w:oddVBand="0" w:evenVBand="0" w:oddHBand="0" w:evenHBand="0" w:firstRowFirstColumn="0" w:firstRowLastColumn="0" w:lastRowFirstColumn="0" w:lastRowLastColumn="0"/>
            </w:pPr>
            <w:r w:rsidRPr="00BD1664">
              <w:rPr>
                <w:rStyle w:val="Strong"/>
              </w:rPr>
              <w:t>Numerator</w:t>
            </w:r>
            <w:r w:rsidRPr="00BD1664">
              <w:t>: Total number of service contacts within the year for all PHN-commissioned mental health services from 1 April to 31 March.</w:t>
            </w:r>
          </w:p>
          <w:p w14:paraId="3163E1D6" w14:textId="77777777" w:rsidR="004D7B74" w:rsidRPr="00BD1664" w:rsidRDefault="004D7B74" w:rsidP="00BD1664">
            <w:pPr>
              <w:pStyle w:val="ListBullet3"/>
              <w:cnfStyle w:val="000000000000" w:firstRow="0" w:lastRow="0" w:firstColumn="0" w:lastColumn="0" w:oddVBand="0" w:evenVBand="0" w:oddHBand="0" w:evenHBand="0" w:firstRowFirstColumn="0" w:firstRowLastColumn="0" w:lastRowFirstColumn="0" w:lastRowLastColumn="0"/>
            </w:pPr>
            <w:r w:rsidRPr="00BD1664">
              <w:rPr>
                <w:rStyle w:val="Strong"/>
              </w:rPr>
              <w:t>Denominator</w:t>
            </w:r>
            <w:r w:rsidRPr="00BD1664">
              <w:t xml:space="preserve">: National total ABS Estimated Resident Population as </w:t>
            </w:r>
            <w:proofErr w:type="gramStart"/>
            <w:r w:rsidRPr="00BD1664">
              <w:t>at</w:t>
            </w:r>
            <w:proofErr w:type="gramEnd"/>
            <w:r w:rsidRPr="00BD1664">
              <w:t xml:space="preserve"> 30 June.</w:t>
            </w:r>
          </w:p>
        </w:tc>
      </w:tr>
      <w:tr w:rsidR="00DC1E77" w:rsidRPr="00BD1664" w14:paraId="5BEF855B" w14:textId="77777777" w:rsidTr="00BD1664">
        <w:tc>
          <w:tcPr>
            <w:cnfStyle w:val="001000000000" w:firstRow="0" w:lastRow="0" w:firstColumn="1" w:lastColumn="0" w:oddVBand="0" w:evenVBand="0" w:oddHBand="0" w:evenHBand="0" w:firstRowFirstColumn="0" w:firstRowLastColumn="0" w:lastRowFirstColumn="0" w:lastRowLastColumn="0"/>
            <w:tcW w:w="943" w:type="pct"/>
          </w:tcPr>
          <w:p w14:paraId="0E5C97A7" w14:textId="3D658CBA" w:rsidR="00DC1E77" w:rsidRPr="00BD1664" w:rsidRDefault="00DC1E77" w:rsidP="00D97A12">
            <w:pPr>
              <w:pStyle w:val="TableTextleftaligned"/>
            </w:pPr>
            <w:r w:rsidRPr="00BD1664">
              <w:t>Linked to 2024–25 Portfolio Budget Statements</w:t>
            </w:r>
          </w:p>
        </w:tc>
        <w:tc>
          <w:tcPr>
            <w:tcW w:w="4057" w:type="pct"/>
            <w:gridSpan w:val="4"/>
          </w:tcPr>
          <w:p w14:paraId="113290F3" w14:textId="17180429" w:rsidR="00DC1E77" w:rsidRPr="00BD1664" w:rsidRDefault="00DC1E77" w:rsidP="00D97A12">
            <w:pPr>
              <w:pStyle w:val="TableTextleftaligned"/>
              <w:cnfStyle w:val="000000000000" w:firstRow="0" w:lastRow="0" w:firstColumn="0" w:lastColumn="0" w:oddVBand="0" w:evenVBand="0" w:oddHBand="0" w:evenHBand="0" w:firstRowFirstColumn="0" w:firstRowLastColumn="0" w:lastRowFirstColumn="0" w:lastRowLastColumn="0"/>
            </w:pPr>
            <w:r w:rsidRPr="00BD1664">
              <w:t xml:space="preserve">Program 1.2 </w:t>
            </w:r>
            <w:r w:rsidR="00FF27E1" w:rsidRPr="00BD1664">
              <w:t>-</w:t>
            </w:r>
            <w:r w:rsidRPr="00BD1664">
              <w:t xml:space="preserve"> Mental Health – page 5</w:t>
            </w:r>
            <w:r w:rsidR="00676B30" w:rsidRPr="00BD1664">
              <w:t>7</w:t>
            </w:r>
          </w:p>
        </w:tc>
      </w:tr>
      <w:tr w:rsidR="00DC1E77" w:rsidRPr="00BD1664" w14:paraId="4F953435" w14:textId="77777777" w:rsidTr="00BD1664">
        <w:trPr>
          <w:trHeight w:val="510"/>
        </w:trPr>
        <w:tc>
          <w:tcPr>
            <w:cnfStyle w:val="001000000000" w:firstRow="0" w:lastRow="0" w:firstColumn="1" w:lastColumn="0" w:oddVBand="0" w:evenVBand="0" w:oddHBand="0" w:evenHBand="0" w:firstRowFirstColumn="0" w:firstRowLastColumn="0" w:lastRowFirstColumn="0" w:lastRowLastColumn="0"/>
            <w:tcW w:w="943" w:type="pct"/>
            <w:vMerge w:val="restart"/>
            <w:vAlign w:val="center"/>
          </w:tcPr>
          <w:p w14:paraId="088BD18E" w14:textId="77777777" w:rsidR="00DC1E77" w:rsidRPr="00BD1664" w:rsidRDefault="00DC1E77" w:rsidP="00BD1664">
            <w:r w:rsidRPr="00BD1664">
              <w:t>Planned Performance Results</w:t>
            </w:r>
          </w:p>
        </w:tc>
        <w:tc>
          <w:tcPr>
            <w:tcW w:w="1014" w:type="pct"/>
            <w:shd w:val="clear" w:color="auto" w:fill="BFBFBF" w:themeFill="background1" w:themeFillShade="BF"/>
            <w:vAlign w:val="center"/>
          </w:tcPr>
          <w:p w14:paraId="76F2EC08" w14:textId="77777777" w:rsidR="00DC1E77" w:rsidRPr="00BD1664" w:rsidRDefault="00DC1E77" w:rsidP="00BD1664">
            <w:pPr>
              <w:pStyle w:val="TableTextstrong"/>
              <w:cnfStyle w:val="000000000000" w:firstRow="0" w:lastRow="0" w:firstColumn="0" w:lastColumn="0" w:oddVBand="0" w:evenVBand="0" w:oddHBand="0" w:evenHBand="0" w:firstRowFirstColumn="0" w:firstRowLastColumn="0" w:lastRowFirstColumn="0" w:lastRowLastColumn="0"/>
            </w:pPr>
            <w:r w:rsidRPr="00BD1664">
              <w:t>2024–25</w:t>
            </w:r>
          </w:p>
        </w:tc>
        <w:tc>
          <w:tcPr>
            <w:tcW w:w="1015" w:type="pct"/>
            <w:shd w:val="clear" w:color="auto" w:fill="BFBFBF" w:themeFill="background1" w:themeFillShade="BF"/>
            <w:vAlign w:val="center"/>
          </w:tcPr>
          <w:p w14:paraId="6055D8A1" w14:textId="77777777" w:rsidR="00DC1E77" w:rsidRPr="00BD1664" w:rsidRDefault="00DC1E77" w:rsidP="00BD1664">
            <w:pPr>
              <w:pStyle w:val="TableTextstrong"/>
              <w:cnfStyle w:val="000000000000" w:firstRow="0" w:lastRow="0" w:firstColumn="0" w:lastColumn="0" w:oddVBand="0" w:evenVBand="0" w:oddHBand="0" w:evenHBand="0" w:firstRowFirstColumn="0" w:firstRowLastColumn="0" w:lastRowFirstColumn="0" w:lastRowLastColumn="0"/>
            </w:pPr>
            <w:r w:rsidRPr="00BD1664">
              <w:t>2025–26</w:t>
            </w:r>
          </w:p>
        </w:tc>
        <w:tc>
          <w:tcPr>
            <w:tcW w:w="1015" w:type="pct"/>
            <w:shd w:val="clear" w:color="auto" w:fill="BFBFBF" w:themeFill="background1" w:themeFillShade="BF"/>
            <w:vAlign w:val="center"/>
          </w:tcPr>
          <w:p w14:paraId="58647DB7" w14:textId="77777777" w:rsidR="00DC1E77" w:rsidRPr="00BD1664" w:rsidRDefault="00DC1E77" w:rsidP="00BD1664">
            <w:pPr>
              <w:pStyle w:val="TableTextstrong"/>
              <w:cnfStyle w:val="000000000000" w:firstRow="0" w:lastRow="0" w:firstColumn="0" w:lastColumn="0" w:oddVBand="0" w:evenVBand="0" w:oddHBand="0" w:evenHBand="0" w:firstRowFirstColumn="0" w:firstRowLastColumn="0" w:lastRowFirstColumn="0" w:lastRowLastColumn="0"/>
            </w:pPr>
            <w:r w:rsidRPr="00BD1664">
              <w:t>2026–27</w:t>
            </w:r>
          </w:p>
        </w:tc>
        <w:tc>
          <w:tcPr>
            <w:tcW w:w="1013" w:type="pct"/>
            <w:shd w:val="clear" w:color="auto" w:fill="BFBFBF" w:themeFill="background1" w:themeFillShade="BF"/>
            <w:vAlign w:val="center"/>
          </w:tcPr>
          <w:p w14:paraId="2237BE88" w14:textId="77777777" w:rsidR="00DC1E77" w:rsidRPr="00BD1664" w:rsidRDefault="00DC1E77" w:rsidP="00BD1664">
            <w:pPr>
              <w:pStyle w:val="TableTextstrong"/>
              <w:cnfStyle w:val="000000000000" w:firstRow="0" w:lastRow="0" w:firstColumn="0" w:lastColumn="0" w:oddVBand="0" w:evenVBand="0" w:oddHBand="0" w:evenHBand="0" w:firstRowFirstColumn="0" w:firstRowLastColumn="0" w:lastRowFirstColumn="0" w:lastRowLastColumn="0"/>
            </w:pPr>
            <w:r w:rsidRPr="00BD1664">
              <w:t>2027–28</w:t>
            </w:r>
          </w:p>
        </w:tc>
      </w:tr>
      <w:tr w:rsidR="00DC1E77" w:rsidRPr="00BD1664" w14:paraId="0499B02E" w14:textId="77777777" w:rsidTr="00BD1664">
        <w:tc>
          <w:tcPr>
            <w:cnfStyle w:val="001000000000" w:firstRow="0" w:lastRow="0" w:firstColumn="1" w:lastColumn="0" w:oddVBand="0" w:evenVBand="0" w:oddHBand="0" w:evenHBand="0" w:firstRowFirstColumn="0" w:firstRowLastColumn="0" w:lastRowFirstColumn="0" w:lastRowLastColumn="0"/>
            <w:tcW w:w="943" w:type="pct"/>
            <w:vMerge/>
          </w:tcPr>
          <w:p w14:paraId="2A00B610" w14:textId="77777777" w:rsidR="00DC1E77" w:rsidRPr="00BD1664" w:rsidRDefault="00DC1E77" w:rsidP="00BD1664"/>
        </w:tc>
        <w:tc>
          <w:tcPr>
            <w:tcW w:w="1014" w:type="pct"/>
          </w:tcPr>
          <w:p w14:paraId="7855515C" w14:textId="77777777" w:rsidR="00DC1E77" w:rsidRPr="00BD1664" w:rsidRDefault="00DC1E77" w:rsidP="00D97A12">
            <w:pPr>
              <w:pStyle w:val="TableTextleftaligned"/>
              <w:cnfStyle w:val="000000000000" w:firstRow="0" w:lastRow="0" w:firstColumn="0" w:lastColumn="0" w:oddVBand="0" w:evenVBand="0" w:oddHBand="0" w:evenHBand="0" w:firstRowFirstColumn="0" w:firstRowLastColumn="0" w:lastRowFirstColumn="0" w:lastRowLastColumn="0"/>
            </w:pPr>
            <w:r w:rsidRPr="00BD1664">
              <w:t>Annual increase from 2023-24</w:t>
            </w:r>
          </w:p>
        </w:tc>
        <w:tc>
          <w:tcPr>
            <w:tcW w:w="1015" w:type="pct"/>
          </w:tcPr>
          <w:p w14:paraId="7C1F368C" w14:textId="77777777" w:rsidR="00DC1E77" w:rsidRPr="00BD1664" w:rsidRDefault="00DC1E77" w:rsidP="00D97A12">
            <w:pPr>
              <w:pStyle w:val="TableTextleftaligned"/>
              <w:cnfStyle w:val="000000000000" w:firstRow="0" w:lastRow="0" w:firstColumn="0" w:lastColumn="0" w:oddVBand="0" w:evenVBand="0" w:oddHBand="0" w:evenHBand="0" w:firstRowFirstColumn="0" w:firstRowLastColumn="0" w:lastRowFirstColumn="0" w:lastRowLastColumn="0"/>
            </w:pPr>
            <w:r w:rsidRPr="00BD1664">
              <w:t>Annual increase from 2024-25</w:t>
            </w:r>
          </w:p>
        </w:tc>
        <w:tc>
          <w:tcPr>
            <w:tcW w:w="1015" w:type="pct"/>
          </w:tcPr>
          <w:p w14:paraId="547C8A13" w14:textId="77777777" w:rsidR="00DC1E77" w:rsidRPr="00BD1664" w:rsidRDefault="00DC1E77" w:rsidP="00D97A12">
            <w:pPr>
              <w:pStyle w:val="TableTextleftaligned"/>
              <w:cnfStyle w:val="000000000000" w:firstRow="0" w:lastRow="0" w:firstColumn="0" w:lastColumn="0" w:oddVBand="0" w:evenVBand="0" w:oddHBand="0" w:evenHBand="0" w:firstRowFirstColumn="0" w:firstRowLastColumn="0" w:lastRowFirstColumn="0" w:lastRowLastColumn="0"/>
            </w:pPr>
            <w:r w:rsidRPr="00BD1664">
              <w:t>Annual increase from 2025-26</w:t>
            </w:r>
          </w:p>
        </w:tc>
        <w:tc>
          <w:tcPr>
            <w:tcW w:w="1013" w:type="pct"/>
          </w:tcPr>
          <w:p w14:paraId="48C9E66D" w14:textId="3BFF024B" w:rsidR="00DC1E77" w:rsidRPr="00BD1664" w:rsidRDefault="00DC1E77" w:rsidP="00D97A12">
            <w:pPr>
              <w:pStyle w:val="TableTextleftaligned"/>
              <w:cnfStyle w:val="000000000000" w:firstRow="0" w:lastRow="0" w:firstColumn="0" w:lastColumn="0" w:oddVBand="0" w:evenVBand="0" w:oddHBand="0" w:evenHBand="0" w:firstRowFirstColumn="0" w:firstRowLastColumn="0" w:lastRowFirstColumn="0" w:lastRowLastColumn="0"/>
            </w:pPr>
            <w:r w:rsidRPr="00BD1664">
              <w:t>Annual increase fr</w:t>
            </w:r>
            <w:r w:rsidR="00C237FB" w:rsidRPr="00BD1664">
              <w:t>o</w:t>
            </w:r>
            <w:r w:rsidRPr="00BD1664">
              <w:t>m 2026-27</w:t>
            </w:r>
          </w:p>
        </w:tc>
      </w:tr>
    </w:tbl>
    <w:p w14:paraId="1FA5107F" w14:textId="77777777" w:rsidR="00F13D9A" w:rsidRDefault="004D7B74" w:rsidP="00D97A12">
      <w:pPr>
        <w:pStyle w:val="Keyactivity"/>
      </w:pPr>
      <w:r>
        <w:rPr>
          <w:rFonts w:eastAsia="Times New Roman" w:cstheme="minorHAnsi"/>
          <w:szCs w:val="20"/>
          <w:highlight w:val="lightGray"/>
          <w:lang w:eastAsia="en-AU"/>
        </w:rPr>
        <w:br w:type="page"/>
      </w:r>
      <w:r w:rsidRPr="00D97A12">
        <w:rPr>
          <w:rStyle w:val="Strong"/>
        </w:rPr>
        <w:lastRenderedPageBreak/>
        <w:t>Key Activity 1.2B</w:t>
      </w:r>
      <w:r w:rsidRPr="00BD1664">
        <w:t>:</w:t>
      </w:r>
    </w:p>
    <w:p w14:paraId="17087A41" w14:textId="747AA1FB" w:rsidR="004D7B74" w:rsidRPr="00BD1664" w:rsidRDefault="004D7B74" w:rsidP="00D97A12">
      <w:pPr>
        <w:pStyle w:val="Keyactivity"/>
        <w:rPr>
          <w:highlight w:val="lightGray"/>
        </w:rPr>
      </w:pPr>
      <w:r w:rsidRPr="00BD1664">
        <w:t>Increasing the number of people accessing Medicare-subsidised mental health services.</w:t>
      </w:r>
    </w:p>
    <w:p w14:paraId="3B46C32A" w14:textId="126FB367" w:rsidR="004D7B74" w:rsidRPr="00176DBD" w:rsidRDefault="00D9224A" w:rsidP="00D97A12">
      <w:pPr>
        <w:rPr>
          <w:lang w:eastAsia="en-AU"/>
        </w:rPr>
      </w:pPr>
      <w:r w:rsidRPr="00D97A12">
        <w:rPr>
          <w:rStyle w:val="Strong"/>
        </w:rPr>
        <w:t>Key activity rationale:</w:t>
      </w:r>
      <w:r w:rsidRPr="00176DBD">
        <w:rPr>
          <w:lang w:eastAsia="en-AU"/>
        </w:rPr>
        <w:t xml:space="preserve"> Under the objective of improving the mental health and wellbeing of all Australians, the department seeks to improve access to services in line with achieving that objective.</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BD1664" w14:paraId="1A98ACD9" w14:textId="77777777" w:rsidTr="00BD166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A3A5341" w14:textId="77777777" w:rsidR="004D7B74" w:rsidRPr="00BD1664" w:rsidRDefault="004D7B74" w:rsidP="00BD1664">
            <w:bookmarkStart w:id="82" w:name="_Hlk168397238"/>
            <w:r w:rsidRPr="00BD1664">
              <w:t xml:space="preserve">Measure 1.2B: Medicare-subsidised mental health services used per 100,000 population. </w:t>
            </w:r>
            <w:bookmarkEnd w:id="82"/>
          </w:p>
        </w:tc>
      </w:tr>
      <w:tr w:rsidR="004D7B74" w:rsidRPr="00BD1664" w14:paraId="1281F45E" w14:textId="77777777" w:rsidTr="00BD1664">
        <w:trPr>
          <w:trHeight w:val="1212"/>
        </w:trPr>
        <w:tc>
          <w:tcPr>
            <w:cnfStyle w:val="001000000000" w:firstRow="0" w:lastRow="0" w:firstColumn="1" w:lastColumn="0" w:oddVBand="0" w:evenVBand="0" w:oddHBand="0" w:evenHBand="0" w:firstRowFirstColumn="0" w:firstRowLastColumn="0" w:lastRowFirstColumn="0" w:lastRowLastColumn="0"/>
            <w:tcW w:w="943" w:type="pct"/>
          </w:tcPr>
          <w:p w14:paraId="6E2BB834" w14:textId="77777777" w:rsidR="004D7B74" w:rsidRPr="00F13D9A" w:rsidRDefault="004D7B74" w:rsidP="00F13D9A">
            <w:pPr>
              <w:pStyle w:val="TableTextleftaligned"/>
            </w:pPr>
            <w:r w:rsidRPr="00F13D9A">
              <w:t>Rationale</w:t>
            </w:r>
          </w:p>
        </w:tc>
        <w:tc>
          <w:tcPr>
            <w:tcW w:w="4057" w:type="pct"/>
            <w:gridSpan w:val="4"/>
          </w:tcPr>
          <w:p w14:paraId="1E4685A6" w14:textId="77777777" w:rsidR="004D7B74" w:rsidRPr="00F13D9A" w:rsidRDefault="004D7B74" w:rsidP="00F13D9A">
            <w:pPr>
              <w:pStyle w:val="TableTextleftaligned"/>
              <w:cnfStyle w:val="000000000000" w:firstRow="0" w:lastRow="0" w:firstColumn="0" w:lastColumn="0" w:oddVBand="0" w:evenVBand="0" w:oddHBand="0" w:evenHBand="0" w:firstRowFirstColumn="0" w:firstRowLastColumn="0" w:lastRowFirstColumn="0" w:lastRowLastColumn="0"/>
            </w:pPr>
            <w:r w:rsidRPr="00BD1664">
              <w:t>Assessing the rate of services used per 100,000 people gives an indication by proxy of whether service access to Medicare-subsidised mental health services has increased. The number of Medicare-subsidised mental health services used per 100,000 population is one lens by which the department assesses people’s accessibility to mental health services.</w:t>
            </w:r>
          </w:p>
        </w:tc>
      </w:tr>
      <w:tr w:rsidR="004D7B74" w:rsidRPr="00BD1664" w14:paraId="4C4C1DAE" w14:textId="77777777" w:rsidTr="00BD1664">
        <w:tc>
          <w:tcPr>
            <w:cnfStyle w:val="001000000000" w:firstRow="0" w:lastRow="0" w:firstColumn="1" w:lastColumn="0" w:oddVBand="0" w:evenVBand="0" w:oddHBand="0" w:evenHBand="0" w:firstRowFirstColumn="0" w:firstRowLastColumn="0" w:lastRowFirstColumn="0" w:lastRowLastColumn="0"/>
            <w:tcW w:w="943" w:type="pct"/>
          </w:tcPr>
          <w:p w14:paraId="1E88836E" w14:textId="77777777" w:rsidR="004D7B74" w:rsidRPr="00F13D9A" w:rsidRDefault="004D7B74" w:rsidP="00F13D9A">
            <w:pPr>
              <w:pStyle w:val="TableTextleftaligned"/>
            </w:pPr>
            <w:r w:rsidRPr="00F13D9A">
              <w:t>Measure Type</w:t>
            </w:r>
          </w:p>
        </w:tc>
        <w:tc>
          <w:tcPr>
            <w:tcW w:w="4057" w:type="pct"/>
            <w:gridSpan w:val="4"/>
          </w:tcPr>
          <w:p w14:paraId="7626DF29" w14:textId="77777777" w:rsidR="004D7B74" w:rsidRPr="00D97A12" w:rsidRDefault="004D7B74" w:rsidP="00D97A12">
            <w:pPr>
              <w:pStyle w:val="TableTextleftaligned"/>
              <w:cnfStyle w:val="000000000000" w:firstRow="0" w:lastRow="0" w:firstColumn="0" w:lastColumn="0" w:oddVBand="0" w:evenVBand="0" w:oddHBand="0" w:evenHBand="0" w:firstRowFirstColumn="0" w:firstRowLastColumn="0" w:lastRowFirstColumn="0" w:lastRowLastColumn="0"/>
            </w:pPr>
            <w:r w:rsidRPr="00D97A12">
              <w:t>Quantitative / Output</w:t>
            </w:r>
          </w:p>
        </w:tc>
      </w:tr>
      <w:tr w:rsidR="004D7B74" w:rsidRPr="00BD1664" w14:paraId="3CAF55B0" w14:textId="77777777" w:rsidTr="00BD1664">
        <w:tc>
          <w:tcPr>
            <w:cnfStyle w:val="001000000000" w:firstRow="0" w:lastRow="0" w:firstColumn="1" w:lastColumn="0" w:oddVBand="0" w:evenVBand="0" w:oddHBand="0" w:evenHBand="0" w:firstRowFirstColumn="0" w:firstRowLastColumn="0" w:lastRowFirstColumn="0" w:lastRowLastColumn="0"/>
            <w:tcW w:w="943" w:type="pct"/>
          </w:tcPr>
          <w:p w14:paraId="7EA5FEB2" w14:textId="4496E5AA" w:rsidR="004D7B74" w:rsidRPr="00F13D9A" w:rsidRDefault="004D7B74" w:rsidP="00F13D9A">
            <w:pPr>
              <w:pStyle w:val="TableTextleftaligned"/>
            </w:pPr>
            <w:r w:rsidRPr="00F13D9A">
              <w:t>Method</w:t>
            </w:r>
            <w:r w:rsidR="00BD1664" w:rsidRPr="00F13D9A">
              <w:t xml:space="preserve"> </w:t>
            </w:r>
            <w:r w:rsidRPr="00F13D9A">
              <w:t>(Data Source and Methodology</w:t>
            </w:r>
            <w:r w:rsidR="00C233E3" w:rsidRPr="00F13D9A">
              <w:t>)</w:t>
            </w:r>
          </w:p>
        </w:tc>
        <w:tc>
          <w:tcPr>
            <w:tcW w:w="4057" w:type="pct"/>
            <w:gridSpan w:val="4"/>
          </w:tcPr>
          <w:p w14:paraId="4128FFE7" w14:textId="77777777" w:rsidR="004D7B74" w:rsidRPr="00BD1664" w:rsidRDefault="004D7B74" w:rsidP="00BD1664">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BD1664">
              <w:rPr>
                <w:rStyle w:val="Strong"/>
              </w:rPr>
              <w:t>Data sources:</w:t>
            </w:r>
          </w:p>
          <w:p w14:paraId="5CEE29E4" w14:textId="77777777" w:rsidR="004D7B74" w:rsidRPr="00BD1664" w:rsidRDefault="004D7B74" w:rsidP="00BD1664">
            <w:pPr>
              <w:pStyle w:val="ListBullet3"/>
              <w:cnfStyle w:val="000000000000" w:firstRow="0" w:lastRow="0" w:firstColumn="0" w:lastColumn="0" w:oddVBand="0" w:evenVBand="0" w:oddHBand="0" w:evenHBand="0" w:firstRowFirstColumn="0" w:firstRowLastColumn="0" w:lastRowFirstColumn="0" w:lastRowLastColumn="0"/>
            </w:pPr>
            <w:r w:rsidRPr="00BD1664">
              <w:rPr>
                <w:rStyle w:val="Strong"/>
              </w:rPr>
              <w:t>Numerator</w:t>
            </w:r>
            <w:r w:rsidRPr="00BD1664">
              <w:t>: Administrative data. Number of Medical Benefits Schedule (MBS) services is generated using Medicare claims data in the Department of Health and Aged Care Enterprise Data Warehouse.</w:t>
            </w:r>
          </w:p>
          <w:p w14:paraId="37C9FC07" w14:textId="77777777" w:rsidR="004D7B74" w:rsidRPr="00BD1664" w:rsidRDefault="004D7B74" w:rsidP="00BD1664">
            <w:pPr>
              <w:pStyle w:val="ListBullet3"/>
              <w:cnfStyle w:val="000000000000" w:firstRow="0" w:lastRow="0" w:firstColumn="0" w:lastColumn="0" w:oddVBand="0" w:evenVBand="0" w:oddHBand="0" w:evenHBand="0" w:firstRowFirstColumn="0" w:firstRowLastColumn="0" w:lastRowFirstColumn="0" w:lastRowLastColumn="0"/>
            </w:pPr>
            <w:r w:rsidRPr="00BD1664">
              <w:rPr>
                <w:rStyle w:val="Strong"/>
              </w:rPr>
              <w:t>Denominator</w:t>
            </w:r>
            <w:r w:rsidRPr="00BD1664">
              <w:t>: The Estimated Resident Population (ERP) is calculated by the Australian Bureau of Statistics (ABS).</w:t>
            </w:r>
          </w:p>
          <w:p w14:paraId="5AD6571B" w14:textId="77777777" w:rsidR="004D7B74" w:rsidRPr="00BD1664" w:rsidRDefault="004D7B74" w:rsidP="00BD1664">
            <w:pPr>
              <w:pStyle w:val="TableTextleftaligned"/>
              <w:cnfStyle w:val="000000000000" w:firstRow="0" w:lastRow="0" w:firstColumn="0" w:lastColumn="0" w:oddVBand="0" w:evenVBand="0" w:oddHBand="0" w:evenHBand="0" w:firstRowFirstColumn="0" w:firstRowLastColumn="0" w:lastRowFirstColumn="0" w:lastRowLastColumn="0"/>
            </w:pPr>
            <w:r w:rsidRPr="00BD1664">
              <w:t>ERP is the official measure of the population of states and territories of Australia according to a usual residence population concept.</w:t>
            </w:r>
          </w:p>
          <w:p w14:paraId="6BD89A58" w14:textId="77777777" w:rsidR="004D7B74" w:rsidRPr="00BD1664" w:rsidRDefault="004D7B74" w:rsidP="00BD1664">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BD1664">
              <w:rPr>
                <w:rStyle w:val="Strong"/>
              </w:rPr>
              <w:t>Methodology:</w:t>
            </w:r>
          </w:p>
          <w:p w14:paraId="6FA6259D" w14:textId="77777777" w:rsidR="004D7B74" w:rsidRPr="00BD1664" w:rsidRDefault="004D7B74" w:rsidP="00BD1664">
            <w:pPr>
              <w:pStyle w:val="TableTextleftaligned"/>
              <w:cnfStyle w:val="000000000000" w:firstRow="0" w:lastRow="0" w:firstColumn="0" w:lastColumn="0" w:oddVBand="0" w:evenVBand="0" w:oddHBand="0" w:evenHBand="0" w:firstRowFirstColumn="0" w:firstRowLastColumn="0" w:lastRowFirstColumn="0" w:lastRowLastColumn="0"/>
            </w:pPr>
            <w:r w:rsidRPr="00BD1664">
              <w:t>100,000 x (Numerator ÷ Denominator)</w:t>
            </w:r>
          </w:p>
          <w:p w14:paraId="53FDFDC8" w14:textId="77777777" w:rsidR="004D7B74" w:rsidRPr="00BD1664" w:rsidRDefault="004D7B74" w:rsidP="00BD1664">
            <w:pPr>
              <w:pStyle w:val="ListBullet3"/>
              <w:cnfStyle w:val="000000000000" w:firstRow="0" w:lastRow="0" w:firstColumn="0" w:lastColumn="0" w:oddVBand="0" w:evenVBand="0" w:oddHBand="0" w:evenHBand="0" w:firstRowFirstColumn="0" w:firstRowLastColumn="0" w:lastRowFirstColumn="0" w:lastRowLastColumn="0"/>
            </w:pPr>
            <w:r w:rsidRPr="00BD1664">
              <w:rPr>
                <w:rStyle w:val="Strong"/>
              </w:rPr>
              <w:t>Numerator</w:t>
            </w:r>
            <w:r w:rsidRPr="00BD1664">
              <w:t>: Number of MBS-subsidised mental health services claims processed each financial year.</w:t>
            </w:r>
          </w:p>
          <w:p w14:paraId="0F61F98D" w14:textId="5B3C0D88" w:rsidR="004D7B74" w:rsidRPr="00BD1664" w:rsidRDefault="004D7B74" w:rsidP="00BD1664">
            <w:pPr>
              <w:pStyle w:val="ListBullet3"/>
              <w:cnfStyle w:val="000000000000" w:firstRow="0" w:lastRow="0" w:firstColumn="0" w:lastColumn="0" w:oddVBand="0" w:evenVBand="0" w:oddHBand="0" w:evenHBand="0" w:firstRowFirstColumn="0" w:firstRowLastColumn="0" w:lastRowFirstColumn="0" w:lastRowLastColumn="0"/>
            </w:pPr>
            <w:r w:rsidRPr="00BD1664">
              <w:rPr>
                <w:rStyle w:val="Strong"/>
              </w:rPr>
              <w:t>Denominator</w:t>
            </w:r>
            <w:r w:rsidRPr="00BD1664">
              <w:t xml:space="preserve">: National total ABS Estimated Resident Population as </w:t>
            </w:r>
            <w:proofErr w:type="gramStart"/>
            <w:r w:rsidRPr="00BD1664">
              <w:t>at</w:t>
            </w:r>
            <w:proofErr w:type="gramEnd"/>
            <w:r w:rsidRPr="00BD1664">
              <w:t xml:space="preserve"> 30 June.</w:t>
            </w:r>
          </w:p>
        </w:tc>
      </w:tr>
      <w:tr w:rsidR="00676B30" w:rsidRPr="00BD1664" w14:paraId="67723024" w14:textId="77777777" w:rsidTr="00BD1664">
        <w:tc>
          <w:tcPr>
            <w:cnfStyle w:val="001000000000" w:firstRow="0" w:lastRow="0" w:firstColumn="1" w:lastColumn="0" w:oddVBand="0" w:evenVBand="0" w:oddHBand="0" w:evenHBand="0" w:firstRowFirstColumn="0" w:firstRowLastColumn="0" w:lastRowFirstColumn="0" w:lastRowLastColumn="0"/>
            <w:tcW w:w="943" w:type="pct"/>
          </w:tcPr>
          <w:p w14:paraId="3D96BD12" w14:textId="3FEA85CA" w:rsidR="00676B30" w:rsidRPr="00BD1664" w:rsidRDefault="00676B30" w:rsidP="00F13D9A">
            <w:pPr>
              <w:pStyle w:val="TableTextleftaligned"/>
            </w:pPr>
            <w:r w:rsidRPr="00BD1664">
              <w:t>Linked to 2024–</w:t>
            </w:r>
            <w:r w:rsidRPr="00F13D9A">
              <w:t>25</w:t>
            </w:r>
            <w:r w:rsidRPr="00BD1664">
              <w:t xml:space="preserve"> Portfolio Budget Statements</w:t>
            </w:r>
          </w:p>
        </w:tc>
        <w:tc>
          <w:tcPr>
            <w:tcW w:w="4057" w:type="pct"/>
            <w:gridSpan w:val="4"/>
          </w:tcPr>
          <w:p w14:paraId="5AE03C32" w14:textId="0A019B99" w:rsidR="00676B30" w:rsidRPr="00BD1664" w:rsidRDefault="00676B30" w:rsidP="00D97A12">
            <w:pPr>
              <w:pStyle w:val="TableTextleftaligned"/>
              <w:cnfStyle w:val="000000000000" w:firstRow="0" w:lastRow="0" w:firstColumn="0" w:lastColumn="0" w:oddVBand="0" w:evenVBand="0" w:oddHBand="0" w:evenHBand="0" w:firstRowFirstColumn="0" w:firstRowLastColumn="0" w:lastRowFirstColumn="0" w:lastRowLastColumn="0"/>
            </w:pPr>
            <w:r w:rsidRPr="00BD1664">
              <w:t xml:space="preserve">Program 1.2 </w:t>
            </w:r>
            <w:r w:rsidR="00FF27E1" w:rsidRPr="00BD1664">
              <w:t xml:space="preserve">- </w:t>
            </w:r>
            <w:r w:rsidRPr="00BD1664">
              <w:t>Mental Health – page 58</w:t>
            </w:r>
          </w:p>
        </w:tc>
      </w:tr>
      <w:tr w:rsidR="004D7B74" w:rsidRPr="00BD1664" w14:paraId="5FC9C370" w14:textId="77777777" w:rsidTr="00BD1664">
        <w:trPr>
          <w:trHeight w:val="397"/>
        </w:trPr>
        <w:tc>
          <w:tcPr>
            <w:cnfStyle w:val="001000000000" w:firstRow="0" w:lastRow="0" w:firstColumn="1" w:lastColumn="0" w:oddVBand="0" w:evenVBand="0" w:oddHBand="0" w:evenHBand="0" w:firstRowFirstColumn="0" w:firstRowLastColumn="0" w:lastRowFirstColumn="0" w:lastRowLastColumn="0"/>
            <w:tcW w:w="943" w:type="pct"/>
            <w:vMerge w:val="restart"/>
            <w:vAlign w:val="center"/>
          </w:tcPr>
          <w:p w14:paraId="2D771502" w14:textId="77777777" w:rsidR="004D7B74" w:rsidRPr="00BD1664" w:rsidRDefault="004D7B74" w:rsidP="00F13D9A">
            <w:pPr>
              <w:pStyle w:val="TableTextleftaligned"/>
            </w:pPr>
            <w:r w:rsidRPr="00BD1664">
              <w:t>Planned Performance Results</w:t>
            </w:r>
          </w:p>
        </w:tc>
        <w:tc>
          <w:tcPr>
            <w:tcW w:w="1014" w:type="pct"/>
            <w:shd w:val="clear" w:color="auto" w:fill="BFBFBF" w:themeFill="background1" w:themeFillShade="BF"/>
            <w:vAlign w:val="center"/>
          </w:tcPr>
          <w:p w14:paraId="4C6DBFEC" w14:textId="77777777" w:rsidR="004D7B74" w:rsidRPr="00BD1664" w:rsidRDefault="004D7B74" w:rsidP="00BD1664">
            <w:pPr>
              <w:pStyle w:val="TableTextstrong"/>
              <w:cnfStyle w:val="000000000000" w:firstRow="0" w:lastRow="0" w:firstColumn="0" w:lastColumn="0" w:oddVBand="0" w:evenVBand="0" w:oddHBand="0" w:evenHBand="0" w:firstRowFirstColumn="0" w:firstRowLastColumn="0" w:lastRowFirstColumn="0" w:lastRowLastColumn="0"/>
            </w:pPr>
            <w:r w:rsidRPr="00BD1664">
              <w:t>2024–25</w:t>
            </w:r>
          </w:p>
        </w:tc>
        <w:tc>
          <w:tcPr>
            <w:tcW w:w="1015" w:type="pct"/>
            <w:shd w:val="clear" w:color="auto" w:fill="BFBFBF" w:themeFill="background1" w:themeFillShade="BF"/>
            <w:vAlign w:val="center"/>
          </w:tcPr>
          <w:p w14:paraId="2968A48A" w14:textId="77777777" w:rsidR="004D7B74" w:rsidRPr="00BD1664" w:rsidRDefault="004D7B74" w:rsidP="00BD1664">
            <w:pPr>
              <w:pStyle w:val="TableTextstrong"/>
              <w:cnfStyle w:val="000000000000" w:firstRow="0" w:lastRow="0" w:firstColumn="0" w:lastColumn="0" w:oddVBand="0" w:evenVBand="0" w:oddHBand="0" w:evenHBand="0" w:firstRowFirstColumn="0" w:firstRowLastColumn="0" w:lastRowFirstColumn="0" w:lastRowLastColumn="0"/>
            </w:pPr>
            <w:r w:rsidRPr="00BD1664">
              <w:t>2025–26</w:t>
            </w:r>
          </w:p>
        </w:tc>
        <w:tc>
          <w:tcPr>
            <w:tcW w:w="1015" w:type="pct"/>
            <w:shd w:val="clear" w:color="auto" w:fill="BFBFBF" w:themeFill="background1" w:themeFillShade="BF"/>
            <w:vAlign w:val="center"/>
          </w:tcPr>
          <w:p w14:paraId="2E7D19E0" w14:textId="77777777" w:rsidR="004D7B74" w:rsidRPr="00BD1664" w:rsidRDefault="004D7B74" w:rsidP="00BD1664">
            <w:pPr>
              <w:pStyle w:val="TableTextstrong"/>
              <w:cnfStyle w:val="000000000000" w:firstRow="0" w:lastRow="0" w:firstColumn="0" w:lastColumn="0" w:oddVBand="0" w:evenVBand="0" w:oddHBand="0" w:evenHBand="0" w:firstRowFirstColumn="0" w:firstRowLastColumn="0" w:lastRowFirstColumn="0" w:lastRowLastColumn="0"/>
            </w:pPr>
            <w:r w:rsidRPr="00BD1664">
              <w:t>2026–27</w:t>
            </w:r>
          </w:p>
        </w:tc>
        <w:tc>
          <w:tcPr>
            <w:tcW w:w="1013" w:type="pct"/>
            <w:shd w:val="clear" w:color="auto" w:fill="BFBFBF" w:themeFill="background1" w:themeFillShade="BF"/>
            <w:vAlign w:val="center"/>
          </w:tcPr>
          <w:p w14:paraId="105674C1" w14:textId="77777777" w:rsidR="004D7B74" w:rsidRPr="00BD1664" w:rsidRDefault="004D7B74" w:rsidP="00BD1664">
            <w:pPr>
              <w:pStyle w:val="TableTextstrong"/>
              <w:cnfStyle w:val="000000000000" w:firstRow="0" w:lastRow="0" w:firstColumn="0" w:lastColumn="0" w:oddVBand="0" w:evenVBand="0" w:oddHBand="0" w:evenHBand="0" w:firstRowFirstColumn="0" w:firstRowLastColumn="0" w:lastRowFirstColumn="0" w:lastRowLastColumn="0"/>
            </w:pPr>
            <w:r w:rsidRPr="00BD1664">
              <w:t>2027–28</w:t>
            </w:r>
          </w:p>
        </w:tc>
      </w:tr>
      <w:tr w:rsidR="004D7B74" w:rsidRPr="00BD1664" w14:paraId="70BB51AE" w14:textId="77777777" w:rsidTr="00BD166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5A5B89C9" w14:textId="77777777" w:rsidR="004D7B74" w:rsidRPr="00BD1664" w:rsidRDefault="004D7B74" w:rsidP="00BD1664"/>
        </w:tc>
        <w:tc>
          <w:tcPr>
            <w:tcW w:w="1014" w:type="pct"/>
          </w:tcPr>
          <w:p w14:paraId="04C1C5A8" w14:textId="09AB6315" w:rsidR="004D7B74" w:rsidRPr="00BD1664" w:rsidRDefault="004D7B74" w:rsidP="00F13D9A">
            <w:pPr>
              <w:pStyle w:val="TableTextleftaligned"/>
              <w:cnfStyle w:val="010000000000" w:firstRow="0" w:lastRow="1" w:firstColumn="0" w:lastColumn="0" w:oddVBand="0" w:evenVBand="0" w:oddHBand="0" w:evenHBand="0" w:firstRowFirstColumn="0" w:firstRowLastColumn="0" w:lastRowFirstColumn="0" w:lastRowLastColumn="0"/>
            </w:pPr>
            <w:r w:rsidRPr="00BD1664">
              <w:t>Annual increase from 2023–24</w:t>
            </w:r>
          </w:p>
        </w:tc>
        <w:tc>
          <w:tcPr>
            <w:tcW w:w="1015" w:type="pct"/>
          </w:tcPr>
          <w:p w14:paraId="18C86526" w14:textId="77777777" w:rsidR="004D7B74" w:rsidRPr="00BD1664" w:rsidRDefault="004D7B74" w:rsidP="00F13D9A">
            <w:pPr>
              <w:pStyle w:val="TableTextleftaligned"/>
              <w:cnfStyle w:val="010000000000" w:firstRow="0" w:lastRow="1" w:firstColumn="0" w:lastColumn="0" w:oddVBand="0" w:evenVBand="0" w:oddHBand="0" w:evenHBand="0" w:firstRowFirstColumn="0" w:firstRowLastColumn="0" w:lastRowFirstColumn="0" w:lastRowLastColumn="0"/>
            </w:pPr>
            <w:r w:rsidRPr="00BD1664">
              <w:t>Annual increase from 2024–25</w:t>
            </w:r>
          </w:p>
        </w:tc>
        <w:tc>
          <w:tcPr>
            <w:tcW w:w="1015" w:type="pct"/>
          </w:tcPr>
          <w:p w14:paraId="5ADD0F3C" w14:textId="77777777" w:rsidR="004D7B74" w:rsidRPr="00BD1664" w:rsidRDefault="004D7B74" w:rsidP="00F13D9A">
            <w:pPr>
              <w:pStyle w:val="TableTextleftaligned"/>
              <w:cnfStyle w:val="010000000000" w:firstRow="0" w:lastRow="1" w:firstColumn="0" w:lastColumn="0" w:oddVBand="0" w:evenVBand="0" w:oddHBand="0" w:evenHBand="0" w:firstRowFirstColumn="0" w:firstRowLastColumn="0" w:lastRowFirstColumn="0" w:lastRowLastColumn="0"/>
            </w:pPr>
            <w:r w:rsidRPr="00BD1664">
              <w:t>Annual increase from 2025–26</w:t>
            </w:r>
          </w:p>
        </w:tc>
        <w:tc>
          <w:tcPr>
            <w:tcW w:w="1013" w:type="pct"/>
          </w:tcPr>
          <w:p w14:paraId="6D9E65FB" w14:textId="77777777" w:rsidR="004D7B74" w:rsidRPr="00BD1664" w:rsidRDefault="004D7B74" w:rsidP="00F13D9A">
            <w:pPr>
              <w:pStyle w:val="TableTextleftaligned"/>
              <w:cnfStyle w:val="010000000000" w:firstRow="0" w:lastRow="1" w:firstColumn="0" w:lastColumn="0" w:oddVBand="0" w:evenVBand="0" w:oddHBand="0" w:evenHBand="0" w:firstRowFirstColumn="0" w:firstRowLastColumn="0" w:lastRowFirstColumn="0" w:lastRowLastColumn="0"/>
            </w:pPr>
            <w:r w:rsidRPr="00BD1664">
              <w:t>Annual increase from 2026–27</w:t>
            </w:r>
          </w:p>
        </w:tc>
      </w:tr>
    </w:tbl>
    <w:p w14:paraId="68A10CFB" w14:textId="77777777" w:rsidR="00F13D9A" w:rsidRDefault="004D7B74" w:rsidP="00D97A12">
      <w:pPr>
        <w:pStyle w:val="Keyactivity"/>
        <w:rPr>
          <w:b/>
          <w:bCs/>
        </w:rPr>
      </w:pPr>
      <w:r>
        <w:rPr>
          <w:sz w:val="24"/>
          <w:szCs w:val="24"/>
          <w:highlight w:val="yellow"/>
        </w:rPr>
        <w:br w:type="page"/>
      </w:r>
      <w:r w:rsidRPr="00D97A12">
        <w:rPr>
          <w:rStyle w:val="Strong"/>
        </w:rPr>
        <w:lastRenderedPageBreak/>
        <w:t>Key Activity 1.2C:</w:t>
      </w:r>
    </w:p>
    <w:p w14:paraId="00BE42BE" w14:textId="17A679F3" w:rsidR="004D7B74" w:rsidRPr="00176DBD" w:rsidRDefault="004D7B74" w:rsidP="00D97A12">
      <w:pPr>
        <w:pStyle w:val="Keyactivity"/>
      </w:pPr>
      <w:r w:rsidRPr="00176DBD">
        <w:t>Enhancing the national network of headspace youth services.</w:t>
      </w:r>
    </w:p>
    <w:p w14:paraId="1E132E38" w14:textId="60F0CE06" w:rsidR="004D7B74" w:rsidRPr="00D97A12" w:rsidRDefault="002419EA" w:rsidP="00D97A12">
      <w:r w:rsidRPr="00D97A12">
        <w:rPr>
          <w:rStyle w:val="Strong"/>
        </w:rPr>
        <w:t xml:space="preserve">Key </w:t>
      </w:r>
      <w:r w:rsidR="00E63AD7" w:rsidRPr="00D97A12">
        <w:rPr>
          <w:rStyle w:val="Strong"/>
        </w:rPr>
        <w:t>a</w:t>
      </w:r>
      <w:r w:rsidRPr="00D97A12">
        <w:rPr>
          <w:rStyle w:val="Strong"/>
        </w:rPr>
        <w:t>ctivity rationale:</w:t>
      </w:r>
      <w:r w:rsidRPr="00176DBD">
        <w:rPr>
          <w:rFonts w:eastAsia="Times New Roman" w:cs="Arial"/>
          <w:b/>
          <w:bCs/>
          <w:szCs w:val="20"/>
          <w:lang w:eastAsia="en-AU"/>
        </w:rPr>
        <w:t xml:space="preserve"> </w:t>
      </w:r>
      <w:r w:rsidRPr="00176DBD">
        <w:rPr>
          <w:rFonts w:eastAsia="Times New Roman" w:cs="Arial"/>
          <w:szCs w:val="20"/>
          <w:lang w:eastAsia="en-AU"/>
        </w:rPr>
        <w:t xml:space="preserve">Enhancing the capacity of mental health services for young people aged </w:t>
      </w:r>
      <w:r w:rsidR="00E63AD7">
        <w:rPr>
          <w:rFonts w:eastAsia="Times New Roman" w:cs="Arial"/>
          <w:szCs w:val="20"/>
          <w:lang w:eastAsia="en-AU"/>
        </w:rPr>
        <w:br/>
      </w:r>
      <w:r w:rsidRPr="00176DBD">
        <w:rPr>
          <w:rFonts w:eastAsia="Times New Roman" w:cs="Arial"/>
          <w:szCs w:val="20"/>
          <w:lang w:eastAsia="en-AU"/>
        </w:rPr>
        <w:t>12–25 years (inclusive) provides an appropriate measure of the Australian Government's efforts to ensure prevention and early intervention services are available for young people at risk of or experiencing mental ill-health.</w:t>
      </w:r>
    </w:p>
    <w:tbl>
      <w:tblPr>
        <w:tblStyle w:val="TableGridLight"/>
        <w:tblW w:w="5000" w:type="pct"/>
        <w:tblLook w:val="01E0" w:firstRow="1" w:lastRow="1" w:firstColumn="1" w:lastColumn="1" w:noHBand="0" w:noVBand="0"/>
      </w:tblPr>
      <w:tblGrid>
        <w:gridCol w:w="1701"/>
        <w:gridCol w:w="1828"/>
        <w:gridCol w:w="1830"/>
        <w:gridCol w:w="1830"/>
        <w:gridCol w:w="1827"/>
      </w:tblGrid>
      <w:tr w:rsidR="002419EA" w:rsidRPr="00154335" w14:paraId="3C61F27D" w14:textId="77777777" w:rsidTr="00D97A12">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38E7D18" w14:textId="7E6DF3AA" w:rsidR="004D7B74" w:rsidRPr="00154335" w:rsidRDefault="004D7B74" w:rsidP="00D97A12">
            <w:r w:rsidRPr="00154335">
              <w:t xml:space="preserve">Measure 1.2C: Number of headspace services delivered per 100,000 population of </w:t>
            </w:r>
            <w:proofErr w:type="gramStart"/>
            <w:r w:rsidRPr="00154335">
              <w:t>12 to 25 year olds</w:t>
            </w:r>
            <w:proofErr w:type="gramEnd"/>
            <w:r w:rsidRPr="00154335">
              <w:t>.</w:t>
            </w:r>
          </w:p>
        </w:tc>
      </w:tr>
      <w:tr w:rsidR="004D7B74" w:rsidRPr="00154335" w14:paraId="01F98556" w14:textId="77777777" w:rsidTr="00154335">
        <w:tc>
          <w:tcPr>
            <w:cnfStyle w:val="001000000000" w:firstRow="0" w:lastRow="0" w:firstColumn="1" w:lastColumn="0" w:oddVBand="0" w:evenVBand="0" w:oddHBand="0" w:evenHBand="0" w:firstRowFirstColumn="0" w:firstRowLastColumn="0" w:lastRowFirstColumn="0" w:lastRowLastColumn="0"/>
            <w:tcW w:w="943" w:type="pct"/>
          </w:tcPr>
          <w:p w14:paraId="14A06720" w14:textId="77777777" w:rsidR="004D7B74" w:rsidRPr="00154335" w:rsidRDefault="004D7B74" w:rsidP="00F13D9A">
            <w:pPr>
              <w:pStyle w:val="TableTextleftaligned"/>
            </w:pPr>
            <w:r w:rsidRPr="00154335">
              <w:t>Rationale</w:t>
            </w:r>
          </w:p>
        </w:tc>
        <w:tc>
          <w:tcPr>
            <w:tcW w:w="4057" w:type="pct"/>
            <w:gridSpan w:val="4"/>
          </w:tcPr>
          <w:p w14:paraId="68A0F590" w14:textId="697FE0AA" w:rsidR="004D7B74" w:rsidRPr="00154335" w:rsidRDefault="004D7B74" w:rsidP="00D97A12">
            <w:pPr>
              <w:pStyle w:val="TableTextleftaligned"/>
              <w:cnfStyle w:val="000000000000" w:firstRow="0" w:lastRow="0" w:firstColumn="0" w:lastColumn="0" w:oddVBand="0" w:evenVBand="0" w:oddHBand="0" w:evenHBand="0" w:firstRowFirstColumn="0" w:firstRowLastColumn="0" w:lastRowFirstColumn="0" w:lastRowLastColumn="0"/>
            </w:pPr>
            <w:r w:rsidRPr="00154335">
              <w:t xml:space="preserve">Delivery of headspace services provides a measure of enhancement of the national network of headspace services. The number of headspace services delivered per 100,000 population is one </w:t>
            </w:r>
            <w:r w:rsidR="00CA2B61" w:rsidRPr="00154335">
              <w:t xml:space="preserve">element </w:t>
            </w:r>
            <w:r w:rsidRPr="00154335">
              <w:t xml:space="preserve">the department </w:t>
            </w:r>
            <w:r w:rsidR="00CA2B61" w:rsidRPr="00154335">
              <w:t xml:space="preserve">uses to </w:t>
            </w:r>
            <w:r w:rsidRPr="00154335">
              <w:t>assess its service</w:t>
            </w:r>
            <w:r w:rsidR="00641AC5" w:rsidRPr="00154335">
              <w:t>s and</w:t>
            </w:r>
            <w:r w:rsidRPr="00154335">
              <w:t xml:space="preserve"> performance.</w:t>
            </w:r>
          </w:p>
        </w:tc>
      </w:tr>
      <w:tr w:rsidR="004D7B74" w:rsidRPr="00154335" w14:paraId="0044B263" w14:textId="77777777" w:rsidTr="00154335">
        <w:tc>
          <w:tcPr>
            <w:cnfStyle w:val="001000000000" w:firstRow="0" w:lastRow="0" w:firstColumn="1" w:lastColumn="0" w:oddVBand="0" w:evenVBand="0" w:oddHBand="0" w:evenHBand="0" w:firstRowFirstColumn="0" w:firstRowLastColumn="0" w:lastRowFirstColumn="0" w:lastRowLastColumn="0"/>
            <w:tcW w:w="943" w:type="pct"/>
          </w:tcPr>
          <w:p w14:paraId="5C7CD68F" w14:textId="77777777" w:rsidR="004D7B74" w:rsidRPr="00154335" w:rsidRDefault="004D7B74" w:rsidP="00F13D9A">
            <w:pPr>
              <w:pStyle w:val="TableTextleftaligned"/>
            </w:pPr>
            <w:r w:rsidRPr="00154335">
              <w:t>Measure Type</w:t>
            </w:r>
          </w:p>
        </w:tc>
        <w:tc>
          <w:tcPr>
            <w:tcW w:w="4057" w:type="pct"/>
            <w:gridSpan w:val="4"/>
          </w:tcPr>
          <w:p w14:paraId="3C400D22" w14:textId="77777777" w:rsidR="004D7B74" w:rsidRPr="00154335" w:rsidRDefault="004D7B74" w:rsidP="00D97A12">
            <w:pPr>
              <w:pStyle w:val="TableTextleftaligned"/>
              <w:cnfStyle w:val="000000000000" w:firstRow="0" w:lastRow="0" w:firstColumn="0" w:lastColumn="0" w:oddVBand="0" w:evenVBand="0" w:oddHBand="0" w:evenHBand="0" w:firstRowFirstColumn="0" w:firstRowLastColumn="0" w:lastRowFirstColumn="0" w:lastRowLastColumn="0"/>
            </w:pPr>
            <w:r w:rsidRPr="00154335">
              <w:t>Quantitative / Output</w:t>
            </w:r>
          </w:p>
        </w:tc>
      </w:tr>
      <w:tr w:rsidR="004D7B74" w:rsidRPr="00154335" w14:paraId="68EF50DA" w14:textId="77777777" w:rsidTr="00154335">
        <w:tc>
          <w:tcPr>
            <w:cnfStyle w:val="001000000000" w:firstRow="0" w:lastRow="0" w:firstColumn="1" w:lastColumn="0" w:oddVBand="0" w:evenVBand="0" w:oddHBand="0" w:evenHBand="0" w:firstRowFirstColumn="0" w:firstRowLastColumn="0" w:lastRowFirstColumn="0" w:lastRowLastColumn="0"/>
            <w:tcW w:w="943" w:type="pct"/>
          </w:tcPr>
          <w:p w14:paraId="4718D8DA" w14:textId="3A498A49" w:rsidR="004D7B74" w:rsidRPr="00154335" w:rsidRDefault="004D7B74" w:rsidP="00F13D9A">
            <w:pPr>
              <w:pStyle w:val="TableTextleftaligned"/>
            </w:pPr>
            <w:r w:rsidRPr="00154335">
              <w:t>Method</w:t>
            </w:r>
            <w:r w:rsidR="00D97A12">
              <w:t xml:space="preserve"> </w:t>
            </w:r>
            <w:r w:rsidRPr="00154335">
              <w:t>(Data Source and Methodology</w:t>
            </w:r>
            <w:r w:rsidR="00541B07" w:rsidRPr="00154335">
              <w:t>)</w:t>
            </w:r>
          </w:p>
        </w:tc>
        <w:tc>
          <w:tcPr>
            <w:tcW w:w="4057" w:type="pct"/>
            <w:gridSpan w:val="4"/>
          </w:tcPr>
          <w:p w14:paraId="1F43FD69" w14:textId="77777777" w:rsidR="004D7B74" w:rsidRPr="00D97A12" w:rsidRDefault="004D7B74" w:rsidP="00D97A12">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D97A12">
              <w:rPr>
                <w:rStyle w:val="Strong"/>
              </w:rPr>
              <w:t>Data sources:</w:t>
            </w:r>
          </w:p>
          <w:p w14:paraId="0E5D734C" w14:textId="77777777" w:rsidR="004D7B74" w:rsidRPr="00154335" w:rsidRDefault="004D7B74" w:rsidP="00154335">
            <w:pPr>
              <w:pStyle w:val="ListBullet3"/>
              <w:cnfStyle w:val="000000000000" w:firstRow="0" w:lastRow="0" w:firstColumn="0" w:lastColumn="0" w:oddVBand="0" w:evenVBand="0" w:oddHBand="0" w:evenHBand="0" w:firstRowFirstColumn="0" w:firstRowLastColumn="0" w:lastRowFirstColumn="0" w:lastRowLastColumn="0"/>
            </w:pPr>
            <w:r w:rsidRPr="00154335">
              <w:rPr>
                <w:rStyle w:val="Strong"/>
              </w:rPr>
              <w:t>Numerator</w:t>
            </w:r>
            <w:r w:rsidRPr="00154335">
              <w:t xml:space="preserve">: Administrative data. The Primary Mental Health Care Minimum Data Set (PMHC MDS) provides the basis for PHNs and the Department of Health and Aged Care to monitor and report on service delivery, and to inform future improvements in the planning and funding of primary mental health care services funded by the Australian Government. </w:t>
            </w:r>
          </w:p>
          <w:p w14:paraId="1B18C5CB" w14:textId="77777777" w:rsidR="004D7B74" w:rsidRPr="00154335" w:rsidRDefault="004D7B74" w:rsidP="00154335">
            <w:pPr>
              <w:pStyle w:val="ListBullet3"/>
              <w:cnfStyle w:val="000000000000" w:firstRow="0" w:lastRow="0" w:firstColumn="0" w:lastColumn="0" w:oddVBand="0" w:evenVBand="0" w:oddHBand="0" w:evenHBand="0" w:firstRowFirstColumn="0" w:firstRowLastColumn="0" w:lastRowFirstColumn="0" w:lastRowLastColumn="0"/>
            </w:pPr>
            <w:r w:rsidRPr="00154335">
              <w:rPr>
                <w:rStyle w:val="Strong"/>
              </w:rPr>
              <w:t>Denominator</w:t>
            </w:r>
            <w:r w:rsidRPr="00154335">
              <w:t xml:space="preserve">: The Estimated Resident Population (ERP) is calculated by the Australian Bureau of Statistics (ABS). </w:t>
            </w:r>
          </w:p>
          <w:p w14:paraId="6C3D20DE" w14:textId="77777777" w:rsidR="004D7B74" w:rsidRPr="00154335" w:rsidRDefault="004D7B74" w:rsidP="00154335">
            <w:pPr>
              <w:pStyle w:val="TableTextleftaligned"/>
              <w:cnfStyle w:val="000000000000" w:firstRow="0" w:lastRow="0" w:firstColumn="0" w:lastColumn="0" w:oddVBand="0" w:evenVBand="0" w:oddHBand="0" w:evenHBand="0" w:firstRowFirstColumn="0" w:firstRowLastColumn="0" w:lastRowFirstColumn="0" w:lastRowLastColumn="0"/>
            </w:pPr>
            <w:r w:rsidRPr="00154335">
              <w:t xml:space="preserve">ERP is the official measure of the population of states and territories of Australia according to a usual residence population concept. </w:t>
            </w:r>
          </w:p>
          <w:p w14:paraId="526816E9" w14:textId="04297B70" w:rsidR="004D7B74" w:rsidRPr="00154335" w:rsidRDefault="004D7B74" w:rsidP="00154335">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154335">
              <w:rPr>
                <w:rStyle w:val="Strong"/>
              </w:rPr>
              <w:t>Methodology:</w:t>
            </w:r>
          </w:p>
          <w:p w14:paraId="7E43BBD0" w14:textId="77777777" w:rsidR="004D7B74" w:rsidRPr="00154335" w:rsidRDefault="004D7B74" w:rsidP="00D97A12">
            <w:pPr>
              <w:pStyle w:val="TableTextleftaligned"/>
              <w:cnfStyle w:val="000000000000" w:firstRow="0" w:lastRow="0" w:firstColumn="0" w:lastColumn="0" w:oddVBand="0" w:evenVBand="0" w:oddHBand="0" w:evenHBand="0" w:firstRowFirstColumn="0" w:firstRowLastColumn="0" w:lastRowFirstColumn="0" w:lastRowLastColumn="0"/>
            </w:pPr>
            <w:r w:rsidRPr="00154335">
              <w:t>100,000 × (</w:t>
            </w:r>
            <w:r w:rsidRPr="00D97A12">
              <w:t>Numerator</w:t>
            </w:r>
            <w:r w:rsidRPr="00154335">
              <w:t xml:space="preserve"> ÷ Denominator).</w:t>
            </w:r>
          </w:p>
          <w:p w14:paraId="07891A9E" w14:textId="4BC95CBE" w:rsidR="004D7B74" w:rsidRPr="00154335" w:rsidRDefault="004D7B74" w:rsidP="00D97A12">
            <w:pPr>
              <w:pStyle w:val="ListBullet3"/>
              <w:cnfStyle w:val="000000000000" w:firstRow="0" w:lastRow="0" w:firstColumn="0" w:lastColumn="0" w:oddVBand="0" w:evenVBand="0" w:oddHBand="0" w:evenHBand="0" w:firstRowFirstColumn="0" w:firstRowLastColumn="0" w:lastRowFirstColumn="0" w:lastRowLastColumn="0"/>
            </w:pPr>
            <w:r w:rsidRPr="00154335">
              <w:rPr>
                <w:rStyle w:val="Strong"/>
              </w:rPr>
              <w:t>Numerator</w:t>
            </w:r>
            <w:r w:rsidRPr="00154335">
              <w:t xml:space="preserve">: Number of </w:t>
            </w:r>
            <w:r w:rsidRPr="00D97A12">
              <w:t>headspace</w:t>
            </w:r>
            <w:r w:rsidRPr="00154335">
              <w:t xml:space="preserve"> service contacts for </w:t>
            </w:r>
            <w:proofErr w:type="gramStart"/>
            <w:r w:rsidRPr="00154335">
              <w:t>12</w:t>
            </w:r>
            <w:r w:rsidR="00DD2927" w:rsidRPr="00154335">
              <w:t xml:space="preserve"> to </w:t>
            </w:r>
            <w:r w:rsidRPr="00154335">
              <w:t>25 year olds</w:t>
            </w:r>
            <w:proofErr w:type="gramEnd"/>
            <w:r w:rsidRPr="00154335">
              <w:t xml:space="preserve"> (inclusive) from 1 April to 31 March.</w:t>
            </w:r>
          </w:p>
          <w:p w14:paraId="31CEE336" w14:textId="0D7C70D9" w:rsidR="004D7B74" w:rsidRPr="00154335" w:rsidRDefault="004D7B74" w:rsidP="00154335">
            <w:pPr>
              <w:pStyle w:val="ListBullet3"/>
              <w:cnfStyle w:val="000000000000" w:firstRow="0" w:lastRow="0" w:firstColumn="0" w:lastColumn="0" w:oddVBand="0" w:evenVBand="0" w:oddHBand="0" w:evenHBand="0" w:firstRowFirstColumn="0" w:firstRowLastColumn="0" w:lastRowFirstColumn="0" w:lastRowLastColumn="0"/>
            </w:pPr>
            <w:r w:rsidRPr="00154335">
              <w:rPr>
                <w:rStyle w:val="Strong"/>
              </w:rPr>
              <w:t>Denominator</w:t>
            </w:r>
            <w:r w:rsidRPr="00154335">
              <w:t xml:space="preserve">: National </w:t>
            </w:r>
            <w:proofErr w:type="gramStart"/>
            <w:r w:rsidRPr="00154335">
              <w:t>12</w:t>
            </w:r>
            <w:r w:rsidR="00DD2927" w:rsidRPr="00154335">
              <w:t xml:space="preserve"> to </w:t>
            </w:r>
            <w:r w:rsidRPr="00154335">
              <w:t>25 year old</w:t>
            </w:r>
            <w:proofErr w:type="gramEnd"/>
            <w:r w:rsidRPr="00154335">
              <w:t xml:space="preserve"> (inclusive) ABS Estimated Resident Population as at 30 June.</w:t>
            </w:r>
          </w:p>
        </w:tc>
      </w:tr>
      <w:tr w:rsidR="00676B30" w:rsidRPr="00154335" w14:paraId="25A4B275" w14:textId="77777777" w:rsidTr="00154335">
        <w:tc>
          <w:tcPr>
            <w:cnfStyle w:val="001000000000" w:firstRow="0" w:lastRow="0" w:firstColumn="1" w:lastColumn="0" w:oddVBand="0" w:evenVBand="0" w:oddHBand="0" w:evenHBand="0" w:firstRowFirstColumn="0" w:firstRowLastColumn="0" w:lastRowFirstColumn="0" w:lastRowLastColumn="0"/>
            <w:tcW w:w="943" w:type="pct"/>
          </w:tcPr>
          <w:p w14:paraId="20B7B515" w14:textId="368FAD9B" w:rsidR="00676B30" w:rsidRPr="00154335" w:rsidRDefault="00676B30" w:rsidP="00F13D9A">
            <w:pPr>
              <w:pStyle w:val="TableTextleftaligned"/>
            </w:pPr>
            <w:r w:rsidRPr="00154335">
              <w:t>Linked to 2024–25 Portfolio Budget Statements</w:t>
            </w:r>
          </w:p>
        </w:tc>
        <w:tc>
          <w:tcPr>
            <w:tcW w:w="4057" w:type="pct"/>
            <w:gridSpan w:val="4"/>
          </w:tcPr>
          <w:p w14:paraId="42AA9862" w14:textId="70D77E46" w:rsidR="00676B30" w:rsidRPr="00154335" w:rsidRDefault="00676B30" w:rsidP="00D97A12">
            <w:pPr>
              <w:pStyle w:val="TableTextleftaligned"/>
              <w:cnfStyle w:val="000000000000" w:firstRow="0" w:lastRow="0" w:firstColumn="0" w:lastColumn="0" w:oddVBand="0" w:evenVBand="0" w:oddHBand="0" w:evenHBand="0" w:firstRowFirstColumn="0" w:firstRowLastColumn="0" w:lastRowFirstColumn="0" w:lastRowLastColumn="0"/>
            </w:pPr>
            <w:r w:rsidRPr="00154335">
              <w:t xml:space="preserve">Program 1.2 </w:t>
            </w:r>
            <w:r w:rsidR="00FF27E1" w:rsidRPr="00154335">
              <w:t>-</w:t>
            </w:r>
            <w:r w:rsidRPr="00154335">
              <w:t xml:space="preserve"> Mental Health – page 59</w:t>
            </w:r>
          </w:p>
        </w:tc>
      </w:tr>
      <w:tr w:rsidR="004D7B74" w:rsidRPr="00154335" w14:paraId="000E871B" w14:textId="77777777" w:rsidTr="00154335">
        <w:trPr>
          <w:trHeight w:val="397"/>
        </w:trPr>
        <w:tc>
          <w:tcPr>
            <w:cnfStyle w:val="001000000000" w:firstRow="0" w:lastRow="0" w:firstColumn="1" w:lastColumn="0" w:oddVBand="0" w:evenVBand="0" w:oddHBand="0" w:evenHBand="0" w:firstRowFirstColumn="0" w:firstRowLastColumn="0" w:lastRowFirstColumn="0" w:lastRowLastColumn="0"/>
            <w:tcW w:w="943" w:type="pct"/>
            <w:vMerge w:val="restart"/>
            <w:vAlign w:val="center"/>
          </w:tcPr>
          <w:p w14:paraId="3FFDAAEA" w14:textId="77777777" w:rsidR="004D7B74" w:rsidRPr="00154335" w:rsidRDefault="004D7B74" w:rsidP="00154335">
            <w:r w:rsidRPr="00154335">
              <w:t>Planned Performance Results</w:t>
            </w:r>
          </w:p>
        </w:tc>
        <w:tc>
          <w:tcPr>
            <w:tcW w:w="1014" w:type="pct"/>
            <w:shd w:val="clear" w:color="auto" w:fill="BFBFBF" w:themeFill="background1" w:themeFillShade="BF"/>
            <w:vAlign w:val="center"/>
          </w:tcPr>
          <w:p w14:paraId="0192A62F" w14:textId="77777777" w:rsidR="004D7B74" w:rsidRPr="00154335" w:rsidRDefault="004D7B74" w:rsidP="00154335">
            <w:pPr>
              <w:pStyle w:val="TableTextstrong"/>
              <w:cnfStyle w:val="000000000000" w:firstRow="0" w:lastRow="0" w:firstColumn="0" w:lastColumn="0" w:oddVBand="0" w:evenVBand="0" w:oddHBand="0" w:evenHBand="0" w:firstRowFirstColumn="0" w:firstRowLastColumn="0" w:lastRowFirstColumn="0" w:lastRowLastColumn="0"/>
            </w:pPr>
            <w:r w:rsidRPr="00154335">
              <w:t>2024–25</w:t>
            </w:r>
          </w:p>
        </w:tc>
        <w:tc>
          <w:tcPr>
            <w:tcW w:w="1015" w:type="pct"/>
            <w:shd w:val="clear" w:color="auto" w:fill="BFBFBF" w:themeFill="background1" w:themeFillShade="BF"/>
            <w:vAlign w:val="center"/>
          </w:tcPr>
          <w:p w14:paraId="71FDFE03" w14:textId="77777777" w:rsidR="004D7B74" w:rsidRPr="00154335" w:rsidRDefault="004D7B74" w:rsidP="00154335">
            <w:pPr>
              <w:pStyle w:val="TableTextstrong"/>
              <w:cnfStyle w:val="000000000000" w:firstRow="0" w:lastRow="0" w:firstColumn="0" w:lastColumn="0" w:oddVBand="0" w:evenVBand="0" w:oddHBand="0" w:evenHBand="0" w:firstRowFirstColumn="0" w:firstRowLastColumn="0" w:lastRowFirstColumn="0" w:lastRowLastColumn="0"/>
            </w:pPr>
            <w:r w:rsidRPr="00154335">
              <w:t>2025–26</w:t>
            </w:r>
          </w:p>
        </w:tc>
        <w:tc>
          <w:tcPr>
            <w:tcW w:w="1015" w:type="pct"/>
            <w:shd w:val="clear" w:color="auto" w:fill="BFBFBF" w:themeFill="background1" w:themeFillShade="BF"/>
            <w:vAlign w:val="center"/>
          </w:tcPr>
          <w:p w14:paraId="3806A7FC" w14:textId="77777777" w:rsidR="004D7B74" w:rsidRPr="00154335" w:rsidRDefault="004D7B74" w:rsidP="00154335">
            <w:pPr>
              <w:pStyle w:val="TableTextstrong"/>
              <w:cnfStyle w:val="000000000000" w:firstRow="0" w:lastRow="0" w:firstColumn="0" w:lastColumn="0" w:oddVBand="0" w:evenVBand="0" w:oddHBand="0" w:evenHBand="0" w:firstRowFirstColumn="0" w:firstRowLastColumn="0" w:lastRowFirstColumn="0" w:lastRowLastColumn="0"/>
            </w:pPr>
            <w:r w:rsidRPr="00154335">
              <w:t>2026–27</w:t>
            </w:r>
          </w:p>
        </w:tc>
        <w:tc>
          <w:tcPr>
            <w:tcW w:w="1013" w:type="pct"/>
            <w:shd w:val="clear" w:color="auto" w:fill="BFBFBF" w:themeFill="background1" w:themeFillShade="BF"/>
            <w:vAlign w:val="center"/>
          </w:tcPr>
          <w:p w14:paraId="72674D54" w14:textId="77777777" w:rsidR="004D7B74" w:rsidRPr="00154335" w:rsidRDefault="004D7B74" w:rsidP="00154335">
            <w:pPr>
              <w:pStyle w:val="TableTextstrong"/>
              <w:cnfStyle w:val="000000000000" w:firstRow="0" w:lastRow="0" w:firstColumn="0" w:lastColumn="0" w:oddVBand="0" w:evenVBand="0" w:oddHBand="0" w:evenHBand="0" w:firstRowFirstColumn="0" w:firstRowLastColumn="0" w:lastRowFirstColumn="0" w:lastRowLastColumn="0"/>
            </w:pPr>
            <w:r w:rsidRPr="00154335">
              <w:t>2027–28</w:t>
            </w:r>
          </w:p>
        </w:tc>
      </w:tr>
      <w:tr w:rsidR="004D7B74" w:rsidRPr="00154335" w14:paraId="5A8B445B" w14:textId="77777777" w:rsidTr="0015433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4861C663" w14:textId="77777777" w:rsidR="004D7B74" w:rsidRPr="00154335" w:rsidRDefault="004D7B74" w:rsidP="00154335"/>
        </w:tc>
        <w:tc>
          <w:tcPr>
            <w:tcW w:w="1014" w:type="pct"/>
          </w:tcPr>
          <w:p w14:paraId="6A04AAEA" w14:textId="77777777" w:rsidR="004D7B74" w:rsidRPr="00154335" w:rsidRDefault="004D7B74" w:rsidP="00D97A12">
            <w:pPr>
              <w:pStyle w:val="TableTextleftaligned"/>
              <w:cnfStyle w:val="010000000000" w:firstRow="0" w:lastRow="1" w:firstColumn="0" w:lastColumn="0" w:oddVBand="0" w:evenVBand="0" w:oddHBand="0" w:evenHBand="0" w:firstRowFirstColumn="0" w:firstRowLastColumn="0" w:lastRowFirstColumn="0" w:lastRowLastColumn="0"/>
            </w:pPr>
            <w:r w:rsidRPr="00154335">
              <w:t>Annual increase from 2023–24</w:t>
            </w:r>
          </w:p>
        </w:tc>
        <w:tc>
          <w:tcPr>
            <w:tcW w:w="1015" w:type="pct"/>
          </w:tcPr>
          <w:p w14:paraId="501DD083" w14:textId="77777777" w:rsidR="004D7B74" w:rsidRPr="00154335" w:rsidRDefault="004D7B74" w:rsidP="00D97A12">
            <w:pPr>
              <w:pStyle w:val="TableTextleftaligned"/>
              <w:cnfStyle w:val="010000000000" w:firstRow="0" w:lastRow="1" w:firstColumn="0" w:lastColumn="0" w:oddVBand="0" w:evenVBand="0" w:oddHBand="0" w:evenHBand="0" w:firstRowFirstColumn="0" w:firstRowLastColumn="0" w:lastRowFirstColumn="0" w:lastRowLastColumn="0"/>
            </w:pPr>
            <w:r w:rsidRPr="00154335">
              <w:t>Annual increase from 2024–25</w:t>
            </w:r>
          </w:p>
        </w:tc>
        <w:tc>
          <w:tcPr>
            <w:tcW w:w="1015" w:type="pct"/>
          </w:tcPr>
          <w:p w14:paraId="22D514F2" w14:textId="77777777" w:rsidR="004D7B74" w:rsidRPr="00154335" w:rsidRDefault="004D7B74" w:rsidP="00D97A12">
            <w:pPr>
              <w:pStyle w:val="TableTextleftaligned"/>
              <w:cnfStyle w:val="010000000000" w:firstRow="0" w:lastRow="1" w:firstColumn="0" w:lastColumn="0" w:oddVBand="0" w:evenVBand="0" w:oddHBand="0" w:evenHBand="0" w:firstRowFirstColumn="0" w:firstRowLastColumn="0" w:lastRowFirstColumn="0" w:lastRowLastColumn="0"/>
            </w:pPr>
            <w:r w:rsidRPr="00154335">
              <w:t>Annual increase from 2025–26</w:t>
            </w:r>
          </w:p>
        </w:tc>
        <w:tc>
          <w:tcPr>
            <w:tcW w:w="1013" w:type="pct"/>
          </w:tcPr>
          <w:p w14:paraId="63915C35" w14:textId="77777777" w:rsidR="004D7B74" w:rsidRPr="00154335" w:rsidRDefault="004D7B74" w:rsidP="00D97A12">
            <w:pPr>
              <w:pStyle w:val="TableTextleftaligned"/>
              <w:cnfStyle w:val="010000000000" w:firstRow="0" w:lastRow="1" w:firstColumn="0" w:lastColumn="0" w:oddVBand="0" w:evenVBand="0" w:oddHBand="0" w:evenHBand="0" w:firstRowFirstColumn="0" w:firstRowLastColumn="0" w:lastRowFirstColumn="0" w:lastRowLastColumn="0"/>
            </w:pPr>
            <w:r w:rsidRPr="00154335">
              <w:t>Annual increase from 2026–27</w:t>
            </w:r>
          </w:p>
        </w:tc>
      </w:tr>
    </w:tbl>
    <w:p w14:paraId="25500040" w14:textId="77777777" w:rsidR="00D97A12" w:rsidRDefault="00D97A12">
      <w:bookmarkStart w:id="83" w:name="_Toc166069788"/>
      <w:bookmarkStart w:id="84" w:name="_Program_1.3_First"/>
      <w:bookmarkEnd w:id="84"/>
      <w:r>
        <w:br w:type="page"/>
      </w:r>
    </w:p>
    <w:p w14:paraId="0666BD5E" w14:textId="09266E65" w:rsidR="004D7B74" w:rsidRPr="00176DBD" w:rsidRDefault="004D7B74" w:rsidP="00687219">
      <w:pPr>
        <w:pStyle w:val="Heading2"/>
      </w:pPr>
      <w:bookmarkStart w:id="85" w:name="_Toc171411932"/>
      <w:bookmarkStart w:id="86" w:name="_Toc175293621"/>
      <w:bookmarkStart w:id="87" w:name="_Toc175846497"/>
      <w:r w:rsidRPr="00176DBD">
        <w:lastRenderedPageBreak/>
        <w:t>Program 1.3 First Nations Health</w:t>
      </w:r>
      <w:bookmarkEnd w:id="83"/>
      <w:bookmarkEnd w:id="85"/>
      <w:bookmarkEnd w:id="86"/>
      <w:bookmarkEnd w:id="87"/>
      <w:r w:rsidRPr="00176DBD">
        <w:t xml:space="preserve"> </w:t>
      </w:r>
    </w:p>
    <w:p w14:paraId="2E7B82F6" w14:textId="2C7A7FBB" w:rsidR="004D7B74" w:rsidRPr="00154335" w:rsidRDefault="004D7B74" w:rsidP="00154335">
      <w:pPr>
        <w:pStyle w:val="Heading3"/>
      </w:pPr>
      <w:bookmarkStart w:id="88" w:name="_Toc171411933"/>
      <w:bookmarkStart w:id="89" w:name="_Toc175293622"/>
      <w:r w:rsidRPr="00154335">
        <w:t>Program Objective</w:t>
      </w:r>
      <w:bookmarkEnd w:id="88"/>
      <w:bookmarkEnd w:id="89"/>
    </w:p>
    <w:p w14:paraId="535BD99A" w14:textId="77777777" w:rsidR="004D7B74" w:rsidRPr="00154335" w:rsidRDefault="004D7B74" w:rsidP="00154335">
      <w:r w:rsidRPr="00154335">
        <w:t xml:space="preserve">Drive improved health outcomes for First Nations peoples through shared decision-making and genuine partnerships with First Nations health organisations and communities, in alignment with the priorities of the National Agreement on Closing the Gap (National Agreement) and the National Aboriginal and Torres Strait Islander Health Plan 2021–2031. </w:t>
      </w:r>
    </w:p>
    <w:p w14:paraId="14EEFAA2" w14:textId="77777777" w:rsidR="00F13D9A" w:rsidRDefault="004D7B74" w:rsidP="00687219">
      <w:pPr>
        <w:pStyle w:val="Keyactivity"/>
      </w:pPr>
      <w:r w:rsidRPr="00687219">
        <w:rPr>
          <w:rStyle w:val="Strong"/>
        </w:rPr>
        <w:t>Key Activity 1.3A:</w:t>
      </w:r>
    </w:p>
    <w:p w14:paraId="05B7D8AB" w14:textId="282E57E7" w:rsidR="004D7B74" w:rsidRPr="00154335" w:rsidRDefault="004D7B74" w:rsidP="00687219">
      <w:pPr>
        <w:pStyle w:val="Keyactivity"/>
      </w:pPr>
      <w:r w:rsidRPr="00154335">
        <w:t>In line with the Priority Reforms of the National Agreement, supporting the Aboriginal and Torres Strait Islander community-controlled health sector to deliver health programs and activities to contribute to achieving Target 1 (life expectancy) and Target 2 (healthy birthweight) of the National Agreement.</w:t>
      </w:r>
    </w:p>
    <w:p w14:paraId="16B31B00" w14:textId="6EA630AE" w:rsidR="00074FDC" w:rsidRPr="00176DBD" w:rsidRDefault="00074FDC" w:rsidP="00074FDC">
      <w:pPr>
        <w:rPr>
          <w:rFonts w:eastAsia="Times New Roman" w:cs="Arial"/>
          <w:szCs w:val="20"/>
          <w:lang w:eastAsia="en-AU"/>
        </w:rPr>
      </w:pPr>
      <w:r w:rsidRPr="00687219">
        <w:rPr>
          <w:rStyle w:val="Strong"/>
        </w:rPr>
        <w:t xml:space="preserve">Key </w:t>
      </w:r>
      <w:r w:rsidR="00E63AD7" w:rsidRPr="00687219">
        <w:rPr>
          <w:rStyle w:val="Strong"/>
        </w:rPr>
        <w:t>a</w:t>
      </w:r>
      <w:r w:rsidRPr="00687219">
        <w:rPr>
          <w:rStyle w:val="Strong"/>
        </w:rPr>
        <w:t>ctivity rationale:</w:t>
      </w:r>
      <w:r w:rsidRPr="00176DBD">
        <w:rPr>
          <w:rFonts w:eastAsia="Times New Roman" w:cs="Arial"/>
          <w:szCs w:val="20"/>
          <w:lang w:eastAsia="en-AU"/>
        </w:rPr>
        <w:t xml:space="preserve"> Health services delivered by community-controlled organisations leads to better health outcomes for First Nations people.</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154335" w14:paraId="0C0F9FA9" w14:textId="77777777" w:rsidTr="00687219">
        <w:trPr>
          <w:cnfStyle w:val="100000000000" w:firstRow="1" w:lastRow="0" w:firstColumn="0" w:lastColumn="0" w:oddVBand="0" w:evenVBand="0" w:oddHBand="0" w:evenHBand="0" w:firstRowFirstColumn="0" w:firstRowLastColumn="0" w:lastRowFirstColumn="0" w:lastRowLastColumn="0"/>
          <w:trHeight w:val="907"/>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5FD1BB69" w14:textId="77777777" w:rsidR="004D7B74" w:rsidRPr="00154335" w:rsidRDefault="004D7B74" w:rsidP="00154335">
            <w:r w:rsidRPr="00154335">
              <w:t xml:space="preserve">Measure 1.3A: Increase the percentage of annual Indigenous Australians’ Health Programme (IAHP) funding directed to Aboriginal and Torres Strait Islander Community Controlled Organisations. </w:t>
            </w:r>
          </w:p>
        </w:tc>
      </w:tr>
      <w:tr w:rsidR="004D7B74" w:rsidRPr="00154335" w14:paraId="34333CB5" w14:textId="77777777" w:rsidTr="00154335">
        <w:tc>
          <w:tcPr>
            <w:cnfStyle w:val="001000000000" w:firstRow="0" w:lastRow="0" w:firstColumn="1" w:lastColumn="0" w:oddVBand="0" w:evenVBand="0" w:oddHBand="0" w:evenHBand="0" w:firstRowFirstColumn="0" w:firstRowLastColumn="0" w:lastRowFirstColumn="0" w:lastRowLastColumn="0"/>
            <w:tcW w:w="943" w:type="pct"/>
          </w:tcPr>
          <w:p w14:paraId="4E6CDB2E" w14:textId="77777777" w:rsidR="004D7B74" w:rsidRPr="00154335" w:rsidRDefault="004D7B74" w:rsidP="00687219">
            <w:pPr>
              <w:pStyle w:val="TableTextleftaligned"/>
            </w:pPr>
            <w:r w:rsidRPr="00154335">
              <w:t>Rationale</w:t>
            </w:r>
          </w:p>
        </w:tc>
        <w:tc>
          <w:tcPr>
            <w:tcW w:w="4057" w:type="pct"/>
            <w:gridSpan w:val="4"/>
          </w:tcPr>
          <w:p w14:paraId="412143CF" w14:textId="7595A982" w:rsidR="004D7B74" w:rsidRPr="00F13D9A" w:rsidRDefault="004D7B74" w:rsidP="00F13D9A">
            <w:pPr>
              <w:pStyle w:val="TableTextleftaligned"/>
              <w:cnfStyle w:val="000000000000" w:firstRow="0" w:lastRow="0" w:firstColumn="0" w:lastColumn="0" w:oddVBand="0" w:evenVBand="0" w:oddHBand="0" w:evenHBand="0" w:firstRowFirstColumn="0" w:firstRowLastColumn="0" w:lastRowFirstColumn="0" w:lastRowLastColumn="0"/>
            </w:pPr>
            <w:r w:rsidRPr="00F13D9A">
              <w:t>This measure is aligned to the current frameworks such as the National Agreement on Closing the Gap</w:t>
            </w:r>
            <w:r w:rsidRPr="00F13D9A">
              <w:footnoteReference w:id="17"/>
            </w:r>
            <w:r w:rsidRPr="00F13D9A">
              <w:t xml:space="preserve"> and the National Aboriginal and Torres Strait Islander Plan 2021-2031</w:t>
            </w:r>
            <w:r w:rsidR="00074FDC" w:rsidRPr="00F13D9A">
              <w:t>.</w:t>
            </w:r>
            <w:r w:rsidRPr="00F13D9A">
              <w:footnoteReference w:id="18"/>
            </w:r>
            <w:r w:rsidR="00074FDC" w:rsidRPr="00F13D9A">
              <w:t xml:space="preserve"> </w:t>
            </w:r>
            <w:r w:rsidRPr="00F13D9A">
              <w:t xml:space="preserve">It recognises the need for First Nations people to lead on the decisions that impact their health and wellbeing. Increased funding will also strengthen the capacity and capability of community-controlled organisations, leading to improved service delivery and health outcomes. </w:t>
            </w:r>
          </w:p>
        </w:tc>
      </w:tr>
      <w:tr w:rsidR="004D7B74" w:rsidRPr="00154335" w14:paraId="052AFBD8" w14:textId="77777777" w:rsidTr="00154335">
        <w:tc>
          <w:tcPr>
            <w:cnfStyle w:val="001000000000" w:firstRow="0" w:lastRow="0" w:firstColumn="1" w:lastColumn="0" w:oddVBand="0" w:evenVBand="0" w:oddHBand="0" w:evenHBand="0" w:firstRowFirstColumn="0" w:firstRowLastColumn="0" w:lastRowFirstColumn="0" w:lastRowLastColumn="0"/>
            <w:tcW w:w="943" w:type="pct"/>
          </w:tcPr>
          <w:p w14:paraId="2CACC3CC" w14:textId="77777777" w:rsidR="004D7B74" w:rsidRPr="00154335" w:rsidRDefault="004D7B74" w:rsidP="00687219">
            <w:pPr>
              <w:pStyle w:val="TableTextleftaligned"/>
            </w:pPr>
            <w:r w:rsidRPr="00154335">
              <w:t>Measure Type</w:t>
            </w:r>
          </w:p>
        </w:tc>
        <w:tc>
          <w:tcPr>
            <w:tcW w:w="4057" w:type="pct"/>
            <w:gridSpan w:val="4"/>
          </w:tcPr>
          <w:p w14:paraId="7AE02CFE" w14:textId="77777777" w:rsidR="004D7B74" w:rsidRPr="00F13D9A" w:rsidRDefault="004D7B74" w:rsidP="00F13D9A">
            <w:pPr>
              <w:pStyle w:val="TableTextleftaligned"/>
              <w:cnfStyle w:val="000000000000" w:firstRow="0" w:lastRow="0" w:firstColumn="0" w:lastColumn="0" w:oddVBand="0" w:evenVBand="0" w:oddHBand="0" w:evenHBand="0" w:firstRowFirstColumn="0" w:firstRowLastColumn="0" w:lastRowFirstColumn="0" w:lastRowLastColumn="0"/>
            </w:pPr>
            <w:r w:rsidRPr="00F13D9A">
              <w:t>Quantitative / Output</w:t>
            </w:r>
          </w:p>
        </w:tc>
      </w:tr>
      <w:tr w:rsidR="004D7B74" w:rsidRPr="00154335" w14:paraId="2A902096" w14:textId="77777777" w:rsidTr="00154335">
        <w:tc>
          <w:tcPr>
            <w:cnfStyle w:val="001000000000" w:firstRow="0" w:lastRow="0" w:firstColumn="1" w:lastColumn="0" w:oddVBand="0" w:evenVBand="0" w:oddHBand="0" w:evenHBand="0" w:firstRowFirstColumn="0" w:firstRowLastColumn="0" w:lastRowFirstColumn="0" w:lastRowLastColumn="0"/>
            <w:tcW w:w="943" w:type="pct"/>
          </w:tcPr>
          <w:p w14:paraId="3CD076CF" w14:textId="68B53DFB" w:rsidR="004D7B74" w:rsidRPr="00154335" w:rsidRDefault="004D7B74" w:rsidP="00687219">
            <w:pPr>
              <w:pStyle w:val="TableTextleftaligned"/>
            </w:pPr>
            <w:r w:rsidRPr="00154335">
              <w:t>Method</w:t>
            </w:r>
            <w:r w:rsidR="00154335">
              <w:t xml:space="preserve"> </w:t>
            </w:r>
            <w:r w:rsidRPr="00154335">
              <w:t>(Data Source and Methodology</w:t>
            </w:r>
            <w:r w:rsidR="00541B07" w:rsidRPr="00154335">
              <w:t>)</w:t>
            </w:r>
          </w:p>
        </w:tc>
        <w:tc>
          <w:tcPr>
            <w:tcW w:w="4057" w:type="pct"/>
            <w:gridSpan w:val="4"/>
          </w:tcPr>
          <w:p w14:paraId="246AA6DD" w14:textId="77777777" w:rsidR="004D7B74" w:rsidRPr="00F13D9A" w:rsidRDefault="004D7B74" w:rsidP="00F13D9A">
            <w:pPr>
              <w:pStyle w:val="TableTextleftaligned"/>
              <w:cnfStyle w:val="000000000000" w:firstRow="0" w:lastRow="0" w:firstColumn="0" w:lastColumn="0" w:oddVBand="0" w:evenVBand="0" w:oddHBand="0" w:evenHBand="0" w:firstRowFirstColumn="0" w:firstRowLastColumn="0" w:lastRowFirstColumn="0" w:lastRowLastColumn="0"/>
            </w:pPr>
            <w:r w:rsidRPr="00F13D9A">
              <w:t>Financial data is drawn from the department’s Administered Reporting Information by Program (ARIP) financial reporting system. Actual expenditure is reported – calculated after the end of the financial year once actual expenditure is finalised within the department's financial systems. Raw data is not publicly available.</w:t>
            </w:r>
          </w:p>
        </w:tc>
      </w:tr>
      <w:tr w:rsidR="00676B30" w:rsidRPr="00154335" w14:paraId="1B9DF1F9" w14:textId="77777777" w:rsidTr="00154335">
        <w:tc>
          <w:tcPr>
            <w:cnfStyle w:val="001000000000" w:firstRow="0" w:lastRow="0" w:firstColumn="1" w:lastColumn="0" w:oddVBand="0" w:evenVBand="0" w:oddHBand="0" w:evenHBand="0" w:firstRowFirstColumn="0" w:firstRowLastColumn="0" w:lastRowFirstColumn="0" w:lastRowLastColumn="0"/>
            <w:tcW w:w="943" w:type="pct"/>
          </w:tcPr>
          <w:p w14:paraId="576E6486" w14:textId="0C17B9F4" w:rsidR="00676B30" w:rsidRPr="00154335" w:rsidRDefault="00676B30" w:rsidP="00687219">
            <w:pPr>
              <w:pStyle w:val="TableTextleftaligned"/>
            </w:pPr>
            <w:r w:rsidRPr="00154335">
              <w:t>Linked to 2024–25 Portfolio Budget Statements</w:t>
            </w:r>
          </w:p>
        </w:tc>
        <w:tc>
          <w:tcPr>
            <w:tcW w:w="4057" w:type="pct"/>
            <w:gridSpan w:val="4"/>
          </w:tcPr>
          <w:p w14:paraId="4113472A" w14:textId="204B886E" w:rsidR="00676B30" w:rsidRPr="00154335" w:rsidRDefault="00676B30" w:rsidP="00687219">
            <w:pPr>
              <w:pStyle w:val="TableTextleftaligned"/>
              <w:cnfStyle w:val="000000000000" w:firstRow="0" w:lastRow="0" w:firstColumn="0" w:lastColumn="0" w:oddVBand="0" w:evenVBand="0" w:oddHBand="0" w:evenHBand="0" w:firstRowFirstColumn="0" w:firstRowLastColumn="0" w:lastRowFirstColumn="0" w:lastRowLastColumn="0"/>
            </w:pPr>
            <w:r w:rsidRPr="00154335">
              <w:t xml:space="preserve">Program 1.3 </w:t>
            </w:r>
            <w:r w:rsidR="00FF27E1" w:rsidRPr="00154335">
              <w:t>-</w:t>
            </w:r>
            <w:r w:rsidRPr="00154335">
              <w:t xml:space="preserve"> First Nations Health – page 60</w:t>
            </w:r>
          </w:p>
        </w:tc>
      </w:tr>
      <w:tr w:rsidR="004D7B74" w:rsidRPr="00154335" w14:paraId="1BE7D3FD" w14:textId="77777777" w:rsidTr="00154335">
        <w:trPr>
          <w:trHeight w:val="567"/>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763EEC16" w14:textId="77777777" w:rsidR="004D7B74" w:rsidRPr="00154335" w:rsidRDefault="004D7B74" w:rsidP="00687219">
            <w:pPr>
              <w:pStyle w:val="TableTextleftaligned"/>
            </w:pPr>
            <w:r w:rsidRPr="00154335">
              <w:t>Planned Performance Results</w:t>
            </w:r>
          </w:p>
        </w:tc>
        <w:tc>
          <w:tcPr>
            <w:tcW w:w="1014" w:type="pct"/>
            <w:shd w:val="clear" w:color="auto" w:fill="BFBFBF" w:themeFill="background1" w:themeFillShade="BF"/>
            <w:vAlign w:val="center"/>
          </w:tcPr>
          <w:p w14:paraId="66F400C6" w14:textId="77777777" w:rsidR="004D7B74" w:rsidRPr="00154335" w:rsidRDefault="004D7B74" w:rsidP="00154335">
            <w:pPr>
              <w:pStyle w:val="TableTextstrong"/>
              <w:cnfStyle w:val="000000000000" w:firstRow="0" w:lastRow="0" w:firstColumn="0" w:lastColumn="0" w:oddVBand="0" w:evenVBand="0" w:oddHBand="0" w:evenHBand="0" w:firstRowFirstColumn="0" w:firstRowLastColumn="0" w:lastRowFirstColumn="0" w:lastRowLastColumn="0"/>
            </w:pPr>
            <w:r w:rsidRPr="00154335">
              <w:t>2024–25</w:t>
            </w:r>
          </w:p>
        </w:tc>
        <w:tc>
          <w:tcPr>
            <w:tcW w:w="1015" w:type="pct"/>
            <w:shd w:val="clear" w:color="auto" w:fill="BFBFBF" w:themeFill="background1" w:themeFillShade="BF"/>
            <w:vAlign w:val="center"/>
          </w:tcPr>
          <w:p w14:paraId="39CEA4A4" w14:textId="77777777" w:rsidR="004D7B74" w:rsidRPr="00154335" w:rsidRDefault="004D7B74" w:rsidP="00154335">
            <w:pPr>
              <w:pStyle w:val="TableTextstrong"/>
              <w:cnfStyle w:val="000000000000" w:firstRow="0" w:lastRow="0" w:firstColumn="0" w:lastColumn="0" w:oddVBand="0" w:evenVBand="0" w:oddHBand="0" w:evenHBand="0" w:firstRowFirstColumn="0" w:firstRowLastColumn="0" w:lastRowFirstColumn="0" w:lastRowLastColumn="0"/>
            </w:pPr>
            <w:r w:rsidRPr="00154335">
              <w:t>2025–26</w:t>
            </w:r>
          </w:p>
        </w:tc>
        <w:tc>
          <w:tcPr>
            <w:tcW w:w="1015" w:type="pct"/>
            <w:shd w:val="clear" w:color="auto" w:fill="BFBFBF" w:themeFill="background1" w:themeFillShade="BF"/>
            <w:vAlign w:val="center"/>
          </w:tcPr>
          <w:p w14:paraId="478EF2F5" w14:textId="77777777" w:rsidR="004D7B74" w:rsidRPr="00154335" w:rsidRDefault="004D7B74" w:rsidP="00154335">
            <w:pPr>
              <w:pStyle w:val="TableTextstrong"/>
              <w:cnfStyle w:val="000000000000" w:firstRow="0" w:lastRow="0" w:firstColumn="0" w:lastColumn="0" w:oddVBand="0" w:evenVBand="0" w:oddHBand="0" w:evenHBand="0" w:firstRowFirstColumn="0" w:firstRowLastColumn="0" w:lastRowFirstColumn="0" w:lastRowLastColumn="0"/>
            </w:pPr>
            <w:r w:rsidRPr="00154335">
              <w:t>2026–27</w:t>
            </w:r>
          </w:p>
        </w:tc>
        <w:tc>
          <w:tcPr>
            <w:tcW w:w="1013" w:type="pct"/>
            <w:shd w:val="clear" w:color="auto" w:fill="BFBFBF" w:themeFill="background1" w:themeFillShade="BF"/>
            <w:vAlign w:val="center"/>
          </w:tcPr>
          <w:p w14:paraId="520B7081" w14:textId="77777777" w:rsidR="004D7B74" w:rsidRPr="00154335" w:rsidRDefault="004D7B74" w:rsidP="00154335">
            <w:pPr>
              <w:pStyle w:val="TableTextstrong"/>
              <w:cnfStyle w:val="000000000000" w:firstRow="0" w:lastRow="0" w:firstColumn="0" w:lastColumn="0" w:oddVBand="0" w:evenVBand="0" w:oddHBand="0" w:evenHBand="0" w:firstRowFirstColumn="0" w:firstRowLastColumn="0" w:lastRowFirstColumn="0" w:lastRowLastColumn="0"/>
            </w:pPr>
            <w:r w:rsidRPr="00154335">
              <w:t>2027–28</w:t>
            </w:r>
          </w:p>
        </w:tc>
      </w:tr>
      <w:tr w:rsidR="004D7B74" w:rsidRPr="00154335" w14:paraId="2F0FEDE3" w14:textId="77777777" w:rsidTr="0015433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27BC638F" w14:textId="77777777" w:rsidR="004D7B74" w:rsidRPr="00154335" w:rsidRDefault="004D7B74" w:rsidP="00154335"/>
        </w:tc>
        <w:tc>
          <w:tcPr>
            <w:tcW w:w="1014" w:type="pct"/>
          </w:tcPr>
          <w:p w14:paraId="014425D7" w14:textId="77777777" w:rsidR="004D7B74" w:rsidRPr="00687219" w:rsidRDefault="004D7B74" w:rsidP="00687219">
            <w:pPr>
              <w:pStyle w:val="TableTextleftaligned"/>
              <w:cnfStyle w:val="010000000000" w:firstRow="0" w:lastRow="1" w:firstColumn="0" w:lastColumn="0" w:oddVBand="0" w:evenVBand="0" w:oddHBand="0" w:evenHBand="0" w:firstRowFirstColumn="0" w:firstRowLastColumn="0" w:lastRowFirstColumn="0" w:lastRowLastColumn="0"/>
            </w:pPr>
            <w:r w:rsidRPr="00687219">
              <w:t>72%</w:t>
            </w:r>
          </w:p>
        </w:tc>
        <w:tc>
          <w:tcPr>
            <w:tcW w:w="1015" w:type="pct"/>
          </w:tcPr>
          <w:p w14:paraId="2E6C681F" w14:textId="77777777" w:rsidR="004D7B74" w:rsidRPr="00687219" w:rsidRDefault="004D7B74" w:rsidP="00687219">
            <w:pPr>
              <w:pStyle w:val="TableTextleftaligned"/>
              <w:cnfStyle w:val="010000000000" w:firstRow="0" w:lastRow="1" w:firstColumn="0" w:lastColumn="0" w:oddVBand="0" w:evenVBand="0" w:oddHBand="0" w:evenHBand="0" w:firstRowFirstColumn="0" w:firstRowLastColumn="0" w:lastRowFirstColumn="0" w:lastRowLastColumn="0"/>
            </w:pPr>
            <w:r w:rsidRPr="00687219">
              <w:t>74%</w:t>
            </w:r>
          </w:p>
        </w:tc>
        <w:tc>
          <w:tcPr>
            <w:tcW w:w="1015" w:type="pct"/>
          </w:tcPr>
          <w:p w14:paraId="0FE33DE4" w14:textId="77777777" w:rsidR="004D7B74" w:rsidRPr="00687219" w:rsidRDefault="004D7B74" w:rsidP="00687219">
            <w:pPr>
              <w:pStyle w:val="TableTextleftaligned"/>
              <w:cnfStyle w:val="010000000000" w:firstRow="0" w:lastRow="1" w:firstColumn="0" w:lastColumn="0" w:oddVBand="0" w:evenVBand="0" w:oddHBand="0" w:evenHBand="0" w:firstRowFirstColumn="0" w:firstRowLastColumn="0" w:lastRowFirstColumn="0" w:lastRowLastColumn="0"/>
            </w:pPr>
            <w:r w:rsidRPr="00687219">
              <w:t>76%</w:t>
            </w:r>
          </w:p>
        </w:tc>
        <w:tc>
          <w:tcPr>
            <w:tcW w:w="1013" w:type="pct"/>
          </w:tcPr>
          <w:p w14:paraId="1BC9FD87" w14:textId="77777777" w:rsidR="004D7B74" w:rsidRPr="00687219" w:rsidRDefault="004D7B74" w:rsidP="00687219">
            <w:pPr>
              <w:pStyle w:val="TableTextleftaligned"/>
              <w:cnfStyle w:val="010000000000" w:firstRow="0" w:lastRow="1" w:firstColumn="0" w:lastColumn="0" w:oddVBand="0" w:evenVBand="0" w:oddHBand="0" w:evenHBand="0" w:firstRowFirstColumn="0" w:firstRowLastColumn="0" w:lastRowFirstColumn="0" w:lastRowLastColumn="0"/>
            </w:pPr>
            <w:r w:rsidRPr="00687219">
              <w:t>78%</w:t>
            </w:r>
          </w:p>
        </w:tc>
      </w:tr>
    </w:tbl>
    <w:p w14:paraId="75B76DA9" w14:textId="77777777" w:rsidR="004D7B74" w:rsidRPr="00C246B6" w:rsidRDefault="004D7B74" w:rsidP="00C246B6">
      <w:bookmarkStart w:id="90" w:name="_Toc166069789"/>
      <w:r w:rsidRPr="00C246B6">
        <w:br w:type="page"/>
      </w:r>
    </w:p>
    <w:p w14:paraId="18F6DDBA" w14:textId="77777777" w:rsidR="004D7B74" w:rsidRPr="00823660" w:rsidRDefault="004D7B74" w:rsidP="00823660">
      <w:pPr>
        <w:pStyle w:val="Heading2"/>
      </w:pPr>
      <w:bookmarkStart w:id="91" w:name="_Toc171411934"/>
      <w:bookmarkStart w:id="92" w:name="_Toc175293623"/>
      <w:bookmarkStart w:id="93" w:name="_Program_1.4_Health"/>
      <w:bookmarkStart w:id="94" w:name="_Toc175846498"/>
      <w:bookmarkEnd w:id="93"/>
      <w:r w:rsidRPr="00823660">
        <w:lastRenderedPageBreak/>
        <w:t>Program 1.4 Health Workforce</w:t>
      </w:r>
      <w:bookmarkEnd w:id="90"/>
      <w:bookmarkEnd w:id="91"/>
      <w:bookmarkEnd w:id="92"/>
      <w:bookmarkEnd w:id="94"/>
    </w:p>
    <w:p w14:paraId="51A4E509" w14:textId="77777777" w:rsidR="004D7B74" w:rsidRPr="00823660" w:rsidRDefault="004D7B74" w:rsidP="00823660">
      <w:pPr>
        <w:pStyle w:val="Heading3"/>
      </w:pPr>
      <w:bookmarkStart w:id="95" w:name="_Toc171411935"/>
      <w:bookmarkStart w:id="96" w:name="_Toc175293624"/>
      <w:r w:rsidRPr="00823660">
        <w:t>Program Objective</w:t>
      </w:r>
      <w:bookmarkEnd w:id="95"/>
      <w:bookmarkEnd w:id="96"/>
    </w:p>
    <w:p w14:paraId="3DF37A83" w14:textId="77777777" w:rsidR="004D7B74" w:rsidRPr="00216FDB" w:rsidRDefault="004D7B74" w:rsidP="00BB4FE7">
      <w:pPr>
        <w:rPr>
          <w:rFonts w:cs="Arial"/>
          <w:i/>
          <w:iCs/>
        </w:rPr>
      </w:pPr>
      <w:r w:rsidRPr="00216FDB">
        <w:rPr>
          <w:rFonts w:cs="Arial"/>
        </w:rPr>
        <w:t>Ensure Australia has the workforce necessary to improve the health and wellbeing of all Australians. Improve the quality, distribution and planning of the Australian health workforce to better meet the needs of the community and deliver a sustainable, well distributed health workforce.</w:t>
      </w:r>
    </w:p>
    <w:p w14:paraId="33F8802B" w14:textId="3D998BD6" w:rsidR="004D7B74" w:rsidRPr="002A42FD" w:rsidRDefault="004D7B74" w:rsidP="00837412">
      <w:pPr>
        <w:pStyle w:val="Keyactivity"/>
        <w:rPr>
          <w:rStyle w:val="Strong"/>
        </w:rPr>
      </w:pPr>
      <w:r w:rsidRPr="002A42FD">
        <w:rPr>
          <w:rStyle w:val="Strong"/>
        </w:rPr>
        <w:t>Key Activity 1.4A:</w:t>
      </w:r>
    </w:p>
    <w:p w14:paraId="5F59BCC6" w14:textId="72F4B13B" w:rsidR="004D7B74" w:rsidRPr="00216FDB" w:rsidRDefault="004D7B74" w:rsidP="00837412">
      <w:pPr>
        <w:pStyle w:val="Keyactivity"/>
        <w:numPr>
          <w:ilvl w:val="0"/>
          <w:numId w:val="187"/>
        </w:numPr>
        <w:tabs>
          <w:tab w:val="left" w:pos="284"/>
        </w:tabs>
        <w:ind w:left="0" w:firstLine="0"/>
      </w:pPr>
      <w:r w:rsidRPr="00216FDB">
        <w:t>Implementing workforce programs to improve the health and wellbeing of all Australians.</w:t>
      </w:r>
    </w:p>
    <w:p w14:paraId="10ABD8E4" w14:textId="25E768B1" w:rsidR="004D7B74" w:rsidRPr="00216FDB" w:rsidRDefault="004D7B74" w:rsidP="00837412">
      <w:pPr>
        <w:pStyle w:val="Keyactivity"/>
        <w:numPr>
          <w:ilvl w:val="0"/>
          <w:numId w:val="187"/>
        </w:numPr>
        <w:tabs>
          <w:tab w:val="left" w:pos="284"/>
        </w:tabs>
        <w:ind w:left="0" w:firstLine="0"/>
      </w:pPr>
      <w:r w:rsidRPr="00216FDB">
        <w:t xml:space="preserve">Supporting the </w:t>
      </w:r>
      <w:r w:rsidRPr="003106EF">
        <w:t>health</w:t>
      </w:r>
      <w:r w:rsidRPr="00216FDB">
        <w:t xml:space="preserve"> workforce across Australia, including in primary care, aged </w:t>
      </w:r>
      <w:proofErr w:type="gramStart"/>
      <w:r w:rsidRPr="00216FDB">
        <w:t>care</w:t>
      </w:r>
      <w:proofErr w:type="gramEnd"/>
      <w:r w:rsidRPr="00216FDB">
        <w:t xml:space="preserve"> and regional, rural and remote areas, through training programs, scholarships, incentive programs, and trials of innovative models of care and employment approaches. </w:t>
      </w:r>
    </w:p>
    <w:p w14:paraId="2BAC57F4" w14:textId="7E98129B" w:rsidR="004D7B74" w:rsidRPr="00216FDB" w:rsidRDefault="004D7B74" w:rsidP="00837412">
      <w:pPr>
        <w:pStyle w:val="Keyactivity"/>
        <w:numPr>
          <w:ilvl w:val="0"/>
          <w:numId w:val="187"/>
        </w:numPr>
        <w:tabs>
          <w:tab w:val="left" w:pos="284"/>
        </w:tabs>
        <w:ind w:left="0" w:firstLine="0"/>
      </w:pPr>
      <w:r w:rsidRPr="00216FDB">
        <w:t xml:space="preserve">Improving </w:t>
      </w:r>
      <w:r w:rsidRPr="003106EF">
        <w:t>distribution</w:t>
      </w:r>
      <w:r w:rsidRPr="00216FDB">
        <w:t xml:space="preserve"> of the health workforce through improved incentives for primary care doctors, nurses and allied health professionals including through reforms to the Workforce Incentive Program.</w:t>
      </w:r>
    </w:p>
    <w:p w14:paraId="79951D07" w14:textId="23513282" w:rsidR="00216FDB" w:rsidRPr="003106EF" w:rsidRDefault="00216FDB" w:rsidP="00837412">
      <w:pPr>
        <w:rPr>
          <w:rFonts w:cs="Arial"/>
          <w:szCs w:val="20"/>
        </w:rPr>
      </w:pPr>
      <w:r w:rsidRPr="00823660">
        <w:rPr>
          <w:rStyle w:val="Strong"/>
        </w:rPr>
        <w:t>Key activity rationale:</w:t>
      </w:r>
      <w:r w:rsidRPr="00216FDB">
        <w:rPr>
          <w:rFonts w:eastAsia="Times New Roman" w:cs="Arial"/>
          <w:szCs w:val="20"/>
          <w:lang w:eastAsia="en-AU"/>
        </w:rPr>
        <w:t xml:space="preserve"> </w:t>
      </w:r>
      <w:r w:rsidRPr="00216FDB">
        <w:rPr>
          <w:rFonts w:cs="Arial"/>
          <w:szCs w:val="20"/>
        </w:rPr>
        <w:t xml:space="preserve">This key activity aims to improve the health workforce of Australia by ensuring effective investment in </w:t>
      </w:r>
      <w:r w:rsidRPr="00837412">
        <w:t>workforce</w:t>
      </w:r>
      <w:r w:rsidRPr="00216FDB">
        <w:rPr>
          <w:rFonts w:cs="Arial"/>
          <w:szCs w:val="20"/>
        </w:rPr>
        <w:t xml:space="preserve"> programs.</w:t>
      </w:r>
    </w:p>
    <w:tbl>
      <w:tblPr>
        <w:tblStyle w:val="TableGridLight"/>
        <w:tblW w:w="5026" w:type="pct"/>
        <w:tblLook w:val="06A0" w:firstRow="1" w:lastRow="0" w:firstColumn="1" w:lastColumn="0" w:noHBand="1" w:noVBand="1"/>
      </w:tblPr>
      <w:tblGrid>
        <w:gridCol w:w="1527"/>
        <w:gridCol w:w="1261"/>
        <w:gridCol w:w="998"/>
        <w:gridCol w:w="1057"/>
        <w:gridCol w:w="1059"/>
        <w:gridCol w:w="964"/>
        <w:gridCol w:w="933"/>
        <w:gridCol w:w="47"/>
        <w:gridCol w:w="1170"/>
        <w:gridCol w:w="47"/>
      </w:tblGrid>
      <w:tr w:rsidR="004D7B74" w:rsidRPr="006950F0" w14:paraId="3AF860F7" w14:textId="77777777" w:rsidTr="00F13D9A">
        <w:trPr>
          <w:gridAfter w:val="1"/>
          <w:cnfStyle w:val="100000000000" w:firstRow="1" w:lastRow="0" w:firstColumn="0" w:lastColumn="0" w:oddVBand="0" w:evenVBand="0" w:oddHBand="0" w:evenHBand="0" w:firstRowFirstColumn="0" w:firstRowLastColumn="0" w:lastRowFirstColumn="0" w:lastRowLastColumn="0"/>
          <w:wAfter w:w="26" w:type="pct"/>
          <w:trHeight w:val="1701"/>
          <w:tblHeader/>
        </w:trPr>
        <w:tc>
          <w:tcPr>
            <w:cnfStyle w:val="001000000000" w:firstRow="0" w:lastRow="0" w:firstColumn="1" w:lastColumn="0" w:oddVBand="0" w:evenVBand="0" w:oddHBand="0" w:evenHBand="0" w:firstRowFirstColumn="0" w:firstRowLastColumn="0" w:lastRowFirstColumn="0" w:lastRowLastColumn="0"/>
            <w:tcW w:w="4974" w:type="pct"/>
            <w:gridSpan w:val="9"/>
          </w:tcPr>
          <w:p w14:paraId="7152A87E" w14:textId="49214CA1" w:rsidR="004D7B74" w:rsidRPr="00216FDB" w:rsidRDefault="004D7B74" w:rsidP="00823660">
            <w:pPr>
              <w:pStyle w:val="TableTextleftaligned"/>
              <w:rPr>
                <w:b w:val="0"/>
              </w:rPr>
            </w:pPr>
            <w:bookmarkStart w:id="97" w:name="_Hlk169607764"/>
            <w:r w:rsidRPr="00216FDB">
              <w:t>Measure 1.4A: Effective investment in workforce programs will improve health workforce distribution in Australia.</w:t>
            </w:r>
          </w:p>
          <w:p w14:paraId="267E7BB7" w14:textId="77777777" w:rsidR="00D135B6" w:rsidRPr="00F95D91" w:rsidRDefault="004D7B74" w:rsidP="00F95D91">
            <w:pPr>
              <w:pStyle w:val="Header"/>
              <w:numPr>
                <w:ilvl w:val="0"/>
                <w:numId w:val="216"/>
              </w:numPr>
            </w:pPr>
            <w:r w:rsidRPr="00F95D91">
              <w:t>Full time equivalent (FTE) Primary Care General Practitioners (GPs) per 100,000 population.</w:t>
            </w:r>
            <w:r w:rsidRPr="00216FDB">
              <w:rPr>
                <w:rStyle w:val="FootnoteReference"/>
                <w:bCs/>
              </w:rPr>
              <w:footnoteReference w:id="19"/>
            </w:r>
          </w:p>
          <w:p w14:paraId="7A5B3700" w14:textId="77777777" w:rsidR="00D135B6" w:rsidRPr="00D135B6" w:rsidRDefault="004D7B74" w:rsidP="00882672">
            <w:pPr>
              <w:pStyle w:val="ListNumber2"/>
              <w:rPr>
                <w:rFonts w:cs="Arial"/>
              </w:rPr>
            </w:pPr>
            <w:r w:rsidRPr="00D135B6">
              <w:t>FTE non-general practice medical specialists per 100,000 population.</w:t>
            </w:r>
            <w:r w:rsidRPr="006950F0">
              <w:footnoteReference w:id="20"/>
            </w:r>
          </w:p>
          <w:p w14:paraId="1414FB99" w14:textId="77777777" w:rsidR="00D135B6" w:rsidRPr="00D135B6" w:rsidRDefault="004D7B74" w:rsidP="00882672">
            <w:pPr>
              <w:pStyle w:val="ListNumber2"/>
              <w:rPr>
                <w:rFonts w:cs="Arial"/>
              </w:rPr>
            </w:pPr>
            <w:r w:rsidRPr="00D135B6">
              <w:t>FTE primary and community nurses per 100,000 population.</w:t>
            </w:r>
            <w:r w:rsidRPr="006950F0">
              <w:footnoteReference w:id="21"/>
            </w:r>
            <w:r w:rsidRPr="00D135B6">
              <w:t xml:space="preserve"> </w:t>
            </w:r>
          </w:p>
          <w:p w14:paraId="5487AB3F" w14:textId="77777777" w:rsidR="00D135B6" w:rsidRPr="00D135B6" w:rsidRDefault="004D7B74" w:rsidP="00882672">
            <w:pPr>
              <w:pStyle w:val="ListNumber2"/>
              <w:rPr>
                <w:rFonts w:cs="Arial"/>
              </w:rPr>
            </w:pPr>
            <w:r w:rsidRPr="00D135B6">
              <w:t>FTE primary and community allied health practitioners per 100,000 population.</w:t>
            </w:r>
            <w:r w:rsidRPr="00216FDB">
              <w:rPr>
                <w:rStyle w:val="FootnoteReference"/>
                <w:bCs/>
              </w:rPr>
              <w:footnoteReference w:id="22"/>
            </w:r>
          </w:p>
          <w:p w14:paraId="37405B39" w14:textId="58EE999B" w:rsidR="004D7B74" w:rsidRPr="00D135B6" w:rsidRDefault="004D7B74" w:rsidP="00882672">
            <w:pPr>
              <w:pStyle w:val="ListNumber2"/>
              <w:rPr>
                <w:rFonts w:cs="Arial"/>
              </w:rPr>
            </w:pPr>
            <w:r w:rsidRPr="00D135B6">
              <w:t>Proportion of GP training undertaken in areas outside major cities.</w:t>
            </w:r>
            <w:r w:rsidRPr="00216FDB">
              <w:rPr>
                <w:rStyle w:val="FootnoteReference"/>
                <w:bCs/>
              </w:rPr>
              <w:footnoteReference w:id="23"/>
            </w:r>
            <w:r w:rsidRPr="00D135B6">
              <w:t xml:space="preserve"> </w:t>
            </w:r>
          </w:p>
        </w:tc>
      </w:tr>
      <w:tr w:rsidR="004D7B74" w:rsidRPr="008E3CD6" w14:paraId="31C32B0D" w14:textId="77777777" w:rsidTr="00F13D9A">
        <w:trPr>
          <w:gridAfter w:val="1"/>
          <w:wAfter w:w="26" w:type="pct"/>
          <w:trHeight w:val="244"/>
        </w:trPr>
        <w:tc>
          <w:tcPr>
            <w:cnfStyle w:val="001000000000" w:firstRow="0" w:lastRow="0" w:firstColumn="1" w:lastColumn="0" w:oddVBand="0" w:evenVBand="0" w:oddHBand="0" w:evenHBand="0" w:firstRowFirstColumn="0" w:firstRowLastColumn="0" w:lastRowFirstColumn="0" w:lastRowLastColumn="0"/>
            <w:tcW w:w="842" w:type="pct"/>
          </w:tcPr>
          <w:p w14:paraId="65ACB39A" w14:textId="77777777" w:rsidR="004D7B74" w:rsidRPr="00837412" w:rsidRDefault="004D7B74" w:rsidP="00837412">
            <w:pPr>
              <w:pStyle w:val="TableTextleftaligned"/>
            </w:pPr>
            <w:r w:rsidRPr="00837412">
              <w:t>Rationale</w:t>
            </w:r>
          </w:p>
        </w:tc>
        <w:tc>
          <w:tcPr>
            <w:tcW w:w="4132" w:type="pct"/>
            <w:gridSpan w:val="8"/>
          </w:tcPr>
          <w:p w14:paraId="2D730CEA" w14:textId="39BBE3C6" w:rsidR="004D7B74" w:rsidRPr="00837412" w:rsidRDefault="004D7B74" w:rsidP="00837412">
            <w:pPr>
              <w:pStyle w:val="TableTextleftaligned"/>
              <w:cnfStyle w:val="000000000000" w:firstRow="0" w:lastRow="0" w:firstColumn="0" w:lastColumn="0" w:oddVBand="0" w:evenVBand="0" w:oddHBand="0" w:evenHBand="0" w:firstRowFirstColumn="0" w:firstRowLastColumn="0" w:lastRowFirstColumn="0" w:lastRowLastColumn="0"/>
            </w:pPr>
            <w:r w:rsidRPr="00837412">
              <w:t xml:space="preserve">These measures quantitatively assess the effectiveness and impact of </w:t>
            </w:r>
            <w:proofErr w:type="gramStart"/>
            <w:r w:rsidRPr="00837412">
              <w:t>a number of</w:t>
            </w:r>
            <w:proofErr w:type="gramEnd"/>
            <w:r w:rsidRPr="00837412">
              <w:t xml:space="preserve"> the program’s activities related to improving the quality, distribution and planning of the Australian health workforce. The reporting indicates changes in </w:t>
            </w:r>
            <w:r w:rsidR="00D45C12" w:rsidRPr="00837412">
              <w:t xml:space="preserve">the </w:t>
            </w:r>
            <w:r w:rsidRPr="00837412">
              <w:t xml:space="preserve">workforce expected over time </w:t>
            </w:r>
            <w:proofErr w:type="gramStart"/>
            <w:r w:rsidRPr="00837412">
              <w:t>as a result of</w:t>
            </w:r>
            <w:proofErr w:type="gramEnd"/>
            <w:r w:rsidRPr="00837412">
              <w:t xml:space="preserve"> the impact of Commonwealth programs, including the Stronger Rural Health Strategy, as well as underlying trends. </w:t>
            </w:r>
          </w:p>
        </w:tc>
      </w:tr>
      <w:tr w:rsidR="004D7B74" w:rsidRPr="008E3CD6" w14:paraId="2799EA9D" w14:textId="77777777" w:rsidTr="00F13D9A">
        <w:trPr>
          <w:gridAfter w:val="1"/>
          <w:wAfter w:w="26" w:type="pct"/>
          <w:trHeight w:val="244"/>
        </w:trPr>
        <w:tc>
          <w:tcPr>
            <w:cnfStyle w:val="001000000000" w:firstRow="0" w:lastRow="0" w:firstColumn="1" w:lastColumn="0" w:oddVBand="0" w:evenVBand="0" w:oddHBand="0" w:evenHBand="0" w:firstRowFirstColumn="0" w:firstRowLastColumn="0" w:lastRowFirstColumn="0" w:lastRowLastColumn="0"/>
            <w:tcW w:w="842" w:type="pct"/>
          </w:tcPr>
          <w:p w14:paraId="2757547C" w14:textId="77777777" w:rsidR="004D7B74" w:rsidRPr="00837412" w:rsidRDefault="004D7B74" w:rsidP="00837412">
            <w:pPr>
              <w:pStyle w:val="TableTextleftaligned"/>
            </w:pPr>
            <w:r w:rsidRPr="00837412">
              <w:t>Measure Type</w:t>
            </w:r>
          </w:p>
        </w:tc>
        <w:tc>
          <w:tcPr>
            <w:tcW w:w="4132" w:type="pct"/>
            <w:gridSpan w:val="8"/>
          </w:tcPr>
          <w:p w14:paraId="5C50ECD1" w14:textId="766F9BAF" w:rsidR="004D7B74" w:rsidRPr="00837412" w:rsidRDefault="004D7B74" w:rsidP="00837412">
            <w:pPr>
              <w:pStyle w:val="TableTextleftaligned"/>
              <w:cnfStyle w:val="000000000000" w:firstRow="0" w:lastRow="0" w:firstColumn="0" w:lastColumn="0" w:oddVBand="0" w:evenVBand="0" w:oddHBand="0" w:evenHBand="0" w:firstRowFirstColumn="0" w:firstRowLastColumn="0" w:lastRowFirstColumn="0" w:lastRowLastColumn="0"/>
            </w:pPr>
            <w:r w:rsidRPr="00837412">
              <w:t>Quantitative /</w:t>
            </w:r>
            <w:r w:rsidR="00216FDB" w:rsidRPr="00837412">
              <w:t xml:space="preserve"> </w:t>
            </w:r>
            <w:r w:rsidRPr="00837412">
              <w:t>Effectiveness</w:t>
            </w:r>
          </w:p>
        </w:tc>
      </w:tr>
      <w:tr w:rsidR="004D7B74" w:rsidRPr="008E3CD6" w14:paraId="652B57D8" w14:textId="77777777" w:rsidTr="00F13D9A">
        <w:trPr>
          <w:gridAfter w:val="1"/>
          <w:wAfter w:w="26" w:type="pct"/>
          <w:trHeight w:val="244"/>
        </w:trPr>
        <w:tc>
          <w:tcPr>
            <w:cnfStyle w:val="001000000000" w:firstRow="0" w:lastRow="0" w:firstColumn="1" w:lastColumn="0" w:oddVBand="0" w:evenVBand="0" w:oddHBand="0" w:evenHBand="0" w:firstRowFirstColumn="0" w:firstRowLastColumn="0" w:lastRowFirstColumn="0" w:lastRowLastColumn="0"/>
            <w:tcW w:w="842" w:type="pct"/>
          </w:tcPr>
          <w:p w14:paraId="2B76F19C" w14:textId="22C340FB" w:rsidR="004D7B74" w:rsidRPr="00837412" w:rsidRDefault="004D7B74" w:rsidP="00837412">
            <w:pPr>
              <w:pStyle w:val="TableTextleftaligned"/>
            </w:pPr>
            <w:r w:rsidRPr="00837412">
              <w:t>Method</w:t>
            </w:r>
            <w:r w:rsidR="00837412">
              <w:t xml:space="preserve"> </w:t>
            </w:r>
            <w:r w:rsidRPr="00837412">
              <w:t>(Data Source and Methodology</w:t>
            </w:r>
            <w:r w:rsidR="00541B07" w:rsidRPr="00837412">
              <w:t>)</w:t>
            </w:r>
          </w:p>
        </w:tc>
        <w:tc>
          <w:tcPr>
            <w:tcW w:w="4132" w:type="pct"/>
            <w:gridSpan w:val="8"/>
          </w:tcPr>
          <w:p w14:paraId="0D1FCA23" w14:textId="77777777" w:rsidR="004D7B74" w:rsidRPr="00823660" w:rsidRDefault="004D7B74" w:rsidP="00823660">
            <w:pPr>
              <w:cnfStyle w:val="000000000000" w:firstRow="0" w:lastRow="0" w:firstColumn="0" w:lastColumn="0" w:oddVBand="0" w:evenVBand="0" w:oddHBand="0" w:evenHBand="0" w:firstRowFirstColumn="0" w:firstRowLastColumn="0" w:lastRowFirstColumn="0" w:lastRowLastColumn="0"/>
              <w:rPr>
                <w:rStyle w:val="Strong"/>
              </w:rPr>
            </w:pPr>
            <w:r w:rsidRPr="00823660">
              <w:rPr>
                <w:rStyle w:val="Strong"/>
              </w:rPr>
              <w:t>Data sources:</w:t>
            </w:r>
          </w:p>
          <w:p w14:paraId="179A59BD"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23660">
              <w:rPr>
                <w:rStyle w:val="Strong"/>
              </w:rPr>
              <w:t>Measure a.</w:t>
            </w:r>
            <w:r>
              <w:t xml:space="preserve"> The </w:t>
            </w:r>
            <w:r w:rsidRPr="008B7B09">
              <w:t xml:space="preserve">Medical Benefits Scheme data (MBS) claims </w:t>
            </w:r>
            <w:r>
              <w:t xml:space="preserve">are </w:t>
            </w:r>
            <w:r w:rsidRPr="008B7B09">
              <w:t>administrative data</w:t>
            </w:r>
            <w:r>
              <w:t>, which is owned by the department, in partnership with Services Australia.</w:t>
            </w:r>
          </w:p>
          <w:p w14:paraId="74127041"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23660">
              <w:rPr>
                <w:rStyle w:val="Strong"/>
              </w:rPr>
              <w:t>Measures b, c, d.</w:t>
            </w:r>
            <w:r>
              <w:t xml:space="preserve"> </w:t>
            </w:r>
            <w:r w:rsidRPr="0005336A">
              <w:t xml:space="preserve">The data </w:t>
            </w:r>
            <w:r>
              <w:t>for these measures comes from an</w:t>
            </w:r>
            <w:r w:rsidRPr="0005336A">
              <w:t xml:space="preserve"> annual registration process, together with data from a workforce survey that is voluntarily completed at the time of registration, forms the National Health Workforce Dataset (NHWDS).</w:t>
            </w:r>
          </w:p>
          <w:p w14:paraId="02695791" w14:textId="27EE7712"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23660">
              <w:rPr>
                <w:rStyle w:val="Strong"/>
              </w:rPr>
              <w:t>Measure e.</w:t>
            </w:r>
            <w:r>
              <w:t xml:space="preserve"> The data for this measure comes from the </w:t>
            </w:r>
            <w:r w:rsidRPr="00913524">
              <w:t>Australian General Practice Training (AGPT) training program and the Non-VR Fellowship Support Program (FSP)</w:t>
            </w:r>
            <w:r w:rsidR="00A55672">
              <w:t>.</w:t>
            </w:r>
            <w:r w:rsidRPr="00913524">
              <w:t xml:space="preserve"> </w:t>
            </w:r>
            <w:r w:rsidR="00A55672">
              <w:t>D</w:t>
            </w:r>
            <w:r w:rsidRPr="00913524">
              <w:t>ata from the 2 General Practice Colleges, RACGP and ACRRM, based on the latest College Minimum Data Set and program reporting data on the Remote Vocational Training Scheme (RVTS) from the RVTS Ltd</w:t>
            </w:r>
            <w:r>
              <w:t>.</w:t>
            </w:r>
          </w:p>
          <w:p w14:paraId="24F2F931" w14:textId="32167718" w:rsidR="004D7B74" w:rsidRPr="00D135B6" w:rsidRDefault="004D7B74" w:rsidP="00D135B6">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D135B6">
              <w:rPr>
                <w:rStyle w:val="Strong"/>
              </w:rPr>
              <w:t>Methodology:</w:t>
            </w:r>
          </w:p>
          <w:p w14:paraId="184E873F" w14:textId="3720EA60" w:rsidR="004D7B74" w:rsidRPr="008B7B09" w:rsidRDefault="00093017" w:rsidP="00823660">
            <w:pPr>
              <w:pStyle w:val="TableTextleftaligned"/>
              <w:cnfStyle w:val="000000000000" w:firstRow="0" w:lastRow="0" w:firstColumn="0" w:lastColumn="0" w:oddVBand="0" w:evenVBand="0" w:oddHBand="0" w:evenHBand="0" w:firstRowFirstColumn="0" w:firstRowLastColumn="0" w:lastRowFirstColumn="0" w:lastRowLastColumn="0"/>
            </w:pPr>
            <w:r>
              <w:lastRenderedPageBreak/>
              <w:t>The d</w:t>
            </w:r>
            <w:r w:rsidR="004D7B74" w:rsidRPr="008B7B09">
              <w:t>aily feed of the MBS claims data from Services Australia into</w:t>
            </w:r>
            <w:r>
              <w:t xml:space="preserve"> the</w:t>
            </w:r>
            <w:r w:rsidR="004D7B74" w:rsidRPr="008B7B09">
              <w:t xml:space="preserve"> </w:t>
            </w:r>
            <w:r w:rsidR="00A4728C">
              <w:t>department’s</w:t>
            </w:r>
            <w:r w:rsidR="004D7B74" w:rsidRPr="008B7B09">
              <w:t xml:space="preserve"> Enterprise Data Warehouse (EDW) is managed by </w:t>
            </w:r>
            <w:r>
              <w:t xml:space="preserve">the </w:t>
            </w:r>
            <w:r w:rsidR="004D7B74" w:rsidRPr="008B7B09">
              <w:t>IT Division.</w:t>
            </w:r>
          </w:p>
          <w:p w14:paraId="07B92775" w14:textId="3DA4F0B9" w:rsidR="004D7B74" w:rsidRPr="00BF3791"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B7B09">
              <w:t>Automated data preparation processes have been developed to extract and transform the subset of MBS claims data related to Primary Care GPs. This process includes the estimation of GP F</w:t>
            </w:r>
            <w:r w:rsidR="00027A40">
              <w:t xml:space="preserve">ull </w:t>
            </w:r>
            <w:r w:rsidRPr="008B7B09">
              <w:t>T</w:t>
            </w:r>
            <w:r w:rsidR="00027A40">
              <w:t xml:space="preserve">ime </w:t>
            </w:r>
            <w:r w:rsidRPr="008B7B09">
              <w:t>E</w:t>
            </w:r>
            <w:r w:rsidR="00027A40">
              <w:t>quivalent (FTE)</w:t>
            </w:r>
            <w:r w:rsidRPr="008B7B09">
              <w:t xml:space="preserve">. </w:t>
            </w:r>
          </w:p>
        </w:tc>
      </w:tr>
      <w:tr w:rsidR="00676B30" w:rsidRPr="008E3CD6" w14:paraId="7DCBB5BB" w14:textId="77777777" w:rsidTr="00F13D9A">
        <w:trPr>
          <w:gridAfter w:val="1"/>
          <w:wAfter w:w="26" w:type="pct"/>
          <w:trHeight w:val="244"/>
        </w:trPr>
        <w:tc>
          <w:tcPr>
            <w:cnfStyle w:val="001000000000" w:firstRow="0" w:lastRow="0" w:firstColumn="1" w:lastColumn="0" w:oddVBand="0" w:evenVBand="0" w:oddHBand="0" w:evenHBand="0" w:firstRowFirstColumn="0" w:firstRowLastColumn="0" w:lastRowFirstColumn="0" w:lastRowLastColumn="0"/>
            <w:tcW w:w="842" w:type="pct"/>
          </w:tcPr>
          <w:p w14:paraId="1163C354" w14:textId="10956921" w:rsidR="00676B30" w:rsidRPr="009B277D" w:rsidRDefault="00676B30" w:rsidP="00837412">
            <w:pPr>
              <w:pStyle w:val="TableTextleftaligned"/>
              <w:spacing w:line="192" w:lineRule="auto"/>
              <w:rPr>
                <w:b w:val="0"/>
                <w:bCs/>
              </w:rPr>
            </w:pPr>
            <w:r>
              <w:rPr>
                <w:bCs/>
              </w:rPr>
              <w:lastRenderedPageBreak/>
              <w:t>Linked to 2024–25 Portfolio Budget Statements</w:t>
            </w:r>
          </w:p>
        </w:tc>
        <w:tc>
          <w:tcPr>
            <w:tcW w:w="4132" w:type="pct"/>
            <w:gridSpan w:val="8"/>
          </w:tcPr>
          <w:p w14:paraId="3B491587" w14:textId="64F960B9" w:rsidR="00676B30" w:rsidRPr="008B7B09" w:rsidRDefault="00676B30" w:rsidP="00823660">
            <w:pPr>
              <w:pStyle w:val="TableTextleftaligned"/>
              <w:cnfStyle w:val="000000000000" w:firstRow="0" w:lastRow="0" w:firstColumn="0" w:lastColumn="0" w:oddVBand="0" w:evenVBand="0" w:oddHBand="0" w:evenHBand="0" w:firstRowFirstColumn="0" w:firstRowLastColumn="0" w:lastRowFirstColumn="0" w:lastRowLastColumn="0"/>
              <w:rPr>
                <w:b/>
                <w:bCs/>
              </w:rPr>
            </w:pPr>
            <w:r w:rsidRPr="00553C7F">
              <w:t xml:space="preserve">Program </w:t>
            </w:r>
            <w:r>
              <w:t>1</w:t>
            </w:r>
            <w:r w:rsidRPr="00553C7F">
              <w:t>.</w:t>
            </w:r>
            <w:r>
              <w:t>4</w:t>
            </w:r>
            <w:r w:rsidRPr="00553C7F">
              <w:t xml:space="preserve"> </w:t>
            </w:r>
            <w:r w:rsidR="00FF27E1">
              <w:t>-</w:t>
            </w:r>
            <w:r>
              <w:t xml:space="preserve"> Health Workforce </w:t>
            </w:r>
            <w:r w:rsidRPr="00553C7F">
              <w:t xml:space="preserve">– page </w:t>
            </w:r>
            <w:r>
              <w:t>61</w:t>
            </w:r>
          </w:p>
        </w:tc>
      </w:tr>
      <w:tr w:rsidR="00F13D9A" w:rsidRPr="008E3CD6" w14:paraId="36C3678F" w14:textId="77777777" w:rsidTr="00F13D9A">
        <w:trPr>
          <w:gridAfter w:val="1"/>
          <w:wAfter w:w="26" w:type="pct"/>
          <w:trHeight w:val="510"/>
        </w:trPr>
        <w:tc>
          <w:tcPr>
            <w:cnfStyle w:val="001000000000" w:firstRow="0" w:lastRow="0" w:firstColumn="1" w:lastColumn="0" w:oddVBand="0" w:evenVBand="0" w:oddHBand="0" w:evenHBand="0" w:firstRowFirstColumn="0" w:firstRowLastColumn="0" w:lastRowFirstColumn="0" w:lastRowLastColumn="0"/>
            <w:tcW w:w="842" w:type="pct"/>
            <w:vMerge w:val="restart"/>
          </w:tcPr>
          <w:p w14:paraId="4AD5D6FB" w14:textId="77777777" w:rsidR="004D7B74" w:rsidRPr="009B277D" w:rsidRDefault="004D7B74" w:rsidP="00823660">
            <w:pPr>
              <w:pStyle w:val="TableTextleftaligned"/>
              <w:spacing w:line="192" w:lineRule="auto"/>
              <w:rPr>
                <w:b w:val="0"/>
                <w:bCs/>
              </w:rPr>
            </w:pPr>
            <w:r>
              <w:rPr>
                <w:bCs/>
              </w:rPr>
              <w:t>Planned Performance Results</w:t>
            </w:r>
          </w:p>
        </w:tc>
        <w:tc>
          <w:tcPr>
            <w:tcW w:w="1246" w:type="pct"/>
            <w:gridSpan w:val="2"/>
            <w:shd w:val="clear" w:color="auto" w:fill="BFBFBF" w:themeFill="background1" w:themeFillShade="BF"/>
            <w:vAlign w:val="center"/>
          </w:tcPr>
          <w:p w14:paraId="08A5290A" w14:textId="77777777" w:rsidR="004D7B74" w:rsidRPr="00823660" w:rsidRDefault="004D7B74" w:rsidP="00823660">
            <w:pPr>
              <w:pStyle w:val="TableTextstrong"/>
              <w:cnfStyle w:val="000000000000" w:firstRow="0" w:lastRow="0" w:firstColumn="0" w:lastColumn="0" w:oddVBand="0" w:evenVBand="0" w:oddHBand="0" w:evenHBand="0" w:firstRowFirstColumn="0" w:firstRowLastColumn="0" w:lastRowFirstColumn="0" w:lastRowLastColumn="0"/>
            </w:pPr>
            <w:r w:rsidRPr="00823660">
              <w:t>2024–25</w:t>
            </w:r>
          </w:p>
        </w:tc>
        <w:tc>
          <w:tcPr>
            <w:tcW w:w="1167" w:type="pct"/>
            <w:gridSpan w:val="2"/>
            <w:shd w:val="clear" w:color="auto" w:fill="BFBFBF" w:themeFill="background1" w:themeFillShade="BF"/>
            <w:vAlign w:val="center"/>
          </w:tcPr>
          <w:p w14:paraId="43240D8B" w14:textId="77777777" w:rsidR="004D7B74" w:rsidRPr="00823660" w:rsidRDefault="004D7B74" w:rsidP="00823660">
            <w:pPr>
              <w:pStyle w:val="TableTextstrong"/>
              <w:cnfStyle w:val="000000000000" w:firstRow="0" w:lastRow="0" w:firstColumn="0" w:lastColumn="0" w:oddVBand="0" w:evenVBand="0" w:oddHBand="0" w:evenHBand="0" w:firstRowFirstColumn="0" w:firstRowLastColumn="0" w:lastRowFirstColumn="0" w:lastRowLastColumn="0"/>
            </w:pPr>
            <w:r w:rsidRPr="00823660">
              <w:t>2025–26</w:t>
            </w:r>
            <w:r w:rsidRPr="00823660">
              <w:footnoteReference w:id="24"/>
            </w:r>
          </w:p>
        </w:tc>
        <w:tc>
          <w:tcPr>
            <w:tcW w:w="1047" w:type="pct"/>
            <w:gridSpan w:val="2"/>
            <w:shd w:val="clear" w:color="auto" w:fill="BFBFBF" w:themeFill="background1" w:themeFillShade="BF"/>
            <w:vAlign w:val="center"/>
          </w:tcPr>
          <w:p w14:paraId="59286E14" w14:textId="77777777" w:rsidR="004D7B74" w:rsidRPr="00823660" w:rsidRDefault="004D7B74" w:rsidP="00823660">
            <w:pPr>
              <w:pStyle w:val="TableTextstrong"/>
              <w:cnfStyle w:val="000000000000" w:firstRow="0" w:lastRow="0" w:firstColumn="0" w:lastColumn="0" w:oddVBand="0" w:evenVBand="0" w:oddHBand="0" w:evenHBand="0" w:firstRowFirstColumn="0" w:firstRowLastColumn="0" w:lastRowFirstColumn="0" w:lastRowLastColumn="0"/>
            </w:pPr>
            <w:r w:rsidRPr="00823660">
              <w:t>2026–27</w:t>
            </w:r>
          </w:p>
        </w:tc>
        <w:tc>
          <w:tcPr>
            <w:tcW w:w="671" w:type="pct"/>
            <w:gridSpan w:val="2"/>
            <w:shd w:val="clear" w:color="auto" w:fill="BFBFBF" w:themeFill="background1" w:themeFillShade="BF"/>
            <w:vAlign w:val="center"/>
          </w:tcPr>
          <w:p w14:paraId="7F13D445" w14:textId="77777777" w:rsidR="004D7B74" w:rsidRPr="00823660" w:rsidRDefault="004D7B74" w:rsidP="00823660">
            <w:pPr>
              <w:pStyle w:val="TableTextstrong"/>
              <w:cnfStyle w:val="000000000000" w:firstRow="0" w:lastRow="0" w:firstColumn="0" w:lastColumn="0" w:oddVBand="0" w:evenVBand="0" w:oddHBand="0" w:evenHBand="0" w:firstRowFirstColumn="0" w:firstRowLastColumn="0" w:lastRowFirstColumn="0" w:lastRowLastColumn="0"/>
            </w:pPr>
            <w:r w:rsidRPr="00823660">
              <w:t>2027–28</w:t>
            </w:r>
          </w:p>
        </w:tc>
      </w:tr>
      <w:tr w:rsidR="00F13D9A" w:rsidRPr="008E3CD6" w14:paraId="580A1437" w14:textId="77777777" w:rsidTr="00F13D9A">
        <w:trPr>
          <w:trHeight w:val="298"/>
        </w:trPr>
        <w:tc>
          <w:tcPr>
            <w:cnfStyle w:val="001000000000" w:firstRow="0" w:lastRow="0" w:firstColumn="1" w:lastColumn="0" w:oddVBand="0" w:evenVBand="0" w:oddHBand="0" w:evenHBand="0" w:firstRowFirstColumn="0" w:firstRowLastColumn="0" w:lastRowFirstColumn="0" w:lastRowLastColumn="0"/>
            <w:tcW w:w="842" w:type="pct"/>
            <w:vMerge/>
          </w:tcPr>
          <w:p w14:paraId="0168A29C" w14:textId="77777777" w:rsidR="004D7B74" w:rsidRPr="009B277D" w:rsidRDefault="004D7B74" w:rsidP="00CA72A8">
            <w:pPr>
              <w:pStyle w:val="TableTextleftaligned"/>
              <w:spacing w:line="192" w:lineRule="auto"/>
              <w:rPr>
                <w:b w:val="0"/>
                <w:bCs/>
              </w:rPr>
            </w:pPr>
          </w:p>
        </w:tc>
        <w:tc>
          <w:tcPr>
            <w:tcW w:w="696" w:type="pct"/>
          </w:tcPr>
          <w:p w14:paraId="2632DCFE" w14:textId="77777777" w:rsidR="004D7B74" w:rsidRPr="00823660" w:rsidRDefault="004D7B74" w:rsidP="00F13D9A">
            <w:pPr>
              <w:pStyle w:val="TableTextleftaligned"/>
              <w:jc w:val="center"/>
              <w:cnfStyle w:val="000000000000" w:firstRow="0" w:lastRow="0" w:firstColumn="0" w:lastColumn="0" w:oddVBand="0" w:evenVBand="0" w:oddHBand="0" w:evenHBand="0" w:firstRowFirstColumn="0" w:firstRowLastColumn="0" w:lastRowFirstColumn="0" w:lastRowLastColumn="0"/>
            </w:pPr>
            <w:r w:rsidRPr="00823660">
              <w:t>MM1</w:t>
            </w:r>
          </w:p>
        </w:tc>
        <w:tc>
          <w:tcPr>
            <w:tcW w:w="551" w:type="pct"/>
          </w:tcPr>
          <w:p w14:paraId="0854B719" w14:textId="77777777" w:rsidR="004D7B74" w:rsidRPr="00823660" w:rsidRDefault="004D7B74" w:rsidP="00F13D9A">
            <w:pPr>
              <w:pStyle w:val="TableTextleftaligned"/>
              <w:jc w:val="center"/>
              <w:cnfStyle w:val="000000000000" w:firstRow="0" w:lastRow="0" w:firstColumn="0" w:lastColumn="0" w:oddVBand="0" w:evenVBand="0" w:oddHBand="0" w:evenHBand="0" w:firstRowFirstColumn="0" w:firstRowLastColumn="0" w:lastRowFirstColumn="0" w:lastRowLastColumn="0"/>
            </w:pPr>
            <w:r w:rsidRPr="00823660">
              <w:t>MM2-7</w:t>
            </w:r>
          </w:p>
        </w:tc>
        <w:tc>
          <w:tcPr>
            <w:tcW w:w="583" w:type="pct"/>
          </w:tcPr>
          <w:p w14:paraId="3500E940" w14:textId="77777777" w:rsidR="004D7B74" w:rsidRPr="00823660" w:rsidRDefault="004D7B74" w:rsidP="00F13D9A">
            <w:pPr>
              <w:pStyle w:val="TableTextleftaligned"/>
              <w:jc w:val="center"/>
              <w:cnfStyle w:val="000000000000" w:firstRow="0" w:lastRow="0" w:firstColumn="0" w:lastColumn="0" w:oddVBand="0" w:evenVBand="0" w:oddHBand="0" w:evenHBand="0" w:firstRowFirstColumn="0" w:firstRowLastColumn="0" w:lastRowFirstColumn="0" w:lastRowLastColumn="0"/>
            </w:pPr>
            <w:r w:rsidRPr="00823660">
              <w:t>MM1</w:t>
            </w:r>
          </w:p>
        </w:tc>
        <w:tc>
          <w:tcPr>
            <w:tcW w:w="584" w:type="pct"/>
          </w:tcPr>
          <w:p w14:paraId="7F01100E" w14:textId="77777777" w:rsidR="004D7B74" w:rsidRPr="00823660" w:rsidRDefault="004D7B74" w:rsidP="00F13D9A">
            <w:pPr>
              <w:pStyle w:val="TableTextleftaligned"/>
              <w:jc w:val="center"/>
              <w:cnfStyle w:val="000000000000" w:firstRow="0" w:lastRow="0" w:firstColumn="0" w:lastColumn="0" w:oddVBand="0" w:evenVBand="0" w:oddHBand="0" w:evenHBand="0" w:firstRowFirstColumn="0" w:firstRowLastColumn="0" w:lastRowFirstColumn="0" w:lastRowLastColumn="0"/>
            </w:pPr>
            <w:r w:rsidRPr="00823660">
              <w:t>MM2-7</w:t>
            </w:r>
          </w:p>
        </w:tc>
        <w:tc>
          <w:tcPr>
            <w:tcW w:w="532" w:type="pct"/>
          </w:tcPr>
          <w:p w14:paraId="66D1DC70" w14:textId="77777777" w:rsidR="004D7B74" w:rsidRPr="00823660" w:rsidRDefault="004D7B74" w:rsidP="00F13D9A">
            <w:pPr>
              <w:pStyle w:val="TableTextleftaligned"/>
              <w:jc w:val="center"/>
              <w:cnfStyle w:val="000000000000" w:firstRow="0" w:lastRow="0" w:firstColumn="0" w:lastColumn="0" w:oddVBand="0" w:evenVBand="0" w:oddHBand="0" w:evenHBand="0" w:firstRowFirstColumn="0" w:firstRowLastColumn="0" w:lastRowFirstColumn="0" w:lastRowLastColumn="0"/>
            </w:pPr>
            <w:r w:rsidRPr="00823660">
              <w:t>MM1</w:t>
            </w:r>
          </w:p>
        </w:tc>
        <w:tc>
          <w:tcPr>
            <w:tcW w:w="541" w:type="pct"/>
            <w:gridSpan w:val="2"/>
          </w:tcPr>
          <w:p w14:paraId="1C0293C6" w14:textId="77777777" w:rsidR="004D7B74" w:rsidRPr="00823660" w:rsidRDefault="004D7B74" w:rsidP="00F13D9A">
            <w:pPr>
              <w:pStyle w:val="TableTextleftaligned"/>
              <w:ind w:left="-29"/>
              <w:jc w:val="center"/>
              <w:cnfStyle w:val="000000000000" w:firstRow="0" w:lastRow="0" w:firstColumn="0" w:lastColumn="0" w:oddVBand="0" w:evenVBand="0" w:oddHBand="0" w:evenHBand="0" w:firstRowFirstColumn="0" w:firstRowLastColumn="0" w:lastRowFirstColumn="0" w:lastRowLastColumn="0"/>
            </w:pPr>
            <w:r w:rsidRPr="00823660">
              <w:t>MM2-7</w:t>
            </w:r>
          </w:p>
        </w:tc>
        <w:tc>
          <w:tcPr>
            <w:tcW w:w="671" w:type="pct"/>
            <w:gridSpan w:val="2"/>
          </w:tcPr>
          <w:p w14:paraId="29EBD9AA" w14:textId="77777777" w:rsidR="004D7B74" w:rsidRPr="00823660" w:rsidRDefault="004D7B74" w:rsidP="00F13D9A">
            <w:pPr>
              <w:pStyle w:val="TableTextleftaligned"/>
              <w:jc w:val="center"/>
              <w:cnfStyle w:val="000000000000" w:firstRow="0" w:lastRow="0" w:firstColumn="0" w:lastColumn="0" w:oddVBand="0" w:evenVBand="0" w:oddHBand="0" w:evenHBand="0" w:firstRowFirstColumn="0" w:firstRowLastColumn="0" w:lastRowFirstColumn="0" w:lastRowLastColumn="0"/>
            </w:pPr>
            <w:r w:rsidRPr="00823660">
              <w:t>MM1 – MM2-7</w:t>
            </w:r>
          </w:p>
        </w:tc>
      </w:tr>
      <w:tr w:rsidR="00F13D9A" w:rsidRPr="008E3CD6" w14:paraId="5BF8BE12" w14:textId="77777777" w:rsidTr="00F13D9A">
        <w:trPr>
          <w:trHeight w:val="298"/>
        </w:trPr>
        <w:tc>
          <w:tcPr>
            <w:cnfStyle w:val="001000000000" w:firstRow="0" w:lastRow="0" w:firstColumn="1" w:lastColumn="0" w:oddVBand="0" w:evenVBand="0" w:oddHBand="0" w:evenHBand="0" w:firstRowFirstColumn="0" w:firstRowLastColumn="0" w:lastRowFirstColumn="0" w:lastRowLastColumn="0"/>
            <w:tcW w:w="842" w:type="pct"/>
            <w:vMerge/>
          </w:tcPr>
          <w:p w14:paraId="15B66A6F" w14:textId="77777777" w:rsidR="004D7B74" w:rsidRPr="009B277D" w:rsidRDefault="004D7B74" w:rsidP="00CA72A8">
            <w:pPr>
              <w:pStyle w:val="TableTextleftaligned"/>
              <w:spacing w:line="192" w:lineRule="auto"/>
              <w:rPr>
                <w:b w:val="0"/>
                <w:bCs/>
              </w:rPr>
            </w:pPr>
          </w:p>
        </w:tc>
        <w:tc>
          <w:tcPr>
            <w:tcW w:w="696" w:type="pct"/>
          </w:tcPr>
          <w:p w14:paraId="121DDFBF" w14:textId="7CC866CB"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882672">
              <w:t>115.6</w:t>
            </w:r>
          </w:p>
        </w:tc>
        <w:tc>
          <w:tcPr>
            <w:tcW w:w="551" w:type="pct"/>
          </w:tcPr>
          <w:p w14:paraId="1F1D5770" w14:textId="43E6B834" w:rsidR="004D7B74" w:rsidRPr="00882672"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882672">
              <w:t>110.6</w:t>
            </w:r>
          </w:p>
        </w:tc>
        <w:tc>
          <w:tcPr>
            <w:tcW w:w="583" w:type="pct"/>
          </w:tcPr>
          <w:p w14:paraId="43B02E3E" w14:textId="0535881F"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882672">
              <w:t>116.0</w:t>
            </w:r>
          </w:p>
        </w:tc>
        <w:tc>
          <w:tcPr>
            <w:tcW w:w="584" w:type="pct"/>
          </w:tcPr>
          <w:p w14:paraId="58EAD019" w14:textId="71B3CFF2" w:rsidR="004D7B74" w:rsidRPr="00882672"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882672">
              <w:t>112.0</w:t>
            </w:r>
          </w:p>
        </w:tc>
        <w:tc>
          <w:tcPr>
            <w:tcW w:w="532" w:type="pct"/>
          </w:tcPr>
          <w:p w14:paraId="433E252D" w14:textId="1A3D6A15"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882672">
              <w:t>116.5</w:t>
            </w:r>
          </w:p>
        </w:tc>
        <w:tc>
          <w:tcPr>
            <w:tcW w:w="541" w:type="pct"/>
            <w:gridSpan w:val="2"/>
          </w:tcPr>
          <w:p w14:paraId="4224FDDF" w14:textId="411B6226" w:rsidR="004D7B74" w:rsidRPr="00882672"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882672">
              <w:t>113.5</w:t>
            </w:r>
          </w:p>
        </w:tc>
        <w:tc>
          <w:tcPr>
            <w:tcW w:w="671" w:type="pct"/>
            <w:gridSpan w:val="2"/>
            <w:vMerge w:val="restart"/>
          </w:tcPr>
          <w:p w14:paraId="202C3BA4" w14:textId="77777777" w:rsidR="004D7B74" w:rsidRPr="00823660" w:rsidRDefault="004D7B74" w:rsidP="00837412">
            <w:pPr>
              <w:pStyle w:val="TableTextleftaligned"/>
              <w:cnfStyle w:val="000000000000" w:firstRow="0" w:lastRow="0" w:firstColumn="0" w:lastColumn="0" w:oddVBand="0" w:evenVBand="0" w:oddHBand="0" w:evenHBand="0" w:firstRowFirstColumn="0" w:firstRowLastColumn="0" w:lastRowFirstColumn="0" w:lastRowLastColumn="0"/>
            </w:pPr>
            <w:r w:rsidRPr="00823660">
              <w:t>New targets to be determined</w:t>
            </w:r>
          </w:p>
        </w:tc>
      </w:tr>
      <w:tr w:rsidR="00F13D9A" w:rsidRPr="008E3CD6" w14:paraId="3AA00062" w14:textId="77777777" w:rsidTr="00F13D9A">
        <w:trPr>
          <w:trHeight w:val="298"/>
        </w:trPr>
        <w:tc>
          <w:tcPr>
            <w:cnfStyle w:val="001000000000" w:firstRow="0" w:lastRow="0" w:firstColumn="1" w:lastColumn="0" w:oddVBand="0" w:evenVBand="0" w:oddHBand="0" w:evenHBand="0" w:firstRowFirstColumn="0" w:firstRowLastColumn="0" w:lastRowFirstColumn="0" w:lastRowLastColumn="0"/>
            <w:tcW w:w="842" w:type="pct"/>
            <w:vMerge/>
          </w:tcPr>
          <w:p w14:paraId="70A09AEB" w14:textId="77777777" w:rsidR="004D7B74" w:rsidRPr="009B277D" w:rsidRDefault="004D7B74" w:rsidP="00CA72A8">
            <w:pPr>
              <w:pStyle w:val="TableTextleftaligned"/>
              <w:spacing w:line="192" w:lineRule="auto"/>
              <w:rPr>
                <w:b w:val="0"/>
                <w:bCs/>
              </w:rPr>
            </w:pPr>
          </w:p>
        </w:tc>
        <w:tc>
          <w:tcPr>
            <w:tcW w:w="696" w:type="pct"/>
          </w:tcPr>
          <w:p w14:paraId="5C64162A" w14:textId="406EFC0D"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882672">
              <w:t>196.6</w:t>
            </w:r>
          </w:p>
        </w:tc>
        <w:tc>
          <w:tcPr>
            <w:tcW w:w="551" w:type="pct"/>
          </w:tcPr>
          <w:p w14:paraId="06B33F93" w14:textId="35E679F5"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882672">
              <w:t>100.6</w:t>
            </w:r>
          </w:p>
        </w:tc>
        <w:tc>
          <w:tcPr>
            <w:tcW w:w="583" w:type="pct"/>
          </w:tcPr>
          <w:p w14:paraId="259A969D" w14:textId="65E17548"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882672">
              <w:t>201.1</w:t>
            </w:r>
          </w:p>
        </w:tc>
        <w:tc>
          <w:tcPr>
            <w:tcW w:w="584" w:type="pct"/>
          </w:tcPr>
          <w:p w14:paraId="3690BEF5" w14:textId="155D3DB9"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882672">
              <w:t>104.7</w:t>
            </w:r>
          </w:p>
        </w:tc>
        <w:tc>
          <w:tcPr>
            <w:tcW w:w="532" w:type="pct"/>
          </w:tcPr>
          <w:p w14:paraId="69FA8023" w14:textId="3515B1A2"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882672">
              <w:t>205.9</w:t>
            </w:r>
          </w:p>
        </w:tc>
        <w:tc>
          <w:tcPr>
            <w:tcW w:w="541" w:type="pct"/>
            <w:gridSpan w:val="2"/>
          </w:tcPr>
          <w:p w14:paraId="4A12B553" w14:textId="1C4C5C03"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882672">
              <w:t>109.1</w:t>
            </w:r>
          </w:p>
        </w:tc>
        <w:tc>
          <w:tcPr>
            <w:tcW w:w="671" w:type="pct"/>
            <w:gridSpan w:val="2"/>
            <w:vMerge/>
          </w:tcPr>
          <w:p w14:paraId="4AC31F99" w14:textId="77777777" w:rsidR="004D7B74" w:rsidRPr="008B7B09" w:rsidDel="006655DA" w:rsidRDefault="004D7B74" w:rsidP="00CA72A8">
            <w:pPr>
              <w:pStyle w:val="TableTextrightaligned"/>
              <w:numPr>
                <w:ilvl w:val="0"/>
                <w:numId w:val="5"/>
              </w:numPr>
              <w:spacing w:line="192" w:lineRule="auto"/>
              <w:jc w:val="center"/>
              <w:cnfStyle w:val="000000000000" w:firstRow="0" w:lastRow="0" w:firstColumn="0" w:lastColumn="0" w:oddVBand="0" w:evenVBand="0" w:oddHBand="0" w:evenHBand="0" w:firstRowFirstColumn="0" w:firstRowLastColumn="0" w:lastRowFirstColumn="0" w:lastRowLastColumn="0"/>
            </w:pPr>
          </w:p>
        </w:tc>
      </w:tr>
      <w:tr w:rsidR="00F13D9A" w:rsidRPr="008E3CD6" w14:paraId="65AE3AF1" w14:textId="77777777" w:rsidTr="00F13D9A">
        <w:trPr>
          <w:trHeight w:val="298"/>
        </w:trPr>
        <w:tc>
          <w:tcPr>
            <w:cnfStyle w:val="001000000000" w:firstRow="0" w:lastRow="0" w:firstColumn="1" w:lastColumn="0" w:oddVBand="0" w:evenVBand="0" w:oddHBand="0" w:evenHBand="0" w:firstRowFirstColumn="0" w:firstRowLastColumn="0" w:lastRowFirstColumn="0" w:lastRowLastColumn="0"/>
            <w:tcW w:w="842" w:type="pct"/>
            <w:vMerge/>
          </w:tcPr>
          <w:p w14:paraId="273B743D" w14:textId="77777777" w:rsidR="004D7B74" w:rsidRPr="009B277D" w:rsidRDefault="004D7B74" w:rsidP="00CA72A8">
            <w:pPr>
              <w:pStyle w:val="TableTextleftaligned"/>
              <w:spacing w:line="192" w:lineRule="auto"/>
              <w:rPr>
                <w:b w:val="0"/>
                <w:bCs/>
              </w:rPr>
            </w:pPr>
          </w:p>
        </w:tc>
        <w:tc>
          <w:tcPr>
            <w:tcW w:w="696" w:type="pct"/>
          </w:tcPr>
          <w:p w14:paraId="2EE70A53" w14:textId="23E5C2CD"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882672">
              <w:t>191.5</w:t>
            </w:r>
          </w:p>
        </w:tc>
        <w:tc>
          <w:tcPr>
            <w:tcW w:w="551" w:type="pct"/>
          </w:tcPr>
          <w:p w14:paraId="7083D489" w14:textId="1A405264"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882672">
              <w:t>232.8</w:t>
            </w:r>
          </w:p>
        </w:tc>
        <w:tc>
          <w:tcPr>
            <w:tcW w:w="583" w:type="pct"/>
          </w:tcPr>
          <w:p w14:paraId="0C7D896E" w14:textId="31F24916"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882672">
              <w:t>195.7</w:t>
            </w:r>
          </w:p>
        </w:tc>
        <w:tc>
          <w:tcPr>
            <w:tcW w:w="584" w:type="pct"/>
          </w:tcPr>
          <w:p w14:paraId="470DE59A" w14:textId="36EAA237"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882672">
              <w:t>236.7</w:t>
            </w:r>
          </w:p>
        </w:tc>
        <w:tc>
          <w:tcPr>
            <w:tcW w:w="532" w:type="pct"/>
          </w:tcPr>
          <w:p w14:paraId="7B2E17F6" w14:textId="625DEDEC"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882672">
              <w:t>200.1</w:t>
            </w:r>
          </w:p>
        </w:tc>
        <w:tc>
          <w:tcPr>
            <w:tcW w:w="541" w:type="pct"/>
            <w:gridSpan w:val="2"/>
          </w:tcPr>
          <w:p w14:paraId="325A4276" w14:textId="487D5DB0"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882672">
              <w:t>240.7</w:t>
            </w:r>
          </w:p>
        </w:tc>
        <w:tc>
          <w:tcPr>
            <w:tcW w:w="671" w:type="pct"/>
            <w:gridSpan w:val="2"/>
            <w:vMerge/>
          </w:tcPr>
          <w:p w14:paraId="4BB479B7" w14:textId="77777777" w:rsidR="004D7B74" w:rsidRPr="008B7B09" w:rsidDel="006655DA" w:rsidRDefault="004D7B74" w:rsidP="00CA72A8">
            <w:pPr>
              <w:pStyle w:val="TableTextrightaligned"/>
              <w:numPr>
                <w:ilvl w:val="0"/>
                <w:numId w:val="5"/>
              </w:numPr>
              <w:spacing w:line="192" w:lineRule="auto"/>
              <w:jc w:val="center"/>
              <w:cnfStyle w:val="000000000000" w:firstRow="0" w:lastRow="0" w:firstColumn="0" w:lastColumn="0" w:oddVBand="0" w:evenVBand="0" w:oddHBand="0" w:evenHBand="0" w:firstRowFirstColumn="0" w:firstRowLastColumn="0" w:lastRowFirstColumn="0" w:lastRowLastColumn="0"/>
            </w:pPr>
          </w:p>
        </w:tc>
      </w:tr>
      <w:tr w:rsidR="00F13D9A" w:rsidRPr="008E3CD6" w14:paraId="530D035C" w14:textId="77777777" w:rsidTr="00F13D9A">
        <w:trPr>
          <w:trHeight w:val="298"/>
        </w:trPr>
        <w:tc>
          <w:tcPr>
            <w:cnfStyle w:val="001000000000" w:firstRow="0" w:lastRow="0" w:firstColumn="1" w:lastColumn="0" w:oddVBand="0" w:evenVBand="0" w:oddHBand="0" w:evenHBand="0" w:firstRowFirstColumn="0" w:firstRowLastColumn="0" w:lastRowFirstColumn="0" w:lastRowLastColumn="0"/>
            <w:tcW w:w="842" w:type="pct"/>
            <w:vMerge/>
          </w:tcPr>
          <w:p w14:paraId="68182B1B" w14:textId="77777777" w:rsidR="004D7B74" w:rsidRPr="009B277D" w:rsidRDefault="004D7B74" w:rsidP="00CA72A8">
            <w:pPr>
              <w:pStyle w:val="TableTextleftaligned"/>
              <w:spacing w:line="192" w:lineRule="auto"/>
              <w:rPr>
                <w:b w:val="0"/>
                <w:bCs/>
              </w:rPr>
            </w:pPr>
          </w:p>
        </w:tc>
        <w:tc>
          <w:tcPr>
            <w:tcW w:w="696" w:type="pct"/>
          </w:tcPr>
          <w:p w14:paraId="023A98CF" w14:textId="6537AC9C"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882672">
              <w:t>445.9</w:t>
            </w:r>
          </w:p>
        </w:tc>
        <w:tc>
          <w:tcPr>
            <w:tcW w:w="551" w:type="pct"/>
          </w:tcPr>
          <w:p w14:paraId="1D04E331" w14:textId="2C5C5EB5"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882672">
              <w:t>421.5</w:t>
            </w:r>
          </w:p>
        </w:tc>
        <w:tc>
          <w:tcPr>
            <w:tcW w:w="583" w:type="pct"/>
          </w:tcPr>
          <w:p w14:paraId="5F8C85CD" w14:textId="6EAA224A"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882672">
              <w:t>455.1</w:t>
            </w:r>
          </w:p>
        </w:tc>
        <w:tc>
          <w:tcPr>
            <w:tcW w:w="584" w:type="pct"/>
          </w:tcPr>
          <w:p w14:paraId="2CF5E064" w14:textId="0FF2573D"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882672">
              <w:t>431.2</w:t>
            </w:r>
          </w:p>
        </w:tc>
        <w:tc>
          <w:tcPr>
            <w:tcW w:w="532" w:type="pct"/>
          </w:tcPr>
          <w:p w14:paraId="6FAE2AC7" w14:textId="5F09776E"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882672">
              <w:t>464.7</w:t>
            </w:r>
          </w:p>
        </w:tc>
        <w:tc>
          <w:tcPr>
            <w:tcW w:w="541" w:type="pct"/>
            <w:gridSpan w:val="2"/>
          </w:tcPr>
          <w:p w14:paraId="07ABF4F4" w14:textId="0937A09D"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882672">
              <w:t>441.2</w:t>
            </w:r>
          </w:p>
        </w:tc>
        <w:tc>
          <w:tcPr>
            <w:tcW w:w="671" w:type="pct"/>
            <w:gridSpan w:val="2"/>
            <w:vMerge/>
          </w:tcPr>
          <w:p w14:paraId="6AE0F467" w14:textId="77777777" w:rsidR="004D7B74" w:rsidRPr="0040778E" w:rsidDel="006655DA" w:rsidRDefault="004D7B74" w:rsidP="00CA72A8">
            <w:pPr>
              <w:pStyle w:val="TableTextrightaligned"/>
              <w:numPr>
                <w:ilvl w:val="0"/>
                <w:numId w:val="5"/>
              </w:numPr>
              <w:spacing w:line="192" w:lineRule="auto"/>
              <w:jc w:val="center"/>
              <w:cnfStyle w:val="000000000000" w:firstRow="0" w:lastRow="0" w:firstColumn="0" w:lastColumn="0" w:oddVBand="0" w:evenVBand="0" w:oddHBand="0" w:evenHBand="0" w:firstRowFirstColumn="0" w:firstRowLastColumn="0" w:lastRowFirstColumn="0" w:lastRowLastColumn="0"/>
            </w:pPr>
          </w:p>
        </w:tc>
      </w:tr>
      <w:tr w:rsidR="00F13D9A" w:rsidRPr="008E3CD6" w14:paraId="0911CC65" w14:textId="77777777" w:rsidTr="00F13D9A">
        <w:trPr>
          <w:trHeight w:val="70"/>
        </w:trPr>
        <w:tc>
          <w:tcPr>
            <w:cnfStyle w:val="001000000000" w:firstRow="0" w:lastRow="0" w:firstColumn="1" w:lastColumn="0" w:oddVBand="0" w:evenVBand="0" w:oddHBand="0" w:evenHBand="0" w:firstRowFirstColumn="0" w:firstRowLastColumn="0" w:lastRowFirstColumn="0" w:lastRowLastColumn="0"/>
            <w:tcW w:w="842" w:type="pct"/>
            <w:vMerge/>
          </w:tcPr>
          <w:p w14:paraId="3546C8A6" w14:textId="77777777" w:rsidR="004D7B74" w:rsidRPr="009B277D" w:rsidRDefault="004D7B74" w:rsidP="00CA72A8">
            <w:pPr>
              <w:pStyle w:val="TableTextleftaligned"/>
              <w:spacing w:line="192" w:lineRule="auto"/>
              <w:rPr>
                <w:b w:val="0"/>
                <w:bCs/>
              </w:rPr>
            </w:pPr>
          </w:p>
        </w:tc>
        <w:tc>
          <w:tcPr>
            <w:tcW w:w="696" w:type="pct"/>
          </w:tcPr>
          <w:p w14:paraId="778C552E" w14:textId="10CEB663"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882672">
              <w:t>N/A</w:t>
            </w:r>
          </w:p>
        </w:tc>
        <w:tc>
          <w:tcPr>
            <w:tcW w:w="551" w:type="pct"/>
          </w:tcPr>
          <w:p w14:paraId="5DACAD7C" w14:textId="6AED9615"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882672">
              <w:t>&gt;50%</w:t>
            </w:r>
          </w:p>
        </w:tc>
        <w:tc>
          <w:tcPr>
            <w:tcW w:w="583" w:type="pct"/>
          </w:tcPr>
          <w:p w14:paraId="44885DEA" w14:textId="37A3A22F"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882672">
              <w:t>N/A</w:t>
            </w:r>
          </w:p>
        </w:tc>
        <w:tc>
          <w:tcPr>
            <w:tcW w:w="584" w:type="pct"/>
          </w:tcPr>
          <w:p w14:paraId="3E87BB1E" w14:textId="1B91B6F9"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882672">
              <w:t>&gt;50%</w:t>
            </w:r>
          </w:p>
        </w:tc>
        <w:tc>
          <w:tcPr>
            <w:tcW w:w="532" w:type="pct"/>
          </w:tcPr>
          <w:p w14:paraId="782230F5" w14:textId="40253663"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882672">
              <w:t>N/A</w:t>
            </w:r>
          </w:p>
        </w:tc>
        <w:tc>
          <w:tcPr>
            <w:tcW w:w="541" w:type="pct"/>
            <w:gridSpan w:val="2"/>
          </w:tcPr>
          <w:p w14:paraId="52BD16A5" w14:textId="6EA45C30" w:rsidR="004D7B74" w:rsidRPr="00882672" w:rsidDel="006655DA" w:rsidRDefault="00F13D9A" w:rsidP="00F13D9A">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882672">
              <w:t>&gt;50%</w:t>
            </w:r>
          </w:p>
        </w:tc>
        <w:tc>
          <w:tcPr>
            <w:tcW w:w="671" w:type="pct"/>
            <w:gridSpan w:val="2"/>
            <w:vMerge/>
          </w:tcPr>
          <w:p w14:paraId="3B1AAAA8" w14:textId="77777777" w:rsidR="004D7B74" w:rsidRPr="0040778E" w:rsidDel="006655DA" w:rsidRDefault="004D7B74" w:rsidP="00CA72A8">
            <w:pPr>
              <w:pStyle w:val="TableTextrightaligned"/>
              <w:numPr>
                <w:ilvl w:val="0"/>
                <w:numId w:val="5"/>
              </w:numPr>
              <w:spacing w:line="192" w:lineRule="auto"/>
              <w:jc w:val="center"/>
              <w:cnfStyle w:val="000000000000" w:firstRow="0" w:lastRow="0" w:firstColumn="0" w:lastColumn="0" w:oddVBand="0" w:evenVBand="0" w:oddHBand="0" w:evenHBand="0" w:firstRowFirstColumn="0" w:firstRowLastColumn="0" w:lastRowFirstColumn="0" w:lastRowLastColumn="0"/>
            </w:pPr>
          </w:p>
        </w:tc>
      </w:tr>
      <w:bookmarkEnd w:id="97"/>
    </w:tbl>
    <w:p w14:paraId="0ADAFE9C" w14:textId="77777777" w:rsidR="004D7B74" w:rsidRPr="004338E5" w:rsidRDefault="004D7B74" w:rsidP="004D7B74">
      <w:pPr>
        <w:rPr>
          <w:rFonts w:eastAsia="Times New Roman" w:cstheme="minorHAnsi"/>
          <w:szCs w:val="20"/>
          <w:highlight w:val="lightGray"/>
          <w:lang w:eastAsia="en-AU"/>
        </w:rPr>
      </w:pPr>
      <w:r>
        <w:rPr>
          <w:rFonts w:eastAsia="Times New Roman" w:cstheme="minorHAnsi"/>
          <w:szCs w:val="20"/>
          <w:highlight w:val="lightGray"/>
          <w:lang w:eastAsia="en-AU"/>
        </w:rPr>
        <w:br w:type="page"/>
      </w:r>
    </w:p>
    <w:p w14:paraId="0E6657D4" w14:textId="77777777" w:rsidR="004D7B74" w:rsidRPr="006801BD" w:rsidRDefault="004D7B74" w:rsidP="00882672">
      <w:pPr>
        <w:pStyle w:val="Heading2"/>
      </w:pPr>
      <w:bookmarkStart w:id="98" w:name="_Toc166069790"/>
      <w:bookmarkStart w:id="99" w:name="_Toc171411936"/>
      <w:bookmarkStart w:id="100" w:name="_Toc175293625"/>
      <w:bookmarkStart w:id="101" w:name="_Program_1.5_Preventive"/>
      <w:bookmarkStart w:id="102" w:name="_Toc175846499"/>
      <w:bookmarkEnd w:id="101"/>
      <w:r w:rsidRPr="006801BD">
        <w:lastRenderedPageBreak/>
        <w:t xml:space="preserve">Program 1.5 </w:t>
      </w:r>
      <w:r w:rsidRPr="00882672">
        <w:t>Preventive</w:t>
      </w:r>
      <w:r w:rsidRPr="006801BD">
        <w:t xml:space="preserve"> Health and Chronic Disease Support</w:t>
      </w:r>
      <w:bookmarkEnd w:id="98"/>
      <w:bookmarkEnd w:id="99"/>
      <w:bookmarkEnd w:id="100"/>
      <w:bookmarkEnd w:id="102"/>
      <w:r w:rsidRPr="006801BD">
        <w:t xml:space="preserve"> </w:t>
      </w:r>
    </w:p>
    <w:p w14:paraId="0744197D" w14:textId="301EA949" w:rsidR="004D7B74" w:rsidRPr="006801BD" w:rsidRDefault="004D7B74" w:rsidP="00882672">
      <w:pPr>
        <w:pStyle w:val="Heading3"/>
        <w:rPr>
          <w:bCs w:val="0"/>
        </w:rPr>
      </w:pPr>
      <w:bookmarkStart w:id="103" w:name="_Toc171411937"/>
      <w:bookmarkStart w:id="104" w:name="_Toc175293626"/>
      <w:r w:rsidRPr="006801BD">
        <w:t xml:space="preserve">Program </w:t>
      </w:r>
      <w:r w:rsidRPr="00882672">
        <w:t>Objective</w:t>
      </w:r>
      <w:bookmarkEnd w:id="103"/>
      <w:bookmarkEnd w:id="104"/>
    </w:p>
    <w:p w14:paraId="5A929019" w14:textId="77777777" w:rsidR="004D7B74" w:rsidRPr="003106EF" w:rsidRDefault="004D7B74" w:rsidP="003106EF">
      <w:r w:rsidRPr="003106EF">
        <w:t>Support the people of Australia to live longer in full health and wellbeing through reducing the rates of harmful alcohol consumption, illicit drug use, and tobacco and e-cigarettes use, and increasing healthy eating patterns, levels of physical activity and cancer screening participation.</w:t>
      </w:r>
    </w:p>
    <w:p w14:paraId="11100F11" w14:textId="47729C1B" w:rsidR="003106EF" w:rsidRPr="00D26D79" w:rsidRDefault="004D7B74" w:rsidP="00882672">
      <w:pPr>
        <w:pStyle w:val="Keyactivity"/>
        <w:rPr>
          <w:rStyle w:val="Strong"/>
        </w:rPr>
      </w:pPr>
      <w:r w:rsidRPr="00D26D79">
        <w:rPr>
          <w:rStyle w:val="Strong"/>
        </w:rPr>
        <w:t>Key Activity 1.5A:</w:t>
      </w:r>
    </w:p>
    <w:p w14:paraId="2A6F1D49" w14:textId="457E159D" w:rsidR="004D7B74" w:rsidRPr="003106EF" w:rsidRDefault="004D7B74" w:rsidP="00882672">
      <w:pPr>
        <w:pStyle w:val="Keyactivity"/>
      </w:pPr>
      <w:r w:rsidRPr="003106EF">
        <w:t xml:space="preserve">Working with Commonwealth entities, states, </w:t>
      </w:r>
      <w:proofErr w:type="gramStart"/>
      <w:r w:rsidRPr="003106EF">
        <w:t>territories</w:t>
      </w:r>
      <w:proofErr w:type="gramEnd"/>
      <w:r w:rsidRPr="003106EF">
        <w:t xml:space="preserve"> and other relevant agencies to support a collaborative approach to policy frameworks, as well as prevention and reduction of harm to individuals, families, and communities from alcohol, tobacco, e-cigarettes and other drugs through: </w:t>
      </w:r>
    </w:p>
    <w:p w14:paraId="01B6DD60" w14:textId="77777777" w:rsidR="00882672" w:rsidRDefault="004D7B74" w:rsidP="00882672">
      <w:pPr>
        <w:pStyle w:val="Keyactivity"/>
        <w:numPr>
          <w:ilvl w:val="0"/>
          <w:numId w:val="203"/>
        </w:numPr>
        <w:tabs>
          <w:tab w:val="left" w:pos="284"/>
        </w:tabs>
        <w:ind w:left="0" w:firstLine="0"/>
      </w:pPr>
      <w:r w:rsidRPr="003106EF">
        <w:t>implementing activities that align with the objectives of the National Drug Strategy 2017–2026 and its sub-strategies, including the National Alcohol Strategy 2019–2028 and the National Tobacco Strategy 2023–2030. This includes delivering health promotion and education activities to support smoking and nicotine cessation and prevention, to raise awareness of the Australian guidelines to reduce health risks from drinking alcohol, and the risks of drinking alcohol while pregnant and breastfeeding.</w:t>
      </w:r>
    </w:p>
    <w:p w14:paraId="101F8660" w14:textId="77777777" w:rsidR="00882672" w:rsidRDefault="004D7B74" w:rsidP="00882672">
      <w:pPr>
        <w:pStyle w:val="Keyactivity"/>
        <w:numPr>
          <w:ilvl w:val="0"/>
          <w:numId w:val="203"/>
        </w:numPr>
        <w:tabs>
          <w:tab w:val="left" w:pos="284"/>
        </w:tabs>
        <w:ind w:left="0" w:firstLine="0"/>
      </w:pPr>
      <w:r w:rsidRPr="003106EF">
        <w:t>investing in quality alcohol and drug treatment services consistent with the National Quality and Treatment Frameworks.</w:t>
      </w:r>
    </w:p>
    <w:p w14:paraId="30415BE8" w14:textId="0117FBB2" w:rsidR="004D7B74" w:rsidRPr="00882672" w:rsidRDefault="004D7B74" w:rsidP="00882672">
      <w:pPr>
        <w:pStyle w:val="Keyactivity"/>
        <w:numPr>
          <w:ilvl w:val="0"/>
          <w:numId w:val="203"/>
        </w:numPr>
        <w:tabs>
          <w:tab w:val="left" w:pos="284"/>
        </w:tabs>
        <w:ind w:left="0" w:firstLine="0"/>
      </w:pPr>
      <w:r w:rsidRPr="003106EF">
        <w:t>supporting expansion of tobacco and e-cigarette control program activities through investment in tobacco and e-cigarette control research</w:t>
      </w:r>
      <w:r w:rsidRPr="00882672">
        <w:rPr>
          <w:rFonts w:cs="Arial"/>
        </w:rPr>
        <w:t xml:space="preserve"> and evaluation.</w:t>
      </w:r>
    </w:p>
    <w:p w14:paraId="2D9777BA" w14:textId="23D07081" w:rsidR="00D208E2" w:rsidRPr="00D26D79" w:rsidRDefault="00D208E2" w:rsidP="00D26D79">
      <w:r w:rsidRPr="00882672">
        <w:rPr>
          <w:rStyle w:val="Strong"/>
        </w:rPr>
        <w:t xml:space="preserve">Key </w:t>
      </w:r>
      <w:r w:rsidR="00E63AD7" w:rsidRPr="00882672">
        <w:rPr>
          <w:rStyle w:val="Strong"/>
        </w:rPr>
        <w:t>a</w:t>
      </w:r>
      <w:r w:rsidRPr="00882672">
        <w:rPr>
          <w:rStyle w:val="Strong"/>
        </w:rPr>
        <w:t>ctivity rationale:</w:t>
      </w:r>
      <w:r>
        <w:rPr>
          <w:rFonts w:cs="Arial"/>
          <w:b/>
          <w:bCs/>
          <w:szCs w:val="20"/>
        </w:rPr>
        <w:t xml:space="preserve"> </w:t>
      </w:r>
      <w:r w:rsidRPr="00D208E2">
        <w:rPr>
          <w:rFonts w:cs="Arial"/>
          <w:szCs w:val="20"/>
        </w:rPr>
        <w:t xml:space="preserve">This activity aims to prevent and reduce alcohol, </w:t>
      </w:r>
      <w:proofErr w:type="gramStart"/>
      <w:r w:rsidRPr="00D208E2">
        <w:rPr>
          <w:rFonts w:cs="Arial"/>
          <w:szCs w:val="20"/>
        </w:rPr>
        <w:t>tobacco</w:t>
      </w:r>
      <w:proofErr w:type="gramEnd"/>
      <w:r w:rsidRPr="00D208E2">
        <w:rPr>
          <w:rFonts w:cs="Arial"/>
          <w:szCs w:val="20"/>
        </w:rPr>
        <w:t xml:space="preserve"> and drug-related harms.</w:t>
      </w:r>
    </w:p>
    <w:tbl>
      <w:tblPr>
        <w:tblStyle w:val="TableGridLight"/>
        <w:tblW w:w="5039" w:type="pct"/>
        <w:tblLook w:val="01E0" w:firstRow="1" w:lastRow="1" w:firstColumn="1" w:lastColumn="1" w:noHBand="0" w:noVBand="0"/>
      </w:tblPr>
      <w:tblGrid>
        <w:gridCol w:w="1527"/>
        <w:gridCol w:w="2445"/>
        <w:gridCol w:w="1703"/>
        <w:gridCol w:w="1703"/>
        <w:gridCol w:w="1708"/>
      </w:tblGrid>
      <w:tr w:rsidR="004D7B74" w:rsidRPr="008E3CD6" w14:paraId="127EABB5" w14:textId="77777777" w:rsidTr="00D26D79">
        <w:trPr>
          <w:cnfStyle w:val="100000000000" w:firstRow="1" w:lastRow="0" w:firstColumn="0" w:lastColumn="0" w:oddVBand="0" w:evenVBand="0" w:oddHBand="0" w:evenHBand="0" w:firstRowFirstColumn="0" w:firstRowLastColumn="0" w:lastRowFirstColumn="0" w:lastRowLastColumn="0"/>
          <w:trHeight w:val="1298"/>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BCEF91F" w14:textId="77777777" w:rsidR="004D7B74" w:rsidRPr="00D208E2" w:rsidRDefault="004D7B74" w:rsidP="00D26D79">
            <w:pPr>
              <w:pStyle w:val="TableTextleftaligned"/>
              <w:rPr>
                <w:b w:val="0"/>
              </w:rPr>
            </w:pPr>
            <w:r w:rsidRPr="00D208E2">
              <w:t>Measure 1.5A: Improve overall health and wellbeing of Australians by achieving preventive health targets.</w:t>
            </w:r>
          </w:p>
          <w:p w14:paraId="5E380435" w14:textId="77777777" w:rsidR="004D7B74" w:rsidRPr="00D208E2" w:rsidRDefault="004D7B74" w:rsidP="00D26D79">
            <w:pPr>
              <w:pStyle w:val="TableTextleftaligned"/>
              <w:rPr>
                <w:b w:val="0"/>
              </w:rPr>
            </w:pPr>
            <w:r w:rsidRPr="00D208E2">
              <w:t xml:space="preserve">a. Percentage of adults who are daily smokers. </w:t>
            </w:r>
          </w:p>
          <w:p w14:paraId="26065F50" w14:textId="77777777" w:rsidR="004D7B74" w:rsidRPr="00D208E2" w:rsidRDefault="004D7B74" w:rsidP="00D26D79">
            <w:pPr>
              <w:pStyle w:val="TableTextleftaligned"/>
              <w:rPr>
                <w:b w:val="0"/>
              </w:rPr>
            </w:pPr>
            <w:r w:rsidRPr="00D208E2">
              <w:t>b. Percentage of population who drink alcohol in ways that put them at risk of alcohol related disease or injury.</w:t>
            </w:r>
          </w:p>
          <w:p w14:paraId="5D8355C7" w14:textId="77777777" w:rsidR="004D7B74" w:rsidRPr="005E4329" w:rsidRDefault="004D7B74" w:rsidP="00D26D79">
            <w:pPr>
              <w:pStyle w:val="TableTextleftaligned"/>
              <w:rPr>
                <w:color w:val="FFFFFF" w:themeColor="background1"/>
              </w:rPr>
            </w:pPr>
            <w:r w:rsidRPr="00D208E2">
              <w:t xml:space="preserve">c. Percentage of population who have used an illicit drug in the last 12 months. </w:t>
            </w:r>
          </w:p>
        </w:tc>
      </w:tr>
      <w:tr w:rsidR="004D7B74" w:rsidRPr="008E3CD6" w14:paraId="3D8E5FFE" w14:textId="77777777" w:rsidTr="00D26D79">
        <w:trPr>
          <w:trHeight w:val="250"/>
        </w:trPr>
        <w:tc>
          <w:tcPr>
            <w:cnfStyle w:val="001000000000" w:firstRow="0" w:lastRow="0" w:firstColumn="1" w:lastColumn="0" w:oddVBand="0" w:evenVBand="0" w:oddHBand="0" w:evenHBand="0" w:firstRowFirstColumn="0" w:firstRowLastColumn="0" w:lastRowFirstColumn="0" w:lastRowLastColumn="0"/>
            <w:tcW w:w="662" w:type="pct"/>
          </w:tcPr>
          <w:p w14:paraId="208DEE43" w14:textId="77777777" w:rsidR="004D7B74" w:rsidRPr="00AF685D" w:rsidRDefault="004D7B74" w:rsidP="00AF685D">
            <w:pPr>
              <w:pStyle w:val="TableTextleftaligned"/>
            </w:pPr>
            <w:r w:rsidRPr="00AF685D">
              <w:t>Rationale</w:t>
            </w:r>
          </w:p>
        </w:tc>
        <w:tc>
          <w:tcPr>
            <w:tcW w:w="4337" w:type="pct"/>
            <w:gridSpan w:val="4"/>
          </w:tcPr>
          <w:p w14:paraId="7FFA39F5" w14:textId="77777777" w:rsidR="004D7B74" w:rsidRPr="00AF685D" w:rsidRDefault="004D7B74" w:rsidP="00AF685D">
            <w:pPr>
              <w:pStyle w:val="TableTextleftaligned"/>
              <w:cnfStyle w:val="000000000000" w:firstRow="0" w:lastRow="0" w:firstColumn="0" w:lastColumn="0" w:oddVBand="0" w:evenVBand="0" w:oddHBand="0" w:evenHBand="0" w:firstRowFirstColumn="0" w:firstRowLastColumn="0" w:lastRowFirstColumn="0" w:lastRowLastColumn="0"/>
            </w:pPr>
            <w:r w:rsidRPr="00AF685D">
              <w:t xml:space="preserve">These measures aim to provide insight into performance against the program’s objective through key preventative health targets. This in turn will help prevent and reduce alcohol, </w:t>
            </w:r>
            <w:proofErr w:type="gramStart"/>
            <w:r w:rsidRPr="00AF685D">
              <w:t>tobacco</w:t>
            </w:r>
            <w:proofErr w:type="gramEnd"/>
            <w:r w:rsidRPr="00AF685D">
              <w:t xml:space="preserve"> and drug-related harms. </w:t>
            </w:r>
          </w:p>
        </w:tc>
      </w:tr>
      <w:tr w:rsidR="004D7B74" w:rsidRPr="008E3CD6" w14:paraId="6096AF95" w14:textId="77777777" w:rsidTr="00D26D79">
        <w:trPr>
          <w:trHeight w:val="250"/>
        </w:trPr>
        <w:tc>
          <w:tcPr>
            <w:cnfStyle w:val="001000000000" w:firstRow="0" w:lastRow="0" w:firstColumn="1" w:lastColumn="0" w:oddVBand="0" w:evenVBand="0" w:oddHBand="0" w:evenHBand="0" w:firstRowFirstColumn="0" w:firstRowLastColumn="0" w:lastRowFirstColumn="0" w:lastRowLastColumn="0"/>
            <w:tcW w:w="662" w:type="pct"/>
          </w:tcPr>
          <w:p w14:paraId="1A057402" w14:textId="77777777" w:rsidR="004D7B74" w:rsidRPr="00AF685D" w:rsidRDefault="004D7B74" w:rsidP="00AF685D">
            <w:pPr>
              <w:pStyle w:val="TableTextleftaligned"/>
            </w:pPr>
            <w:r w:rsidRPr="00AF685D">
              <w:t>Measure Type</w:t>
            </w:r>
          </w:p>
        </w:tc>
        <w:tc>
          <w:tcPr>
            <w:tcW w:w="4337" w:type="pct"/>
            <w:gridSpan w:val="4"/>
          </w:tcPr>
          <w:p w14:paraId="5E40374F" w14:textId="77777777" w:rsidR="004D7B74" w:rsidRPr="00AF685D" w:rsidRDefault="004D7B74" w:rsidP="00AF685D">
            <w:pPr>
              <w:pStyle w:val="TableTextleftaligned"/>
              <w:cnfStyle w:val="000000000000" w:firstRow="0" w:lastRow="0" w:firstColumn="0" w:lastColumn="0" w:oddVBand="0" w:evenVBand="0" w:oddHBand="0" w:evenHBand="0" w:firstRowFirstColumn="0" w:firstRowLastColumn="0" w:lastRowFirstColumn="0" w:lastRowLastColumn="0"/>
            </w:pPr>
            <w:r w:rsidRPr="00AF685D">
              <w:t>Quantitative / Effectiveness</w:t>
            </w:r>
          </w:p>
        </w:tc>
      </w:tr>
      <w:tr w:rsidR="004D7B74" w:rsidRPr="008E3CD6" w14:paraId="12FF50F0" w14:textId="77777777" w:rsidTr="00D26D79">
        <w:trPr>
          <w:trHeight w:val="250"/>
        </w:trPr>
        <w:tc>
          <w:tcPr>
            <w:cnfStyle w:val="001000000000" w:firstRow="0" w:lastRow="0" w:firstColumn="1" w:lastColumn="0" w:oddVBand="0" w:evenVBand="0" w:oddHBand="0" w:evenHBand="0" w:firstRowFirstColumn="0" w:firstRowLastColumn="0" w:lastRowFirstColumn="0" w:lastRowLastColumn="0"/>
            <w:tcW w:w="662" w:type="pct"/>
          </w:tcPr>
          <w:p w14:paraId="59967452" w14:textId="25E6FF3D" w:rsidR="004D7B74" w:rsidRPr="00AF685D" w:rsidRDefault="004D7B74" w:rsidP="00AF685D">
            <w:pPr>
              <w:pStyle w:val="TableTextleftaligned"/>
            </w:pPr>
            <w:r w:rsidRPr="00AF685D">
              <w:t>Method</w:t>
            </w:r>
            <w:r w:rsidR="006950F0" w:rsidRPr="00AF685D">
              <w:t xml:space="preserve"> </w:t>
            </w:r>
            <w:r w:rsidRPr="00AF685D">
              <w:t>(Data Source and Methodology</w:t>
            </w:r>
            <w:r w:rsidR="005D3FA9" w:rsidRPr="00AF685D">
              <w:t>)</w:t>
            </w:r>
          </w:p>
        </w:tc>
        <w:tc>
          <w:tcPr>
            <w:tcW w:w="4337" w:type="pct"/>
            <w:gridSpan w:val="4"/>
          </w:tcPr>
          <w:p w14:paraId="26884E4A" w14:textId="54908529" w:rsidR="004D7B74" w:rsidRPr="00AF685D" w:rsidRDefault="004D7B74" w:rsidP="00AF685D">
            <w:pPr>
              <w:pStyle w:val="TableTextleftaligned"/>
              <w:cnfStyle w:val="000000000000" w:firstRow="0" w:lastRow="0" w:firstColumn="0" w:lastColumn="0" w:oddVBand="0" w:evenVBand="0" w:oddHBand="0" w:evenHBand="0" w:firstRowFirstColumn="0" w:firstRowLastColumn="0" w:lastRowFirstColumn="0" w:lastRowLastColumn="0"/>
            </w:pPr>
            <w:r w:rsidRPr="00AF685D">
              <w:t>The data source for measure a is the Australian Bureau of Statistic (ABS) National Health Survey (NHS). This dataset refers to smoking prevalence among the adult population aged 18 years and over and is conducted every 3 to 4 years. In some years in between NHS releases, the ABS has released interim smoking datasets, which pool prevalence data from a range of household surveys. Whilst these interim sets should not be compared against the full NHS dataset, they provide good point-in-time insight into smoking prevalence.</w:t>
            </w:r>
          </w:p>
          <w:p w14:paraId="563038C9" w14:textId="77777777" w:rsidR="004D7B74" w:rsidRPr="00AF685D" w:rsidRDefault="004D7B74" w:rsidP="00AF685D">
            <w:pPr>
              <w:pStyle w:val="TableTextleftaligned"/>
              <w:cnfStyle w:val="000000000000" w:firstRow="0" w:lastRow="0" w:firstColumn="0" w:lastColumn="0" w:oddVBand="0" w:evenVBand="0" w:oddHBand="0" w:evenHBand="0" w:firstRowFirstColumn="0" w:firstRowLastColumn="0" w:lastRowFirstColumn="0" w:lastRowLastColumn="0"/>
            </w:pPr>
            <w:r w:rsidRPr="00AF685D">
              <w:t>The data source for measure b and measure c is the National Drug Strategy Household Survey. This survey collects information on alcohol and illicit drug use among the general population in Australia and is conducted every 2-3 years. The NDSHS collects data on people aged 14 and over who are at risk of alcohol-related disease or injury, and alcohol consumption, and recent illicit use of drugs by people aged 14 and over.</w:t>
            </w:r>
          </w:p>
        </w:tc>
      </w:tr>
      <w:tr w:rsidR="001B0E9B" w:rsidRPr="008E3CD6" w14:paraId="2D072522" w14:textId="77777777" w:rsidTr="00D26D79">
        <w:trPr>
          <w:trHeight w:val="1027"/>
        </w:trPr>
        <w:tc>
          <w:tcPr>
            <w:cnfStyle w:val="001000000000" w:firstRow="0" w:lastRow="0" w:firstColumn="1" w:lastColumn="0" w:oddVBand="0" w:evenVBand="0" w:oddHBand="0" w:evenHBand="0" w:firstRowFirstColumn="0" w:firstRowLastColumn="0" w:lastRowFirstColumn="0" w:lastRowLastColumn="0"/>
            <w:tcW w:w="662" w:type="pct"/>
          </w:tcPr>
          <w:p w14:paraId="32A5555D" w14:textId="5617559F" w:rsidR="001B0E9B" w:rsidRPr="00AF685D" w:rsidRDefault="001B0E9B" w:rsidP="00AF685D">
            <w:pPr>
              <w:pStyle w:val="TableTextleftaligned"/>
            </w:pPr>
            <w:r w:rsidRPr="00AF685D">
              <w:lastRenderedPageBreak/>
              <w:t>Linked to 2024–25 Portfolio Budget Statements</w:t>
            </w:r>
          </w:p>
        </w:tc>
        <w:tc>
          <w:tcPr>
            <w:tcW w:w="4337" w:type="pct"/>
            <w:gridSpan w:val="4"/>
          </w:tcPr>
          <w:p w14:paraId="0BC8AFA6" w14:textId="7EC16850" w:rsidR="001B0E9B" w:rsidRDefault="001B0E9B" w:rsidP="00AF685D">
            <w:pPr>
              <w:pStyle w:val="TableTextleftaligned"/>
              <w:cnfStyle w:val="000000000000" w:firstRow="0" w:lastRow="0" w:firstColumn="0" w:lastColumn="0" w:oddVBand="0" w:evenVBand="0" w:oddHBand="0" w:evenHBand="0" w:firstRowFirstColumn="0" w:firstRowLastColumn="0" w:lastRowFirstColumn="0" w:lastRowLastColumn="0"/>
            </w:pPr>
            <w:r w:rsidRPr="00553C7F">
              <w:t xml:space="preserve">Program </w:t>
            </w:r>
            <w:r>
              <w:t>1</w:t>
            </w:r>
            <w:r w:rsidRPr="00553C7F">
              <w:t>.</w:t>
            </w:r>
            <w:r>
              <w:t>5</w:t>
            </w:r>
            <w:r w:rsidR="00FF27E1">
              <w:t xml:space="preserve"> -</w:t>
            </w:r>
            <w:r>
              <w:t xml:space="preserve"> Preventive Health and Chronic Disease Support</w:t>
            </w:r>
            <w:r w:rsidRPr="00553C7F">
              <w:t xml:space="preserve"> – page </w:t>
            </w:r>
            <w:r>
              <w:t>63</w:t>
            </w:r>
          </w:p>
        </w:tc>
      </w:tr>
      <w:tr w:rsidR="003B3C91" w:rsidRPr="008E3CD6" w14:paraId="45D56DE2" w14:textId="77777777" w:rsidTr="00D26D79">
        <w:trPr>
          <w:trHeight w:val="567"/>
        </w:trPr>
        <w:tc>
          <w:tcPr>
            <w:cnfStyle w:val="001000000000" w:firstRow="0" w:lastRow="0" w:firstColumn="1" w:lastColumn="0" w:oddVBand="0" w:evenVBand="0" w:oddHBand="0" w:evenHBand="0" w:firstRowFirstColumn="0" w:firstRowLastColumn="0" w:lastRowFirstColumn="0" w:lastRowLastColumn="0"/>
            <w:tcW w:w="662" w:type="pct"/>
            <w:vMerge w:val="restart"/>
          </w:tcPr>
          <w:p w14:paraId="67D0B976" w14:textId="77777777" w:rsidR="004D7B74" w:rsidRPr="00AF685D" w:rsidRDefault="004D7B74" w:rsidP="00AF685D">
            <w:pPr>
              <w:pStyle w:val="TableTextleftaligned"/>
            </w:pPr>
            <w:r w:rsidRPr="00AF685D">
              <w:t>Planned Performance Results</w:t>
            </w:r>
          </w:p>
        </w:tc>
        <w:tc>
          <w:tcPr>
            <w:tcW w:w="1390" w:type="pct"/>
            <w:shd w:val="clear" w:color="auto" w:fill="BFBFBF" w:themeFill="background1" w:themeFillShade="BF"/>
            <w:vAlign w:val="center"/>
          </w:tcPr>
          <w:p w14:paraId="4D67DF80" w14:textId="77777777" w:rsidR="004D7B74" w:rsidRPr="00D208E2"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D208E2">
              <w:t>2024–25</w:t>
            </w:r>
          </w:p>
        </w:tc>
        <w:tc>
          <w:tcPr>
            <w:tcW w:w="982" w:type="pct"/>
            <w:shd w:val="clear" w:color="auto" w:fill="BFBFBF" w:themeFill="background1" w:themeFillShade="BF"/>
            <w:vAlign w:val="center"/>
          </w:tcPr>
          <w:p w14:paraId="24F6001A" w14:textId="77777777" w:rsidR="004D7B74" w:rsidRPr="00D208E2"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D208E2">
              <w:t>2025–26</w:t>
            </w:r>
          </w:p>
        </w:tc>
        <w:tc>
          <w:tcPr>
            <w:tcW w:w="982" w:type="pct"/>
            <w:shd w:val="clear" w:color="auto" w:fill="BFBFBF" w:themeFill="background1" w:themeFillShade="BF"/>
            <w:vAlign w:val="center"/>
          </w:tcPr>
          <w:p w14:paraId="0C6EADAE" w14:textId="77777777" w:rsidR="004D7B74" w:rsidRPr="00D208E2"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D208E2">
              <w:t>2026–27</w:t>
            </w:r>
          </w:p>
        </w:tc>
        <w:tc>
          <w:tcPr>
            <w:tcW w:w="982" w:type="pct"/>
            <w:shd w:val="clear" w:color="auto" w:fill="BFBFBF" w:themeFill="background1" w:themeFillShade="BF"/>
            <w:vAlign w:val="center"/>
          </w:tcPr>
          <w:p w14:paraId="0D09A396" w14:textId="77777777" w:rsidR="004D7B74" w:rsidRPr="00D208E2"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D208E2">
              <w:t>2027–28</w:t>
            </w:r>
          </w:p>
        </w:tc>
      </w:tr>
      <w:tr w:rsidR="003B3C91" w:rsidRPr="008E3CD6" w14:paraId="6030AA48" w14:textId="77777777" w:rsidTr="00F95D91">
        <w:trPr>
          <w:cnfStyle w:val="010000000000" w:firstRow="0" w:lastRow="1"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2" w:type="pct"/>
            <w:vMerge/>
          </w:tcPr>
          <w:p w14:paraId="27E56061" w14:textId="77777777" w:rsidR="004D7B74" w:rsidRPr="009B277D" w:rsidRDefault="004D7B74" w:rsidP="00D26D79">
            <w:pPr>
              <w:pStyle w:val="TableTextleftaligned"/>
              <w:spacing w:line="192" w:lineRule="auto"/>
              <w:rPr>
                <w:b w:val="0"/>
                <w:bCs/>
              </w:rPr>
            </w:pPr>
          </w:p>
        </w:tc>
        <w:tc>
          <w:tcPr>
            <w:tcW w:w="1390" w:type="pct"/>
          </w:tcPr>
          <w:p w14:paraId="25AF2495" w14:textId="0EB3427C"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rsidRPr="00F95D91">
              <w:t xml:space="preserve">a. </w:t>
            </w:r>
            <w:r w:rsidR="004D7B74" w:rsidRPr="00AF685D">
              <w:t>Progressive decrease of daily smoking prevalence towards &lt;10%</w:t>
            </w:r>
          </w:p>
          <w:p w14:paraId="4B1B3C93" w14:textId="18C4C793"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r w:rsidR="004D7B74" w:rsidRPr="00AF685D">
              <w:t>Progressive decrease of harmful alcohol consumption towards &lt;28.8%</w:t>
            </w:r>
          </w:p>
          <w:p w14:paraId="7A29A876" w14:textId="160E9B4B"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c. </w:t>
            </w:r>
            <w:r w:rsidR="004D7B74" w:rsidRPr="00AF685D">
              <w:t>Progressive decrease of recent illicit drug use towards &lt;13.94%</w:t>
            </w:r>
          </w:p>
        </w:tc>
        <w:tc>
          <w:tcPr>
            <w:tcW w:w="982" w:type="pct"/>
          </w:tcPr>
          <w:p w14:paraId="2B30B6EC" w14:textId="180A141A"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rsidRPr="00F95D91">
              <w:t xml:space="preserve">a. </w:t>
            </w:r>
            <w:r w:rsidR="004D7B74" w:rsidRPr="00AF685D">
              <w:t>Progressive decrease of daily smoking prevalence towards &lt;5%</w:t>
            </w:r>
          </w:p>
          <w:p w14:paraId="06E63F8C" w14:textId="0052E7D5"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r w:rsidR="004D7B74" w:rsidRPr="00AF685D">
              <w:t>Progressive decrease of harmful alcohol consumption towards &lt;27.2%</w:t>
            </w:r>
          </w:p>
          <w:p w14:paraId="60AAA86F" w14:textId="67AAE6A9"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c. </w:t>
            </w:r>
            <w:r w:rsidR="004D7B74" w:rsidRPr="00AF685D">
              <w:t>Progressive decrease of recent illicit drug use towards &lt;13.94%</w:t>
            </w:r>
          </w:p>
        </w:tc>
        <w:tc>
          <w:tcPr>
            <w:tcW w:w="982" w:type="pct"/>
          </w:tcPr>
          <w:p w14:paraId="0E0CA3DC" w14:textId="1A58CFA1"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rsidRPr="00F95D91">
              <w:t xml:space="preserve">a. </w:t>
            </w:r>
            <w:r w:rsidR="004D7B74" w:rsidRPr="00AF685D">
              <w:t>Progressive decrease of daily smoking prevalence towards &lt;5%</w:t>
            </w:r>
          </w:p>
          <w:p w14:paraId="15F6FA3A" w14:textId="2779C1E6"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r w:rsidR="004D7B74" w:rsidRPr="00AF685D">
              <w:t>Progressive decrease of harmful alcohol consumption towards &lt;27.2%</w:t>
            </w:r>
          </w:p>
          <w:p w14:paraId="1FBCF813" w14:textId="6D541899"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c. </w:t>
            </w:r>
            <w:r w:rsidR="004D7B74" w:rsidRPr="00AF685D">
              <w:t>Progressive decrease of recent illicit drug use towards &lt;13.94%</w:t>
            </w:r>
          </w:p>
        </w:tc>
        <w:tc>
          <w:tcPr>
            <w:tcW w:w="982" w:type="pct"/>
          </w:tcPr>
          <w:p w14:paraId="2F85B550" w14:textId="178B7EE9"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rsidRPr="00F95D91">
              <w:t xml:space="preserve">a. </w:t>
            </w:r>
            <w:r w:rsidR="004D7B74" w:rsidRPr="00AF685D">
              <w:t>Progressive decrease of daily smoking prevalence towards &lt;5%</w:t>
            </w:r>
          </w:p>
          <w:p w14:paraId="78A900C7" w14:textId="77777777" w:rsidR="00F95D91"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r w:rsidR="004D7B74" w:rsidRPr="00AF685D">
              <w:t>Progressive decrease of harmful alcohol consumption towards &lt;27.2%</w:t>
            </w:r>
          </w:p>
          <w:p w14:paraId="1D870753" w14:textId="2B2EE83A" w:rsidR="004D7B74" w:rsidRPr="00AF685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c. </w:t>
            </w:r>
            <w:r w:rsidR="004D7B74" w:rsidRPr="00AF685D">
              <w:t>Progressive decrease of recent illicit drug use towards &lt;13.94%</w:t>
            </w:r>
          </w:p>
        </w:tc>
      </w:tr>
    </w:tbl>
    <w:p w14:paraId="686EBBC8" w14:textId="77777777" w:rsidR="00F95D91" w:rsidRDefault="00D26D79" w:rsidP="00057CFB">
      <w:pPr>
        <w:pStyle w:val="Keyactivity"/>
      </w:pPr>
      <w:bookmarkStart w:id="105" w:name="_Toc166069791"/>
      <w:r w:rsidRPr="00057CFB">
        <w:rPr>
          <w:rStyle w:val="Strong"/>
        </w:rPr>
        <w:t>Key Activity 1.5B</w:t>
      </w:r>
      <w:r w:rsidRPr="00057CFB">
        <w:t>:</w:t>
      </w:r>
    </w:p>
    <w:p w14:paraId="7AF740FB" w14:textId="775A90B7" w:rsidR="004D7B74" w:rsidRPr="00D26D79" w:rsidRDefault="00D26D79" w:rsidP="00057CFB">
      <w:pPr>
        <w:pStyle w:val="Keyactivity"/>
      </w:pPr>
      <w:r w:rsidRPr="00057CFB">
        <w:t>Improving</w:t>
      </w:r>
      <w:r w:rsidRPr="00D26D79">
        <w:t xml:space="preserve"> early detection, treatment, and survival outcomes for people with cancer by increasing participation across the 3 cancer screening programs over the next 5 years under the National Preventive Health Strategy 2021-2030 and the National</w:t>
      </w:r>
      <w:r>
        <w:t xml:space="preserve"> </w:t>
      </w:r>
      <w:r w:rsidRPr="00D26D79">
        <w:t>Strategy for the Elimination of Cervical Cancer in Australia</w:t>
      </w:r>
      <w:r w:rsidR="004D7B74" w:rsidRPr="009B7172">
        <w:rPr>
          <w:rFonts w:cs="Arial"/>
        </w:rPr>
        <w:t>.</w:t>
      </w:r>
      <w:r w:rsidR="00D208E2" w:rsidRPr="009B7172">
        <w:rPr>
          <w:rStyle w:val="FootnoteReference"/>
          <w:rFonts w:cs="Arial"/>
        </w:rPr>
        <w:t xml:space="preserve"> </w:t>
      </w:r>
      <w:r w:rsidR="00D208E2" w:rsidRPr="009B7172">
        <w:rPr>
          <w:rStyle w:val="FootnoteReference"/>
          <w:rFonts w:cs="Arial"/>
        </w:rPr>
        <w:footnoteReference w:id="25"/>
      </w:r>
      <w:r w:rsidR="004D7B74" w:rsidRPr="009B7172" w:rsidDel="007655C9">
        <w:rPr>
          <w:rFonts w:cs="Arial"/>
        </w:rPr>
        <w:t xml:space="preserve"> </w:t>
      </w:r>
    </w:p>
    <w:p w14:paraId="2225E34F" w14:textId="24E100AA" w:rsidR="00D208E2" w:rsidRPr="00D208E2" w:rsidRDefault="00D208E2" w:rsidP="00D208E2">
      <w:pPr>
        <w:rPr>
          <w:rFonts w:cs="Arial"/>
          <w:szCs w:val="20"/>
        </w:rPr>
      </w:pPr>
      <w:r w:rsidRPr="00057CFB">
        <w:rPr>
          <w:rStyle w:val="Strong"/>
        </w:rPr>
        <w:t>Key Activity rationale:</w:t>
      </w:r>
      <w:r>
        <w:rPr>
          <w:rFonts w:cs="Arial"/>
          <w:szCs w:val="20"/>
        </w:rPr>
        <w:t xml:space="preserve"> </w:t>
      </w:r>
      <w:r w:rsidRPr="00D208E2">
        <w:rPr>
          <w:rFonts w:cs="Arial"/>
          <w:szCs w:val="20"/>
        </w:rPr>
        <w:t>This activity reduces the burden of the disease on the community and individuals by detecting disease earlier, on average, than is usually the case in the absence of screening.</w:t>
      </w:r>
    </w:p>
    <w:tbl>
      <w:tblPr>
        <w:tblStyle w:val="TableGridLight"/>
        <w:tblW w:w="0" w:type="auto"/>
        <w:tblLook w:val="01E0" w:firstRow="1" w:lastRow="1" w:firstColumn="1" w:lastColumn="1" w:noHBand="0" w:noVBand="0"/>
      </w:tblPr>
      <w:tblGrid>
        <w:gridCol w:w="1788"/>
        <w:gridCol w:w="1807"/>
        <w:gridCol w:w="1807"/>
        <w:gridCol w:w="1807"/>
        <w:gridCol w:w="1807"/>
      </w:tblGrid>
      <w:tr w:rsidR="004D7B74" w:rsidRPr="008E3CD6" w14:paraId="43CA0A48" w14:textId="77777777" w:rsidTr="00D26D79">
        <w:trPr>
          <w:cnfStyle w:val="100000000000" w:firstRow="1" w:lastRow="0" w:firstColumn="0" w:lastColumn="0" w:oddVBand="0" w:evenVBand="0" w:oddHBand="0" w:evenHBand="0" w:firstRowFirstColumn="0" w:firstRowLastColumn="0" w:lastRowFirstColumn="0" w:lastRowLastColumn="0"/>
          <w:trHeight w:val="1212"/>
          <w:tblHeader/>
        </w:trPr>
        <w:tc>
          <w:tcPr>
            <w:cnfStyle w:val="001000000000" w:firstRow="0" w:lastRow="0" w:firstColumn="1" w:lastColumn="0" w:oddVBand="0" w:evenVBand="0" w:oddHBand="0" w:evenHBand="0" w:firstRowFirstColumn="0" w:firstRowLastColumn="0" w:lastRowFirstColumn="0" w:lastRowLastColumn="0"/>
            <w:tcW w:w="0" w:type="auto"/>
            <w:gridSpan w:val="5"/>
          </w:tcPr>
          <w:p w14:paraId="4A0E4BD5" w14:textId="77777777" w:rsidR="004D7B74" w:rsidRPr="00D208E2" w:rsidRDefault="004D7B74" w:rsidP="00823660">
            <w:pPr>
              <w:pStyle w:val="TableTextleftaligned"/>
              <w:rPr>
                <w:b w:val="0"/>
              </w:rPr>
            </w:pPr>
            <w:r w:rsidRPr="00D208E2">
              <w:t xml:space="preserve">Measure 1.5B: Increase the level of cancer screening participation: </w:t>
            </w:r>
          </w:p>
          <w:p w14:paraId="21801980" w14:textId="1E1FA0D5" w:rsidR="004D7B74" w:rsidRPr="00D208E2" w:rsidRDefault="004D7B74" w:rsidP="00057CFB">
            <w:pPr>
              <w:pStyle w:val="TableTextleftaligned"/>
              <w:spacing w:before="0"/>
              <w:rPr>
                <w:b w:val="0"/>
              </w:rPr>
            </w:pPr>
            <w:r w:rsidRPr="00D208E2">
              <w:t xml:space="preserve">a. National Bowel Cancer Screening Program </w:t>
            </w:r>
          </w:p>
          <w:p w14:paraId="4A5F0549" w14:textId="77777777" w:rsidR="004D7B74" w:rsidRPr="00D208E2" w:rsidRDefault="004D7B74" w:rsidP="00057CFB">
            <w:pPr>
              <w:pStyle w:val="TableTextleftaligned"/>
              <w:spacing w:before="0"/>
              <w:rPr>
                <w:b w:val="0"/>
              </w:rPr>
            </w:pPr>
            <w:r w:rsidRPr="00D208E2">
              <w:t xml:space="preserve">b. </w:t>
            </w:r>
            <w:r w:rsidRPr="00057CFB">
              <w:t>National</w:t>
            </w:r>
            <w:r w:rsidRPr="00D208E2">
              <w:t xml:space="preserve"> Cervical Screening Program.</w:t>
            </w:r>
          </w:p>
          <w:p w14:paraId="3A5AADCB" w14:textId="46852823" w:rsidR="004D7B74" w:rsidRPr="00057CFB" w:rsidRDefault="004D7B74" w:rsidP="00057CFB">
            <w:r w:rsidRPr="00D208E2">
              <w:t xml:space="preserve">c. </w:t>
            </w:r>
            <w:proofErr w:type="spellStart"/>
            <w:r w:rsidRPr="00D208E2">
              <w:t>BreastScreen</w:t>
            </w:r>
            <w:proofErr w:type="spellEnd"/>
            <w:r w:rsidRPr="00D208E2">
              <w:t xml:space="preserve"> Australia Program.</w:t>
            </w:r>
          </w:p>
        </w:tc>
      </w:tr>
      <w:tr w:rsidR="004D7B74" w:rsidRPr="008E3CD6" w14:paraId="49A39A3A" w14:textId="77777777" w:rsidTr="00D26D79">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38F93536" w14:textId="77777777" w:rsidR="004D7B74" w:rsidRPr="009B277D" w:rsidRDefault="004D7B74" w:rsidP="00CA72A8">
            <w:pPr>
              <w:pStyle w:val="TableTextleftaligned"/>
              <w:spacing w:line="192" w:lineRule="auto"/>
              <w:rPr>
                <w:b w:val="0"/>
                <w:bCs/>
              </w:rPr>
            </w:pPr>
            <w:r w:rsidRPr="009B277D">
              <w:rPr>
                <w:bCs/>
              </w:rPr>
              <w:t>Rationale</w:t>
            </w:r>
          </w:p>
        </w:tc>
        <w:tc>
          <w:tcPr>
            <w:tcW w:w="0" w:type="auto"/>
            <w:gridSpan w:val="4"/>
          </w:tcPr>
          <w:p w14:paraId="4B7B3647" w14:textId="52F08FE8"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D208E2">
              <w:rPr>
                <w:b/>
                <w:bCs/>
              </w:rPr>
              <w:t>Measure a.</w:t>
            </w:r>
            <w:r w:rsidRPr="00235818">
              <w:t xml:space="preserve"> aims to ensure all eligible Australians participate in the Program, with success being determined by </w:t>
            </w:r>
            <w:r w:rsidR="00D712D1">
              <w:t xml:space="preserve">an </w:t>
            </w:r>
            <w:r w:rsidRPr="00235818">
              <w:t>increas</w:t>
            </w:r>
            <w:r w:rsidR="00D712D1">
              <w:t>e in</w:t>
            </w:r>
            <w:r w:rsidRPr="00235818">
              <w:t xml:space="preserve"> participation (and no </w:t>
            </w:r>
            <w:r>
              <w:t>decline</w:t>
            </w:r>
            <w:r w:rsidRPr="00235818">
              <w:t xml:space="preserve"> in participation) over time. </w:t>
            </w:r>
          </w:p>
          <w:p w14:paraId="3FD96F16" w14:textId="7306E375" w:rsidR="00233BB7" w:rsidRDefault="004D7B74" w:rsidP="00D26D79">
            <w:pPr>
              <w:pStyle w:val="TableTextleftaligned"/>
              <w:cnfStyle w:val="000000000000" w:firstRow="0" w:lastRow="0" w:firstColumn="0" w:lastColumn="0" w:oddVBand="0" w:evenVBand="0" w:oddHBand="0" w:evenHBand="0" w:firstRowFirstColumn="0" w:firstRowLastColumn="0" w:lastRowFirstColumn="0" w:lastRowLastColumn="0"/>
            </w:pPr>
            <w:r w:rsidRPr="00D208E2">
              <w:rPr>
                <w:b/>
                <w:bCs/>
              </w:rPr>
              <w:t>Measure b.</w:t>
            </w:r>
            <w:r w:rsidRPr="00235818">
              <w:t xml:space="preserve"> aims to ensure all eligible women and people with a cervix participate in the Program, with success being determined by increasing participation (and no </w:t>
            </w:r>
            <w:r>
              <w:t>decline</w:t>
            </w:r>
            <w:r w:rsidRPr="00235818">
              <w:t xml:space="preserve"> in participation) over time. The 5-yearly </w:t>
            </w:r>
            <w:r w:rsidRPr="00235818">
              <w:lastRenderedPageBreak/>
              <w:t>participation target of 70% is in accordance with the National Strategy for the Elimination of Cervical Cancer in Australia</w:t>
            </w:r>
            <w:r>
              <w:rPr>
                <w:rStyle w:val="FootnoteReference"/>
              </w:rPr>
              <w:footnoteReference w:id="26"/>
            </w:r>
            <w:r>
              <w:t>.</w:t>
            </w:r>
          </w:p>
          <w:p w14:paraId="7421A428" w14:textId="1C60924E"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D208E2">
              <w:rPr>
                <w:b/>
                <w:bCs/>
              </w:rPr>
              <w:t>Measure c.</w:t>
            </w:r>
            <w:r>
              <w:t xml:space="preserve"> aims to ensure all eligible women participate in the Program, with success being determined by increasing participation (and no decline in participation) over time. </w:t>
            </w:r>
            <w:r w:rsidRPr="00235818">
              <w:t xml:space="preserve">The </w:t>
            </w:r>
            <w:proofErr w:type="spellStart"/>
            <w:r w:rsidRPr="00235818">
              <w:t>BreastScreen</w:t>
            </w:r>
            <w:proofErr w:type="spellEnd"/>
            <w:r w:rsidRPr="00235818">
              <w:t xml:space="preserve"> Australia Program is jointly led by the Commonwealth and State and Territory governments. The Commonwealth provides funding to the States and Territories under National Health Reform Agreement to deliver the Program. </w:t>
            </w:r>
            <w:r>
              <w:t>While i</w:t>
            </w:r>
            <w:r w:rsidRPr="00235818">
              <w:t>ncreasing (and not reducing) program participation is a quantitative performance measure of Program success</w:t>
            </w:r>
            <w:r>
              <w:t xml:space="preserve">, </w:t>
            </w:r>
            <w:r w:rsidRPr="00235818">
              <w:t xml:space="preserve">the </w:t>
            </w:r>
            <w:r>
              <w:t>d</w:t>
            </w:r>
            <w:r w:rsidRPr="00235818">
              <w:t>epartment’s role is to provide funding through cost-shared arrangements and national leadership, consistency, and coordination.</w:t>
            </w:r>
          </w:p>
        </w:tc>
      </w:tr>
      <w:tr w:rsidR="004D7B74" w:rsidRPr="008E3CD6" w14:paraId="6FE7D710" w14:textId="77777777" w:rsidTr="00D26D79">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24607B1D" w14:textId="77777777" w:rsidR="004D7B74" w:rsidRPr="009B277D" w:rsidRDefault="004D7B74" w:rsidP="00057CFB">
            <w:pPr>
              <w:pStyle w:val="TableTextleftaligned"/>
              <w:rPr>
                <w:b w:val="0"/>
              </w:rPr>
            </w:pPr>
            <w:r w:rsidRPr="00057CFB">
              <w:lastRenderedPageBreak/>
              <w:t>Measure</w:t>
            </w:r>
            <w:r w:rsidRPr="009B277D">
              <w:t xml:space="preserve"> Type</w:t>
            </w:r>
          </w:p>
        </w:tc>
        <w:tc>
          <w:tcPr>
            <w:tcW w:w="0" w:type="auto"/>
            <w:gridSpan w:val="4"/>
          </w:tcPr>
          <w:p w14:paraId="7E892F48" w14:textId="0790210C" w:rsidR="004D7B74" w:rsidRDefault="00647903"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proofErr w:type="gramStart"/>
            <w:r>
              <w:t>b</w:t>
            </w:r>
            <w:proofErr w:type="gramEnd"/>
            <w:r>
              <w:t xml:space="preserve"> and c. </w:t>
            </w:r>
            <w:r w:rsidR="004D7B74" w:rsidRPr="00D132E8">
              <w:t>Quantitative</w:t>
            </w:r>
            <w:r w:rsidR="004D7B74">
              <w:t xml:space="preserve"> / </w:t>
            </w:r>
            <w:r w:rsidR="004D7B74" w:rsidRPr="00D132E8">
              <w:t>Output</w:t>
            </w:r>
          </w:p>
        </w:tc>
      </w:tr>
      <w:tr w:rsidR="004D7B74" w:rsidRPr="008E3CD6" w14:paraId="7A8A6A6C" w14:textId="77777777" w:rsidTr="00D26D79">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567AA69B" w14:textId="08FA9AB1" w:rsidR="004D7B74" w:rsidRPr="009B277D" w:rsidRDefault="004D7B74" w:rsidP="00057CFB">
            <w:pPr>
              <w:pStyle w:val="TableTextleftaligned"/>
              <w:spacing w:line="192" w:lineRule="auto"/>
              <w:rPr>
                <w:b w:val="0"/>
                <w:bCs/>
              </w:rPr>
            </w:pPr>
            <w:r w:rsidRPr="009B277D">
              <w:rPr>
                <w:bCs/>
              </w:rPr>
              <w:t>Method</w:t>
            </w:r>
            <w:r w:rsidR="00057CFB">
              <w:rPr>
                <w:bCs/>
              </w:rPr>
              <w:t xml:space="preserve"> </w:t>
            </w:r>
            <w:r w:rsidRPr="00743DC1">
              <w:rPr>
                <w:rFonts w:ascii="Segoe UI" w:hAnsi="Segoe UI" w:cs="Segoe UI"/>
              </w:rPr>
              <w:t>(</w:t>
            </w:r>
            <w:r w:rsidRPr="00057CFB">
              <w:t>Data Source and Methodology</w:t>
            </w:r>
            <w:r w:rsidR="005D3FA9">
              <w:rPr>
                <w:rFonts w:ascii="Segoe UI" w:hAnsi="Segoe UI" w:cs="Segoe UI"/>
              </w:rPr>
              <w:t>)</w:t>
            </w:r>
          </w:p>
        </w:tc>
        <w:tc>
          <w:tcPr>
            <w:tcW w:w="0" w:type="auto"/>
            <w:gridSpan w:val="4"/>
          </w:tcPr>
          <w:p w14:paraId="219AFF7A" w14:textId="71B00718" w:rsidR="004D7B74" w:rsidRPr="00057CFB" w:rsidRDefault="004D7B74" w:rsidP="00057CFB">
            <w:pPr>
              <w:pStyle w:val="TableTextleftaligned"/>
              <w:cnfStyle w:val="000000000000" w:firstRow="0" w:lastRow="0" w:firstColumn="0" w:lastColumn="0" w:oddVBand="0" w:evenVBand="0" w:oddHBand="0" w:evenHBand="0" w:firstRowFirstColumn="0" w:firstRowLastColumn="0" w:lastRowFirstColumn="0" w:lastRowLastColumn="0"/>
            </w:pPr>
            <w:r w:rsidRPr="00D132E8">
              <w:t xml:space="preserve">The </w:t>
            </w:r>
            <w:r w:rsidRPr="00057CFB">
              <w:t xml:space="preserve">Australian Institute of Health and Welfare (AIHW) reports on performance of the Programs on behalf of the </w:t>
            </w:r>
            <w:r w:rsidR="009B4B73" w:rsidRPr="00057CFB">
              <w:t>d</w:t>
            </w:r>
            <w:r w:rsidRPr="00057CFB">
              <w:t>epartment under a Memorandum of Understanding. Data and performance measures relating to the Programs can be found on the AIHW website.</w:t>
            </w:r>
          </w:p>
          <w:p w14:paraId="21058563" w14:textId="4DD4A44D" w:rsidR="004D7B74" w:rsidRPr="00057CFB" w:rsidRDefault="004D7B74" w:rsidP="00057CFB">
            <w:pPr>
              <w:pStyle w:val="TableTextleftaligned"/>
              <w:cnfStyle w:val="000000000000" w:firstRow="0" w:lastRow="0" w:firstColumn="0" w:lastColumn="0" w:oddVBand="0" w:evenVBand="0" w:oddHBand="0" w:evenHBand="0" w:firstRowFirstColumn="0" w:firstRowLastColumn="0" w:lastRowFirstColumn="0" w:lastRowLastColumn="0"/>
            </w:pPr>
            <w:r w:rsidRPr="00057CFB">
              <w:t xml:space="preserve">Administrative data is used to report against performance measure. The performance measure is calculated based on the activity in the programs which is usually the number of invitations to participate sent and the number of screenings undertaken. </w:t>
            </w:r>
          </w:p>
          <w:p w14:paraId="47E95C7A" w14:textId="090D1DDB" w:rsidR="004D7B74" w:rsidRPr="00057CFB" w:rsidRDefault="004D7B74" w:rsidP="00057CFB">
            <w:pPr>
              <w:pStyle w:val="TableTextleftaligned"/>
              <w:cnfStyle w:val="000000000000" w:firstRow="0" w:lastRow="0" w:firstColumn="0" w:lastColumn="0" w:oddVBand="0" w:evenVBand="0" w:oddHBand="0" w:evenHBand="0" w:firstRowFirstColumn="0" w:firstRowLastColumn="0" w:lastRowFirstColumn="0" w:lastRowLastColumn="0"/>
            </w:pPr>
            <w:r w:rsidRPr="00057CFB">
              <w:t xml:space="preserve">For the National Bowel Cancer Screening Program (NBCSP) and the National Cervical Screening Program (NCSP), eligible participant data is sourced from Medicare, Services Australia (SA), and screening test results are provided by the Department of Health and Aged Care contracted pathology lab and pathology providers, respectively. The National Cancer Screening Register (NCSR) is outsourced to Telstra Health (TH) under a Services Agreement with the Department of Health and Aged Care. The NCSR maintains the database and provides data to the AIHW to produce annual program monitoring reports, available on the AIHW website. The NCSR provides this data to AIHW through an automated monthly Raw Data Extract (RDE), which is used by the AIHW to report on the performance of these Programs. </w:t>
            </w:r>
          </w:p>
          <w:p w14:paraId="5E8DA1F0" w14:textId="77777777" w:rsidR="004D7B74" w:rsidRPr="00021EC8" w:rsidRDefault="004D7B74" w:rsidP="00057CFB">
            <w:pPr>
              <w:pStyle w:val="TableTextleftaligned"/>
              <w:cnfStyle w:val="000000000000" w:firstRow="0" w:lastRow="0" w:firstColumn="0" w:lastColumn="0" w:oddVBand="0" w:evenVBand="0" w:oddHBand="0" w:evenHBand="0" w:firstRowFirstColumn="0" w:firstRowLastColumn="0" w:lastRowFirstColumn="0" w:lastRowLastColumn="0"/>
            </w:pPr>
            <w:r w:rsidRPr="00057CFB">
              <w:t xml:space="preserve">For the </w:t>
            </w:r>
            <w:proofErr w:type="spellStart"/>
            <w:r w:rsidRPr="00057CFB">
              <w:t>BreastScreen</w:t>
            </w:r>
            <w:proofErr w:type="spellEnd"/>
            <w:r w:rsidRPr="00057CFB">
              <w:t xml:space="preserve"> Australia (BSA) Program data is recorded by each </w:t>
            </w:r>
            <w:proofErr w:type="spellStart"/>
            <w:r w:rsidRPr="00057CFB">
              <w:t>BreastScreen</w:t>
            </w:r>
            <w:proofErr w:type="spellEnd"/>
            <w:r w:rsidRPr="00057CFB">
              <w:t xml:space="preserve"> Service and State Coordination Unit and reported to the AIHW. The AIHW publishes in its annual BSA monitoring report both the number of screening participants</w:t>
            </w:r>
            <w:r w:rsidRPr="00D71E09">
              <w:t>, and the participation rate.</w:t>
            </w:r>
          </w:p>
        </w:tc>
      </w:tr>
      <w:tr w:rsidR="001B0E9B" w:rsidRPr="008E3CD6" w14:paraId="5BC123EF" w14:textId="77777777" w:rsidTr="00D26D79">
        <w:trPr>
          <w:trHeight w:val="1151"/>
        </w:trPr>
        <w:tc>
          <w:tcPr>
            <w:cnfStyle w:val="001000000000" w:firstRow="0" w:lastRow="0" w:firstColumn="1" w:lastColumn="0" w:oddVBand="0" w:evenVBand="0" w:oddHBand="0" w:evenHBand="0" w:firstRowFirstColumn="0" w:firstRowLastColumn="0" w:lastRowFirstColumn="0" w:lastRowLastColumn="0"/>
            <w:tcW w:w="0" w:type="auto"/>
          </w:tcPr>
          <w:p w14:paraId="56F0541D" w14:textId="24C25028" w:rsidR="001B0E9B" w:rsidRDefault="001B0E9B" w:rsidP="00057CFB">
            <w:pPr>
              <w:pStyle w:val="TableTextleftaligned"/>
              <w:spacing w:line="192" w:lineRule="auto"/>
              <w:rPr>
                <w:b w:val="0"/>
                <w:bCs/>
              </w:rPr>
            </w:pPr>
            <w:r>
              <w:rPr>
                <w:bCs/>
              </w:rPr>
              <w:t>Linked to 2024–25 Portfolio Budget Statements</w:t>
            </w:r>
          </w:p>
        </w:tc>
        <w:tc>
          <w:tcPr>
            <w:tcW w:w="0" w:type="auto"/>
            <w:gridSpan w:val="4"/>
          </w:tcPr>
          <w:p w14:paraId="5CD7BED7" w14:textId="573F1108" w:rsidR="000C70E2" w:rsidRPr="00D26D79" w:rsidRDefault="001B0E9B" w:rsidP="00D26D79">
            <w:pPr>
              <w:pStyle w:val="TableTextleftaligned"/>
              <w:cnfStyle w:val="000000000000" w:firstRow="0" w:lastRow="0" w:firstColumn="0" w:lastColumn="0" w:oddVBand="0" w:evenVBand="0" w:oddHBand="0" w:evenHBand="0" w:firstRowFirstColumn="0" w:firstRowLastColumn="0" w:lastRowFirstColumn="0" w:lastRowLastColumn="0"/>
            </w:pPr>
            <w:r w:rsidRPr="00553C7F">
              <w:t xml:space="preserve">Program </w:t>
            </w:r>
            <w:r>
              <w:t>1</w:t>
            </w:r>
            <w:r w:rsidRPr="00553C7F">
              <w:t>.</w:t>
            </w:r>
            <w:r>
              <w:t>5</w:t>
            </w:r>
            <w:r w:rsidR="00FF27E1">
              <w:t xml:space="preserve"> -</w:t>
            </w:r>
            <w:r>
              <w:t xml:space="preserve"> Preventive Health and Chronic Disease Support</w:t>
            </w:r>
            <w:r w:rsidRPr="00553C7F">
              <w:t xml:space="preserve"> – page </w:t>
            </w:r>
            <w:r>
              <w:t>6</w:t>
            </w:r>
            <w:r w:rsidR="002D03AC">
              <w:t>5</w:t>
            </w:r>
          </w:p>
        </w:tc>
      </w:tr>
      <w:tr w:rsidR="003B3C91" w:rsidRPr="008E3CD6" w14:paraId="5EB6A8FC" w14:textId="77777777" w:rsidTr="00057CFB">
        <w:trPr>
          <w:trHeight w:val="51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B21A334" w14:textId="77777777" w:rsidR="004D7B74" w:rsidRPr="009B277D" w:rsidRDefault="004D7B74" w:rsidP="00CA72A8">
            <w:pPr>
              <w:pStyle w:val="TableTextleftaligned"/>
              <w:spacing w:line="192" w:lineRule="auto"/>
              <w:rPr>
                <w:b w:val="0"/>
                <w:bCs/>
              </w:rPr>
            </w:pPr>
            <w:r>
              <w:rPr>
                <w:bCs/>
              </w:rPr>
              <w:t>Planned Performance Results</w:t>
            </w:r>
            <w:r>
              <w:rPr>
                <w:rStyle w:val="FootnoteReference"/>
                <w:bCs/>
              </w:rPr>
              <w:footnoteReference w:id="27"/>
            </w:r>
          </w:p>
        </w:tc>
        <w:tc>
          <w:tcPr>
            <w:tcW w:w="0" w:type="auto"/>
            <w:shd w:val="clear" w:color="auto" w:fill="BFBFBF" w:themeFill="background1" w:themeFillShade="BF"/>
            <w:vAlign w:val="center"/>
          </w:tcPr>
          <w:p w14:paraId="447EC002" w14:textId="77777777" w:rsidR="004D7B74" w:rsidRPr="00233BB7" w:rsidRDefault="004D7B74" w:rsidP="00057CFB">
            <w:pPr>
              <w:pStyle w:val="TableTextstrong"/>
              <w:cnfStyle w:val="000000000000" w:firstRow="0" w:lastRow="0" w:firstColumn="0" w:lastColumn="0" w:oddVBand="0" w:evenVBand="0" w:oddHBand="0" w:evenHBand="0" w:firstRowFirstColumn="0" w:firstRowLastColumn="0" w:lastRowFirstColumn="0" w:lastRowLastColumn="0"/>
            </w:pPr>
            <w:r w:rsidRPr="00233BB7">
              <w:t>2024–25</w:t>
            </w:r>
          </w:p>
        </w:tc>
        <w:tc>
          <w:tcPr>
            <w:tcW w:w="0" w:type="auto"/>
            <w:shd w:val="clear" w:color="auto" w:fill="BFBFBF" w:themeFill="background1" w:themeFillShade="BF"/>
            <w:vAlign w:val="center"/>
          </w:tcPr>
          <w:p w14:paraId="4D98D675" w14:textId="77777777" w:rsidR="004D7B74" w:rsidRPr="00233BB7" w:rsidRDefault="004D7B74" w:rsidP="00057CFB">
            <w:pPr>
              <w:pStyle w:val="TableTextstrong"/>
              <w:cnfStyle w:val="000000000000" w:firstRow="0" w:lastRow="0" w:firstColumn="0" w:lastColumn="0" w:oddVBand="0" w:evenVBand="0" w:oddHBand="0" w:evenHBand="0" w:firstRowFirstColumn="0" w:firstRowLastColumn="0" w:lastRowFirstColumn="0" w:lastRowLastColumn="0"/>
            </w:pPr>
            <w:r w:rsidRPr="00233BB7">
              <w:t>2025–26</w:t>
            </w:r>
          </w:p>
        </w:tc>
        <w:tc>
          <w:tcPr>
            <w:tcW w:w="0" w:type="auto"/>
            <w:shd w:val="clear" w:color="auto" w:fill="BFBFBF" w:themeFill="background1" w:themeFillShade="BF"/>
            <w:vAlign w:val="center"/>
          </w:tcPr>
          <w:p w14:paraId="7B681626" w14:textId="77777777" w:rsidR="004D7B74" w:rsidRPr="00233BB7" w:rsidRDefault="004D7B74" w:rsidP="00057CFB">
            <w:pPr>
              <w:pStyle w:val="TableTextstrong"/>
              <w:cnfStyle w:val="000000000000" w:firstRow="0" w:lastRow="0" w:firstColumn="0" w:lastColumn="0" w:oddVBand="0" w:evenVBand="0" w:oddHBand="0" w:evenHBand="0" w:firstRowFirstColumn="0" w:firstRowLastColumn="0" w:lastRowFirstColumn="0" w:lastRowLastColumn="0"/>
            </w:pPr>
            <w:r w:rsidRPr="00233BB7">
              <w:t>2026–27</w:t>
            </w:r>
          </w:p>
        </w:tc>
        <w:tc>
          <w:tcPr>
            <w:tcW w:w="0" w:type="auto"/>
            <w:shd w:val="clear" w:color="auto" w:fill="BFBFBF" w:themeFill="background1" w:themeFillShade="BF"/>
            <w:vAlign w:val="center"/>
          </w:tcPr>
          <w:p w14:paraId="6326B33A" w14:textId="77777777" w:rsidR="004D7B74" w:rsidRPr="00233BB7" w:rsidRDefault="004D7B74" w:rsidP="00057CFB">
            <w:pPr>
              <w:pStyle w:val="TableTextstrong"/>
              <w:cnfStyle w:val="000000000000" w:firstRow="0" w:lastRow="0" w:firstColumn="0" w:lastColumn="0" w:oddVBand="0" w:evenVBand="0" w:oddHBand="0" w:evenHBand="0" w:firstRowFirstColumn="0" w:firstRowLastColumn="0" w:lastRowFirstColumn="0" w:lastRowLastColumn="0"/>
            </w:pPr>
            <w:r w:rsidRPr="00233BB7">
              <w:t>2027–28</w:t>
            </w:r>
          </w:p>
        </w:tc>
      </w:tr>
      <w:tr w:rsidR="003B3C91" w:rsidRPr="008E3CD6" w14:paraId="5DBCDDE2" w14:textId="77777777" w:rsidTr="00F95D91">
        <w:trPr>
          <w:cnfStyle w:val="010000000000" w:firstRow="0" w:lastRow="1"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vMerge/>
          </w:tcPr>
          <w:p w14:paraId="207DC17C" w14:textId="77777777" w:rsidR="004D7B74" w:rsidRPr="009B277D" w:rsidRDefault="004D7B74" w:rsidP="00CA72A8">
            <w:pPr>
              <w:pStyle w:val="TableTextleftaligned"/>
              <w:spacing w:line="192" w:lineRule="auto"/>
              <w:rPr>
                <w:b w:val="0"/>
                <w:bCs/>
              </w:rPr>
            </w:pPr>
          </w:p>
        </w:tc>
        <w:tc>
          <w:tcPr>
            <w:tcW w:w="0" w:type="auto"/>
          </w:tcPr>
          <w:p w14:paraId="13748824" w14:textId="0EE94023"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a. </w:t>
            </w:r>
            <w:r w:rsidR="004D7B74" w:rsidRPr="00D024ED">
              <w:t>Progressive increase towards 53.0%</w:t>
            </w:r>
            <w:r w:rsidR="004D7B74">
              <w:rPr>
                <w:rStyle w:val="FootnoteReference"/>
              </w:rPr>
              <w:footnoteReference w:id="28"/>
            </w:r>
          </w:p>
          <w:p w14:paraId="78979B9A" w14:textId="7CC4F2F9"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r w:rsidR="004D7B74" w:rsidRPr="00D024ED">
              <w:t>Progressive increase towards 70.0%</w:t>
            </w:r>
          </w:p>
          <w:p w14:paraId="6B394A92" w14:textId="2BD2D709"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c. </w:t>
            </w:r>
            <w:r w:rsidR="004D7B74" w:rsidRPr="00D024ED">
              <w:t>Progressive increase towards 65.0%</w:t>
            </w:r>
          </w:p>
        </w:tc>
        <w:tc>
          <w:tcPr>
            <w:tcW w:w="0" w:type="auto"/>
          </w:tcPr>
          <w:p w14:paraId="0FEEA4F9" w14:textId="700A1183"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a. </w:t>
            </w:r>
            <w:r w:rsidR="004D7B74" w:rsidRPr="00D024ED">
              <w:t>Progressive increase towards 53.0%</w:t>
            </w:r>
            <w:r w:rsidR="004D7B74">
              <w:rPr>
                <w:rStyle w:val="FootnoteReference"/>
              </w:rPr>
              <w:footnoteReference w:id="29"/>
            </w:r>
          </w:p>
          <w:p w14:paraId="513BA784" w14:textId="7F426B4F"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r w:rsidR="004D7B74" w:rsidRPr="00D024ED">
              <w:t>Progressive increase towards 70.0%</w:t>
            </w:r>
          </w:p>
          <w:p w14:paraId="3C5153C9" w14:textId="09F43A6F"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c. </w:t>
            </w:r>
            <w:r w:rsidR="004D7B74" w:rsidRPr="00D024ED">
              <w:t>Progressive increase towards 65.0%</w:t>
            </w:r>
          </w:p>
        </w:tc>
        <w:tc>
          <w:tcPr>
            <w:tcW w:w="0" w:type="auto"/>
          </w:tcPr>
          <w:p w14:paraId="17081585" w14:textId="788D9B18"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a. </w:t>
            </w:r>
            <w:r w:rsidR="004D7B74" w:rsidRPr="00D024ED">
              <w:t>Progressive increase towards 53.0%</w:t>
            </w:r>
            <w:r w:rsidR="004D7B74">
              <w:rPr>
                <w:rStyle w:val="FootnoteReference"/>
              </w:rPr>
              <w:footnoteReference w:id="30"/>
            </w:r>
          </w:p>
          <w:p w14:paraId="2C2E5E71" w14:textId="321BAD36"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r w:rsidR="004D7B74" w:rsidRPr="00D024ED">
              <w:t>Progressive increase towards 70.0%</w:t>
            </w:r>
          </w:p>
          <w:p w14:paraId="6D6A7EEA" w14:textId="797259DC"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c. </w:t>
            </w:r>
            <w:r w:rsidR="004D7B74" w:rsidRPr="00D024ED">
              <w:t>Progressive increase towards 65.0%</w:t>
            </w:r>
          </w:p>
        </w:tc>
        <w:tc>
          <w:tcPr>
            <w:tcW w:w="0" w:type="auto"/>
          </w:tcPr>
          <w:p w14:paraId="2993BC63" w14:textId="6B83DB7B" w:rsidR="004D7B74" w:rsidRPr="004B168F"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a. </w:t>
            </w:r>
            <w:r w:rsidR="004D7B74" w:rsidRPr="00D024ED">
              <w:t>Progressive increase towards 53.0%</w:t>
            </w:r>
            <w:r w:rsidR="004D7B74">
              <w:rPr>
                <w:rStyle w:val="FootnoteReference"/>
              </w:rPr>
              <w:footnoteReference w:id="31"/>
            </w:r>
          </w:p>
          <w:p w14:paraId="23AEF2AA" w14:textId="6AD0BFAA" w:rsidR="004D7B74"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r w:rsidR="004D7B74" w:rsidRPr="00D024ED">
              <w:t>Progressive increase towards 70.0%</w:t>
            </w:r>
          </w:p>
          <w:p w14:paraId="6142E0F4" w14:textId="32EE4D33" w:rsidR="004D7B74" w:rsidRPr="00D024ED" w:rsidRDefault="00F95D91" w:rsidP="00F95D91">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c. </w:t>
            </w:r>
            <w:r w:rsidR="004D7B74" w:rsidRPr="00D024ED">
              <w:t>Progressive increase towards 65.0%</w:t>
            </w:r>
          </w:p>
        </w:tc>
      </w:tr>
    </w:tbl>
    <w:p w14:paraId="5A8E7821" w14:textId="4A9FA82D" w:rsidR="004D7B74" w:rsidRPr="00057CFB" w:rsidRDefault="004D7B74" w:rsidP="00057CFB">
      <w:pPr>
        <w:pStyle w:val="Keyactivity"/>
        <w:rPr>
          <w:rStyle w:val="Strong"/>
        </w:rPr>
      </w:pPr>
      <w:r w:rsidRPr="00057CFB">
        <w:rPr>
          <w:rStyle w:val="Strong"/>
        </w:rPr>
        <w:t xml:space="preserve">Key Activity 1.5C </w:t>
      </w:r>
    </w:p>
    <w:p w14:paraId="26A36C85" w14:textId="64040092" w:rsidR="004D7B74" w:rsidRPr="00233BB7" w:rsidRDefault="004D7B74" w:rsidP="00057CFB">
      <w:pPr>
        <w:pStyle w:val="Keyactivity"/>
        <w:rPr>
          <w:rFonts w:cs="Arial"/>
        </w:rPr>
      </w:pPr>
      <w:bookmarkStart w:id="107" w:name="_Hlk169186661"/>
      <w:r w:rsidRPr="00233BB7">
        <w:rPr>
          <w:rFonts w:cs="Arial"/>
        </w:rPr>
        <w:t>Encouraging and enabling healthy lifestyles, physical activity, and good nutrition through implementation of initiatives aligned with the National Preventive Health Strategy 2021–2030</w:t>
      </w:r>
      <w:r w:rsidRPr="00233BB7">
        <w:rPr>
          <w:rFonts w:cs="Arial"/>
          <w:szCs w:val="20"/>
        </w:rPr>
        <w:t xml:space="preserve"> </w:t>
      </w:r>
      <w:r w:rsidRPr="00233BB7">
        <w:rPr>
          <w:rFonts w:cs="Arial"/>
        </w:rPr>
        <w:t>(NPHS)</w:t>
      </w:r>
      <w:r w:rsidR="00C57641" w:rsidRPr="00233BB7">
        <w:rPr>
          <w:rStyle w:val="FootnoteReference"/>
          <w:rFonts w:cs="Arial"/>
          <w:szCs w:val="20"/>
        </w:rPr>
        <w:footnoteReference w:id="32"/>
      </w:r>
      <w:r w:rsidR="00C57641" w:rsidRPr="00233BB7">
        <w:rPr>
          <w:rFonts w:cs="Arial"/>
          <w:szCs w:val="20"/>
        </w:rPr>
        <w:t xml:space="preserve"> </w:t>
      </w:r>
      <w:r w:rsidRPr="00233BB7">
        <w:rPr>
          <w:rFonts w:cs="Arial"/>
        </w:rPr>
        <w:t>and National Obesity Strategy 2022-2032</w:t>
      </w:r>
      <w:r w:rsidRPr="00233BB7">
        <w:rPr>
          <w:rFonts w:cs="Arial"/>
          <w:szCs w:val="20"/>
        </w:rPr>
        <w:t>,</w:t>
      </w:r>
      <w:r w:rsidR="00C57641" w:rsidRPr="00233BB7">
        <w:rPr>
          <w:rStyle w:val="FootnoteReference"/>
          <w:rFonts w:cs="Arial"/>
          <w:szCs w:val="20"/>
        </w:rPr>
        <w:footnoteReference w:id="33"/>
      </w:r>
      <w:r w:rsidRPr="00233BB7">
        <w:rPr>
          <w:rFonts w:cs="Arial"/>
          <w:szCs w:val="20"/>
        </w:rPr>
        <w:t xml:space="preserve"> </w:t>
      </w:r>
      <w:r w:rsidRPr="00233BB7">
        <w:rPr>
          <w:rFonts w:cs="Arial"/>
        </w:rPr>
        <w:t>(NOS) including (but not limited to) through:</w:t>
      </w:r>
    </w:p>
    <w:p w14:paraId="707B8FED" w14:textId="77777777" w:rsidR="00057CFB" w:rsidRDefault="004D7B74" w:rsidP="00057CFB">
      <w:pPr>
        <w:pStyle w:val="Keyactivity"/>
        <w:numPr>
          <w:ilvl w:val="0"/>
          <w:numId w:val="203"/>
        </w:numPr>
        <w:tabs>
          <w:tab w:val="left" w:pos="284"/>
        </w:tabs>
        <w:ind w:left="0" w:firstLine="0"/>
      </w:pPr>
      <w:r w:rsidRPr="00D26D79">
        <w:t>Improving the food supply and making healthier food choices easier while monitoring Australian's eating habits. This includes through ongoing support for the Health Star Rating System, Healthy Food Partnership, Australian Dietary Guidelines, several breastfeeding initiatives, and actions to restrict inappropriate marketing of infant formulas and explore regulations to limit unhealthy food marketing to children.</w:t>
      </w:r>
    </w:p>
    <w:p w14:paraId="1D4AB75C" w14:textId="77777777" w:rsidR="00057CFB" w:rsidRDefault="004D7B74" w:rsidP="00057CFB">
      <w:pPr>
        <w:pStyle w:val="Keyactivity"/>
        <w:numPr>
          <w:ilvl w:val="0"/>
          <w:numId w:val="203"/>
        </w:numPr>
        <w:tabs>
          <w:tab w:val="left" w:pos="284"/>
        </w:tabs>
        <w:ind w:left="0" w:firstLine="0"/>
      </w:pPr>
      <w:r w:rsidRPr="00D26D79">
        <w:t xml:space="preserve">Developing a National Nutrition Policy Framework, to guide nutrition policy in future years and ensure sustained Government commitment to secure a nutritious and accessible food supply.  </w:t>
      </w:r>
    </w:p>
    <w:p w14:paraId="05790A6A" w14:textId="77777777" w:rsidR="00057CFB" w:rsidRDefault="004D7B74" w:rsidP="00057CFB">
      <w:pPr>
        <w:pStyle w:val="Keyactivity"/>
        <w:numPr>
          <w:ilvl w:val="0"/>
          <w:numId w:val="203"/>
        </w:numPr>
        <w:tabs>
          <w:tab w:val="left" w:pos="284"/>
        </w:tabs>
        <w:ind w:left="0" w:firstLine="0"/>
      </w:pPr>
      <w:r w:rsidRPr="00D26D79">
        <w:t>Updating nutrition and food data collections to inform policy actions.</w:t>
      </w:r>
    </w:p>
    <w:p w14:paraId="2E44B195" w14:textId="632B0C05" w:rsidR="004D7B74" w:rsidRPr="00D26D79" w:rsidRDefault="004D7B74" w:rsidP="00057CFB">
      <w:pPr>
        <w:pStyle w:val="Keyactivity"/>
        <w:numPr>
          <w:ilvl w:val="0"/>
          <w:numId w:val="203"/>
        </w:numPr>
        <w:tabs>
          <w:tab w:val="left" w:pos="284"/>
        </w:tabs>
        <w:ind w:left="0" w:firstLine="0"/>
      </w:pPr>
      <w:r w:rsidRPr="00D26D79">
        <w:t>Encouraging and enabling physical activity through updates to the Physical Activity Guidelines for adults (18 to 64 years) and older Australians (65+ years</w:t>
      </w:r>
      <w:r w:rsidR="0006095C" w:rsidRPr="00D26D79">
        <w:t>)</w:t>
      </w:r>
      <w:r w:rsidR="00720191" w:rsidRPr="00D26D79">
        <w:t>.</w:t>
      </w:r>
    </w:p>
    <w:p w14:paraId="34F32EEB" w14:textId="28AC7026" w:rsidR="00233BB7" w:rsidRPr="00D26D79" w:rsidRDefault="00233BB7" w:rsidP="00D26D79">
      <w:r w:rsidRPr="00057CFB">
        <w:rPr>
          <w:rStyle w:val="Strong"/>
        </w:rPr>
        <w:t xml:space="preserve">Key </w:t>
      </w:r>
      <w:r w:rsidR="00EE6012" w:rsidRPr="00057CFB">
        <w:rPr>
          <w:rStyle w:val="Strong"/>
        </w:rPr>
        <w:t>a</w:t>
      </w:r>
      <w:r w:rsidRPr="00057CFB">
        <w:rPr>
          <w:rStyle w:val="Strong"/>
        </w:rPr>
        <w:t>ctivity rationale:</w:t>
      </w:r>
      <w:r w:rsidR="00C5289D">
        <w:rPr>
          <w:rFonts w:eastAsiaTheme="majorEastAsia" w:cs="Arial"/>
          <w:b/>
          <w:bCs/>
          <w:szCs w:val="20"/>
        </w:rPr>
        <w:t xml:space="preserve"> </w:t>
      </w:r>
      <w:r w:rsidR="00C5289D" w:rsidRPr="00C5289D">
        <w:rPr>
          <w:rFonts w:eastAsiaTheme="majorEastAsia" w:cs="Arial"/>
          <w:szCs w:val="20"/>
        </w:rPr>
        <w:t>The inclusion of this new key activity aims to further expand on the Program Objective</w:t>
      </w:r>
      <w:r w:rsidR="00C5289D">
        <w:rPr>
          <w:rFonts w:eastAsiaTheme="majorEastAsia" w:cs="Arial"/>
          <w:szCs w:val="20"/>
        </w:rPr>
        <w:t>.</w:t>
      </w:r>
    </w:p>
    <w:tbl>
      <w:tblPr>
        <w:tblStyle w:val="TableGridLight"/>
        <w:tblW w:w="5345" w:type="pct"/>
        <w:tblLook w:val="01E0" w:firstRow="1" w:lastRow="1" w:firstColumn="1" w:lastColumn="1" w:noHBand="0" w:noVBand="0"/>
      </w:tblPr>
      <w:tblGrid>
        <w:gridCol w:w="1527"/>
        <w:gridCol w:w="2241"/>
        <w:gridCol w:w="2082"/>
        <w:gridCol w:w="1835"/>
        <w:gridCol w:w="1953"/>
      </w:tblGrid>
      <w:tr w:rsidR="004D7B74" w:rsidRPr="008E3CD6" w14:paraId="2AF41069" w14:textId="77777777" w:rsidTr="00D26D79">
        <w:trPr>
          <w:cnfStyle w:val="100000000000" w:firstRow="1" w:lastRow="0" w:firstColumn="0" w:lastColumn="0" w:oddVBand="0" w:evenVBand="0" w:oddHBand="0" w:evenHBand="0" w:firstRowFirstColumn="0" w:firstRowLastColumn="0" w:lastRowFirstColumn="0" w:lastRowLastColumn="0"/>
          <w:trHeight w:val="1288"/>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571F9BD" w14:textId="77777777" w:rsidR="004D7B74" w:rsidRPr="00FA069E" w:rsidRDefault="004D7B74" w:rsidP="00823660">
            <w:pPr>
              <w:pStyle w:val="TableTextleftaligned"/>
              <w:rPr>
                <w:b w:val="0"/>
                <w:sz w:val="22"/>
                <w:szCs w:val="22"/>
              </w:rPr>
            </w:pPr>
            <w:bookmarkStart w:id="108" w:name="_Hlk168615451"/>
            <w:r w:rsidRPr="00FA069E">
              <w:t>Measure 1.5C Improve overall health and wellbeing of Australians by achieving healthy eating and physical activity targets.</w:t>
            </w:r>
          </w:p>
          <w:p w14:paraId="40868EC4" w14:textId="77777777" w:rsidR="004D7B74" w:rsidRPr="00FA069E" w:rsidRDefault="004D7B74" w:rsidP="00057CFB">
            <w:pPr>
              <w:pStyle w:val="TableTextleftaligned"/>
              <w:spacing w:before="0"/>
              <w:rPr>
                <w:b w:val="0"/>
              </w:rPr>
            </w:pPr>
            <w:r w:rsidRPr="00FA069E">
              <w:t>a.</w:t>
            </w:r>
            <w:r w:rsidRPr="00FA069E">
              <w:rPr>
                <w:sz w:val="22"/>
                <w:szCs w:val="22"/>
              </w:rPr>
              <w:t xml:space="preserve"> </w:t>
            </w:r>
            <w:r w:rsidRPr="00FA069E">
              <w:t xml:space="preserve">Prevalence of insufficient physical activity amongst children, adolescents, and adults </w:t>
            </w:r>
          </w:p>
          <w:p w14:paraId="051FDD82" w14:textId="77777777" w:rsidR="004D7B74" w:rsidRPr="00FA069E" w:rsidRDefault="004D7B74" w:rsidP="00057CFB">
            <w:pPr>
              <w:pStyle w:val="TableTextleftaligned"/>
              <w:spacing w:before="0"/>
              <w:rPr>
                <w:b w:val="0"/>
              </w:rPr>
            </w:pPr>
            <w:r w:rsidRPr="00FA069E">
              <w:t>b. Prevalence of obesity in adults (18+)</w:t>
            </w:r>
          </w:p>
          <w:p w14:paraId="328171B6" w14:textId="0C7B082D" w:rsidR="004D7B74" w:rsidRPr="004A3DF5" w:rsidRDefault="004D7B74" w:rsidP="00057CFB">
            <w:pPr>
              <w:pStyle w:val="TableTextleftaligned"/>
              <w:spacing w:before="0"/>
              <w:rPr>
                <w:b w:val="0"/>
                <w:color w:val="00B050"/>
                <w:sz w:val="22"/>
                <w:szCs w:val="22"/>
              </w:rPr>
            </w:pPr>
            <w:r w:rsidRPr="00FA069E">
              <w:t>c. Prevalence of overweight and obesity in children and adolescents aged 2</w:t>
            </w:r>
            <w:r w:rsidR="00EE6012">
              <w:t xml:space="preserve"> to </w:t>
            </w:r>
            <w:r w:rsidRPr="00FA069E">
              <w:t xml:space="preserve">17 years </w:t>
            </w:r>
          </w:p>
        </w:tc>
      </w:tr>
      <w:tr w:rsidR="004D7B74" w:rsidRPr="008E3CD6" w14:paraId="75C1EC77" w14:textId="77777777" w:rsidTr="00D26D79">
        <w:trPr>
          <w:trHeight w:val="249"/>
        </w:trPr>
        <w:tc>
          <w:tcPr>
            <w:cnfStyle w:val="001000000000" w:firstRow="0" w:lastRow="0" w:firstColumn="1" w:lastColumn="0" w:oddVBand="0" w:evenVBand="0" w:oddHBand="0" w:evenHBand="0" w:firstRowFirstColumn="0" w:firstRowLastColumn="0" w:lastRowFirstColumn="0" w:lastRowLastColumn="0"/>
            <w:tcW w:w="736" w:type="pct"/>
          </w:tcPr>
          <w:p w14:paraId="702655F2" w14:textId="77777777" w:rsidR="004D7B74" w:rsidRPr="00057CFB" w:rsidRDefault="004D7B74" w:rsidP="00057CFB">
            <w:pPr>
              <w:pStyle w:val="TableTextleftaligned"/>
            </w:pPr>
            <w:r w:rsidRPr="00057CFB">
              <w:t>Rationale</w:t>
            </w:r>
          </w:p>
        </w:tc>
        <w:tc>
          <w:tcPr>
            <w:tcW w:w="4264" w:type="pct"/>
            <w:gridSpan w:val="4"/>
          </w:tcPr>
          <w:p w14:paraId="09BC21E6" w14:textId="77777777" w:rsidR="004D7B74" w:rsidRPr="002B557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FA069E">
              <w:rPr>
                <w:b/>
                <w:bCs/>
              </w:rPr>
              <w:t>Measure a.</w:t>
            </w:r>
            <w:r w:rsidRPr="002B5579">
              <w:t xml:space="preserve"> aims to reduce the prevalence of insufficient physical activity amongst children, </w:t>
            </w:r>
            <w:proofErr w:type="gramStart"/>
            <w:r w:rsidRPr="002B5579">
              <w:t>adolescents</w:t>
            </w:r>
            <w:proofErr w:type="gramEnd"/>
            <w:r w:rsidRPr="002B5579">
              <w:t xml:space="preserve"> and adults, to improve physical and mental health. It aligns with the </w:t>
            </w:r>
            <w:r w:rsidRPr="002B5579">
              <w:lastRenderedPageBreak/>
              <w:t>NPHS. Success will be determined by a progressive decrease in the prevalence towards 15% by 2030.</w:t>
            </w:r>
          </w:p>
          <w:p w14:paraId="116D2722" w14:textId="07EE45F3" w:rsidR="004D7B74" w:rsidRPr="002B557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FA069E">
              <w:rPr>
                <w:b/>
                <w:bCs/>
              </w:rPr>
              <w:t>Measure b.</w:t>
            </w:r>
            <w:r w:rsidRPr="002B5579">
              <w:t xml:space="preserve"> aims to halt and reduce the prevalence of obesity in adults by 2030. It aligns with targets in the NPHS and NOS. Success will be determined by a progressive decrease in prevalence by 2030.</w:t>
            </w:r>
          </w:p>
          <w:p w14:paraId="23830E22" w14:textId="04948678" w:rsidR="004D7B74" w:rsidRPr="002B557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FA069E">
              <w:rPr>
                <w:b/>
                <w:bCs/>
              </w:rPr>
              <w:t>Measure c.</w:t>
            </w:r>
            <w:r w:rsidRPr="002B5579">
              <w:t xml:space="preserve"> aims to reduce the prevalence of obesity in children and adolescents aged 2</w:t>
            </w:r>
            <w:r w:rsidR="00EE6012">
              <w:t xml:space="preserve"> to </w:t>
            </w:r>
            <w:r w:rsidRPr="002B5579">
              <w:t xml:space="preserve">17. It aligns with the NPHS and NOS. Success will be determined by a decrease in prevalence by at least 5% by 2030. </w:t>
            </w:r>
          </w:p>
        </w:tc>
      </w:tr>
      <w:tr w:rsidR="004D7B74" w:rsidRPr="008E3CD6" w14:paraId="0174C18A" w14:textId="77777777" w:rsidTr="00D26D79">
        <w:trPr>
          <w:trHeight w:val="249"/>
        </w:trPr>
        <w:tc>
          <w:tcPr>
            <w:cnfStyle w:val="001000000000" w:firstRow="0" w:lastRow="0" w:firstColumn="1" w:lastColumn="0" w:oddVBand="0" w:evenVBand="0" w:oddHBand="0" w:evenHBand="0" w:firstRowFirstColumn="0" w:firstRowLastColumn="0" w:lastRowFirstColumn="0" w:lastRowLastColumn="0"/>
            <w:tcW w:w="736" w:type="pct"/>
          </w:tcPr>
          <w:p w14:paraId="2B998153" w14:textId="77777777" w:rsidR="004D7B74" w:rsidRPr="00057CFB" w:rsidRDefault="004D7B74" w:rsidP="00057CFB">
            <w:pPr>
              <w:pStyle w:val="TableTextleftaligned"/>
            </w:pPr>
            <w:r w:rsidRPr="00057CFB">
              <w:t>Measure Type</w:t>
            </w:r>
          </w:p>
        </w:tc>
        <w:tc>
          <w:tcPr>
            <w:tcW w:w="4264" w:type="pct"/>
            <w:gridSpan w:val="4"/>
          </w:tcPr>
          <w:p w14:paraId="3B031CCD" w14:textId="6F4C96C5" w:rsidR="004D7B74" w:rsidRPr="00EA531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2B5579">
              <w:t>Quantitative</w:t>
            </w:r>
            <w:r w:rsidR="006F2F3C">
              <w:t xml:space="preserve"> / Effectiveness</w:t>
            </w:r>
          </w:p>
        </w:tc>
      </w:tr>
      <w:tr w:rsidR="004D7B74" w:rsidRPr="008E3CD6" w14:paraId="72CF23EC" w14:textId="77777777" w:rsidTr="00D26D79">
        <w:trPr>
          <w:trHeight w:val="249"/>
        </w:trPr>
        <w:tc>
          <w:tcPr>
            <w:cnfStyle w:val="001000000000" w:firstRow="0" w:lastRow="0" w:firstColumn="1" w:lastColumn="0" w:oddVBand="0" w:evenVBand="0" w:oddHBand="0" w:evenHBand="0" w:firstRowFirstColumn="0" w:firstRowLastColumn="0" w:lastRowFirstColumn="0" w:lastRowLastColumn="0"/>
            <w:tcW w:w="736" w:type="pct"/>
          </w:tcPr>
          <w:p w14:paraId="3E82D2FD" w14:textId="5E615F46" w:rsidR="004D7B74" w:rsidRPr="00057CFB" w:rsidRDefault="004D7B74" w:rsidP="00057CFB">
            <w:pPr>
              <w:pStyle w:val="TableTextleftaligned"/>
            </w:pPr>
            <w:r w:rsidRPr="00057CFB">
              <w:t>Method</w:t>
            </w:r>
            <w:r w:rsidR="00057CFB">
              <w:t xml:space="preserve"> </w:t>
            </w:r>
            <w:r w:rsidRPr="00057CFB">
              <w:t>(Data Source and Methodology</w:t>
            </w:r>
            <w:r w:rsidR="005D3FA9" w:rsidRPr="00057CFB">
              <w:t>)</w:t>
            </w:r>
          </w:p>
        </w:tc>
        <w:tc>
          <w:tcPr>
            <w:tcW w:w="4264" w:type="pct"/>
            <w:gridSpan w:val="4"/>
          </w:tcPr>
          <w:p w14:paraId="3BE4F76C" w14:textId="77777777" w:rsidR="004D7B74" w:rsidRPr="00057CFB" w:rsidRDefault="004D7B74" w:rsidP="00057CFB">
            <w:pPr>
              <w:pStyle w:val="TableParagraph"/>
              <w:numPr>
                <w:ilvl w:val="0"/>
                <w:numId w:val="204"/>
              </w:numPr>
              <w:cnfStyle w:val="000000000000" w:firstRow="0" w:lastRow="0" w:firstColumn="0" w:lastColumn="0" w:oddVBand="0" w:evenVBand="0" w:oddHBand="0" w:evenHBand="0" w:firstRowFirstColumn="0" w:firstRowLastColumn="0" w:lastRowFirstColumn="0" w:lastRowLastColumn="0"/>
            </w:pPr>
            <w:r w:rsidRPr="00057CFB">
              <w:t>Measured using the Australian Bureau of Statistics (ABS) National Health Survey (NHS), approximately every 3 years. The prevalence of insufficient physical activity data for 2020–21 is based on self-reported data, due to the COVID-19 pandemic. Previous versions of the NHS have primarily been administered by trained ABS interviewers and were conducted face-to-face.</w:t>
            </w:r>
          </w:p>
          <w:p w14:paraId="59F4B6F6" w14:textId="77777777" w:rsidR="004D7B74" w:rsidRPr="00BC1A1B" w:rsidRDefault="004D7B74" w:rsidP="00057CFB">
            <w:pPr>
              <w:pStyle w:val="ListNumber2"/>
              <w:cnfStyle w:val="000000000000" w:firstRow="0" w:lastRow="0" w:firstColumn="0" w:lastColumn="0" w:oddVBand="0" w:evenVBand="0" w:oddHBand="0" w:evenHBand="0" w:firstRowFirstColumn="0" w:firstRowLastColumn="0" w:lastRowFirstColumn="0" w:lastRowLastColumn="0"/>
            </w:pPr>
            <w:r>
              <w:t xml:space="preserve">Measured using the </w:t>
            </w:r>
            <w:r w:rsidRPr="00BC1A1B">
              <w:t>ABS NHS, approx</w:t>
            </w:r>
            <w:r>
              <w:t>imately</w:t>
            </w:r>
            <w:r w:rsidRPr="00BC1A1B">
              <w:t xml:space="preserve"> every 3 years. Estimates of Body Mass Index (BMI) are based on nationally representative measured height and weight data from the ABS 2017–18 NHS</w:t>
            </w:r>
            <w:r w:rsidRPr="00DF02D4">
              <w:t>.</w:t>
            </w:r>
            <w:r w:rsidRPr="00BC1A1B">
              <w:t xml:space="preserve"> For adults overweight and obesity was classified as a BMI of 25.00 kg/m² or more and obesity was classified as a BMI of 30.00 kg/m² or more. Due to the COVID-19 pandemic, physical measurements (including height, </w:t>
            </w:r>
            <w:proofErr w:type="gramStart"/>
            <w:r w:rsidRPr="00BC1A1B">
              <w:t>weight</w:t>
            </w:r>
            <w:proofErr w:type="gramEnd"/>
            <w:r w:rsidRPr="00BC1A1B">
              <w:t xml:space="preserve"> and waist circumference) were not taken at the time of the most recent NHS 2020–21.</w:t>
            </w:r>
          </w:p>
          <w:p w14:paraId="1C1BD535" w14:textId="77777777" w:rsidR="004D7B74" w:rsidRPr="005B7AC5" w:rsidRDefault="004D7B74" w:rsidP="00057CFB">
            <w:pPr>
              <w:pStyle w:val="ListNumber2"/>
              <w:cnfStyle w:val="000000000000" w:firstRow="0" w:lastRow="0" w:firstColumn="0" w:lastColumn="0" w:oddVBand="0" w:evenVBand="0" w:oddHBand="0" w:evenHBand="0" w:firstRowFirstColumn="0" w:firstRowLastColumn="0" w:lastRowFirstColumn="0" w:lastRowLastColumn="0"/>
            </w:pPr>
            <w:r>
              <w:t xml:space="preserve">Measured using the </w:t>
            </w:r>
            <w:r w:rsidRPr="00BC1A1B">
              <w:t>ABS NHS, approx</w:t>
            </w:r>
            <w:r>
              <w:t>imately</w:t>
            </w:r>
            <w:r w:rsidRPr="00BC1A1B">
              <w:t xml:space="preserve"> every 3 years. Estimates of BMI are based on nationally representative measured height and weight data from the ABS 2017–18 NHS. For children and adolescents, age and sex-specific half-year BMI cut-off points were used to classify overweight and obesity. Due to the COVID-19 pandemic, physical measurements (including height, </w:t>
            </w:r>
            <w:proofErr w:type="gramStart"/>
            <w:r w:rsidRPr="00BC1A1B">
              <w:t>weight</w:t>
            </w:r>
            <w:proofErr w:type="gramEnd"/>
            <w:r w:rsidRPr="00BC1A1B">
              <w:t xml:space="preserve"> and waist circumference) were not taken at the time of the most recent NHS 2020–21.</w:t>
            </w:r>
          </w:p>
        </w:tc>
      </w:tr>
      <w:tr w:rsidR="000C70E2" w:rsidRPr="008E3CD6" w14:paraId="13810945" w14:textId="77777777" w:rsidTr="00D26D79">
        <w:trPr>
          <w:trHeight w:val="249"/>
        </w:trPr>
        <w:tc>
          <w:tcPr>
            <w:cnfStyle w:val="001000000000" w:firstRow="0" w:lastRow="0" w:firstColumn="1" w:lastColumn="0" w:oddVBand="0" w:evenVBand="0" w:oddHBand="0" w:evenHBand="0" w:firstRowFirstColumn="0" w:firstRowLastColumn="0" w:lastRowFirstColumn="0" w:lastRowLastColumn="0"/>
            <w:tcW w:w="736" w:type="pct"/>
          </w:tcPr>
          <w:p w14:paraId="2068F386" w14:textId="5890F0F9" w:rsidR="000C70E2" w:rsidRPr="00FA069E" w:rsidRDefault="000C70E2" w:rsidP="00057CFB">
            <w:pPr>
              <w:pStyle w:val="TableTextleftaligned"/>
              <w:rPr>
                <w:b w:val="0"/>
              </w:rPr>
            </w:pPr>
            <w:r w:rsidRPr="00FA069E">
              <w:t>Linked to 2024–25 Portfolio Budget Statements</w:t>
            </w:r>
          </w:p>
        </w:tc>
        <w:tc>
          <w:tcPr>
            <w:tcW w:w="4264" w:type="pct"/>
            <w:gridSpan w:val="4"/>
          </w:tcPr>
          <w:p w14:paraId="755330B8" w14:textId="20B640C2" w:rsidR="000C70E2" w:rsidRDefault="000C70E2" w:rsidP="00823660">
            <w:pPr>
              <w:pStyle w:val="TableTextleftaligned"/>
              <w:cnfStyle w:val="000000000000" w:firstRow="0" w:lastRow="0" w:firstColumn="0" w:lastColumn="0" w:oddVBand="0" w:evenVBand="0" w:oddHBand="0" w:evenHBand="0" w:firstRowFirstColumn="0" w:firstRowLastColumn="0" w:lastRowFirstColumn="0" w:lastRowLastColumn="0"/>
            </w:pPr>
            <w:r w:rsidRPr="00553C7F">
              <w:t xml:space="preserve">Program </w:t>
            </w:r>
            <w:r>
              <w:t>1</w:t>
            </w:r>
            <w:r w:rsidRPr="00553C7F">
              <w:t>.</w:t>
            </w:r>
            <w:r>
              <w:t>5</w:t>
            </w:r>
            <w:r w:rsidR="00FF27E1">
              <w:t xml:space="preserve"> - </w:t>
            </w:r>
            <w:r>
              <w:t>Preventive Health and Chronic Disease Support</w:t>
            </w:r>
            <w:r w:rsidRPr="00553C7F">
              <w:t xml:space="preserve"> – </w:t>
            </w:r>
            <w:r w:rsidR="00FD2893">
              <w:t>new performance measure</w:t>
            </w:r>
          </w:p>
        </w:tc>
      </w:tr>
      <w:tr w:rsidR="004D7B74" w:rsidRPr="008E3CD6" w14:paraId="5D27BCFE" w14:textId="77777777" w:rsidTr="00D26D79">
        <w:trPr>
          <w:trHeight w:val="567"/>
        </w:trPr>
        <w:tc>
          <w:tcPr>
            <w:cnfStyle w:val="001000000000" w:firstRow="0" w:lastRow="0" w:firstColumn="1" w:lastColumn="0" w:oddVBand="0" w:evenVBand="0" w:oddHBand="0" w:evenHBand="0" w:firstRowFirstColumn="0" w:firstRowLastColumn="0" w:lastRowFirstColumn="0" w:lastRowLastColumn="0"/>
            <w:tcW w:w="736" w:type="pct"/>
            <w:vMerge w:val="restart"/>
          </w:tcPr>
          <w:p w14:paraId="0FA2147E" w14:textId="77777777" w:rsidR="004D7B74" w:rsidRPr="00057CFB" w:rsidRDefault="004D7B74" w:rsidP="00057CFB">
            <w:pPr>
              <w:pStyle w:val="TableTextleftaligned"/>
            </w:pPr>
            <w:r w:rsidRPr="00FA069E">
              <w:t>Planned Performance Results</w:t>
            </w:r>
          </w:p>
        </w:tc>
        <w:tc>
          <w:tcPr>
            <w:tcW w:w="1177" w:type="pct"/>
            <w:shd w:val="clear" w:color="auto" w:fill="BFBFBF" w:themeFill="background1" w:themeFillShade="BF"/>
            <w:vAlign w:val="center"/>
          </w:tcPr>
          <w:p w14:paraId="57F8CDB6" w14:textId="77777777" w:rsidR="004D7B74" w:rsidRPr="00FA069E"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FA069E">
              <w:t>2024–25</w:t>
            </w:r>
          </w:p>
        </w:tc>
        <w:tc>
          <w:tcPr>
            <w:tcW w:w="1094" w:type="pct"/>
            <w:shd w:val="clear" w:color="auto" w:fill="BFBFBF" w:themeFill="background1" w:themeFillShade="BF"/>
            <w:vAlign w:val="center"/>
          </w:tcPr>
          <w:p w14:paraId="7EF891D6" w14:textId="77777777" w:rsidR="004D7B74" w:rsidRPr="00FA069E"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FA069E">
              <w:t>2025–26</w:t>
            </w:r>
          </w:p>
        </w:tc>
        <w:tc>
          <w:tcPr>
            <w:tcW w:w="966" w:type="pct"/>
            <w:shd w:val="clear" w:color="auto" w:fill="BFBFBF" w:themeFill="background1" w:themeFillShade="BF"/>
            <w:vAlign w:val="center"/>
          </w:tcPr>
          <w:p w14:paraId="20FFACF7" w14:textId="77777777" w:rsidR="004D7B74" w:rsidRPr="00FA069E"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FA069E">
              <w:t>2026–27</w:t>
            </w:r>
          </w:p>
        </w:tc>
        <w:tc>
          <w:tcPr>
            <w:tcW w:w="1027" w:type="pct"/>
            <w:shd w:val="clear" w:color="auto" w:fill="BFBFBF" w:themeFill="background1" w:themeFillShade="BF"/>
            <w:vAlign w:val="center"/>
          </w:tcPr>
          <w:p w14:paraId="0B9B3AB4" w14:textId="77777777" w:rsidR="004D7B74" w:rsidRPr="00FA069E"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FA069E">
              <w:t>2027–28</w:t>
            </w:r>
          </w:p>
        </w:tc>
      </w:tr>
      <w:tr w:rsidR="004D7B74" w:rsidRPr="008E3CD6" w14:paraId="16C62637" w14:textId="77777777" w:rsidTr="00F95D91">
        <w:trPr>
          <w:cnfStyle w:val="010000000000" w:firstRow="0" w:lastRow="1"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736" w:type="pct"/>
            <w:vMerge/>
          </w:tcPr>
          <w:p w14:paraId="588A3F8D" w14:textId="77777777" w:rsidR="004D7B74" w:rsidRPr="009B277D" w:rsidRDefault="004D7B74" w:rsidP="00CA72A8">
            <w:pPr>
              <w:pStyle w:val="TableTextleftaligned"/>
              <w:spacing w:line="192" w:lineRule="auto"/>
              <w:rPr>
                <w:b w:val="0"/>
                <w:bCs/>
              </w:rPr>
            </w:pPr>
          </w:p>
        </w:tc>
        <w:tc>
          <w:tcPr>
            <w:tcW w:w="1177" w:type="pct"/>
          </w:tcPr>
          <w:p w14:paraId="4AB4F7E9" w14:textId="77777777" w:rsidR="004D7B74" w:rsidRPr="00057CFB" w:rsidRDefault="004D7B74" w:rsidP="00F95D91">
            <w:pPr>
              <w:pStyle w:val="TableParagraph"/>
              <w:numPr>
                <w:ilvl w:val="0"/>
                <w:numId w:val="205"/>
              </w:numPr>
              <w:jc w:val="left"/>
              <w:cnfStyle w:val="010000000000" w:firstRow="0" w:lastRow="1" w:firstColumn="0" w:lastColumn="0" w:oddVBand="0" w:evenVBand="0" w:oddHBand="0" w:evenHBand="0" w:firstRowFirstColumn="0" w:firstRowLastColumn="0" w:lastRowFirstColumn="0" w:lastRowLastColumn="0"/>
            </w:pPr>
            <w:r w:rsidRPr="00057CFB">
              <w:t>Progressive decrease of prevalence towards 15%</w:t>
            </w:r>
          </w:p>
          <w:p w14:paraId="1B9790DF" w14:textId="77777777" w:rsidR="004D7B74" w:rsidRPr="005B7AC5" w:rsidRDefault="004D7B74" w:rsidP="00F95D91">
            <w:pPr>
              <w:pStyle w:val="ListNumber2"/>
              <w:jc w:val="left"/>
              <w:cnfStyle w:val="010000000000" w:firstRow="0" w:lastRow="1" w:firstColumn="0" w:lastColumn="0" w:oddVBand="0" w:evenVBand="0" w:oddHBand="0" w:evenHBand="0" w:firstRowFirstColumn="0" w:firstRowLastColumn="0" w:lastRowFirstColumn="0" w:lastRowLastColumn="0"/>
            </w:pPr>
            <w:r w:rsidRPr="005B7AC5">
              <w:t xml:space="preserve">Progressive decrease of prevalence </w:t>
            </w:r>
          </w:p>
          <w:p w14:paraId="523A27DE" w14:textId="20E364D8" w:rsidR="004D7B74" w:rsidRPr="005B7AC5" w:rsidRDefault="004D7B74" w:rsidP="00F95D91">
            <w:pPr>
              <w:pStyle w:val="ListNumber2"/>
              <w:jc w:val="left"/>
              <w:cnfStyle w:val="010000000000" w:firstRow="0" w:lastRow="1" w:firstColumn="0" w:lastColumn="0" w:oddVBand="0" w:evenVBand="0" w:oddHBand="0" w:evenHBand="0" w:firstRowFirstColumn="0" w:firstRowLastColumn="0" w:lastRowFirstColumn="0" w:lastRowLastColumn="0"/>
            </w:pPr>
            <w:r w:rsidRPr="005B7AC5">
              <w:t>Progressive decrease towards a reduction of prevalence by at least 5%</w:t>
            </w:r>
          </w:p>
        </w:tc>
        <w:tc>
          <w:tcPr>
            <w:tcW w:w="1094" w:type="pct"/>
          </w:tcPr>
          <w:p w14:paraId="72F0E7B0" w14:textId="77777777" w:rsidR="00057CFB" w:rsidRDefault="004D7B74" w:rsidP="00F95D91">
            <w:pPr>
              <w:pStyle w:val="TableParagraph"/>
              <w:numPr>
                <w:ilvl w:val="0"/>
                <w:numId w:val="206"/>
              </w:numPr>
              <w:jc w:val="left"/>
              <w:cnfStyle w:val="010000000000" w:firstRow="0" w:lastRow="1" w:firstColumn="0" w:lastColumn="0" w:oddVBand="0" w:evenVBand="0" w:oddHBand="0" w:evenHBand="0" w:firstRowFirstColumn="0" w:firstRowLastColumn="0" w:lastRowFirstColumn="0" w:lastRowLastColumn="0"/>
            </w:pPr>
            <w:r w:rsidRPr="00057CFB">
              <w:t>Progressive decrease of prevalence towards 15%</w:t>
            </w:r>
          </w:p>
          <w:p w14:paraId="25281B19" w14:textId="77777777" w:rsidR="00057CFB" w:rsidRDefault="004D7B74" w:rsidP="00F95D91">
            <w:pPr>
              <w:pStyle w:val="TableParagraph"/>
              <w:numPr>
                <w:ilvl w:val="0"/>
                <w:numId w:val="206"/>
              </w:numPr>
              <w:jc w:val="left"/>
              <w:cnfStyle w:val="010000000000" w:firstRow="0" w:lastRow="1" w:firstColumn="0" w:lastColumn="0" w:oddVBand="0" w:evenVBand="0" w:oddHBand="0" w:evenHBand="0" w:firstRowFirstColumn="0" w:firstRowLastColumn="0" w:lastRowFirstColumn="0" w:lastRowLastColumn="0"/>
            </w:pPr>
            <w:r w:rsidRPr="00057CFB">
              <w:t xml:space="preserve">Progressive decrease of prevalence </w:t>
            </w:r>
          </w:p>
          <w:p w14:paraId="0B6D5F31" w14:textId="4751B8B7" w:rsidR="004D7B74" w:rsidRPr="00057CFB" w:rsidRDefault="004D7B74" w:rsidP="00F95D91">
            <w:pPr>
              <w:pStyle w:val="TableParagraph"/>
              <w:numPr>
                <w:ilvl w:val="0"/>
                <w:numId w:val="206"/>
              </w:numPr>
              <w:jc w:val="left"/>
              <w:cnfStyle w:val="010000000000" w:firstRow="0" w:lastRow="1" w:firstColumn="0" w:lastColumn="0" w:oddVBand="0" w:evenVBand="0" w:oddHBand="0" w:evenHBand="0" w:firstRowFirstColumn="0" w:firstRowLastColumn="0" w:lastRowFirstColumn="0" w:lastRowLastColumn="0"/>
            </w:pPr>
            <w:r w:rsidRPr="00057CFB">
              <w:t>Progressive decrease towards a reduction of prevalence by at least 5%</w:t>
            </w:r>
          </w:p>
        </w:tc>
        <w:tc>
          <w:tcPr>
            <w:tcW w:w="966" w:type="pct"/>
          </w:tcPr>
          <w:p w14:paraId="7DE99CBC" w14:textId="77777777" w:rsidR="004D7B74" w:rsidRPr="00057CFB" w:rsidRDefault="004D7B74" w:rsidP="00F95D91">
            <w:pPr>
              <w:pStyle w:val="TableParagraph"/>
              <w:numPr>
                <w:ilvl w:val="0"/>
                <w:numId w:val="207"/>
              </w:numPr>
              <w:jc w:val="left"/>
              <w:cnfStyle w:val="010000000000" w:firstRow="0" w:lastRow="1" w:firstColumn="0" w:lastColumn="0" w:oddVBand="0" w:evenVBand="0" w:oddHBand="0" w:evenHBand="0" w:firstRowFirstColumn="0" w:firstRowLastColumn="0" w:lastRowFirstColumn="0" w:lastRowLastColumn="0"/>
            </w:pPr>
            <w:r w:rsidRPr="00057CFB">
              <w:t>Progressive decrease of prevalence towards 15%</w:t>
            </w:r>
          </w:p>
          <w:p w14:paraId="062ED282" w14:textId="77777777" w:rsidR="004D7B74" w:rsidRPr="005B7AC5" w:rsidRDefault="004D7B74" w:rsidP="00F95D91">
            <w:pPr>
              <w:pStyle w:val="ListNumber2"/>
              <w:jc w:val="left"/>
              <w:cnfStyle w:val="010000000000" w:firstRow="0" w:lastRow="1" w:firstColumn="0" w:lastColumn="0" w:oddVBand="0" w:evenVBand="0" w:oddHBand="0" w:evenHBand="0" w:firstRowFirstColumn="0" w:firstRowLastColumn="0" w:lastRowFirstColumn="0" w:lastRowLastColumn="0"/>
            </w:pPr>
            <w:r w:rsidRPr="005B7AC5">
              <w:t xml:space="preserve">Progressive decrease of prevalence </w:t>
            </w:r>
          </w:p>
          <w:p w14:paraId="57F4D1FE" w14:textId="2C613EF1" w:rsidR="004D7B74" w:rsidRPr="00D26D79" w:rsidRDefault="004D7B74" w:rsidP="00F95D91">
            <w:pPr>
              <w:pStyle w:val="ListNumber2"/>
              <w:jc w:val="left"/>
              <w:cnfStyle w:val="010000000000" w:firstRow="0" w:lastRow="1" w:firstColumn="0" w:lastColumn="0" w:oddVBand="0" w:evenVBand="0" w:oddHBand="0" w:evenHBand="0" w:firstRowFirstColumn="0" w:firstRowLastColumn="0" w:lastRowFirstColumn="0" w:lastRowLastColumn="0"/>
              <w:rPr>
                <w:rFonts w:eastAsia="Malgun Gothic"/>
                <w:szCs w:val="18"/>
              </w:rPr>
            </w:pPr>
            <w:r w:rsidRPr="005B7AC5">
              <w:t>Progressive decrease towards a reduction of prevalence by at least 5%</w:t>
            </w:r>
          </w:p>
        </w:tc>
        <w:tc>
          <w:tcPr>
            <w:tcW w:w="1027" w:type="pct"/>
          </w:tcPr>
          <w:p w14:paraId="1CB3AEA8" w14:textId="77777777" w:rsidR="00057CFB" w:rsidRDefault="004D7B74" w:rsidP="00F95D91">
            <w:pPr>
              <w:pStyle w:val="TableParagraph"/>
              <w:numPr>
                <w:ilvl w:val="0"/>
                <w:numId w:val="208"/>
              </w:numPr>
              <w:jc w:val="left"/>
              <w:cnfStyle w:val="010000000000" w:firstRow="0" w:lastRow="1" w:firstColumn="0" w:lastColumn="0" w:oddVBand="0" w:evenVBand="0" w:oddHBand="0" w:evenHBand="0" w:firstRowFirstColumn="0" w:firstRowLastColumn="0" w:lastRowFirstColumn="0" w:lastRowLastColumn="0"/>
            </w:pPr>
            <w:r w:rsidRPr="00057CFB">
              <w:t>Progressive decrease of prevalence towards 15%</w:t>
            </w:r>
          </w:p>
          <w:p w14:paraId="29689781" w14:textId="77777777" w:rsidR="00057CFB" w:rsidRDefault="004D7B74" w:rsidP="00F95D91">
            <w:pPr>
              <w:pStyle w:val="TableParagraph"/>
              <w:numPr>
                <w:ilvl w:val="0"/>
                <w:numId w:val="208"/>
              </w:numPr>
              <w:jc w:val="left"/>
              <w:cnfStyle w:val="010000000000" w:firstRow="0" w:lastRow="1" w:firstColumn="0" w:lastColumn="0" w:oddVBand="0" w:evenVBand="0" w:oddHBand="0" w:evenHBand="0" w:firstRowFirstColumn="0" w:firstRowLastColumn="0" w:lastRowFirstColumn="0" w:lastRowLastColumn="0"/>
            </w:pPr>
            <w:r w:rsidRPr="00057CFB">
              <w:t xml:space="preserve">Progressive decrease of prevalence </w:t>
            </w:r>
          </w:p>
          <w:p w14:paraId="22B8634C" w14:textId="0E3BDBB6" w:rsidR="004D7B74" w:rsidRPr="00057CFB" w:rsidRDefault="004D7B74" w:rsidP="00F95D91">
            <w:pPr>
              <w:pStyle w:val="TableParagraph"/>
              <w:numPr>
                <w:ilvl w:val="0"/>
                <w:numId w:val="208"/>
              </w:numPr>
              <w:jc w:val="left"/>
              <w:cnfStyle w:val="010000000000" w:firstRow="0" w:lastRow="1" w:firstColumn="0" w:lastColumn="0" w:oddVBand="0" w:evenVBand="0" w:oddHBand="0" w:evenHBand="0" w:firstRowFirstColumn="0" w:firstRowLastColumn="0" w:lastRowFirstColumn="0" w:lastRowLastColumn="0"/>
            </w:pPr>
            <w:r w:rsidRPr="00057CFB">
              <w:t>Progressive decrease towards a reduction of prevalence by at least 5%</w:t>
            </w:r>
          </w:p>
        </w:tc>
      </w:tr>
      <w:bookmarkEnd w:id="107"/>
      <w:bookmarkEnd w:id="108"/>
    </w:tbl>
    <w:p w14:paraId="4D2B9352" w14:textId="77777777" w:rsidR="004D7B74" w:rsidRPr="00D26D79" w:rsidRDefault="004D7B74" w:rsidP="00D26D79">
      <w:r w:rsidRPr="00D26D79">
        <w:br w:type="page"/>
      </w:r>
    </w:p>
    <w:p w14:paraId="1BBF8D7A" w14:textId="77777777" w:rsidR="004D7B74" w:rsidRPr="00390086" w:rsidRDefault="004D7B74" w:rsidP="00390086">
      <w:pPr>
        <w:pStyle w:val="Heading2"/>
      </w:pPr>
      <w:bookmarkStart w:id="109" w:name="_Toc171411938"/>
      <w:bookmarkStart w:id="110" w:name="_Toc175293627"/>
      <w:bookmarkStart w:id="111" w:name="_Program_1.6_Primary"/>
      <w:bookmarkStart w:id="112" w:name="_Toc175846500"/>
      <w:bookmarkEnd w:id="111"/>
      <w:r w:rsidRPr="00FA069E">
        <w:lastRenderedPageBreak/>
        <w:t>Program 1.6 Primary Health Care Quality and Coordination</w:t>
      </w:r>
      <w:bookmarkEnd w:id="105"/>
      <w:bookmarkEnd w:id="109"/>
      <w:bookmarkEnd w:id="110"/>
      <w:bookmarkEnd w:id="112"/>
    </w:p>
    <w:p w14:paraId="1EA34F40" w14:textId="77777777" w:rsidR="004D7B74" w:rsidRPr="00390086" w:rsidRDefault="004D7B74" w:rsidP="00390086">
      <w:pPr>
        <w:pStyle w:val="Heading3"/>
      </w:pPr>
      <w:bookmarkStart w:id="113" w:name="_Toc171411939"/>
      <w:bookmarkStart w:id="114" w:name="_Toc175293628"/>
      <w:r w:rsidRPr="00FA069E">
        <w:t>Program Objective</w:t>
      </w:r>
      <w:bookmarkEnd w:id="113"/>
      <w:bookmarkEnd w:id="114"/>
    </w:p>
    <w:p w14:paraId="7A23FA20" w14:textId="6BD83DC5" w:rsidR="004D7B74" w:rsidRPr="00FA069E" w:rsidRDefault="004D7B74" w:rsidP="00D26D79">
      <w:pPr>
        <w:rPr>
          <w:rFonts w:cs="Arial"/>
          <w:i/>
          <w:iCs/>
        </w:rPr>
      </w:pPr>
      <w:r w:rsidRPr="00FA069E">
        <w:rPr>
          <w:rFonts w:cs="Arial"/>
        </w:rPr>
        <w:t xml:space="preserve">Strengthen primary health care by delivering funding to frontline primary health care services and improving the access, delivery, </w:t>
      </w:r>
      <w:proofErr w:type="gramStart"/>
      <w:r w:rsidRPr="00FA069E">
        <w:rPr>
          <w:rFonts w:cs="Arial"/>
        </w:rPr>
        <w:t>quality</w:t>
      </w:r>
      <w:proofErr w:type="gramEnd"/>
      <w:r w:rsidRPr="00FA069E">
        <w:rPr>
          <w:rFonts w:cs="Arial"/>
        </w:rPr>
        <w:t xml:space="preserve"> and coordination of those services. This will help improve health outcomes for patients, particularly people with chronic and/or mental health </w:t>
      </w:r>
      <w:r w:rsidR="00D26D79" w:rsidRPr="00FA069E">
        <w:rPr>
          <w:rFonts w:cs="Arial"/>
        </w:rPr>
        <w:t>conditions and</w:t>
      </w:r>
      <w:r w:rsidRPr="00FA069E">
        <w:rPr>
          <w:rFonts w:cs="Arial"/>
        </w:rPr>
        <w:t xml:space="preserve"> assist in reducing unnecessary hospital visits and admissions.</w:t>
      </w:r>
    </w:p>
    <w:p w14:paraId="4DBDAA03" w14:textId="77777777" w:rsidR="00F95D91" w:rsidRDefault="004D7B74" w:rsidP="00390086">
      <w:pPr>
        <w:pStyle w:val="Keyactivity"/>
      </w:pPr>
      <w:r w:rsidRPr="00D26D79">
        <w:rPr>
          <w:rStyle w:val="Strong"/>
        </w:rPr>
        <w:t>Key Activity 1.6A:</w:t>
      </w:r>
    </w:p>
    <w:p w14:paraId="10FB3B50" w14:textId="344ECA8F" w:rsidR="004D7B74" w:rsidRPr="00D26D79" w:rsidRDefault="004D7B74" w:rsidP="00390086">
      <w:pPr>
        <w:pStyle w:val="Keyactivity"/>
      </w:pPr>
      <w:r w:rsidRPr="00D26D79">
        <w:t>Supporting Primary Health Networks (PHNs) to increase the efficiency, effectiveness, accessibility, and quality of primary health care services, particularly for people at risk of poorer health outcomes, and to improve multidisciplinary care, care coordination and integration.</w:t>
      </w:r>
    </w:p>
    <w:p w14:paraId="3D65A30D" w14:textId="3AA0D0E4" w:rsidR="00FA069E" w:rsidRPr="000E2E96" w:rsidRDefault="000E2E96" w:rsidP="00FA069E">
      <w:pPr>
        <w:rPr>
          <w:rFonts w:cs="Arial"/>
          <w:b/>
          <w:bCs/>
          <w:sz w:val="18"/>
          <w:szCs w:val="18"/>
        </w:rPr>
      </w:pPr>
      <w:r w:rsidRPr="000E2E96">
        <w:rPr>
          <w:rFonts w:cs="Arial"/>
          <w:b/>
          <w:bCs/>
          <w:szCs w:val="20"/>
        </w:rPr>
        <w:t xml:space="preserve">Key </w:t>
      </w:r>
      <w:r w:rsidR="00EE6012">
        <w:rPr>
          <w:rFonts w:cs="Arial"/>
          <w:b/>
          <w:bCs/>
          <w:szCs w:val="20"/>
        </w:rPr>
        <w:t>a</w:t>
      </w:r>
      <w:r w:rsidRPr="000E2E96">
        <w:rPr>
          <w:rFonts w:cs="Arial"/>
          <w:b/>
          <w:bCs/>
          <w:szCs w:val="20"/>
        </w:rPr>
        <w:t>ctivity rationale:</w:t>
      </w:r>
      <w:r>
        <w:rPr>
          <w:rFonts w:cs="Arial"/>
          <w:b/>
          <w:bCs/>
          <w:szCs w:val="20"/>
        </w:rPr>
        <w:t xml:space="preserve"> </w:t>
      </w:r>
      <w:r w:rsidRPr="000E2E96">
        <w:rPr>
          <w:rFonts w:cs="Arial"/>
          <w:szCs w:val="20"/>
        </w:rPr>
        <w:t>The facilitation of Primary Health Networks aims to achieve an integrated, coordinated primary health care system that delivers high quality, patient centred care at a local level.</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1F0C7D2C" w14:textId="77777777" w:rsidTr="00D26D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5A7D96BB" w14:textId="77777777" w:rsidR="004D7B74" w:rsidRPr="000E2E96" w:rsidRDefault="004D7B74" w:rsidP="00823660">
            <w:pPr>
              <w:pStyle w:val="TableTextleftaligned"/>
              <w:rPr>
                <w:b w:val="0"/>
                <w:color w:val="00B050"/>
                <w:sz w:val="22"/>
                <w:szCs w:val="22"/>
              </w:rPr>
            </w:pPr>
            <w:r w:rsidRPr="000E2E96">
              <w:t xml:space="preserve">Measure 1.6A: The number of Primary Health Network regions in which the rate of potentially preventable hospitalisations is declining, based on the latest available Australian Institute of Health and Welfare longitudinal data. </w:t>
            </w:r>
          </w:p>
        </w:tc>
      </w:tr>
      <w:tr w:rsidR="004D7B74" w:rsidRPr="008E3CD6" w14:paraId="7ADC4EB2" w14:textId="77777777" w:rsidTr="00D26D79">
        <w:tc>
          <w:tcPr>
            <w:cnfStyle w:val="001000000000" w:firstRow="0" w:lastRow="0" w:firstColumn="1" w:lastColumn="0" w:oddVBand="0" w:evenVBand="0" w:oddHBand="0" w:evenHBand="0" w:firstRowFirstColumn="0" w:firstRowLastColumn="0" w:lastRowFirstColumn="0" w:lastRowLastColumn="0"/>
            <w:tcW w:w="943" w:type="pct"/>
          </w:tcPr>
          <w:p w14:paraId="3D2ABBE1"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2B7677BD"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This measure evaluates the effectiveness of PHNs in improving health outcomes by measuring the decline of potentially preventable hospitalisations. It demonstrates the department's role in facilitating the operation of PHNs and their primary care activities, including supporting quality improvement, integrating digital health systems in the GP sector, improving management of chronic conditions, improving continuous care, and integrating digital health solutions.</w:t>
            </w:r>
          </w:p>
        </w:tc>
      </w:tr>
      <w:tr w:rsidR="004D7B74" w:rsidRPr="008E3CD6" w14:paraId="782E6DED" w14:textId="77777777" w:rsidTr="00D26D79">
        <w:tc>
          <w:tcPr>
            <w:cnfStyle w:val="001000000000" w:firstRow="0" w:lastRow="0" w:firstColumn="1" w:lastColumn="0" w:oddVBand="0" w:evenVBand="0" w:oddHBand="0" w:evenHBand="0" w:firstRowFirstColumn="0" w:firstRowLastColumn="0" w:lastRowFirstColumn="0" w:lastRowLastColumn="0"/>
            <w:tcW w:w="943" w:type="pct"/>
          </w:tcPr>
          <w:p w14:paraId="70C3F5FA" w14:textId="77777777" w:rsidR="004D7B74" w:rsidRPr="009B277D" w:rsidRDefault="004D7B74" w:rsidP="00CA72A8">
            <w:pPr>
              <w:pStyle w:val="TableTextleftaligned"/>
              <w:spacing w:line="192" w:lineRule="auto"/>
              <w:rPr>
                <w:b w:val="0"/>
                <w:bCs/>
              </w:rPr>
            </w:pPr>
            <w:r w:rsidRPr="009B277D">
              <w:rPr>
                <w:bCs/>
              </w:rPr>
              <w:t>Measure Type</w:t>
            </w:r>
          </w:p>
        </w:tc>
        <w:tc>
          <w:tcPr>
            <w:tcW w:w="4057" w:type="pct"/>
            <w:gridSpan w:val="4"/>
          </w:tcPr>
          <w:p w14:paraId="28C066A4" w14:textId="77777777" w:rsidR="004D7B74" w:rsidRPr="0085050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highlight w:val="yellow"/>
              </w:rPr>
            </w:pPr>
            <w:r>
              <w:t>Quantitative / proxy for effectiveness</w:t>
            </w:r>
            <w:r w:rsidRPr="000F7579">
              <w:rPr>
                <w:highlight w:val="yellow"/>
              </w:rPr>
              <w:t xml:space="preserve"> </w:t>
            </w:r>
          </w:p>
        </w:tc>
      </w:tr>
      <w:tr w:rsidR="004D7B74" w:rsidRPr="008E3CD6" w14:paraId="6F726062" w14:textId="77777777" w:rsidTr="00D26D79">
        <w:tc>
          <w:tcPr>
            <w:cnfStyle w:val="001000000000" w:firstRow="0" w:lastRow="0" w:firstColumn="1" w:lastColumn="0" w:oddVBand="0" w:evenVBand="0" w:oddHBand="0" w:evenHBand="0" w:firstRowFirstColumn="0" w:firstRowLastColumn="0" w:lastRowFirstColumn="0" w:lastRowLastColumn="0"/>
            <w:tcW w:w="943" w:type="pct"/>
          </w:tcPr>
          <w:p w14:paraId="283C20D3" w14:textId="77777777" w:rsidR="004D7B74" w:rsidRDefault="004D7B74" w:rsidP="00CA72A8">
            <w:pPr>
              <w:pStyle w:val="TableTextleftaligned"/>
              <w:spacing w:line="192" w:lineRule="auto"/>
              <w:rPr>
                <w:b w:val="0"/>
                <w:bCs/>
              </w:rPr>
            </w:pPr>
            <w:r w:rsidRPr="009B277D">
              <w:rPr>
                <w:bCs/>
              </w:rPr>
              <w:t>Method</w:t>
            </w:r>
          </w:p>
          <w:p w14:paraId="25C3FEB8" w14:textId="0CEB96A7" w:rsidR="004D7B74" w:rsidRPr="009B277D" w:rsidRDefault="004D7B74" w:rsidP="00CA72A8">
            <w:pPr>
              <w:pStyle w:val="TableTextleftaligned"/>
              <w:spacing w:line="192" w:lineRule="auto"/>
              <w:rPr>
                <w:b w:val="0"/>
                <w:bCs/>
              </w:rPr>
            </w:pPr>
            <w:r w:rsidRPr="00743DC1">
              <w:rPr>
                <w:rFonts w:ascii="Segoe UI" w:hAnsi="Segoe UI" w:cs="Segoe UI"/>
              </w:rPr>
              <w:t>(Data Source and Methodology</w:t>
            </w:r>
            <w:r w:rsidR="005D3FA9">
              <w:rPr>
                <w:rFonts w:ascii="Segoe UI" w:hAnsi="Segoe UI" w:cs="Segoe UI"/>
              </w:rPr>
              <w:t>)</w:t>
            </w:r>
          </w:p>
        </w:tc>
        <w:tc>
          <w:tcPr>
            <w:tcW w:w="4057" w:type="pct"/>
            <w:gridSpan w:val="4"/>
          </w:tcPr>
          <w:p w14:paraId="6B0F97EE"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Pr>
                <w:rFonts w:hint="eastAsia"/>
              </w:rPr>
              <w:t>Data for this measure is sourced from the Potentially Preventable Hospitalisations (PPH) data within the National Hospital Morbidity Database (NHMD), managed by the Australian Institute of Health and Welfare (AIHW).</w:t>
            </w:r>
          </w:p>
          <w:p w14:paraId="5044836A" w14:textId="5337F27B" w:rsidR="004D7B74" w:rsidRPr="00260F3D"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highlight w:val="yellow"/>
              </w:rPr>
            </w:pPr>
            <w:r>
              <w:t>When calculating the PPH measure, the AIHW adopts the Australian Commission on Safety and Quality in Health Care's (ACSQHC's), 'A guide to the potentially preventable hospitalisations indicator in Australia'. This guide is published on the ACQHC's and AIHW's website. The Meteor standard is the Admitted Patient Care National Minimum Data Set</w:t>
            </w:r>
            <w:r w:rsidR="00FD2893">
              <w:t>.</w:t>
            </w:r>
            <w:r w:rsidR="00EE6012">
              <w:rPr>
                <w:rStyle w:val="FootnoteReference"/>
              </w:rPr>
              <w:footnoteReference w:id="34"/>
            </w:r>
            <w:r>
              <w:t xml:space="preserve"> </w:t>
            </w:r>
          </w:p>
        </w:tc>
      </w:tr>
      <w:tr w:rsidR="00FD2893" w:rsidRPr="008E3CD6" w14:paraId="18AF8CBE" w14:textId="77777777" w:rsidTr="00D26D79">
        <w:tc>
          <w:tcPr>
            <w:cnfStyle w:val="001000000000" w:firstRow="0" w:lastRow="0" w:firstColumn="1" w:lastColumn="0" w:oddVBand="0" w:evenVBand="0" w:oddHBand="0" w:evenHBand="0" w:firstRowFirstColumn="0" w:firstRowLastColumn="0" w:lastRowFirstColumn="0" w:lastRowLastColumn="0"/>
            <w:tcW w:w="943" w:type="pct"/>
          </w:tcPr>
          <w:p w14:paraId="27E25199" w14:textId="1DA29350" w:rsidR="00FD2893" w:rsidRPr="009B277D" w:rsidRDefault="00FD2893" w:rsidP="00390086">
            <w:pPr>
              <w:pStyle w:val="TableTextleftaligned"/>
              <w:spacing w:line="192" w:lineRule="auto"/>
              <w:rPr>
                <w:b w:val="0"/>
                <w:bCs/>
              </w:rPr>
            </w:pPr>
            <w:r>
              <w:rPr>
                <w:bCs/>
              </w:rPr>
              <w:t>Linked to 2024–25 Portfolio Budget Statements</w:t>
            </w:r>
          </w:p>
        </w:tc>
        <w:tc>
          <w:tcPr>
            <w:tcW w:w="4057" w:type="pct"/>
            <w:gridSpan w:val="4"/>
          </w:tcPr>
          <w:p w14:paraId="30611D58" w14:textId="297B4D3C" w:rsidR="00FD2893" w:rsidRDefault="00FD2893" w:rsidP="00823660">
            <w:pPr>
              <w:pStyle w:val="TableTextleftaligned"/>
              <w:cnfStyle w:val="000000000000" w:firstRow="0" w:lastRow="0" w:firstColumn="0" w:lastColumn="0" w:oddVBand="0" w:evenVBand="0" w:oddHBand="0" w:evenHBand="0" w:firstRowFirstColumn="0" w:firstRowLastColumn="0" w:lastRowFirstColumn="0" w:lastRowLastColumn="0"/>
            </w:pPr>
            <w:r w:rsidRPr="00553C7F">
              <w:t xml:space="preserve">Program </w:t>
            </w:r>
            <w:r>
              <w:t>1</w:t>
            </w:r>
            <w:r w:rsidRPr="00553C7F">
              <w:t>.</w:t>
            </w:r>
            <w:r>
              <w:t>6</w:t>
            </w:r>
            <w:r w:rsidR="00335BE9">
              <w:t xml:space="preserve"> </w:t>
            </w:r>
            <w:r w:rsidR="00FF27E1">
              <w:t>-</w:t>
            </w:r>
            <w:r>
              <w:t xml:space="preserve"> Primary Health </w:t>
            </w:r>
            <w:r w:rsidR="00335BE9">
              <w:t>Care Quality and Coordination</w:t>
            </w:r>
            <w:r w:rsidRPr="00553C7F">
              <w:t xml:space="preserve"> – page </w:t>
            </w:r>
            <w:r>
              <w:t>6</w:t>
            </w:r>
            <w:r w:rsidR="00335BE9">
              <w:t>6</w:t>
            </w:r>
          </w:p>
        </w:tc>
      </w:tr>
      <w:tr w:rsidR="004D7B74" w:rsidRPr="008E3CD6" w14:paraId="530FF6AF" w14:textId="77777777" w:rsidTr="00390086">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11E87881" w14:textId="77777777" w:rsidR="004D7B74" w:rsidRPr="009B277D" w:rsidRDefault="004D7B74" w:rsidP="00CA72A8">
            <w:pPr>
              <w:pStyle w:val="TableTextleftaligned"/>
              <w:spacing w:line="192" w:lineRule="auto"/>
              <w:rPr>
                <w:b w:val="0"/>
                <w:bCs/>
              </w:rPr>
            </w:pPr>
            <w:r>
              <w:rPr>
                <w:bCs/>
              </w:rPr>
              <w:t>Planned Performance Results</w:t>
            </w:r>
          </w:p>
        </w:tc>
        <w:tc>
          <w:tcPr>
            <w:tcW w:w="1014" w:type="pct"/>
            <w:shd w:val="clear" w:color="auto" w:fill="BFBFBF" w:themeFill="background1" w:themeFillShade="BF"/>
            <w:vAlign w:val="center"/>
          </w:tcPr>
          <w:p w14:paraId="1E63ABBB" w14:textId="77777777" w:rsidR="004D7B74" w:rsidRPr="000E2E96"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0E2E96">
              <w:t>2024–25</w:t>
            </w:r>
          </w:p>
        </w:tc>
        <w:tc>
          <w:tcPr>
            <w:tcW w:w="1015" w:type="pct"/>
            <w:shd w:val="clear" w:color="auto" w:fill="BFBFBF" w:themeFill="background1" w:themeFillShade="BF"/>
            <w:vAlign w:val="center"/>
          </w:tcPr>
          <w:p w14:paraId="70BFE79E" w14:textId="77777777" w:rsidR="004D7B74" w:rsidRPr="000E2E96"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0E2E96">
              <w:t>2025–26</w:t>
            </w:r>
          </w:p>
        </w:tc>
        <w:tc>
          <w:tcPr>
            <w:tcW w:w="1015" w:type="pct"/>
            <w:shd w:val="clear" w:color="auto" w:fill="BFBFBF" w:themeFill="background1" w:themeFillShade="BF"/>
            <w:vAlign w:val="center"/>
          </w:tcPr>
          <w:p w14:paraId="0D258B91" w14:textId="77777777" w:rsidR="004D7B74" w:rsidRPr="000E2E96"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0E2E96">
              <w:t>2026–27</w:t>
            </w:r>
          </w:p>
        </w:tc>
        <w:tc>
          <w:tcPr>
            <w:tcW w:w="1013" w:type="pct"/>
            <w:shd w:val="clear" w:color="auto" w:fill="BFBFBF" w:themeFill="background1" w:themeFillShade="BF"/>
            <w:vAlign w:val="center"/>
          </w:tcPr>
          <w:p w14:paraId="7467F431" w14:textId="77777777" w:rsidR="004D7B74" w:rsidRPr="000E2E96" w:rsidRDefault="004D7B74" w:rsidP="00D26D79">
            <w:pPr>
              <w:pStyle w:val="TableTextstrong"/>
              <w:cnfStyle w:val="000000000000" w:firstRow="0" w:lastRow="0" w:firstColumn="0" w:lastColumn="0" w:oddVBand="0" w:evenVBand="0" w:oddHBand="0" w:evenHBand="0" w:firstRowFirstColumn="0" w:firstRowLastColumn="0" w:lastRowFirstColumn="0" w:lastRowLastColumn="0"/>
            </w:pPr>
            <w:r w:rsidRPr="000E2E96">
              <w:t>2027–28</w:t>
            </w:r>
          </w:p>
        </w:tc>
      </w:tr>
      <w:tr w:rsidR="004D7B74" w:rsidRPr="008E3CD6" w14:paraId="5AE72960" w14:textId="77777777" w:rsidTr="00D26D7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26776D38" w14:textId="77777777" w:rsidR="004D7B74" w:rsidRPr="009B277D" w:rsidRDefault="004D7B74" w:rsidP="00CA72A8">
            <w:pPr>
              <w:pStyle w:val="TableTextleftaligned"/>
              <w:spacing w:line="192" w:lineRule="auto"/>
              <w:rPr>
                <w:b w:val="0"/>
                <w:bCs/>
              </w:rPr>
            </w:pPr>
          </w:p>
        </w:tc>
        <w:tc>
          <w:tcPr>
            <w:tcW w:w="1014" w:type="pct"/>
          </w:tcPr>
          <w:p w14:paraId="4EA5C86C" w14:textId="77777777" w:rsidR="004D7B74" w:rsidRPr="003D2A17"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rPr>
                <w:highlight w:val="yellow"/>
              </w:rPr>
            </w:pPr>
            <w:r w:rsidRPr="001B30AD">
              <w:t>28</w:t>
            </w:r>
          </w:p>
        </w:tc>
        <w:tc>
          <w:tcPr>
            <w:tcW w:w="1015" w:type="pct"/>
          </w:tcPr>
          <w:p w14:paraId="4906B139" w14:textId="77777777" w:rsidR="004D7B74" w:rsidRPr="001B30A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1B30AD">
              <w:t>29</w:t>
            </w:r>
          </w:p>
        </w:tc>
        <w:tc>
          <w:tcPr>
            <w:tcW w:w="1015" w:type="pct"/>
          </w:tcPr>
          <w:p w14:paraId="20C9B751" w14:textId="77777777" w:rsidR="004D7B74" w:rsidRPr="001B30A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1B30AD">
              <w:t>30</w:t>
            </w:r>
          </w:p>
        </w:tc>
        <w:tc>
          <w:tcPr>
            <w:tcW w:w="1013" w:type="pct"/>
          </w:tcPr>
          <w:p w14:paraId="758A6F92" w14:textId="77777777" w:rsidR="004D7B74" w:rsidRPr="001B30A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1B30AD">
              <w:t>3</w:t>
            </w:r>
            <w:r>
              <w:t>1</w:t>
            </w:r>
          </w:p>
        </w:tc>
      </w:tr>
    </w:tbl>
    <w:p w14:paraId="59C58B90" w14:textId="77777777" w:rsidR="00390086" w:rsidRDefault="00390086">
      <w:bookmarkStart w:id="115" w:name="_Toc166069792"/>
      <w:r>
        <w:br w:type="page"/>
      </w:r>
    </w:p>
    <w:p w14:paraId="2932E450" w14:textId="660A3EC9" w:rsidR="001D2DBC" w:rsidRPr="00390086" w:rsidRDefault="004D7B74" w:rsidP="00390086">
      <w:pPr>
        <w:pStyle w:val="Keyactivity"/>
      </w:pPr>
      <w:r w:rsidRPr="00D26D79">
        <w:rPr>
          <w:rStyle w:val="Strong"/>
        </w:rPr>
        <w:lastRenderedPageBreak/>
        <w:t>Key Activity 1.6B</w:t>
      </w:r>
      <w:r w:rsidR="00464CC0" w:rsidRPr="00D26D79">
        <w:rPr>
          <w:rStyle w:val="Strong"/>
        </w:rPr>
        <w:t xml:space="preserve"> and C</w:t>
      </w:r>
      <w:r w:rsidR="00A02A8D" w:rsidRPr="007E169B">
        <w:rPr>
          <w:rStyle w:val="FootnoteReference"/>
          <w:rFonts w:cs="Arial"/>
          <w:b/>
          <w:bCs/>
          <w:sz w:val="18"/>
          <w:szCs w:val="18"/>
        </w:rPr>
        <w:footnoteReference w:id="35"/>
      </w:r>
      <w:r w:rsidRPr="007E169B">
        <w:rPr>
          <w:b/>
          <w:bCs/>
          <w:sz w:val="24"/>
          <w:szCs w:val="24"/>
        </w:rPr>
        <w:t>:</w:t>
      </w:r>
      <w:r w:rsidRPr="007E169B">
        <w:rPr>
          <w:sz w:val="24"/>
          <w:szCs w:val="24"/>
        </w:rPr>
        <w:t xml:space="preserve"> </w:t>
      </w:r>
      <w:r w:rsidRPr="007E169B">
        <w:t xml:space="preserve">Support access to health care information and advice through </w:t>
      </w:r>
      <w:proofErr w:type="spellStart"/>
      <w:r w:rsidRPr="007E169B">
        <w:t>Healthdirect</w:t>
      </w:r>
      <w:proofErr w:type="spellEnd"/>
      <w:r w:rsidRPr="007E169B">
        <w:t xml:space="preserve"> Australia.</w:t>
      </w:r>
    </w:p>
    <w:p w14:paraId="3ACCDA56" w14:textId="5006AAD9" w:rsidR="007E169B" w:rsidRPr="008B0F1C" w:rsidRDefault="008B0F1C" w:rsidP="00B74F39">
      <w:pPr>
        <w:rPr>
          <w:rFonts w:cs="Arial"/>
          <w:szCs w:val="20"/>
        </w:rPr>
      </w:pPr>
      <w:r>
        <w:rPr>
          <w:rFonts w:cs="Arial"/>
          <w:b/>
          <w:bCs/>
          <w:szCs w:val="20"/>
        </w:rPr>
        <w:t xml:space="preserve">Key </w:t>
      </w:r>
      <w:r w:rsidR="00EE6012">
        <w:rPr>
          <w:rFonts w:cs="Arial"/>
          <w:b/>
          <w:bCs/>
          <w:szCs w:val="20"/>
        </w:rPr>
        <w:t>a</w:t>
      </w:r>
      <w:r>
        <w:rPr>
          <w:rFonts w:cs="Arial"/>
          <w:b/>
          <w:bCs/>
          <w:szCs w:val="20"/>
        </w:rPr>
        <w:t>ctivity rationale:</w:t>
      </w:r>
      <w:r w:rsidRPr="008B0F1C">
        <w:rPr>
          <w:rFonts w:cs="Arial"/>
          <w:sz w:val="18"/>
          <w:szCs w:val="18"/>
        </w:rPr>
        <w:t xml:space="preserve"> </w:t>
      </w:r>
      <w:r w:rsidRPr="008B0F1C">
        <w:rPr>
          <w:rFonts w:cs="Arial"/>
          <w:szCs w:val="20"/>
        </w:rPr>
        <w:t xml:space="preserve">Supporting access of health care information and advice through </w:t>
      </w:r>
      <w:proofErr w:type="spellStart"/>
      <w:r w:rsidRPr="008B0F1C">
        <w:rPr>
          <w:rFonts w:cs="Arial"/>
          <w:szCs w:val="20"/>
        </w:rPr>
        <w:t>Healthdirect</w:t>
      </w:r>
      <w:proofErr w:type="spellEnd"/>
      <w:r w:rsidRPr="008B0F1C">
        <w:rPr>
          <w:rFonts w:cs="Arial"/>
          <w:szCs w:val="20"/>
        </w:rPr>
        <w:t xml:space="preserve"> Australia assists with connecting Australians virtually to a variety of Primary Care Services.</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453F48EA" w14:textId="77777777" w:rsidTr="003900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1CA01B2D" w14:textId="77777777" w:rsidR="004D7B74" w:rsidRPr="00141D64" w:rsidRDefault="004D7B74" w:rsidP="00390086">
            <w:pPr>
              <w:spacing w:after="120" w:line="192" w:lineRule="auto"/>
              <w:rPr>
                <w:rFonts w:ascii="Malgun Gothic" w:eastAsia="Malgun Gothic" w:hAnsi="Malgun Gothic"/>
                <w:b w:val="0"/>
                <w:bCs/>
                <w:color w:val="FFFFFF" w:themeColor="background1"/>
                <w:sz w:val="18"/>
                <w:szCs w:val="18"/>
              </w:rPr>
            </w:pPr>
            <w:r w:rsidRPr="00141D64">
              <w:rPr>
                <w:rFonts w:ascii="Malgun Gothic" w:eastAsia="Malgun Gothic" w:hAnsi="Malgun Gothic" w:hint="eastAsia"/>
                <w:bCs/>
                <w:sz w:val="18"/>
                <w:szCs w:val="18"/>
              </w:rPr>
              <w:t>Measure 1.6B: The number of calls handled on the Health Information and Advice phone line.</w:t>
            </w:r>
          </w:p>
        </w:tc>
      </w:tr>
      <w:tr w:rsidR="004D7B74" w:rsidRPr="008E3CD6" w14:paraId="33C7FBD0" w14:textId="77777777" w:rsidTr="00390086">
        <w:tc>
          <w:tcPr>
            <w:cnfStyle w:val="001000000000" w:firstRow="0" w:lastRow="0" w:firstColumn="1" w:lastColumn="0" w:oddVBand="0" w:evenVBand="0" w:oddHBand="0" w:evenHBand="0" w:firstRowFirstColumn="0" w:firstRowLastColumn="0" w:lastRowFirstColumn="0" w:lastRowLastColumn="0"/>
            <w:tcW w:w="943" w:type="pct"/>
          </w:tcPr>
          <w:p w14:paraId="27DD225C" w14:textId="77777777" w:rsidR="004D7B74" w:rsidRPr="00390086" w:rsidRDefault="004D7B74" w:rsidP="00390086">
            <w:pPr>
              <w:pStyle w:val="TableTextleftaligned"/>
            </w:pPr>
            <w:r w:rsidRPr="00390086">
              <w:t>Rationale</w:t>
            </w:r>
          </w:p>
        </w:tc>
        <w:tc>
          <w:tcPr>
            <w:tcW w:w="4057" w:type="pct"/>
            <w:gridSpan w:val="4"/>
          </w:tcPr>
          <w:p w14:paraId="697BE5BB" w14:textId="77777777" w:rsidR="004D7B74" w:rsidRPr="00390086"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sidRPr="00390086">
              <w:rPr>
                <w:rFonts w:hint="eastAsia"/>
              </w:rPr>
              <w:t>The performance measure demonstrates the department</w:t>
            </w:r>
            <w:r w:rsidRPr="00390086">
              <w:rPr>
                <w:rFonts w:hint="eastAsia"/>
              </w:rPr>
              <w:t>’</w:t>
            </w:r>
            <w:r w:rsidRPr="00390086">
              <w:rPr>
                <w:rFonts w:hint="eastAsia"/>
              </w:rPr>
              <w:t xml:space="preserve">s performance against the program objective by quantifying the volume of calls handled by </w:t>
            </w:r>
            <w:proofErr w:type="spellStart"/>
            <w:r w:rsidRPr="00390086">
              <w:rPr>
                <w:rFonts w:hint="eastAsia"/>
              </w:rPr>
              <w:t>Healthdirect's</w:t>
            </w:r>
            <w:proofErr w:type="spellEnd"/>
            <w:r w:rsidRPr="00390086">
              <w:rPr>
                <w:rFonts w:hint="eastAsia"/>
              </w:rPr>
              <w:t xml:space="preserve"> primary service, the Health Information and Advice phone line.  </w:t>
            </w:r>
          </w:p>
          <w:p w14:paraId="51292D9F" w14:textId="77777777" w:rsidR="004D7B74" w:rsidRPr="00390086"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sidRPr="00390086">
              <w:rPr>
                <w:rFonts w:hint="eastAsia"/>
              </w:rPr>
              <w:t xml:space="preserve">This phone line acts as the </w:t>
            </w:r>
            <w:r w:rsidRPr="00390086">
              <w:rPr>
                <w:rFonts w:hint="eastAsia"/>
              </w:rPr>
              <w:t>‘</w:t>
            </w:r>
            <w:r w:rsidRPr="00390086">
              <w:rPr>
                <w:rFonts w:hint="eastAsia"/>
              </w:rPr>
              <w:t>front-door</w:t>
            </w:r>
            <w:r w:rsidRPr="00390086">
              <w:rPr>
                <w:rFonts w:hint="eastAsia"/>
              </w:rPr>
              <w:t>’</w:t>
            </w:r>
            <w:r w:rsidRPr="00390086">
              <w:rPr>
                <w:rFonts w:hint="eastAsia"/>
              </w:rPr>
              <w:t xml:space="preserve"> for all services provided by </w:t>
            </w:r>
            <w:proofErr w:type="spellStart"/>
            <w:r w:rsidRPr="00390086">
              <w:rPr>
                <w:rFonts w:hint="eastAsia"/>
              </w:rPr>
              <w:t>Healthdirect</w:t>
            </w:r>
            <w:proofErr w:type="spellEnd"/>
            <w:r w:rsidRPr="00390086">
              <w:rPr>
                <w:rFonts w:hint="eastAsia"/>
              </w:rPr>
              <w:t xml:space="preserve"> and represents the majority (74.4%) of handled calls. It serves as the initial point of contact for consumers with subsequent services accessed only after contact through this line.</w:t>
            </w:r>
          </w:p>
        </w:tc>
      </w:tr>
      <w:tr w:rsidR="004D7B74" w:rsidRPr="008E3CD6" w14:paraId="6C3E8F68" w14:textId="77777777" w:rsidTr="00390086">
        <w:tc>
          <w:tcPr>
            <w:cnfStyle w:val="001000000000" w:firstRow="0" w:lastRow="0" w:firstColumn="1" w:lastColumn="0" w:oddVBand="0" w:evenVBand="0" w:oddHBand="0" w:evenHBand="0" w:firstRowFirstColumn="0" w:firstRowLastColumn="0" w:lastRowFirstColumn="0" w:lastRowLastColumn="0"/>
            <w:tcW w:w="943" w:type="pct"/>
          </w:tcPr>
          <w:p w14:paraId="1A14263E" w14:textId="77777777" w:rsidR="004D7B74" w:rsidRPr="00390086" w:rsidRDefault="004D7B74" w:rsidP="00390086">
            <w:pPr>
              <w:pStyle w:val="TableTextleftaligned"/>
            </w:pPr>
            <w:r w:rsidRPr="00390086">
              <w:t>Measure Type</w:t>
            </w:r>
          </w:p>
        </w:tc>
        <w:tc>
          <w:tcPr>
            <w:tcW w:w="4057" w:type="pct"/>
            <w:gridSpan w:val="4"/>
          </w:tcPr>
          <w:p w14:paraId="120BDD89" w14:textId="77777777" w:rsidR="004D7B74" w:rsidRPr="00390086"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rPr>
                <w:highlight w:val="yellow"/>
              </w:rPr>
            </w:pPr>
            <w:r w:rsidRPr="00390086">
              <w:rPr>
                <w:rFonts w:hint="eastAsia"/>
              </w:rPr>
              <w:t>Quantitative / Output</w:t>
            </w:r>
          </w:p>
        </w:tc>
      </w:tr>
      <w:tr w:rsidR="004D7B74" w:rsidRPr="008E3CD6" w14:paraId="34E66006" w14:textId="77777777" w:rsidTr="00390086">
        <w:tc>
          <w:tcPr>
            <w:cnfStyle w:val="001000000000" w:firstRow="0" w:lastRow="0" w:firstColumn="1" w:lastColumn="0" w:oddVBand="0" w:evenVBand="0" w:oddHBand="0" w:evenHBand="0" w:firstRowFirstColumn="0" w:firstRowLastColumn="0" w:lastRowFirstColumn="0" w:lastRowLastColumn="0"/>
            <w:tcW w:w="943" w:type="pct"/>
          </w:tcPr>
          <w:p w14:paraId="0F898720" w14:textId="1FA114CD" w:rsidR="004D7B74" w:rsidRPr="00390086" w:rsidRDefault="004D7B74" w:rsidP="00390086">
            <w:pPr>
              <w:pStyle w:val="TableTextleftaligned"/>
            </w:pPr>
            <w:r w:rsidRPr="00390086">
              <w:t>Method</w:t>
            </w:r>
            <w:r w:rsidR="00390086" w:rsidRPr="00390086">
              <w:t xml:space="preserve"> </w:t>
            </w:r>
            <w:r w:rsidRPr="00390086">
              <w:t>(Data Source and Methodology</w:t>
            </w:r>
            <w:r w:rsidR="005D3FA9" w:rsidRPr="00390086">
              <w:t>)</w:t>
            </w:r>
          </w:p>
        </w:tc>
        <w:tc>
          <w:tcPr>
            <w:tcW w:w="4057" w:type="pct"/>
            <w:gridSpan w:val="4"/>
          </w:tcPr>
          <w:p w14:paraId="2A1196EA" w14:textId="77777777" w:rsidR="004D7B74" w:rsidRPr="00390086"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sidRPr="00390086">
              <w:rPr>
                <w:rFonts w:hint="eastAsia"/>
              </w:rPr>
              <w:t xml:space="preserve">Data for this performance measure is sourced from de-identified unit record data from </w:t>
            </w:r>
            <w:proofErr w:type="spellStart"/>
            <w:r w:rsidRPr="00390086">
              <w:rPr>
                <w:rFonts w:hint="eastAsia"/>
              </w:rPr>
              <w:t>Healthdirect's</w:t>
            </w:r>
            <w:proofErr w:type="spellEnd"/>
            <w:r w:rsidRPr="00390086">
              <w:rPr>
                <w:rFonts w:hint="eastAsia"/>
              </w:rPr>
              <w:t xml:space="preserve"> Client Relationship Management (CRM) software. </w:t>
            </w:r>
          </w:p>
          <w:p w14:paraId="7FD76300" w14:textId="77777777" w:rsidR="004D7B74" w:rsidRPr="00390086"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sidRPr="00390086">
              <w:rPr>
                <w:rFonts w:hint="eastAsia"/>
              </w:rPr>
              <w:t xml:space="preserve">PM Result = A </w:t>
            </w:r>
            <w:r w:rsidRPr="00390086">
              <w:rPr>
                <w:rFonts w:hint="eastAsia"/>
              </w:rPr>
              <w:t>–</w:t>
            </w:r>
            <w:r w:rsidRPr="00390086">
              <w:rPr>
                <w:rFonts w:hint="eastAsia"/>
              </w:rPr>
              <w:t xml:space="preserve"> B, where:</w:t>
            </w:r>
          </w:p>
          <w:p w14:paraId="487ACB82" w14:textId="77777777" w:rsidR="008B538A" w:rsidRPr="00390086" w:rsidRDefault="004D7B74" w:rsidP="00390086">
            <w:pPr>
              <w:pStyle w:val="ListBullet2"/>
              <w:cnfStyle w:val="000000000000" w:firstRow="0" w:lastRow="0" w:firstColumn="0" w:lastColumn="0" w:oddVBand="0" w:evenVBand="0" w:oddHBand="0" w:evenHBand="0" w:firstRowFirstColumn="0" w:firstRowLastColumn="0" w:lastRowFirstColumn="0" w:lastRowLastColumn="0"/>
              <w:rPr>
                <w:rFonts w:eastAsia="Malgun Gothic"/>
              </w:rPr>
            </w:pPr>
            <w:r w:rsidRPr="00390086">
              <w:rPr>
                <w:rFonts w:eastAsia="Malgun Gothic" w:hint="eastAsia"/>
              </w:rPr>
              <w:t>A = The total number of calls handled by the Health Information and Advice phone line.</w:t>
            </w:r>
          </w:p>
          <w:p w14:paraId="1BD0D0C9" w14:textId="2F7C23EB" w:rsidR="004D7B74" w:rsidRPr="00390086" w:rsidRDefault="004D7B74" w:rsidP="00390086">
            <w:pPr>
              <w:pStyle w:val="ListBullet2"/>
              <w:cnfStyle w:val="000000000000" w:firstRow="0" w:lastRow="0" w:firstColumn="0" w:lastColumn="0" w:oddVBand="0" w:evenVBand="0" w:oddHBand="0" w:evenHBand="0" w:firstRowFirstColumn="0" w:firstRowLastColumn="0" w:lastRowFirstColumn="0" w:lastRowLastColumn="0"/>
              <w:rPr>
                <w:rFonts w:eastAsia="Malgun Gothic"/>
              </w:rPr>
            </w:pPr>
            <w:r w:rsidRPr="00390086">
              <w:rPr>
                <w:rFonts w:eastAsia="Malgun Gothic" w:hint="eastAsia"/>
              </w:rPr>
              <w:t>B = Ineligible calls by the Health Information and Advice phone line (e.g. wrong number).</w:t>
            </w:r>
          </w:p>
        </w:tc>
      </w:tr>
      <w:tr w:rsidR="00335BE9" w:rsidRPr="008E3CD6" w14:paraId="5E936B8D" w14:textId="77777777" w:rsidTr="00390086">
        <w:tc>
          <w:tcPr>
            <w:cnfStyle w:val="001000000000" w:firstRow="0" w:lastRow="0" w:firstColumn="1" w:lastColumn="0" w:oddVBand="0" w:evenVBand="0" w:oddHBand="0" w:evenHBand="0" w:firstRowFirstColumn="0" w:firstRowLastColumn="0" w:lastRowFirstColumn="0" w:lastRowLastColumn="0"/>
            <w:tcW w:w="943" w:type="pct"/>
          </w:tcPr>
          <w:p w14:paraId="4AF359B7" w14:textId="1D5FDD8D" w:rsidR="00335BE9" w:rsidRPr="00390086" w:rsidRDefault="00335BE9" w:rsidP="00390086">
            <w:pPr>
              <w:pStyle w:val="TableTextleftaligned"/>
            </w:pPr>
            <w:r w:rsidRPr="00390086">
              <w:t xml:space="preserve">Linked </w:t>
            </w:r>
            <w:proofErr w:type="gramStart"/>
            <w:r w:rsidRPr="00390086">
              <w:t xml:space="preserve">to </w:t>
            </w:r>
            <w:r w:rsidR="00390086" w:rsidRPr="00390086">
              <w:t xml:space="preserve"> </w:t>
            </w:r>
            <w:r w:rsidRPr="00390086">
              <w:t>2024</w:t>
            </w:r>
            <w:proofErr w:type="gramEnd"/>
            <w:r w:rsidRPr="00390086">
              <w:t>–25 Portfolio Budget Statements</w:t>
            </w:r>
          </w:p>
        </w:tc>
        <w:tc>
          <w:tcPr>
            <w:tcW w:w="4057" w:type="pct"/>
            <w:gridSpan w:val="4"/>
          </w:tcPr>
          <w:p w14:paraId="74C5AD39" w14:textId="13F63DBA" w:rsidR="00335BE9" w:rsidRPr="00390086" w:rsidRDefault="00335BE9" w:rsidP="00390086">
            <w:pPr>
              <w:pStyle w:val="TableTextleftaligned"/>
              <w:cnfStyle w:val="000000000000" w:firstRow="0" w:lastRow="0" w:firstColumn="0" w:lastColumn="0" w:oddVBand="0" w:evenVBand="0" w:oddHBand="0" w:evenHBand="0" w:firstRowFirstColumn="0" w:firstRowLastColumn="0" w:lastRowFirstColumn="0" w:lastRowLastColumn="0"/>
            </w:pPr>
            <w:r w:rsidRPr="00390086">
              <w:t>Program 1.6</w:t>
            </w:r>
            <w:r w:rsidR="00FF27E1" w:rsidRPr="00390086">
              <w:t xml:space="preserve"> -</w:t>
            </w:r>
            <w:r w:rsidRPr="00390086">
              <w:t xml:space="preserve"> Primary Health Care Quality and Coordination – new performance measure</w:t>
            </w:r>
            <w:r w:rsidR="00AC3F36" w:rsidRPr="00390086">
              <w:t>.</w:t>
            </w:r>
            <w:r w:rsidRPr="00390086">
              <w:t xml:space="preserve"> </w:t>
            </w:r>
          </w:p>
        </w:tc>
      </w:tr>
      <w:tr w:rsidR="004D7B74" w:rsidRPr="008E3CD6" w14:paraId="08A8118E" w14:textId="77777777" w:rsidTr="00390086">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04FE9815" w14:textId="77777777" w:rsidR="004D7B74" w:rsidRPr="00390086" w:rsidRDefault="004D7B74" w:rsidP="00390086">
            <w:pPr>
              <w:pStyle w:val="TableTextleftaligned"/>
            </w:pPr>
            <w:r w:rsidRPr="00390086">
              <w:t>Planned Performance Results</w:t>
            </w:r>
          </w:p>
        </w:tc>
        <w:tc>
          <w:tcPr>
            <w:tcW w:w="1014" w:type="pct"/>
            <w:shd w:val="clear" w:color="auto" w:fill="BFBFBF" w:themeFill="background1" w:themeFillShade="BF"/>
            <w:vAlign w:val="center"/>
          </w:tcPr>
          <w:p w14:paraId="361CFF33" w14:textId="77777777" w:rsidR="004D7B74" w:rsidRPr="00141D64"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141D64">
              <w:t>2024–25</w:t>
            </w:r>
          </w:p>
        </w:tc>
        <w:tc>
          <w:tcPr>
            <w:tcW w:w="1015" w:type="pct"/>
            <w:shd w:val="clear" w:color="auto" w:fill="BFBFBF" w:themeFill="background1" w:themeFillShade="BF"/>
            <w:vAlign w:val="center"/>
          </w:tcPr>
          <w:p w14:paraId="11770964" w14:textId="77777777" w:rsidR="004D7B74" w:rsidRPr="00141D64"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141D64">
              <w:t>2025–26</w:t>
            </w:r>
          </w:p>
        </w:tc>
        <w:tc>
          <w:tcPr>
            <w:tcW w:w="1015" w:type="pct"/>
            <w:shd w:val="clear" w:color="auto" w:fill="BFBFBF" w:themeFill="background1" w:themeFillShade="BF"/>
            <w:vAlign w:val="center"/>
          </w:tcPr>
          <w:p w14:paraId="1EB00E35" w14:textId="77777777" w:rsidR="004D7B74" w:rsidRPr="00141D64"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141D64">
              <w:t>2026–27</w:t>
            </w:r>
          </w:p>
        </w:tc>
        <w:tc>
          <w:tcPr>
            <w:tcW w:w="1013" w:type="pct"/>
            <w:shd w:val="clear" w:color="auto" w:fill="BFBFBF" w:themeFill="background1" w:themeFillShade="BF"/>
            <w:vAlign w:val="center"/>
          </w:tcPr>
          <w:p w14:paraId="631DC8AA" w14:textId="77777777" w:rsidR="004D7B74" w:rsidRPr="00141D64"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141D64">
              <w:t>2027–28</w:t>
            </w:r>
          </w:p>
        </w:tc>
      </w:tr>
      <w:tr w:rsidR="004D7B74" w:rsidRPr="008E3CD6" w14:paraId="01E3D786" w14:textId="77777777" w:rsidTr="003900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32B6285D" w14:textId="77777777" w:rsidR="004D7B74" w:rsidRPr="009B277D" w:rsidRDefault="004D7B74" w:rsidP="00CA72A8">
            <w:pPr>
              <w:pStyle w:val="TableTextleftaligned"/>
              <w:spacing w:line="192" w:lineRule="auto"/>
              <w:rPr>
                <w:b w:val="0"/>
                <w:bCs/>
              </w:rPr>
            </w:pPr>
          </w:p>
        </w:tc>
        <w:tc>
          <w:tcPr>
            <w:tcW w:w="1014" w:type="pct"/>
          </w:tcPr>
          <w:p w14:paraId="11373EF8" w14:textId="77777777" w:rsidR="004D7B74" w:rsidRPr="003D2A17"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rPr>
                <w:highlight w:val="yellow"/>
              </w:rPr>
            </w:pPr>
            <w:r>
              <w:t>1,393,795</w:t>
            </w:r>
          </w:p>
        </w:tc>
        <w:tc>
          <w:tcPr>
            <w:tcW w:w="1015" w:type="pct"/>
          </w:tcPr>
          <w:p w14:paraId="0F777901" w14:textId="77777777" w:rsidR="004D7B74" w:rsidRPr="001B30A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t>1,465,954</w:t>
            </w:r>
          </w:p>
        </w:tc>
        <w:tc>
          <w:tcPr>
            <w:tcW w:w="1015" w:type="pct"/>
          </w:tcPr>
          <w:p w14:paraId="7569C4B9" w14:textId="77777777" w:rsidR="004D7B74" w:rsidRPr="001B30A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t>1,443,005</w:t>
            </w:r>
          </w:p>
        </w:tc>
        <w:tc>
          <w:tcPr>
            <w:tcW w:w="1013" w:type="pct"/>
          </w:tcPr>
          <w:p w14:paraId="75ACD13C" w14:textId="77777777" w:rsidR="004D7B74" w:rsidRPr="001B30A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t>1,511,115</w:t>
            </w:r>
          </w:p>
        </w:tc>
      </w:tr>
    </w:tbl>
    <w:p w14:paraId="1CCFD260" w14:textId="77777777" w:rsidR="004D7B74" w:rsidRPr="00390086" w:rsidRDefault="004D7B74" w:rsidP="00390086"/>
    <w:tbl>
      <w:tblPr>
        <w:tblStyle w:val="TableGridLight"/>
        <w:tblW w:w="5000" w:type="pct"/>
        <w:tblLook w:val="01E0" w:firstRow="1" w:lastRow="1" w:firstColumn="1" w:lastColumn="1" w:noHBand="0" w:noVBand="0"/>
      </w:tblPr>
      <w:tblGrid>
        <w:gridCol w:w="1701"/>
        <w:gridCol w:w="1828"/>
        <w:gridCol w:w="1830"/>
        <w:gridCol w:w="1830"/>
        <w:gridCol w:w="1827"/>
      </w:tblGrid>
      <w:tr w:rsidR="004D7B74" w14:paraId="75266421" w14:textId="77777777" w:rsidTr="003900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A583643" w14:textId="77777777" w:rsidR="004D7B74" w:rsidRPr="00390086" w:rsidRDefault="004D7B74" w:rsidP="00390086">
            <w:r w:rsidRPr="0087155A">
              <w:rPr>
                <w:rFonts w:ascii="Malgun Gothic" w:eastAsia="Malgun Gothic" w:hAnsi="Malgun Gothic" w:hint="eastAsia"/>
                <w:bCs/>
                <w:sz w:val="18"/>
                <w:szCs w:val="18"/>
              </w:rPr>
              <w:t>Measure 1.6C: The proportion of calls received on the Health Information and Advice phone line that are handled.</w:t>
            </w:r>
          </w:p>
        </w:tc>
      </w:tr>
      <w:tr w:rsidR="004D7B74" w14:paraId="7F04F50E" w14:textId="77777777" w:rsidTr="00390086">
        <w:tc>
          <w:tcPr>
            <w:cnfStyle w:val="001000000000" w:firstRow="0" w:lastRow="0" w:firstColumn="1" w:lastColumn="0" w:oddVBand="0" w:evenVBand="0" w:oddHBand="0" w:evenHBand="0" w:firstRowFirstColumn="0" w:firstRowLastColumn="0" w:lastRowFirstColumn="0" w:lastRowLastColumn="0"/>
            <w:tcW w:w="943" w:type="pct"/>
            <w:hideMark/>
          </w:tcPr>
          <w:p w14:paraId="5CDC443E" w14:textId="77777777" w:rsidR="004D7B74" w:rsidRDefault="004D7B74" w:rsidP="00390086">
            <w:pPr>
              <w:pStyle w:val="TableTextleftaligned"/>
              <w:rPr>
                <w:b w:val="0"/>
              </w:rPr>
            </w:pPr>
            <w:r>
              <w:rPr>
                <w:rFonts w:hint="eastAsia"/>
              </w:rPr>
              <w:t>Rationale</w:t>
            </w:r>
          </w:p>
        </w:tc>
        <w:tc>
          <w:tcPr>
            <w:tcW w:w="4057" w:type="pct"/>
            <w:gridSpan w:val="4"/>
            <w:hideMark/>
          </w:tcPr>
          <w:p w14:paraId="0932DAEA" w14:textId="77777777" w:rsidR="004D7B74"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Pr>
                <w:rFonts w:hint="eastAsia"/>
              </w:rPr>
              <w:t xml:space="preserve">This measure complements performance measure 1.6B by assessing the proportion of services demanded that were handled by </w:t>
            </w:r>
            <w:proofErr w:type="spellStart"/>
            <w:r>
              <w:rPr>
                <w:rFonts w:hint="eastAsia"/>
              </w:rPr>
              <w:t>Healthdirect</w:t>
            </w:r>
            <w:proofErr w:type="spellEnd"/>
            <w:r>
              <w:rPr>
                <w:rFonts w:hint="eastAsia"/>
              </w:rPr>
              <w:t xml:space="preserve">. It evaluates the department's performance against the program objective by focusing on how effectively </w:t>
            </w:r>
            <w:proofErr w:type="spellStart"/>
            <w:r>
              <w:rPr>
                <w:rFonts w:hint="eastAsia"/>
              </w:rPr>
              <w:t>Healthdirect</w:t>
            </w:r>
            <w:proofErr w:type="spellEnd"/>
            <w:r>
              <w:rPr>
                <w:rFonts w:hint="eastAsia"/>
              </w:rPr>
              <w:t xml:space="preserve"> responds to the demand for its services. This serves to provide an indicator of the accessibility of information through the Health Information and Advice phone line.</w:t>
            </w:r>
          </w:p>
        </w:tc>
      </w:tr>
      <w:tr w:rsidR="004D7B74" w14:paraId="6B63D81D" w14:textId="77777777" w:rsidTr="00390086">
        <w:tc>
          <w:tcPr>
            <w:cnfStyle w:val="001000000000" w:firstRow="0" w:lastRow="0" w:firstColumn="1" w:lastColumn="0" w:oddVBand="0" w:evenVBand="0" w:oddHBand="0" w:evenHBand="0" w:firstRowFirstColumn="0" w:firstRowLastColumn="0" w:lastRowFirstColumn="0" w:lastRowLastColumn="0"/>
            <w:tcW w:w="943" w:type="pct"/>
            <w:hideMark/>
          </w:tcPr>
          <w:p w14:paraId="7C3A272C" w14:textId="77777777" w:rsidR="004D7B74" w:rsidRDefault="004D7B74" w:rsidP="00390086">
            <w:pPr>
              <w:pStyle w:val="TableTextleftaligned"/>
              <w:rPr>
                <w:b w:val="0"/>
              </w:rPr>
            </w:pPr>
            <w:r>
              <w:rPr>
                <w:rFonts w:hint="eastAsia"/>
              </w:rPr>
              <w:t>Measure Type</w:t>
            </w:r>
          </w:p>
        </w:tc>
        <w:tc>
          <w:tcPr>
            <w:tcW w:w="4057" w:type="pct"/>
            <w:gridSpan w:val="4"/>
            <w:hideMark/>
          </w:tcPr>
          <w:p w14:paraId="5DFDC462" w14:textId="77777777" w:rsidR="004D7B74"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Pr>
                <w:rFonts w:hint="eastAsia"/>
              </w:rPr>
              <w:t>Quantitative / Output</w:t>
            </w:r>
          </w:p>
        </w:tc>
      </w:tr>
      <w:tr w:rsidR="004D7B74" w14:paraId="45FE4E40" w14:textId="77777777" w:rsidTr="00390086">
        <w:tc>
          <w:tcPr>
            <w:cnfStyle w:val="001000000000" w:firstRow="0" w:lastRow="0" w:firstColumn="1" w:lastColumn="0" w:oddVBand="0" w:evenVBand="0" w:oddHBand="0" w:evenHBand="0" w:firstRowFirstColumn="0" w:firstRowLastColumn="0" w:lastRowFirstColumn="0" w:lastRowLastColumn="0"/>
            <w:tcW w:w="943" w:type="pct"/>
            <w:hideMark/>
          </w:tcPr>
          <w:p w14:paraId="7066BBAE" w14:textId="77777777" w:rsidR="004D7B74" w:rsidRDefault="004D7B74" w:rsidP="00390086">
            <w:pPr>
              <w:pStyle w:val="TableTextleftaligned"/>
              <w:rPr>
                <w:b w:val="0"/>
              </w:rPr>
            </w:pPr>
            <w:r>
              <w:rPr>
                <w:rFonts w:hint="eastAsia"/>
              </w:rPr>
              <w:t>Method</w:t>
            </w:r>
          </w:p>
          <w:p w14:paraId="303AF8D3" w14:textId="15356DDB" w:rsidR="004D7B74" w:rsidRDefault="004D7B74" w:rsidP="00390086">
            <w:pPr>
              <w:pStyle w:val="TableTextleftaligned"/>
              <w:rPr>
                <w:b w:val="0"/>
              </w:rPr>
            </w:pPr>
            <w:r>
              <w:rPr>
                <w:rFonts w:ascii="Segoe UI" w:hAnsi="Segoe UI" w:cs="Segoe UI"/>
              </w:rPr>
              <w:t>(Data Source and Methodology</w:t>
            </w:r>
            <w:r w:rsidR="005D3FA9">
              <w:rPr>
                <w:rFonts w:ascii="Segoe UI" w:hAnsi="Segoe UI" w:cs="Segoe UI"/>
              </w:rPr>
              <w:t>)</w:t>
            </w:r>
          </w:p>
        </w:tc>
        <w:tc>
          <w:tcPr>
            <w:tcW w:w="4057" w:type="pct"/>
            <w:gridSpan w:val="4"/>
          </w:tcPr>
          <w:p w14:paraId="61687ECE" w14:textId="77777777" w:rsidR="004D7B74"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sidRPr="00B74F39">
              <w:rPr>
                <w:rFonts w:hint="eastAsia"/>
              </w:rPr>
              <w:t xml:space="preserve">Data </w:t>
            </w:r>
            <w:r>
              <w:rPr>
                <w:rFonts w:hint="eastAsia"/>
              </w:rPr>
              <w:t xml:space="preserve">for this performance measure is sourced from de-identified unit record data from </w:t>
            </w:r>
            <w:proofErr w:type="spellStart"/>
            <w:r>
              <w:rPr>
                <w:rFonts w:hint="eastAsia"/>
              </w:rPr>
              <w:t>Healthdirect's</w:t>
            </w:r>
            <w:proofErr w:type="spellEnd"/>
            <w:r>
              <w:rPr>
                <w:rFonts w:hint="eastAsia"/>
              </w:rPr>
              <w:t xml:space="preserve"> Client Relationship Management (CRM) software. </w:t>
            </w:r>
          </w:p>
          <w:p w14:paraId="1EB3679C" w14:textId="77777777" w:rsidR="004D7B74"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Pr>
                <w:rFonts w:hint="eastAsia"/>
              </w:rPr>
              <w:t>PM Result = (A - B) / (C - B), where:</w:t>
            </w:r>
          </w:p>
          <w:p w14:paraId="639A8E35" w14:textId="77777777" w:rsidR="004D7B74" w:rsidRDefault="004D7B74" w:rsidP="00390086">
            <w:pPr>
              <w:pStyle w:val="ListBullet2"/>
              <w:cnfStyle w:val="000000000000" w:firstRow="0" w:lastRow="0" w:firstColumn="0" w:lastColumn="0" w:oddVBand="0" w:evenVBand="0" w:oddHBand="0" w:evenHBand="0" w:firstRowFirstColumn="0" w:firstRowLastColumn="0" w:lastRowFirstColumn="0" w:lastRowLastColumn="0"/>
              <w:rPr>
                <w:rFonts w:eastAsia="Malgun Gothic"/>
              </w:rPr>
            </w:pPr>
            <w:r>
              <w:rPr>
                <w:rFonts w:eastAsia="Malgun Gothic" w:hint="eastAsia"/>
              </w:rPr>
              <w:t>A = Total calls handled by the Health Information and Advice phone line.</w:t>
            </w:r>
          </w:p>
          <w:p w14:paraId="3B4E77FC" w14:textId="77777777" w:rsidR="004D7B74" w:rsidRDefault="004D7B74" w:rsidP="00390086">
            <w:pPr>
              <w:pStyle w:val="ListBullet2"/>
              <w:cnfStyle w:val="000000000000" w:firstRow="0" w:lastRow="0" w:firstColumn="0" w:lastColumn="0" w:oddVBand="0" w:evenVBand="0" w:oddHBand="0" w:evenHBand="0" w:firstRowFirstColumn="0" w:firstRowLastColumn="0" w:lastRowFirstColumn="0" w:lastRowLastColumn="0"/>
              <w:rPr>
                <w:rFonts w:eastAsia="Malgun Gothic"/>
              </w:rPr>
            </w:pPr>
            <w:r>
              <w:rPr>
                <w:rFonts w:eastAsia="Malgun Gothic" w:hint="eastAsia"/>
              </w:rPr>
              <w:t>B = Ineligible calls by the Health Information and Advice phone line (e.g. wrong number).</w:t>
            </w:r>
          </w:p>
          <w:p w14:paraId="4C5DCFEB" w14:textId="77777777" w:rsidR="004D7B74" w:rsidRPr="00C47718" w:rsidRDefault="004D7B74" w:rsidP="00390086">
            <w:pPr>
              <w:pStyle w:val="ListBullet2"/>
              <w:cnfStyle w:val="000000000000" w:firstRow="0" w:lastRow="0" w:firstColumn="0" w:lastColumn="0" w:oddVBand="0" w:evenVBand="0" w:oddHBand="0" w:evenHBand="0" w:firstRowFirstColumn="0" w:firstRowLastColumn="0" w:lastRowFirstColumn="0" w:lastRowLastColumn="0"/>
              <w:rPr>
                <w:rFonts w:eastAsia="Malgun Gothic"/>
              </w:rPr>
            </w:pPr>
            <w:r>
              <w:rPr>
                <w:rFonts w:eastAsia="Malgun Gothic" w:hint="eastAsia"/>
              </w:rPr>
              <w:lastRenderedPageBreak/>
              <w:t>C = Total calls received</w:t>
            </w:r>
            <w:r>
              <w:rPr>
                <w:rStyle w:val="FootnoteReference"/>
                <w:rFonts w:ascii="Malgun Gothic" w:eastAsia="Malgun Gothic" w:hAnsi="Malgun Gothic"/>
                <w:sz w:val="18"/>
                <w:szCs w:val="18"/>
              </w:rPr>
              <w:footnoteReference w:id="36"/>
            </w:r>
            <w:r>
              <w:rPr>
                <w:rFonts w:eastAsia="Malgun Gothic" w:hint="eastAsia"/>
              </w:rPr>
              <w:t xml:space="preserve"> by the Health Information and Advice phone line.</w:t>
            </w:r>
            <w:r w:rsidRPr="00C47718">
              <w:rPr>
                <w:rFonts w:eastAsia="Malgun Gothic" w:hint="eastAsia"/>
              </w:rPr>
              <w:t xml:space="preserve"> </w:t>
            </w:r>
          </w:p>
        </w:tc>
      </w:tr>
      <w:tr w:rsidR="00757FCA" w14:paraId="6FA1F5C2" w14:textId="77777777" w:rsidTr="00390086">
        <w:tc>
          <w:tcPr>
            <w:cnfStyle w:val="001000000000" w:firstRow="0" w:lastRow="0" w:firstColumn="1" w:lastColumn="0" w:oddVBand="0" w:evenVBand="0" w:oddHBand="0" w:evenHBand="0" w:firstRowFirstColumn="0" w:firstRowLastColumn="0" w:lastRowFirstColumn="0" w:lastRowLastColumn="0"/>
            <w:tcW w:w="943" w:type="pct"/>
          </w:tcPr>
          <w:p w14:paraId="3F91384F" w14:textId="77777777" w:rsidR="00757FCA" w:rsidRPr="00757FCA" w:rsidRDefault="00757FCA" w:rsidP="00390086">
            <w:pPr>
              <w:pStyle w:val="TableTextleftaligned"/>
              <w:rPr>
                <w:b w:val="0"/>
              </w:rPr>
            </w:pPr>
            <w:r w:rsidRPr="00757FCA">
              <w:t xml:space="preserve">Linked to </w:t>
            </w:r>
          </w:p>
          <w:p w14:paraId="38C6F65D" w14:textId="44F20EFA" w:rsidR="00757FCA" w:rsidRDefault="00757FCA" w:rsidP="00390086">
            <w:pPr>
              <w:pStyle w:val="TableTextleftaligned"/>
              <w:rPr>
                <w:b w:val="0"/>
              </w:rPr>
            </w:pPr>
            <w:r w:rsidRPr="00757FCA">
              <w:t>2024–25 Portfolio Budget Statements</w:t>
            </w:r>
          </w:p>
        </w:tc>
        <w:tc>
          <w:tcPr>
            <w:tcW w:w="4057" w:type="pct"/>
            <w:gridSpan w:val="4"/>
          </w:tcPr>
          <w:p w14:paraId="43E62839" w14:textId="2B7072F0" w:rsidR="00757FCA" w:rsidRDefault="00757FCA" w:rsidP="00390086">
            <w:pPr>
              <w:pStyle w:val="TableTextleftaligned"/>
              <w:cnfStyle w:val="000000000000" w:firstRow="0" w:lastRow="0" w:firstColumn="0" w:lastColumn="0" w:oddVBand="0" w:evenVBand="0" w:oddHBand="0" w:evenHBand="0" w:firstRowFirstColumn="0" w:firstRowLastColumn="0" w:lastRowFirstColumn="0" w:lastRowLastColumn="0"/>
            </w:pPr>
            <w:r w:rsidRPr="00553C7F">
              <w:t xml:space="preserve">Program </w:t>
            </w:r>
            <w:r>
              <w:t>1</w:t>
            </w:r>
            <w:r w:rsidRPr="00553C7F">
              <w:t>.</w:t>
            </w:r>
            <w:r w:rsidRPr="00335BE9">
              <w:t>6</w:t>
            </w:r>
            <w:r w:rsidR="00DB3C11">
              <w:t xml:space="preserve"> </w:t>
            </w:r>
            <w:r w:rsidR="00FF27E1">
              <w:t>-</w:t>
            </w:r>
            <w:r>
              <w:t xml:space="preserve"> </w:t>
            </w:r>
            <w:r w:rsidRPr="00335BE9">
              <w:t>Primary Health Care Quality and Coordination</w:t>
            </w:r>
            <w:r w:rsidRPr="00553C7F">
              <w:t xml:space="preserve"> – </w:t>
            </w:r>
            <w:r>
              <w:t>new performance measure</w:t>
            </w:r>
            <w:r w:rsidR="00AC3F36">
              <w:t>.</w:t>
            </w:r>
            <w:r>
              <w:t xml:space="preserve"> </w:t>
            </w:r>
          </w:p>
        </w:tc>
      </w:tr>
      <w:tr w:rsidR="004D7B74" w14:paraId="7DFE2636" w14:textId="77777777" w:rsidTr="00390086">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hideMark/>
          </w:tcPr>
          <w:p w14:paraId="480CCBF6" w14:textId="77777777" w:rsidR="004D7B74" w:rsidRDefault="004D7B74" w:rsidP="00390086">
            <w:pPr>
              <w:pStyle w:val="TableTextleftaligned"/>
              <w:rPr>
                <w:b w:val="0"/>
              </w:rPr>
            </w:pPr>
            <w:r>
              <w:rPr>
                <w:rFonts w:hint="eastAsia"/>
              </w:rPr>
              <w:t>Planned Performance Results</w:t>
            </w:r>
          </w:p>
        </w:tc>
        <w:tc>
          <w:tcPr>
            <w:tcW w:w="1014" w:type="pct"/>
            <w:shd w:val="clear" w:color="auto" w:fill="BFBFBF" w:themeFill="background1" w:themeFillShade="BF"/>
            <w:vAlign w:val="center"/>
            <w:hideMark/>
          </w:tcPr>
          <w:p w14:paraId="2DF9669F" w14:textId="77777777" w:rsidR="004D7B74" w:rsidRPr="00580AE8"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580AE8">
              <w:rPr>
                <w:rFonts w:hint="eastAsia"/>
              </w:rPr>
              <w:t>2024</w:t>
            </w:r>
            <w:r w:rsidRPr="00580AE8">
              <w:rPr>
                <w:rFonts w:hint="eastAsia"/>
              </w:rPr>
              <w:t>–</w:t>
            </w:r>
            <w:r w:rsidRPr="00580AE8">
              <w:rPr>
                <w:rFonts w:hint="eastAsia"/>
              </w:rPr>
              <w:t>25</w:t>
            </w:r>
          </w:p>
        </w:tc>
        <w:tc>
          <w:tcPr>
            <w:tcW w:w="1015" w:type="pct"/>
            <w:shd w:val="clear" w:color="auto" w:fill="BFBFBF" w:themeFill="background1" w:themeFillShade="BF"/>
            <w:vAlign w:val="center"/>
            <w:hideMark/>
          </w:tcPr>
          <w:p w14:paraId="53E2BBD3" w14:textId="77777777" w:rsidR="004D7B74" w:rsidRPr="00580AE8"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580AE8">
              <w:rPr>
                <w:rFonts w:hint="eastAsia"/>
              </w:rPr>
              <w:t>2025</w:t>
            </w:r>
            <w:r w:rsidRPr="00580AE8">
              <w:rPr>
                <w:rFonts w:hint="eastAsia"/>
              </w:rPr>
              <w:t>–</w:t>
            </w:r>
            <w:r w:rsidRPr="00580AE8">
              <w:rPr>
                <w:rFonts w:hint="eastAsia"/>
              </w:rPr>
              <w:t>26</w:t>
            </w:r>
          </w:p>
        </w:tc>
        <w:tc>
          <w:tcPr>
            <w:tcW w:w="1015" w:type="pct"/>
            <w:shd w:val="clear" w:color="auto" w:fill="BFBFBF" w:themeFill="background1" w:themeFillShade="BF"/>
            <w:vAlign w:val="center"/>
            <w:hideMark/>
          </w:tcPr>
          <w:p w14:paraId="3C4C743B" w14:textId="77777777" w:rsidR="004D7B74" w:rsidRPr="00580AE8"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580AE8">
              <w:rPr>
                <w:rFonts w:hint="eastAsia"/>
              </w:rPr>
              <w:t>2026</w:t>
            </w:r>
            <w:r w:rsidRPr="00580AE8">
              <w:rPr>
                <w:rFonts w:hint="eastAsia"/>
              </w:rPr>
              <w:t>–</w:t>
            </w:r>
            <w:r w:rsidRPr="00580AE8">
              <w:rPr>
                <w:rFonts w:hint="eastAsia"/>
              </w:rPr>
              <w:t>27</w:t>
            </w:r>
          </w:p>
        </w:tc>
        <w:tc>
          <w:tcPr>
            <w:tcW w:w="1013" w:type="pct"/>
            <w:shd w:val="clear" w:color="auto" w:fill="BFBFBF" w:themeFill="background1" w:themeFillShade="BF"/>
            <w:vAlign w:val="center"/>
            <w:hideMark/>
          </w:tcPr>
          <w:p w14:paraId="5C13C875" w14:textId="77777777" w:rsidR="004D7B74" w:rsidRPr="00580AE8"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580AE8">
              <w:rPr>
                <w:rFonts w:hint="eastAsia"/>
              </w:rPr>
              <w:t>2027</w:t>
            </w:r>
            <w:r w:rsidRPr="00580AE8">
              <w:rPr>
                <w:rFonts w:hint="eastAsia"/>
              </w:rPr>
              <w:t>–</w:t>
            </w:r>
            <w:r w:rsidRPr="00580AE8">
              <w:rPr>
                <w:rFonts w:hint="eastAsia"/>
              </w:rPr>
              <w:t>28</w:t>
            </w:r>
          </w:p>
        </w:tc>
      </w:tr>
      <w:tr w:rsidR="004D7B74" w14:paraId="25B746D2" w14:textId="77777777" w:rsidTr="003900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A0CF389" w14:textId="77777777" w:rsidR="004D7B74" w:rsidRDefault="004D7B74" w:rsidP="00CA72A8">
            <w:pPr>
              <w:rPr>
                <w:rFonts w:ascii="Malgun Gothic" w:eastAsia="Malgun Gothic" w:hAnsi="Malgun Gothic"/>
                <w:b w:val="0"/>
                <w:bCs/>
                <w:sz w:val="18"/>
                <w:szCs w:val="18"/>
              </w:rPr>
            </w:pPr>
          </w:p>
        </w:tc>
        <w:tc>
          <w:tcPr>
            <w:tcW w:w="1014" w:type="pct"/>
            <w:hideMark/>
          </w:tcPr>
          <w:p w14:paraId="7DE78371" w14:textId="77777777" w:rsidR="004D7B74" w:rsidRPr="00202E55" w:rsidRDefault="004D7B74" w:rsidP="00390086">
            <w:pPr>
              <w:pStyle w:val="TableTextleftaligned"/>
              <w:cnfStyle w:val="010000000000" w:firstRow="0" w:lastRow="1" w:firstColumn="0" w:lastColumn="0" w:oddVBand="0" w:evenVBand="0" w:oddHBand="0" w:evenHBand="0" w:firstRowFirstColumn="0" w:firstRowLastColumn="0" w:lastRowFirstColumn="0" w:lastRowLastColumn="0"/>
            </w:pPr>
            <w:r w:rsidRPr="00202E55">
              <w:t>Benchmarking</w:t>
            </w:r>
          </w:p>
        </w:tc>
        <w:tc>
          <w:tcPr>
            <w:tcW w:w="1015" w:type="pct"/>
            <w:hideMark/>
          </w:tcPr>
          <w:p w14:paraId="35AA7A7E" w14:textId="77777777" w:rsidR="004D7B74" w:rsidRDefault="004D7B74" w:rsidP="00390086">
            <w:pPr>
              <w:pStyle w:val="TableTextleftaligned"/>
              <w:cnfStyle w:val="010000000000" w:firstRow="0" w:lastRow="1" w:firstColumn="0" w:lastColumn="0" w:oddVBand="0" w:evenVBand="0" w:oddHBand="0" w:evenHBand="0" w:firstRowFirstColumn="0" w:firstRowLastColumn="0" w:lastRowFirstColumn="0" w:lastRowLastColumn="0"/>
            </w:pPr>
            <w:r w:rsidRPr="00202E55">
              <w:t>TBC</w:t>
            </w:r>
          </w:p>
        </w:tc>
        <w:tc>
          <w:tcPr>
            <w:tcW w:w="1015" w:type="pct"/>
            <w:hideMark/>
          </w:tcPr>
          <w:p w14:paraId="6829F1BD" w14:textId="77777777" w:rsidR="004D7B74" w:rsidRDefault="004D7B74" w:rsidP="00390086">
            <w:pPr>
              <w:pStyle w:val="TableTextleftaligned"/>
              <w:cnfStyle w:val="010000000000" w:firstRow="0" w:lastRow="1" w:firstColumn="0" w:lastColumn="0" w:oddVBand="0" w:evenVBand="0" w:oddHBand="0" w:evenHBand="0" w:firstRowFirstColumn="0" w:firstRowLastColumn="0" w:lastRowFirstColumn="0" w:lastRowLastColumn="0"/>
            </w:pPr>
            <w:r w:rsidRPr="00202E55">
              <w:t>TBC</w:t>
            </w:r>
          </w:p>
        </w:tc>
        <w:tc>
          <w:tcPr>
            <w:tcW w:w="1013" w:type="pct"/>
            <w:hideMark/>
          </w:tcPr>
          <w:p w14:paraId="2C2BC1D1" w14:textId="77777777" w:rsidR="004D7B74" w:rsidRDefault="004D7B74" w:rsidP="00390086">
            <w:pPr>
              <w:pStyle w:val="TableTextleftaligned"/>
              <w:cnfStyle w:val="010000000000" w:firstRow="0" w:lastRow="1" w:firstColumn="0" w:lastColumn="0" w:oddVBand="0" w:evenVBand="0" w:oddHBand="0" w:evenHBand="0" w:firstRowFirstColumn="0" w:firstRowLastColumn="0" w:lastRowFirstColumn="0" w:lastRowLastColumn="0"/>
            </w:pPr>
            <w:r w:rsidRPr="00202E55">
              <w:t>TBC</w:t>
            </w:r>
          </w:p>
        </w:tc>
      </w:tr>
    </w:tbl>
    <w:p w14:paraId="10CC17D0" w14:textId="77777777" w:rsidR="00390086" w:rsidRDefault="00390086">
      <w:r>
        <w:br w:type="page"/>
      </w:r>
    </w:p>
    <w:p w14:paraId="2E8AA19C" w14:textId="77777777" w:rsidR="004D7B74" w:rsidRPr="00580AE8" w:rsidRDefault="004D7B74" w:rsidP="00390086">
      <w:pPr>
        <w:pStyle w:val="Heading2"/>
        <w:rPr>
          <w:b w:val="0"/>
          <w:bCs w:val="0"/>
        </w:rPr>
      </w:pPr>
      <w:bookmarkStart w:id="116" w:name="_Toc171411940"/>
      <w:bookmarkStart w:id="117" w:name="_Toc175293629"/>
      <w:bookmarkStart w:id="118" w:name="_Program_1.7_Primary"/>
      <w:bookmarkStart w:id="119" w:name="_Toc175846501"/>
      <w:bookmarkEnd w:id="118"/>
      <w:r w:rsidRPr="00580AE8">
        <w:lastRenderedPageBreak/>
        <w:t>Program 1.7 Primary Care Practice Incentives and Medical Indemnity</w:t>
      </w:r>
      <w:bookmarkEnd w:id="115"/>
      <w:bookmarkEnd w:id="116"/>
      <w:bookmarkEnd w:id="117"/>
      <w:bookmarkEnd w:id="119"/>
      <w:r w:rsidRPr="00580AE8">
        <w:t xml:space="preserve"> </w:t>
      </w:r>
    </w:p>
    <w:p w14:paraId="1766A229" w14:textId="77777777" w:rsidR="004D7B74" w:rsidRPr="00390086" w:rsidRDefault="004D7B74" w:rsidP="00390086">
      <w:pPr>
        <w:pStyle w:val="Heading3"/>
      </w:pPr>
      <w:bookmarkStart w:id="120" w:name="_Toc171411941"/>
      <w:bookmarkStart w:id="121" w:name="_Toc175293630"/>
      <w:r w:rsidRPr="00580AE8">
        <w:t>Program Objective</w:t>
      </w:r>
      <w:bookmarkEnd w:id="120"/>
      <w:bookmarkEnd w:id="121"/>
    </w:p>
    <w:p w14:paraId="5767CA1F" w14:textId="77777777" w:rsidR="004D7B74" w:rsidRPr="00580AE8" w:rsidRDefault="004D7B74" w:rsidP="00656F73">
      <w:pPr>
        <w:rPr>
          <w:rFonts w:cs="Arial"/>
          <w:i/>
          <w:iCs/>
        </w:rPr>
      </w:pPr>
      <w:r w:rsidRPr="00580AE8">
        <w:rPr>
          <w:rFonts w:cs="Arial"/>
        </w:rPr>
        <w:t xml:space="preserve">Provide incentive payments to eligible general practices and general practitioners through the Practice Incentives Program (PIP) to support continuing improvements, increase quality of care, enhance </w:t>
      </w:r>
      <w:proofErr w:type="gramStart"/>
      <w:r w:rsidRPr="00580AE8">
        <w:rPr>
          <w:rFonts w:cs="Arial"/>
        </w:rPr>
        <w:t>capacity</w:t>
      </w:r>
      <w:proofErr w:type="gramEnd"/>
      <w:r w:rsidRPr="00580AE8">
        <w:rPr>
          <w:rFonts w:cs="Arial"/>
        </w:rPr>
        <w:t xml:space="preserve"> and improve access and health outcomes for patients. Promote the ongoing stability, </w:t>
      </w:r>
      <w:proofErr w:type="gramStart"/>
      <w:r w:rsidRPr="00580AE8">
        <w:rPr>
          <w:rFonts w:cs="Arial"/>
        </w:rPr>
        <w:t>affordability</w:t>
      </w:r>
      <w:proofErr w:type="gramEnd"/>
      <w:r w:rsidRPr="00580AE8">
        <w:rPr>
          <w:rFonts w:cs="Arial"/>
        </w:rPr>
        <w:t xml:space="preserve"> and availability of medical indemnity insurance to enable stable fees for patients and allow the health workforce to focus on delivering high-quality services.</w:t>
      </w:r>
    </w:p>
    <w:p w14:paraId="036A9061" w14:textId="77777777" w:rsidR="00483151" w:rsidRDefault="004D7B74" w:rsidP="00390086">
      <w:pPr>
        <w:pStyle w:val="Keyactivity"/>
      </w:pPr>
      <w:r w:rsidRPr="00656F73">
        <w:rPr>
          <w:rStyle w:val="Strong"/>
        </w:rPr>
        <w:t>Key Activity 1.7A</w:t>
      </w:r>
      <w:r w:rsidRPr="00656F73">
        <w:t>:</w:t>
      </w:r>
    </w:p>
    <w:p w14:paraId="43C1EF30" w14:textId="77A4AC15" w:rsidR="004D7B74" w:rsidRPr="00656F73" w:rsidRDefault="004D7B74" w:rsidP="00390086">
      <w:pPr>
        <w:pStyle w:val="Keyactivity"/>
      </w:pPr>
      <w:r w:rsidRPr="00656F73">
        <w:t xml:space="preserve">Providing Practice Incentive Program (PIP) payments to eligible general practices for participation in the Quality Improvement Incentive. </w:t>
      </w:r>
    </w:p>
    <w:p w14:paraId="0201DBCF" w14:textId="4C61C305" w:rsidR="004D7B74" w:rsidRPr="00E57E47" w:rsidRDefault="00880801" w:rsidP="00A22C9C">
      <w:pPr>
        <w:rPr>
          <w:rFonts w:eastAsia="Times New Roman" w:cstheme="minorHAnsi"/>
          <w:szCs w:val="20"/>
          <w:lang w:eastAsia="en-AU"/>
        </w:rPr>
      </w:pPr>
      <w:r w:rsidRPr="00656F73">
        <w:rPr>
          <w:rStyle w:val="Strong"/>
        </w:rPr>
        <w:t xml:space="preserve">Key </w:t>
      </w:r>
      <w:r w:rsidR="00EE6012" w:rsidRPr="00656F73">
        <w:rPr>
          <w:rStyle w:val="Strong"/>
        </w:rPr>
        <w:t>a</w:t>
      </w:r>
      <w:r w:rsidRPr="00656F73">
        <w:rPr>
          <w:rStyle w:val="Strong"/>
        </w:rPr>
        <w:t>ctivity rationale:</w:t>
      </w:r>
      <w:r w:rsidR="00A22C9C">
        <w:rPr>
          <w:rFonts w:cs="Arial"/>
          <w:szCs w:val="20"/>
        </w:rPr>
        <w:t xml:space="preserve"> </w:t>
      </w:r>
      <w:r w:rsidR="00A22C9C" w:rsidRPr="00A22C9C">
        <w:rPr>
          <w:rFonts w:cs="Arial"/>
          <w:szCs w:val="20"/>
        </w:rPr>
        <w:t>The PIP</w:t>
      </w:r>
      <w:r w:rsidRPr="00A22C9C">
        <w:rPr>
          <w:rFonts w:cs="Arial"/>
          <w:sz w:val="18"/>
          <w:szCs w:val="18"/>
        </w:rPr>
        <w:t xml:space="preserve"> </w:t>
      </w:r>
      <w:r w:rsidRPr="00A22C9C">
        <w:rPr>
          <w:rFonts w:cs="Arial"/>
          <w:szCs w:val="20"/>
        </w:rPr>
        <w:t>is designed to encourage general practices and practitioners to continue providing quality care, enhance capacity and improve access and health outcomes to patients</w:t>
      </w:r>
      <w:r w:rsidR="00A22C9C" w:rsidRPr="00A22C9C">
        <w:rPr>
          <w:rFonts w:cs="Arial"/>
          <w:szCs w:val="20"/>
        </w:rPr>
        <w:t>.</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41600CC8" w14:textId="77777777" w:rsidTr="003900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18CCB4C" w14:textId="77777777" w:rsidR="004D7B74" w:rsidRPr="00390086" w:rsidRDefault="004D7B74" w:rsidP="00390086">
            <w:pPr>
              <w:rPr>
                <w:highlight w:val="lightGray"/>
              </w:rPr>
            </w:pPr>
            <w:r w:rsidRPr="00A22C9C">
              <w:t xml:space="preserve">Measure 1.7A: Maintain Australia’s access to quality general practitioner care through the percentage of accredited general practices submitting PIP Quality Improvement Incentive data to their Primary Health Network. </w:t>
            </w:r>
          </w:p>
        </w:tc>
      </w:tr>
      <w:tr w:rsidR="004D7B74" w:rsidRPr="008E3CD6" w14:paraId="4E52B7F0" w14:textId="77777777" w:rsidTr="00390086">
        <w:tc>
          <w:tcPr>
            <w:cnfStyle w:val="001000000000" w:firstRow="0" w:lastRow="0" w:firstColumn="1" w:lastColumn="0" w:oddVBand="0" w:evenVBand="0" w:oddHBand="0" w:evenHBand="0" w:firstRowFirstColumn="0" w:firstRowLastColumn="0" w:lastRowFirstColumn="0" w:lastRowLastColumn="0"/>
            <w:tcW w:w="943" w:type="pct"/>
          </w:tcPr>
          <w:p w14:paraId="1CD73D55" w14:textId="77777777" w:rsidR="004D7B74" w:rsidRPr="00390086" w:rsidRDefault="004D7B74" w:rsidP="00390086">
            <w:pPr>
              <w:pStyle w:val="TableTextleftaligned"/>
            </w:pPr>
            <w:r w:rsidRPr="00390086">
              <w:t>Rationale</w:t>
            </w:r>
          </w:p>
        </w:tc>
        <w:tc>
          <w:tcPr>
            <w:tcW w:w="4057" w:type="pct"/>
            <w:gridSpan w:val="4"/>
          </w:tcPr>
          <w:p w14:paraId="0858B635"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0C38E2">
              <w:t xml:space="preserve">The </w:t>
            </w:r>
            <w:r>
              <w:t xml:space="preserve">PIP </w:t>
            </w:r>
            <w:r w:rsidRPr="000C38E2">
              <w:t xml:space="preserve">Quality Improvement Incentive </w:t>
            </w:r>
            <w:r>
              <w:t xml:space="preserve">(PIP QI) </w:t>
            </w:r>
            <w:r w:rsidRPr="000C38E2">
              <w:t xml:space="preserve">aims to improve </w:t>
            </w:r>
            <w:r>
              <w:t xml:space="preserve">outcomes for </w:t>
            </w:r>
            <w:r w:rsidRPr="000C38E2">
              <w:t>patient</w:t>
            </w:r>
            <w:r>
              <w:t>s</w:t>
            </w:r>
            <w:r w:rsidRPr="000C38E2">
              <w:t xml:space="preserve"> and deliver best practice care</w:t>
            </w:r>
            <w:r>
              <w:t>. By basing this performance measure on PIP QI uptake across practices participating in PIP, the department can demonstrate that quality improvements are being adopted, which leads to better health outcomes.</w:t>
            </w:r>
          </w:p>
        </w:tc>
      </w:tr>
      <w:tr w:rsidR="004D7B74" w:rsidRPr="008E3CD6" w14:paraId="6F21040D" w14:textId="77777777" w:rsidTr="00390086">
        <w:tc>
          <w:tcPr>
            <w:cnfStyle w:val="001000000000" w:firstRow="0" w:lastRow="0" w:firstColumn="1" w:lastColumn="0" w:oddVBand="0" w:evenVBand="0" w:oddHBand="0" w:evenHBand="0" w:firstRowFirstColumn="0" w:firstRowLastColumn="0" w:lastRowFirstColumn="0" w:lastRowLastColumn="0"/>
            <w:tcW w:w="943" w:type="pct"/>
          </w:tcPr>
          <w:p w14:paraId="5667643A" w14:textId="77777777" w:rsidR="004D7B74" w:rsidRPr="00390086" w:rsidRDefault="004D7B74" w:rsidP="00390086">
            <w:pPr>
              <w:pStyle w:val="TableTextleftaligned"/>
            </w:pPr>
            <w:r w:rsidRPr="00390086">
              <w:t>Measure Type</w:t>
            </w:r>
          </w:p>
        </w:tc>
        <w:tc>
          <w:tcPr>
            <w:tcW w:w="4057" w:type="pct"/>
            <w:gridSpan w:val="4"/>
          </w:tcPr>
          <w:p w14:paraId="577CF071"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320EE5">
              <w:t>Quantitative</w:t>
            </w:r>
            <w:r>
              <w:t xml:space="preserve"> </w:t>
            </w:r>
            <w:r w:rsidRPr="00320EE5">
              <w:t>/</w:t>
            </w:r>
            <w:r>
              <w:t xml:space="preserve"> </w:t>
            </w:r>
            <w:r w:rsidRPr="00320EE5">
              <w:t>Output</w:t>
            </w:r>
          </w:p>
        </w:tc>
      </w:tr>
      <w:tr w:rsidR="004D7B74" w:rsidRPr="008E3CD6" w14:paraId="12F8DC90" w14:textId="77777777" w:rsidTr="00390086">
        <w:tc>
          <w:tcPr>
            <w:cnfStyle w:val="001000000000" w:firstRow="0" w:lastRow="0" w:firstColumn="1" w:lastColumn="0" w:oddVBand="0" w:evenVBand="0" w:oddHBand="0" w:evenHBand="0" w:firstRowFirstColumn="0" w:firstRowLastColumn="0" w:lastRowFirstColumn="0" w:lastRowLastColumn="0"/>
            <w:tcW w:w="943" w:type="pct"/>
          </w:tcPr>
          <w:p w14:paraId="438FEDAC" w14:textId="159BC454" w:rsidR="004D7B74" w:rsidRPr="00390086" w:rsidRDefault="004D7B74" w:rsidP="00390086">
            <w:pPr>
              <w:pStyle w:val="TableTextleftaligned"/>
            </w:pPr>
            <w:r w:rsidRPr="00390086">
              <w:t>Method</w:t>
            </w:r>
            <w:r w:rsidR="00390086">
              <w:t xml:space="preserve"> </w:t>
            </w:r>
            <w:r w:rsidRPr="00390086">
              <w:t>(Data Source and Methodology</w:t>
            </w:r>
            <w:r w:rsidR="005D3FA9" w:rsidRPr="00390086">
              <w:t>)</w:t>
            </w:r>
          </w:p>
        </w:tc>
        <w:tc>
          <w:tcPr>
            <w:tcW w:w="4057" w:type="pct"/>
            <w:gridSpan w:val="4"/>
          </w:tcPr>
          <w:p w14:paraId="039DC624" w14:textId="77777777" w:rsidR="004D7B74" w:rsidRPr="00390086"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rPr>
                <w:highlight w:val="yellow"/>
              </w:rPr>
            </w:pPr>
            <w:r w:rsidRPr="000C38E2">
              <w:t xml:space="preserve">Data </w:t>
            </w:r>
            <w:r>
              <w:t xml:space="preserve">is </w:t>
            </w:r>
            <w:r w:rsidRPr="000C38E2">
              <w:t xml:space="preserve">received from </w:t>
            </w:r>
            <w:r>
              <w:t xml:space="preserve">the </w:t>
            </w:r>
            <w:r w:rsidRPr="000C38E2">
              <w:t xml:space="preserve">Primary Health Networks and from Services Australia to inform the </w:t>
            </w:r>
            <w:r>
              <w:t>d</w:t>
            </w:r>
            <w:r w:rsidRPr="000C38E2">
              <w:t xml:space="preserve">epartment regarding the </w:t>
            </w:r>
            <w:r>
              <w:t>percentage</w:t>
            </w:r>
            <w:r w:rsidRPr="000C38E2">
              <w:t xml:space="preserve"> of </w:t>
            </w:r>
            <w:r>
              <w:t xml:space="preserve">PIP </w:t>
            </w:r>
            <w:r w:rsidRPr="000C38E2">
              <w:t xml:space="preserve">practices participating in </w:t>
            </w:r>
            <w:r>
              <w:t>PIP QI.</w:t>
            </w:r>
          </w:p>
          <w:p w14:paraId="56C700B5" w14:textId="77777777" w:rsidR="004D7B74" w:rsidRPr="00390086"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sidRPr="00390086">
              <w:rPr>
                <w:rStyle w:val="Strong"/>
              </w:rPr>
              <w:t>Numerator:</w:t>
            </w:r>
            <w:r w:rsidRPr="00390086">
              <w:t xml:space="preserve"> Data on general practices participating in PIP QI</w:t>
            </w:r>
            <w:r w:rsidRPr="00390086" w:rsidDel="00BB313C">
              <w:t xml:space="preserve"> </w:t>
            </w:r>
            <w:r w:rsidRPr="00390086">
              <w:t>is acquired from the Primary Health Networks.</w:t>
            </w:r>
          </w:p>
          <w:p w14:paraId="2B731159" w14:textId="77777777" w:rsidR="004D7B74" w:rsidRPr="00390086"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sidRPr="00390086">
              <w:rPr>
                <w:rStyle w:val="Strong"/>
              </w:rPr>
              <w:t>Denominator:</w:t>
            </w:r>
            <w:r w:rsidRPr="00390086">
              <w:t xml:space="preserve"> Data on general practices registered for PIP is received from Services Australia.</w:t>
            </w:r>
          </w:p>
          <w:p w14:paraId="786D44E4" w14:textId="77777777" w:rsidR="004D7B74" w:rsidRPr="00217C82" w:rsidRDefault="004D7B74" w:rsidP="00390086">
            <w:pPr>
              <w:pStyle w:val="TableTextleftaligned"/>
              <w:cnfStyle w:val="000000000000" w:firstRow="0" w:lastRow="0" w:firstColumn="0" w:lastColumn="0" w:oddVBand="0" w:evenVBand="0" w:oddHBand="0" w:evenHBand="0" w:firstRowFirstColumn="0" w:firstRowLastColumn="0" w:lastRowFirstColumn="0" w:lastRowLastColumn="0"/>
            </w:pPr>
            <w:r w:rsidRPr="002A4476">
              <w:rPr>
                <w:shd w:val="clear" w:color="auto" w:fill="FFFFFF"/>
              </w:rPr>
              <w:t>The number of general practices that receive a PIP QI payment (</w:t>
            </w:r>
            <w:r w:rsidRPr="002A4476">
              <w:rPr>
                <w:b/>
                <w:bCs/>
                <w:shd w:val="clear" w:color="auto" w:fill="FFFFFF"/>
              </w:rPr>
              <w:t>Numerator</w:t>
            </w:r>
            <w:r w:rsidRPr="002A4476">
              <w:rPr>
                <w:shd w:val="clear" w:color="auto" w:fill="FFFFFF"/>
              </w:rPr>
              <w:t>) divided by</w:t>
            </w:r>
            <w:r w:rsidRPr="002A4476">
              <w:rPr>
                <w:b/>
                <w:bCs/>
                <w:shd w:val="clear" w:color="auto" w:fill="FFFFFF"/>
              </w:rPr>
              <w:t xml:space="preserve"> </w:t>
            </w:r>
            <w:r w:rsidRPr="002A4476">
              <w:rPr>
                <w:shd w:val="clear" w:color="auto" w:fill="FFFFFF"/>
              </w:rPr>
              <w:t>the number of general practices registered for PIP (</w:t>
            </w:r>
            <w:r w:rsidRPr="002A4476">
              <w:rPr>
                <w:b/>
                <w:bCs/>
                <w:shd w:val="clear" w:color="auto" w:fill="FFFFFF"/>
              </w:rPr>
              <w:t>Denominator</w:t>
            </w:r>
            <w:r w:rsidRPr="002A4476">
              <w:rPr>
                <w:shd w:val="clear" w:color="auto" w:fill="FFFFFF"/>
              </w:rPr>
              <w:t>)</w:t>
            </w:r>
            <w:r w:rsidRPr="002A4476">
              <w:rPr>
                <w:b/>
                <w:bCs/>
                <w:shd w:val="clear" w:color="auto" w:fill="FFFFFF"/>
              </w:rPr>
              <w:t>.</w:t>
            </w:r>
          </w:p>
        </w:tc>
      </w:tr>
      <w:tr w:rsidR="00E861E3" w:rsidRPr="008E3CD6" w14:paraId="475F3311" w14:textId="77777777" w:rsidTr="00390086">
        <w:tc>
          <w:tcPr>
            <w:cnfStyle w:val="001000000000" w:firstRow="0" w:lastRow="0" w:firstColumn="1" w:lastColumn="0" w:oddVBand="0" w:evenVBand="0" w:oddHBand="0" w:evenHBand="0" w:firstRowFirstColumn="0" w:firstRowLastColumn="0" w:lastRowFirstColumn="0" w:lastRowLastColumn="0"/>
            <w:tcW w:w="943" w:type="pct"/>
          </w:tcPr>
          <w:p w14:paraId="68F0155E" w14:textId="775265B1" w:rsidR="00E861E3" w:rsidRPr="009B277D" w:rsidRDefault="00E861E3" w:rsidP="00390086">
            <w:pPr>
              <w:pStyle w:val="TableTextleftaligned"/>
              <w:rPr>
                <w:b w:val="0"/>
              </w:rPr>
            </w:pPr>
            <w:r>
              <w:t>Linked to 2024–25 Portfolio Budget Statements</w:t>
            </w:r>
          </w:p>
        </w:tc>
        <w:tc>
          <w:tcPr>
            <w:tcW w:w="4057" w:type="pct"/>
            <w:gridSpan w:val="4"/>
          </w:tcPr>
          <w:p w14:paraId="5D70B1BB" w14:textId="54849626" w:rsidR="00E861E3" w:rsidRPr="000C38E2" w:rsidRDefault="00E861E3" w:rsidP="00390086">
            <w:pPr>
              <w:pStyle w:val="TableTextleftaligned"/>
              <w:cnfStyle w:val="000000000000" w:firstRow="0" w:lastRow="0" w:firstColumn="0" w:lastColumn="0" w:oddVBand="0" w:evenVBand="0" w:oddHBand="0" w:evenHBand="0" w:firstRowFirstColumn="0" w:firstRowLastColumn="0" w:lastRowFirstColumn="0" w:lastRowLastColumn="0"/>
            </w:pPr>
            <w:r w:rsidRPr="00553C7F">
              <w:t xml:space="preserve">Program </w:t>
            </w:r>
            <w:r>
              <w:t>1</w:t>
            </w:r>
            <w:r w:rsidRPr="00553C7F">
              <w:t>.</w:t>
            </w:r>
            <w:r w:rsidR="00757FCA">
              <w:t>7</w:t>
            </w:r>
            <w:r w:rsidR="00FF27E1">
              <w:t xml:space="preserve"> -</w:t>
            </w:r>
            <w:r>
              <w:t xml:space="preserve"> Primary Care </w:t>
            </w:r>
            <w:r w:rsidR="0060369D">
              <w:t xml:space="preserve">Practice Incentives and Medical Indemnity </w:t>
            </w:r>
            <w:r w:rsidRPr="00553C7F">
              <w:t xml:space="preserve">– page </w:t>
            </w:r>
            <w:r>
              <w:t>6</w:t>
            </w:r>
            <w:r w:rsidR="0060369D">
              <w:t>7</w:t>
            </w:r>
          </w:p>
        </w:tc>
      </w:tr>
      <w:tr w:rsidR="004D7B74" w:rsidRPr="008E3CD6" w14:paraId="3437B126" w14:textId="77777777" w:rsidTr="00390086">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70322BFE" w14:textId="77777777" w:rsidR="004D7B74" w:rsidRPr="009B277D" w:rsidRDefault="004D7B74" w:rsidP="00390086">
            <w:pPr>
              <w:pStyle w:val="TableTextleftaligned"/>
              <w:rPr>
                <w:b w:val="0"/>
              </w:rPr>
            </w:pPr>
            <w:r>
              <w:t>Planned Performance Results</w:t>
            </w:r>
          </w:p>
        </w:tc>
        <w:tc>
          <w:tcPr>
            <w:tcW w:w="1014" w:type="pct"/>
            <w:shd w:val="clear" w:color="auto" w:fill="BFBFBF" w:themeFill="background1" w:themeFillShade="BF"/>
            <w:vAlign w:val="center"/>
          </w:tcPr>
          <w:p w14:paraId="4FCEAB81" w14:textId="77777777" w:rsidR="004D7B74" w:rsidRPr="00A22C9C"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A22C9C">
              <w:t>2024–25</w:t>
            </w:r>
          </w:p>
        </w:tc>
        <w:tc>
          <w:tcPr>
            <w:tcW w:w="1015" w:type="pct"/>
            <w:shd w:val="clear" w:color="auto" w:fill="BFBFBF" w:themeFill="background1" w:themeFillShade="BF"/>
            <w:vAlign w:val="center"/>
          </w:tcPr>
          <w:p w14:paraId="469653FF" w14:textId="77777777" w:rsidR="004D7B74" w:rsidRPr="00A22C9C"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A22C9C">
              <w:t>2025–26</w:t>
            </w:r>
          </w:p>
        </w:tc>
        <w:tc>
          <w:tcPr>
            <w:tcW w:w="1015" w:type="pct"/>
            <w:shd w:val="clear" w:color="auto" w:fill="BFBFBF" w:themeFill="background1" w:themeFillShade="BF"/>
            <w:vAlign w:val="center"/>
          </w:tcPr>
          <w:p w14:paraId="10213934" w14:textId="77777777" w:rsidR="004D7B74" w:rsidRPr="00A22C9C"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A22C9C">
              <w:t>2026–27</w:t>
            </w:r>
          </w:p>
        </w:tc>
        <w:tc>
          <w:tcPr>
            <w:tcW w:w="1013" w:type="pct"/>
            <w:shd w:val="clear" w:color="auto" w:fill="BFBFBF" w:themeFill="background1" w:themeFillShade="BF"/>
            <w:vAlign w:val="center"/>
          </w:tcPr>
          <w:p w14:paraId="659C3204" w14:textId="77777777" w:rsidR="004D7B74" w:rsidRPr="00A22C9C" w:rsidRDefault="004D7B74" w:rsidP="00390086">
            <w:pPr>
              <w:pStyle w:val="TableTextstrong"/>
              <w:cnfStyle w:val="000000000000" w:firstRow="0" w:lastRow="0" w:firstColumn="0" w:lastColumn="0" w:oddVBand="0" w:evenVBand="0" w:oddHBand="0" w:evenHBand="0" w:firstRowFirstColumn="0" w:firstRowLastColumn="0" w:lastRowFirstColumn="0" w:lastRowLastColumn="0"/>
            </w:pPr>
            <w:r w:rsidRPr="00A22C9C">
              <w:t>2027–28</w:t>
            </w:r>
          </w:p>
        </w:tc>
      </w:tr>
      <w:tr w:rsidR="004D7B74" w:rsidRPr="008E3CD6" w14:paraId="59803D80" w14:textId="77777777" w:rsidTr="003900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5793D5A5" w14:textId="77777777" w:rsidR="004D7B74" w:rsidRPr="009B277D" w:rsidRDefault="004D7B74" w:rsidP="00CA72A8">
            <w:pPr>
              <w:pStyle w:val="TableTextleftaligned"/>
              <w:spacing w:line="192" w:lineRule="auto"/>
              <w:rPr>
                <w:b w:val="0"/>
                <w:bCs/>
              </w:rPr>
            </w:pPr>
          </w:p>
        </w:tc>
        <w:tc>
          <w:tcPr>
            <w:tcW w:w="1014" w:type="pct"/>
          </w:tcPr>
          <w:p w14:paraId="5D7808C9" w14:textId="77777777" w:rsidR="004D7B74" w:rsidRPr="00FC31DB" w:rsidRDefault="004D7B74" w:rsidP="00390086">
            <w:pPr>
              <w:pStyle w:val="TableTextleftaligned"/>
              <w:cnfStyle w:val="010000000000" w:firstRow="0" w:lastRow="1" w:firstColumn="0" w:lastColumn="0" w:oddVBand="0" w:evenVBand="0" w:oddHBand="0" w:evenHBand="0" w:firstRowFirstColumn="0" w:firstRowLastColumn="0" w:lastRowFirstColumn="0" w:lastRowLastColumn="0"/>
            </w:pPr>
            <w:r w:rsidRPr="00FC31DB">
              <w:rPr>
                <w:rFonts w:hint="eastAsia"/>
              </w:rPr>
              <w:t>≥</w:t>
            </w:r>
            <w:r w:rsidRPr="00FC31DB">
              <w:t xml:space="preserve"> 95%</w:t>
            </w:r>
            <w:r>
              <w:rPr>
                <w:rStyle w:val="FootnoteReference"/>
              </w:rPr>
              <w:footnoteReference w:id="37"/>
            </w:r>
            <w:r w:rsidRPr="00FC31DB">
              <w:t xml:space="preserve"> </w:t>
            </w:r>
          </w:p>
        </w:tc>
        <w:tc>
          <w:tcPr>
            <w:tcW w:w="1015" w:type="pct"/>
          </w:tcPr>
          <w:p w14:paraId="60F5EBCC" w14:textId="77777777" w:rsidR="004D7B74" w:rsidRPr="00FC31DB" w:rsidRDefault="004D7B74" w:rsidP="00390086">
            <w:pPr>
              <w:pStyle w:val="TableTextleftaligned"/>
              <w:cnfStyle w:val="010000000000" w:firstRow="0" w:lastRow="1" w:firstColumn="0" w:lastColumn="0" w:oddVBand="0" w:evenVBand="0" w:oddHBand="0" w:evenHBand="0" w:firstRowFirstColumn="0" w:firstRowLastColumn="0" w:lastRowFirstColumn="0" w:lastRowLastColumn="0"/>
            </w:pPr>
            <w:r w:rsidRPr="00FC31DB">
              <w:rPr>
                <w:rFonts w:hint="eastAsia"/>
              </w:rPr>
              <w:t>≥</w:t>
            </w:r>
            <w:r w:rsidRPr="00FC31DB">
              <w:t xml:space="preserve"> 95%</w:t>
            </w:r>
          </w:p>
        </w:tc>
        <w:tc>
          <w:tcPr>
            <w:tcW w:w="1015" w:type="pct"/>
          </w:tcPr>
          <w:p w14:paraId="5563D6B6" w14:textId="77777777" w:rsidR="004D7B74" w:rsidRPr="00FC31DB" w:rsidRDefault="004D7B74" w:rsidP="00390086">
            <w:pPr>
              <w:pStyle w:val="TableTextleftaligned"/>
              <w:cnfStyle w:val="010000000000" w:firstRow="0" w:lastRow="1" w:firstColumn="0" w:lastColumn="0" w:oddVBand="0" w:evenVBand="0" w:oddHBand="0" w:evenHBand="0" w:firstRowFirstColumn="0" w:firstRowLastColumn="0" w:lastRowFirstColumn="0" w:lastRowLastColumn="0"/>
            </w:pPr>
            <w:r w:rsidRPr="00FC31DB">
              <w:rPr>
                <w:rFonts w:hint="eastAsia"/>
              </w:rPr>
              <w:t>≥</w:t>
            </w:r>
            <w:r w:rsidRPr="00FC31DB">
              <w:t xml:space="preserve"> 95%</w:t>
            </w:r>
          </w:p>
        </w:tc>
        <w:tc>
          <w:tcPr>
            <w:tcW w:w="1013" w:type="pct"/>
          </w:tcPr>
          <w:p w14:paraId="7230E9A4" w14:textId="77777777" w:rsidR="004D7B74" w:rsidRPr="00FC31DB" w:rsidRDefault="004D7B74" w:rsidP="00390086">
            <w:pPr>
              <w:pStyle w:val="TableTextleftaligned"/>
              <w:cnfStyle w:val="010000000000" w:firstRow="0" w:lastRow="1" w:firstColumn="0" w:lastColumn="0" w:oddVBand="0" w:evenVBand="0" w:oddHBand="0" w:evenHBand="0" w:firstRowFirstColumn="0" w:firstRowLastColumn="0" w:lastRowFirstColumn="0" w:lastRowLastColumn="0"/>
            </w:pPr>
            <w:r w:rsidRPr="00FC31DB">
              <w:rPr>
                <w:rFonts w:hint="eastAsia"/>
              </w:rPr>
              <w:t>≥</w:t>
            </w:r>
            <w:r w:rsidRPr="00FC31DB">
              <w:t xml:space="preserve"> 95%</w:t>
            </w:r>
          </w:p>
        </w:tc>
      </w:tr>
    </w:tbl>
    <w:p w14:paraId="233F6E83" w14:textId="77777777" w:rsidR="00483151" w:rsidRDefault="004D7B74" w:rsidP="00483151">
      <w:pPr>
        <w:pStyle w:val="Keyactivity"/>
      </w:pPr>
      <w:r w:rsidRPr="00656F73">
        <w:rPr>
          <w:rStyle w:val="Strong"/>
        </w:rPr>
        <w:t>Key Activity 1.7B</w:t>
      </w:r>
      <w:r w:rsidRPr="00656F73">
        <w:t>:</w:t>
      </w:r>
    </w:p>
    <w:p w14:paraId="27C43A55" w14:textId="1F1FD51D" w:rsidR="004D7B74" w:rsidRPr="00656F73" w:rsidRDefault="004D7B74" w:rsidP="00483151">
      <w:pPr>
        <w:pStyle w:val="Keyactivity"/>
      </w:pPr>
      <w:r w:rsidRPr="00656F73">
        <w:t xml:space="preserve">Requiring medical indemnity to only refuse to provide cover or apply a risk surcharge on insurance premiums under limited circumstances as set out under section 52A of the Medical Indemnity Act 2002. </w:t>
      </w:r>
    </w:p>
    <w:p w14:paraId="2DFE98C2" w14:textId="1696EDEE" w:rsidR="004D7B74" w:rsidRPr="00A22C9C" w:rsidRDefault="00A22C9C" w:rsidP="00A22C9C">
      <w:pPr>
        <w:rPr>
          <w:rFonts w:cs="Arial"/>
          <w:szCs w:val="20"/>
        </w:rPr>
      </w:pPr>
      <w:r w:rsidRPr="00A22C9C">
        <w:rPr>
          <w:rFonts w:cs="Arial"/>
          <w:b/>
          <w:bCs/>
          <w:szCs w:val="20"/>
        </w:rPr>
        <w:t xml:space="preserve">Key </w:t>
      </w:r>
      <w:r w:rsidR="00EE6012">
        <w:rPr>
          <w:rFonts w:cs="Arial"/>
          <w:b/>
          <w:bCs/>
          <w:szCs w:val="20"/>
        </w:rPr>
        <w:t>a</w:t>
      </w:r>
      <w:r w:rsidRPr="00A22C9C">
        <w:rPr>
          <w:rFonts w:cs="Arial"/>
          <w:b/>
          <w:bCs/>
          <w:szCs w:val="20"/>
        </w:rPr>
        <w:t>ctivity rationale:</w:t>
      </w:r>
      <w:r>
        <w:rPr>
          <w:rFonts w:cs="Arial"/>
          <w:szCs w:val="20"/>
        </w:rPr>
        <w:t xml:space="preserve"> </w:t>
      </w:r>
      <w:r w:rsidRPr="00A22C9C">
        <w:rPr>
          <w:rFonts w:cs="Arial"/>
          <w:szCs w:val="20"/>
        </w:rPr>
        <w:t xml:space="preserve">By imposing universal cover obligations on medical indemnity insurers, this activity ensures the basis of a refusal to provide medical indemnity cover is aligned to the legislation, </w:t>
      </w:r>
      <w:r w:rsidRPr="00A22C9C">
        <w:rPr>
          <w:rFonts w:cs="Arial"/>
          <w:szCs w:val="20"/>
        </w:rPr>
        <w:lastRenderedPageBreak/>
        <w:t>regulating health practitioners on what constitutes “fit-for-practice” under the Australian Health Practitioner Regulation Agency.</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524AE352" w14:textId="77777777" w:rsidTr="003802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11F8C02" w14:textId="77777777" w:rsidR="004D7B74" w:rsidRPr="00A22C9C" w:rsidRDefault="004D7B74" w:rsidP="00823660">
            <w:pPr>
              <w:pStyle w:val="TableTextleftaligned"/>
              <w:rPr>
                <w:b w:val="0"/>
                <w:color w:val="FFFFFF" w:themeColor="background1"/>
              </w:rPr>
            </w:pPr>
            <w:r w:rsidRPr="00A22C9C">
              <w:t xml:space="preserve">Measure 1.7B: Percentage of medical professionals who can access medical indemnity insurance without the application of a risk surcharge or a refusal of medical indemnity insurance cover. </w:t>
            </w:r>
          </w:p>
        </w:tc>
      </w:tr>
      <w:tr w:rsidR="004D7B74" w:rsidRPr="008E3CD6" w14:paraId="15D9EBE2" w14:textId="77777777" w:rsidTr="00380262">
        <w:tc>
          <w:tcPr>
            <w:cnfStyle w:val="001000000000" w:firstRow="0" w:lastRow="0" w:firstColumn="1" w:lastColumn="0" w:oddVBand="0" w:evenVBand="0" w:oddHBand="0" w:evenHBand="0" w:firstRowFirstColumn="0" w:firstRowLastColumn="0" w:lastRowFirstColumn="0" w:lastRowLastColumn="0"/>
            <w:tcW w:w="943" w:type="pct"/>
          </w:tcPr>
          <w:p w14:paraId="1DFF9C47"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721B2150"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This measure aims to evaluate the effectiveness of legislative changes which aim to ensure accessible and affordable medical indemnity insurance for medical professionals. Success is determined by a high percentage of medical professionals accessing insurance without risk surcharges or refusals, indicating the reforms are working as intended.</w:t>
            </w:r>
          </w:p>
        </w:tc>
      </w:tr>
      <w:tr w:rsidR="004D7B74" w:rsidRPr="008E3CD6" w14:paraId="7A0A81E2" w14:textId="77777777" w:rsidTr="00380262">
        <w:tc>
          <w:tcPr>
            <w:cnfStyle w:val="001000000000" w:firstRow="0" w:lastRow="0" w:firstColumn="1" w:lastColumn="0" w:oddVBand="0" w:evenVBand="0" w:oddHBand="0" w:evenHBand="0" w:firstRowFirstColumn="0" w:firstRowLastColumn="0" w:lastRowFirstColumn="0" w:lastRowLastColumn="0"/>
            <w:tcW w:w="943" w:type="pct"/>
          </w:tcPr>
          <w:p w14:paraId="643AED47" w14:textId="77777777" w:rsidR="004D7B74" w:rsidRPr="009B277D" w:rsidRDefault="004D7B74" w:rsidP="00CA72A8">
            <w:pPr>
              <w:pStyle w:val="TableTextleftaligned"/>
              <w:spacing w:line="192" w:lineRule="auto"/>
              <w:rPr>
                <w:b w:val="0"/>
                <w:bCs/>
              </w:rPr>
            </w:pPr>
            <w:r w:rsidRPr="009B277D">
              <w:rPr>
                <w:bCs/>
              </w:rPr>
              <w:t>Measure Type</w:t>
            </w:r>
          </w:p>
        </w:tc>
        <w:tc>
          <w:tcPr>
            <w:tcW w:w="4057" w:type="pct"/>
            <w:gridSpan w:val="4"/>
          </w:tcPr>
          <w:p w14:paraId="43ADB521"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5E7FB7">
              <w:t>Quantitative</w:t>
            </w:r>
            <w:r>
              <w:t xml:space="preserve"> </w:t>
            </w:r>
            <w:r w:rsidRPr="005E7FB7">
              <w:t>/ Effectiveness</w:t>
            </w:r>
          </w:p>
        </w:tc>
      </w:tr>
      <w:tr w:rsidR="004D7B74" w:rsidRPr="008E3CD6" w14:paraId="0CCBA48D" w14:textId="77777777" w:rsidTr="00380262">
        <w:tc>
          <w:tcPr>
            <w:cnfStyle w:val="001000000000" w:firstRow="0" w:lastRow="0" w:firstColumn="1" w:lastColumn="0" w:oddVBand="0" w:evenVBand="0" w:oddHBand="0" w:evenHBand="0" w:firstRowFirstColumn="0" w:firstRowLastColumn="0" w:lastRowFirstColumn="0" w:lastRowLastColumn="0"/>
            <w:tcW w:w="943" w:type="pct"/>
          </w:tcPr>
          <w:p w14:paraId="44193F4A" w14:textId="76B62081" w:rsidR="004D7B74" w:rsidRPr="009B277D" w:rsidRDefault="004D7B74" w:rsidP="00390086">
            <w:pPr>
              <w:pStyle w:val="TableTextleftaligned"/>
              <w:spacing w:line="192" w:lineRule="auto"/>
              <w:rPr>
                <w:b w:val="0"/>
                <w:bCs/>
              </w:rPr>
            </w:pPr>
            <w:r w:rsidRPr="009B277D">
              <w:rPr>
                <w:bCs/>
              </w:rPr>
              <w:t>Method</w:t>
            </w:r>
            <w:r w:rsidR="00390086">
              <w:rPr>
                <w:bCs/>
              </w:rPr>
              <w:t xml:space="preserve"> </w:t>
            </w:r>
            <w:r w:rsidRPr="00743DC1">
              <w:rPr>
                <w:rFonts w:ascii="Segoe UI" w:hAnsi="Segoe UI" w:cs="Segoe UI"/>
              </w:rPr>
              <w:t>(Data Source and Methodology</w:t>
            </w:r>
            <w:r w:rsidR="005D3FA9">
              <w:rPr>
                <w:rFonts w:ascii="Segoe UI" w:hAnsi="Segoe UI" w:cs="Segoe UI"/>
              </w:rPr>
              <w:t>)</w:t>
            </w:r>
          </w:p>
        </w:tc>
        <w:tc>
          <w:tcPr>
            <w:tcW w:w="4057" w:type="pct"/>
            <w:gridSpan w:val="4"/>
          </w:tcPr>
          <w:p w14:paraId="179DDE24"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The data is sourced from annual reports submitted by medical indemnity insurers, as mandated by the </w:t>
            </w:r>
            <w:r w:rsidRPr="003A5BAE">
              <w:rPr>
                <w:i/>
                <w:iCs/>
              </w:rPr>
              <w:t>Medical Indemnity Act 2002</w:t>
            </w:r>
            <w:r>
              <w:t>, and from the Run-Off Cover Scheme (ROCS) Contribution Report provided by Services Australia.</w:t>
            </w:r>
          </w:p>
          <w:p w14:paraId="5C79C419"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The percentage is calculated by dividing the number of medical professionals refused cover or subject to risk surcharges by the total number of medical professionals eligible for insurance. The data is collected annually, collated, de-identified, and published on the </w:t>
            </w:r>
            <w:r w:rsidRPr="00D95DE3">
              <w:t>Department of Health and Aged Care website</w:t>
            </w:r>
            <w:r w:rsidRPr="00B92261">
              <w:rPr>
                <w:rStyle w:val="FootnoteReference"/>
              </w:rPr>
              <w:footnoteReference w:id="38"/>
            </w:r>
            <w:r w:rsidRPr="00B92261">
              <w:t>.</w:t>
            </w:r>
          </w:p>
          <w:p w14:paraId="268EAEF5"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The 95% target acknowledges that a small percentage of practitioners might not meet insurer requirements due to specific risk factors, aligning with legislative provisions for refusal of cover or the application of a risk surcharge under limited circumstances. This target can be adjusted in future years as more data becomes available and trends are established.</w:t>
            </w:r>
          </w:p>
          <w:p w14:paraId="425688D1"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The key risk is that insurers may exceed their discretion in refusing insurance cover or apply a risk surcharge. This is mitigated by the limited grounds for such actions under the </w:t>
            </w:r>
            <w:r w:rsidRPr="00F502BA">
              <w:rPr>
                <w:i/>
                <w:iCs/>
              </w:rPr>
              <w:t>Medical Indemnity Act 2002</w:t>
            </w:r>
            <w:r>
              <w:t xml:space="preserve"> and the availability of the Australian Financial Complaints Authority to determine practitioner complaints.</w:t>
            </w:r>
          </w:p>
        </w:tc>
      </w:tr>
      <w:tr w:rsidR="00D50D30" w:rsidRPr="008E3CD6" w14:paraId="2E5B2751" w14:textId="77777777" w:rsidTr="00380262">
        <w:tc>
          <w:tcPr>
            <w:cnfStyle w:val="001000000000" w:firstRow="0" w:lastRow="0" w:firstColumn="1" w:lastColumn="0" w:oddVBand="0" w:evenVBand="0" w:oddHBand="0" w:evenHBand="0" w:firstRowFirstColumn="0" w:firstRowLastColumn="0" w:lastRowFirstColumn="0" w:lastRowLastColumn="0"/>
            <w:tcW w:w="943" w:type="pct"/>
          </w:tcPr>
          <w:p w14:paraId="2CCDF351" w14:textId="4409EC99" w:rsidR="00D50D30" w:rsidRPr="009B277D" w:rsidRDefault="00D50D30" w:rsidP="00390086">
            <w:pPr>
              <w:pStyle w:val="TableTextleftaligned"/>
              <w:spacing w:line="192" w:lineRule="auto"/>
              <w:rPr>
                <w:b w:val="0"/>
                <w:bCs/>
              </w:rPr>
            </w:pPr>
            <w:r>
              <w:rPr>
                <w:bCs/>
              </w:rPr>
              <w:t>Linked to 2024–25 Portfolio Budget Statements</w:t>
            </w:r>
          </w:p>
        </w:tc>
        <w:tc>
          <w:tcPr>
            <w:tcW w:w="4057" w:type="pct"/>
            <w:gridSpan w:val="4"/>
          </w:tcPr>
          <w:p w14:paraId="73FC3A72" w14:textId="75D2B3B1" w:rsidR="00D50D30" w:rsidRDefault="00D50D30" w:rsidP="00823660">
            <w:pPr>
              <w:pStyle w:val="TableTextleftaligned"/>
              <w:cnfStyle w:val="000000000000" w:firstRow="0" w:lastRow="0" w:firstColumn="0" w:lastColumn="0" w:oddVBand="0" w:evenVBand="0" w:oddHBand="0" w:evenHBand="0" w:firstRowFirstColumn="0" w:firstRowLastColumn="0" w:lastRowFirstColumn="0" w:lastRowLastColumn="0"/>
            </w:pPr>
            <w:r w:rsidRPr="00553C7F">
              <w:t xml:space="preserve">Program </w:t>
            </w:r>
            <w:r>
              <w:t>1</w:t>
            </w:r>
            <w:r w:rsidRPr="00553C7F">
              <w:t>.</w:t>
            </w:r>
            <w:r>
              <w:t>7</w:t>
            </w:r>
            <w:r w:rsidR="00FF27E1">
              <w:t xml:space="preserve"> - </w:t>
            </w:r>
            <w:r>
              <w:t xml:space="preserve">Primary Care Practice Incentives and Medical Indemnity </w:t>
            </w:r>
            <w:r w:rsidRPr="00553C7F">
              <w:t xml:space="preserve">– page </w:t>
            </w:r>
            <w:r>
              <w:t>6</w:t>
            </w:r>
            <w:r w:rsidR="00D8673B">
              <w:t>8</w:t>
            </w:r>
          </w:p>
        </w:tc>
      </w:tr>
      <w:tr w:rsidR="004D7B74" w:rsidRPr="008E3CD6" w14:paraId="7E0C2930" w14:textId="77777777" w:rsidTr="00380262">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7B747AE7" w14:textId="77777777" w:rsidR="004D7B74" w:rsidRPr="009B277D" w:rsidRDefault="004D7B74" w:rsidP="00CA72A8">
            <w:pPr>
              <w:pStyle w:val="TableTextleftaligned"/>
              <w:spacing w:line="192" w:lineRule="auto"/>
              <w:rPr>
                <w:b w:val="0"/>
                <w:bCs/>
              </w:rPr>
            </w:pPr>
            <w:r>
              <w:rPr>
                <w:bCs/>
              </w:rPr>
              <w:t>Planned Performance Results</w:t>
            </w:r>
          </w:p>
        </w:tc>
        <w:tc>
          <w:tcPr>
            <w:tcW w:w="1014" w:type="pct"/>
            <w:shd w:val="clear" w:color="auto" w:fill="BFBFBF" w:themeFill="background1" w:themeFillShade="BF"/>
            <w:vAlign w:val="center"/>
          </w:tcPr>
          <w:p w14:paraId="3E9BED46" w14:textId="77777777" w:rsidR="004D7B74" w:rsidRPr="00A22C9C" w:rsidRDefault="004D7B74" w:rsidP="00380262">
            <w:pPr>
              <w:pStyle w:val="TableTextstrong"/>
              <w:cnfStyle w:val="000000000000" w:firstRow="0" w:lastRow="0" w:firstColumn="0" w:lastColumn="0" w:oddVBand="0" w:evenVBand="0" w:oddHBand="0" w:evenHBand="0" w:firstRowFirstColumn="0" w:firstRowLastColumn="0" w:lastRowFirstColumn="0" w:lastRowLastColumn="0"/>
            </w:pPr>
            <w:r w:rsidRPr="00A22C9C">
              <w:t>2024–25</w:t>
            </w:r>
          </w:p>
        </w:tc>
        <w:tc>
          <w:tcPr>
            <w:tcW w:w="1015" w:type="pct"/>
            <w:shd w:val="clear" w:color="auto" w:fill="BFBFBF" w:themeFill="background1" w:themeFillShade="BF"/>
            <w:vAlign w:val="center"/>
          </w:tcPr>
          <w:p w14:paraId="7EEA6BEB" w14:textId="77777777" w:rsidR="004D7B74" w:rsidRPr="00A22C9C" w:rsidRDefault="004D7B74" w:rsidP="00380262">
            <w:pPr>
              <w:pStyle w:val="TableTextstrong"/>
              <w:cnfStyle w:val="000000000000" w:firstRow="0" w:lastRow="0" w:firstColumn="0" w:lastColumn="0" w:oddVBand="0" w:evenVBand="0" w:oddHBand="0" w:evenHBand="0" w:firstRowFirstColumn="0" w:firstRowLastColumn="0" w:lastRowFirstColumn="0" w:lastRowLastColumn="0"/>
            </w:pPr>
            <w:r w:rsidRPr="00A22C9C">
              <w:t>2025–26</w:t>
            </w:r>
          </w:p>
        </w:tc>
        <w:tc>
          <w:tcPr>
            <w:tcW w:w="1015" w:type="pct"/>
            <w:shd w:val="clear" w:color="auto" w:fill="BFBFBF" w:themeFill="background1" w:themeFillShade="BF"/>
            <w:vAlign w:val="center"/>
          </w:tcPr>
          <w:p w14:paraId="023B203E" w14:textId="77777777" w:rsidR="004D7B74" w:rsidRPr="00A22C9C" w:rsidRDefault="004D7B74" w:rsidP="00380262">
            <w:pPr>
              <w:pStyle w:val="TableTextstrong"/>
              <w:cnfStyle w:val="000000000000" w:firstRow="0" w:lastRow="0" w:firstColumn="0" w:lastColumn="0" w:oddVBand="0" w:evenVBand="0" w:oddHBand="0" w:evenHBand="0" w:firstRowFirstColumn="0" w:firstRowLastColumn="0" w:lastRowFirstColumn="0" w:lastRowLastColumn="0"/>
            </w:pPr>
            <w:r w:rsidRPr="00A22C9C">
              <w:t>2026–27</w:t>
            </w:r>
          </w:p>
        </w:tc>
        <w:tc>
          <w:tcPr>
            <w:tcW w:w="1013" w:type="pct"/>
            <w:shd w:val="clear" w:color="auto" w:fill="BFBFBF" w:themeFill="background1" w:themeFillShade="BF"/>
            <w:vAlign w:val="center"/>
          </w:tcPr>
          <w:p w14:paraId="3150A664" w14:textId="77777777" w:rsidR="004D7B74" w:rsidRPr="00A22C9C" w:rsidRDefault="004D7B74" w:rsidP="00380262">
            <w:pPr>
              <w:pStyle w:val="TableTextstrong"/>
              <w:cnfStyle w:val="000000000000" w:firstRow="0" w:lastRow="0" w:firstColumn="0" w:lastColumn="0" w:oddVBand="0" w:evenVBand="0" w:oddHBand="0" w:evenHBand="0" w:firstRowFirstColumn="0" w:firstRowLastColumn="0" w:lastRowFirstColumn="0" w:lastRowLastColumn="0"/>
            </w:pPr>
            <w:r w:rsidRPr="00A22C9C">
              <w:t>2027–28</w:t>
            </w:r>
          </w:p>
        </w:tc>
      </w:tr>
      <w:tr w:rsidR="004D7B74" w:rsidRPr="008E3CD6" w14:paraId="4C59DADA" w14:textId="77777777" w:rsidTr="0038026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339505A2" w14:textId="77777777" w:rsidR="004D7B74" w:rsidRPr="009B277D" w:rsidRDefault="004D7B74" w:rsidP="00CA72A8">
            <w:pPr>
              <w:pStyle w:val="TableTextleftaligned"/>
              <w:spacing w:line="192" w:lineRule="auto"/>
              <w:rPr>
                <w:b w:val="0"/>
                <w:bCs/>
              </w:rPr>
            </w:pPr>
          </w:p>
        </w:tc>
        <w:tc>
          <w:tcPr>
            <w:tcW w:w="1014" w:type="pct"/>
          </w:tcPr>
          <w:p w14:paraId="7705E09B" w14:textId="77777777" w:rsidR="004D7B74" w:rsidRPr="001A1883"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1A1883">
              <w:t>95.0%</w:t>
            </w:r>
          </w:p>
        </w:tc>
        <w:tc>
          <w:tcPr>
            <w:tcW w:w="1015" w:type="pct"/>
          </w:tcPr>
          <w:p w14:paraId="37868276" w14:textId="77777777" w:rsidR="004D7B74" w:rsidRPr="001A1883"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1A1883">
              <w:t>95.0%</w:t>
            </w:r>
          </w:p>
        </w:tc>
        <w:tc>
          <w:tcPr>
            <w:tcW w:w="1015" w:type="pct"/>
          </w:tcPr>
          <w:p w14:paraId="3E47AEED" w14:textId="77777777" w:rsidR="004D7B74" w:rsidRPr="001A1883"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1A1883">
              <w:t>95.0%</w:t>
            </w:r>
          </w:p>
        </w:tc>
        <w:tc>
          <w:tcPr>
            <w:tcW w:w="1013" w:type="pct"/>
          </w:tcPr>
          <w:p w14:paraId="5F0E8D91" w14:textId="77777777" w:rsidR="004D7B74" w:rsidRPr="001A1883"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1A1883">
              <w:t>95.0%</w:t>
            </w:r>
          </w:p>
        </w:tc>
      </w:tr>
    </w:tbl>
    <w:p w14:paraId="192FBC59" w14:textId="77777777" w:rsidR="00380262" w:rsidRDefault="00380262">
      <w:bookmarkStart w:id="122" w:name="_Toc166069793"/>
      <w:bookmarkStart w:id="123" w:name="_Toc171411942"/>
      <w:bookmarkStart w:id="124" w:name="_Toc175293631"/>
      <w:bookmarkStart w:id="125" w:name="_Program_1.8_Health"/>
      <w:bookmarkEnd w:id="125"/>
      <w:r>
        <w:br w:type="page"/>
      </w:r>
    </w:p>
    <w:p w14:paraId="05AAF326" w14:textId="0EB6896F" w:rsidR="004D7B74" w:rsidRPr="004C745D" w:rsidRDefault="004D7B74" w:rsidP="00380262">
      <w:pPr>
        <w:pStyle w:val="Heading2"/>
        <w:rPr>
          <w:b w:val="0"/>
          <w:bCs w:val="0"/>
        </w:rPr>
      </w:pPr>
      <w:bookmarkStart w:id="126" w:name="_Toc175846502"/>
      <w:r w:rsidRPr="004C745D">
        <w:lastRenderedPageBreak/>
        <w:t xml:space="preserve">Program 1.8 Health </w:t>
      </w:r>
      <w:r w:rsidRPr="00380262">
        <w:t>Protection</w:t>
      </w:r>
      <w:r w:rsidRPr="004C745D">
        <w:t>, Emergency Response and Regulation</w:t>
      </w:r>
      <w:bookmarkEnd w:id="122"/>
      <w:r w:rsidRPr="004C745D">
        <w:rPr>
          <w:rStyle w:val="FootnoteReference"/>
          <w:rFonts w:cs="Arial"/>
          <w:sz w:val="22"/>
          <w:szCs w:val="22"/>
        </w:rPr>
        <w:footnoteReference w:id="39"/>
      </w:r>
      <w:bookmarkEnd w:id="123"/>
      <w:bookmarkEnd w:id="124"/>
      <w:bookmarkEnd w:id="126"/>
      <w:r w:rsidRPr="004C745D">
        <w:rPr>
          <w:sz w:val="22"/>
          <w:szCs w:val="22"/>
        </w:rPr>
        <w:t xml:space="preserve"> </w:t>
      </w:r>
    </w:p>
    <w:p w14:paraId="0A3EAD8F" w14:textId="77777777" w:rsidR="004D7B74" w:rsidRPr="00380262" w:rsidRDefault="004D7B74" w:rsidP="00380262">
      <w:pPr>
        <w:pStyle w:val="Heading3"/>
      </w:pPr>
      <w:bookmarkStart w:id="127" w:name="_Toc171411943"/>
      <w:bookmarkStart w:id="128" w:name="_Toc175293632"/>
      <w:r w:rsidRPr="004C745D">
        <w:t>Program Objective</w:t>
      </w:r>
      <w:bookmarkEnd w:id="127"/>
      <w:bookmarkEnd w:id="128"/>
    </w:p>
    <w:p w14:paraId="2194F5A2" w14:textId="77777777" w:rsidR="004D7B74" w:rsidRPr="00BB4FE7" w:rsidRDefault="004D7B74" w:rsidP="00BB4FE7">
      <w:r w:rsidRPr="00BB4FE7">
        <w:t>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 Protect human health and the environment through regulatory oversight of therapeutic goods, controlled drugs, genetically modified organisms, and industrial chemicals.</w:t>
      </w:r>
    </w:p>
    <w:p w14:paraId="7057A14B" w14:textId="77777777" w:rsidR="00483151" w:rsidRDefault="004D7B74" w:rsidP="00380262">
      <w:pPr>
        <w:pStyle w:val="Keyactivity"/>
      </w:pPr>
      <w:r w:rsidRPr="00523903">
        <w:rPr>
          <w:rStyle w:val="Strong"/>
        </w:rPr>
        <w:t>Key Activity 1.8A</w:t>
      </w:r>
      <w:r w:rsidRPr="00523903">
        <w:t>:</w:t>
      </w:r>
    </w:p>
    <w:p w14:paraId="6AA0018B" w14:textId="46E23D54" w:rsidR="004D7B74" w:rsidRPr="00523903" w:rsidRDefault="004D7B74" w:rsidP="00380262">
      <w:pPr>
        <w:pStyle w:val="Keyactivity"/>
      </w:pPr>
      <w:r w:rsidRPr="00523903">
        <w:t xml:space="preserve">Regulating therapeutic goods to ensure safety, efficacy, </w:t>
      </w:r>
      <w:proofErr w:type="gramStart"/>
      <w:r w:rsidRPr="00523903">
        <w:t>performance</w:t>
      </w:r>
      <w:proofErr w:type="gramEnd"/>
      <w:r w:rsidRPr="00523903">
        <w:t xml:space="preserve"> and quality.</w:t>
      </w:r>
    </w:p>
    <w:p w14:paraId="17682C75" w14:textId="477D69D7" w:rsidR="004D7B74" w:rsidRPr="004C745D" w:rsidRDefault="004C745D" w:rsidP="004C745D">
      <w:pPr>
        <w:rPr>
          <w:rFonts w:cs="Arial"/>
          <w:sz w:val="18"/>
          <w:szCs w:val="18"/>
        </w:rPr>
      </w:pPr>
      <w:r w:rsidRPr="004C745D">
        <w:rPr>
          <w:rFonts w:cs="Arial"/>
          <w:b/>
          <w:bCs/>
          <w:szCs w:val="20"/>
        </w:rPr>
        <w:t>Key Activity rationale:</w:t>
      </w:r>
      <w:r w:rsidRPr="004C745D">
        <w:rPr>
          <w:rFonts w:cs="Arial"/>
          <w:szCs w:val="20"/>
        </w:rPr>
        <w:t xml:space="preserve"> The Therapeutic Goods Administration (TGA) demonstrates success by publishing evaluation timeframes in external performance reports, the achievement of which builds public trust and confidence in the performance of our regulatory functions. It also ensures we continue to minimise duplication and harmonise activities with international regulators to achieve better regulatory outcomes, thus reducing the compliance burden on industry.</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30490302" w14:textId="77777777" w:rsidTr="005239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5B51DE8" w14:textId="77777777" w:rsidR="004D7B74" w:rsidRPr="004C745D" w:rsidRDefault="004D7B74" w:rsidP="00823660">
            <w:pPr>
              <w:pStyle w:val="TableTextleftaligned"/>
              <w:rPr>
                <w:b w:val="0"/>
                <w:color w:val="FFFFFF" w:themeColor="background1"/>
              </w:rPr>
            </w:pPr>
            <w:r w:rsidRPr="004C745D">
              <w:t xml:space="preserve">Measure 1.8A: Percentage of therapeutic goods evaluations that meet statutory timeframes. </w:t>
            </w:r>
          </w:p>
        </w:tc>
      </w:tr>
      <w:tr w:rsidR="004D7B74" w:rsidRPr="008E3CD6" w14:paraId="5B581818"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7C052044"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6B09358B" w14:textId="37328420" w:rsidR="004D7B74" w:rsidRPr="00523903" w:rsidRDefault="004D7B74" w:rsidP="00523903">
            <w:pPr>
              <w:pStyle w:val="TableTextleftaligned"/>
              <w:cnfStyle w:val="000000000000" w:firstRow="0" w:lastRow="0" w:firstColumn="0" w:lastColumn="0" w:oddVBand="0" w:evenVBand="0" w:oddHBand="0" w:evenHBand="0" w:firstRowFirstColumn="0" w:firstRowLastColumn="0" w:lastRowFirstColumn="0" w:lastRowLastColumn="0"/>
            </w:pPr>
            <w:r w:rsidRPr="00523903">
              <w:t>This measure demonstrates the TGA</w:t>
            </w:r>
            <w:r w:rsidR="00710219" w:rsidRPr="00523903">
              <w:t>’s</w:t>
            </w:r>
            <w:r w:rsidRPr="00523903">
              <w:t xml:space="preserve"> performance against the requirements of the </w:t>
            </w:r>
            <w:r w:rsidRPr="00523903">
              <w:rPr>
                <w:rStyle w:val="Emphasis"/>
              </w:rPr>
              <w:t>Therapeutic Goods Act 1989</w:t>
            </w:r>
            <w:r w:rsidR="00D5625C" w:rsidRPr="00523903">
              <w:t>.</w:t>
            </w:r>
          </w:p>
        </w:tc>
      </w:tr>
      <w:tr w:rsidR="004D7B74" w:rsidRPr="008E3CD6" w14:paraId="0E32F07B"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5DA141A2" w14:textId="77777777" w:rsidR="004D7B74" w:rsidRPr="009B277D" w:rsidRDefault="004D7B74" w:rsidP="00CA72A8">
            <w:pPr>
              <w:pStyle w:val="TableTextleftaligned"/>
              <w:spacing w:line="192" w:lineRule="auto"/>
              <w:rPr>
                <w:b w:val="0"/>
                <w:bCs/>
              </w:rPr>
            </w:pPr>
            <w:r w:rsidRPr="009B277D">
              <w:rPr>
                <w:bCs/>
              </w:rPr>
              <w:t>Measure Type</w:t>
            </w:r>
          </w:p>
        </w:tc>
        <w:tc>
          <w:tcPr>
            <w:tcW w:w="4057" w:type="pct"/>
            <w:gridSpan w:val="4"/>
          </w:tcPr>
          <w:p w14:paraId="0E5FD9CB" w14:textId="77777777" w:rsidR="004D7B74" w:rsidRPr="00523903" w:rsidRDefault="004D7B74" w:rsidP="00523903">
            <w:pPr>
              <w:pStyle w:val="TableTextleftaligned"/>
              <w:cnfStyle w:val="000000000000" w:firstRow="0" w:lastRow="0" w:firstColumn="0" w:lastColumn="0" w:oddVBand="0" w:evenVBand="0" w:oddHBand="0" w:evenHBand="0" w:firstRowFirstColumn="0" w:firstRowLastColumn="0" w:lastRowFirstColumn="0" w:lastRowLastColumn="0"/>
            </w:pPr>
            <w:r w:rsidRPr="00523903">
              <w:t>Quantitative / Effectiveness</w:t>
            </w:r>
          </w:p>
        </w:tc>
      </w:tr>
      <w:tr w:rsidR="004D7B74" w:rsidRPr="008E3CD6" w14:paraId="68668FC8"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534046D8" w14:textId="77777777" w:rsidR="004D7B74" w:rsidRDefault="004D7B74" w:rsidP="00CA72A8">
            <w:pPr>
              <w:pStyle w:val="TableTextleftaligned"/>
              <w:spacing w:line="192" w:lineRule="auto"/>
              <w:rPr>
                <w:b w:val="0"/>
                <w:bCs/>
              </w:rPr>
            </w:pPr>
            <w:r w:rsidRPr="009B277D">
              <w:rPr>
                <w:bCs/>
              </w:rPr>
              <w:t>Method</w:t>
            </w:r>
          </w:p>
          <w:p w14:paraId="63EAB418" w14:textId="0D67327C" w:rsidR="004D7B74" w:rsidRPr="009B277D" w:rsidRDefault="004D7B74" w:rsidP="00CA72A8">
            <w:pPr>
              <w:pStyle w:val="TableTextleftaligned"/>
              <w:spacing w:line="192" w:lineRule="auto"/>
              <w:rPr>
                <w:b w:val="0"/>
                <w:bCs/>
              </w:rPr>
            </w:pPr>
            <w:r w:rsidRPr="00743DC1">
              <w:rPr>
                <w:rFonts w:ascii="Segoe UI" w:hAnsi="Segoe UI" w:cs="Segoe UI"/>
              </w:rPr>
              <w:t>(Data Source and Methodology</w:t>
            </w:r>
            <w:r w:rsidR="005D3FA9">
              <w:rPr>
                <w:rFonts w:ascii="Segoe UI" w:hAnsi="Segoe UI" w:cs="Segoe UI"/>
              </w:rPr>
              <w:t>)</w:t>
            </w:r>
          </w:p>
        </w:tc>
        <w:tc>
          <w:tcPr>
            <w:tcW w:w="4057" w:type="pct"/>
            <w:gridSpan w:val="4"/>
          </w:tcPr>
          <w:p w14:paraId="3E0BDE93" w14:textId="2CCE7455" w:rsidR="004D7B74" w:rsidRPr="00523903" w:rsidRDefault="004D7B74" w:rsidP="00523903">
            <w:pPr>
              <w:pStyle w:val="TableTextleftaligned"/>
              <w:cnfStyle w:val="000000000000" w:firstRow="0" w:lastRow="0" w:firstColumn="0" w:lastColumn="0" w:oddVBand="0" w:evenVBand="0" w:oddHBand="0" w:evenHBand="0" w:firstRowFirstColumn="0" w:firstRowLastColumn="0" w:lastRowFirstColumn="0" w:lastRowLastColumn="0"/>
            </w:pPr>
            <w:r w:rsidRPr="00523903">
              <w:t>Records of medicines, medical devices, and biologicals applications. Data is analysed and maintained internally by the Department. Evaluation activities are measured against statutory timeframes</w:t>
            </w:r>
            <w:r w:rsidR="00710219" w:rsidRPr="00523903">
              <w:t>, which are</w:t>
            </w:r>
            <w:r w:rsidRPr="00523903">
              <w:t xml:space="preserve"> contained within the </w:t>
            </w:r>
            <w:r w:rsidRPr="00523903">
              <w:rPr>
                <w:rStyle w:val="Emphasis"/>
              </w:rPr>
              <w:t>Therapeutic Goods Regulations 1990</w:t>
            </w:r>
            <w:r w:rsidRPr="00523903">
              <w:t>.</w:t>
            </w:r>
          </w:p>
        </w:tc>
      </w:tr>
      <w:tr w:rsidR="00D8673B" w:rsidRPr="008E3CD6" w14:paraId="0166C70C"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38B0F0F3" w14:textId="77777777" w:rsidR="00D8673B" w:rsidRDefault="00D8673B" w:rsidP="00D8673B">
            <w:pPr>
              <w:pStyle w:val="TableTextleftaligned"/>
              <w:spacing w:line="192" w:lineRule="auto"/>
              <w:rPr>
                <w:b w:val="0"/>
                <w:bCs/>
              </w:rPr>
            </w:pPr>
            <w:r>
              <w:rPr>
                <w:bCs/>
              </w:rPr>
              <w:t xml:space="preserve">Linked to </w:t>
            </w:r>
          </w:p>
          <w:p w14:paraId="358CB5BB" w14:textId="21181489" w:rsidR="00D8673B" w:rsidRPr="009B277D" w:rsidRDefault="00D8673B" w:rsidP="00D8673B">
            <w:pPr>
              <w:pStyle w:val="TableTextleftaligned"/>
              <w:spacing w:line="192" w:lineRule="auto"/>
              <w:rPr>
                <w:b w:val="0"/>
                <w:bCs/>
              </w:rPr>
            </w:pPr>
            <w:r>
              <w:rPr>
                <w:bCs/>
              </w:rPr>
              <w:t>2024–</w:t>
            </w:r>
            <w:r w:rsidR="00802487">
              <w:rPr>
                <w:bCs/>
              </w:rPr>
              <w:t>25 Portfolio</w:t>
            </w:r>
            <w:r>
              <w:rPr>
                <w:bCs/>
              </w:rPr>
              <w:t xml:space="preserve"> Budget Statements</w:t>
            </w:r>
          </w:p>
        </w:tc>
        <w:tc>
          <w:tcPr>
            <w:tcW w:w="4057" w:type="pct"/>
            <w:gridSpan w:val="4"/>
          </w:tcPr>
          <w:p w14:paraId="72249B4D" w14:textId="7026EB60" w:rsidR="00D8673B" w:rsidRPr="00523903" w:rsidRDefault="00D8673B" w:rsidP="00523903">
            <w:pPr>
              <w:pStyle w:val="TableTextleftaligned"/>
              <w:cnfStyle w:val="000000000000" w:firstRow="0" w:lastRow="0" w:firstColumn="0" w:lastColumn="0" w:oddVBand="0" w:evenVBand="0" w:oddHBand="0" w:evenHBand="0" w:firstRowFirstColumn="0" w:firstRowLastColumn="0" w:lastRowFirstColumn="0" w:lastRowLastColumn="0"/>
            </w:pPr>
            <w:bookmarkStart w:id="129" w:name="_Toc175293633"/>
            <w:r w:rsidRPr="00523903">
              <w:t>Program 1.</w:t>
            </w:r>
            <w:r w:rsidR="00E6299A" w:rsidRPr="00523903">
              <w:t xml:space="preserve">8 </w:t>
            </w:r>
            <w:r w:rsidR="00FF27E1" w:rsidRPr="00523903">
              <w:t>-</w:t>
            </w:r>
            <w:r w:rsidRPr="00523903">
              <w:t xml:space="preserve"> </w:t>
            </w:r>
            <w:r w:rsidR="00E6299A" w:rsidRPr="00523903">
              <w:t xml:space="preserve">Health Protection, Emergency Response and Regulation </w:t>
            </w:r>
            <w:r w:rsidRPr="00523903">
              <w:t>– page 6</w:t>
            </w:r>
            <w:r w:rsidR="00E6299A" w:rsidRPr="00523903">
              <w:t>9</w:t>
            </w:r>
            <w:bookmarkEnd w:id="129"/>
          </w:p>
        </w:tc>
      </w:tr>
      <w:tr w:rsidR="004D7B74" w:rsidRPr="008E3CD6" w14:paraId="262C2EE9" w14:textId="77777777" w:rsidTr="00523903">
        <w:trPr>
          <w:trHeight w:val="567"/>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41A6D874" w14:textId="77777777" w:rsidR="004D7B74" w:rsidRPr="009B277D" w:rsidRDefault="004D7B74" w:rsidP="00CA72A8">
            <w:pPr>
              <w:pStyle w:val="TableTextleftaligned"/>
              <w:spacing w:line="192" w:lineRule="auto"/>
              <w:rPr>
                <w:b w:val="0"/>
                <w:bCs/>
              </w:rPr>
            </w:pPr>
            <w:r>
              <w:rPr>
                <w:bCs/>
              </w:rPr>
              <w:t>Planned Performance Results</w:t>
            </w:r>
          </w:p>
        </w:tc>
        <w:tc>
          <w:tcPr>
            <w:tcW w:w="1014" w:type="pct"/>
            <w:shd w:val="clear" w:color="auto" w:fill="BFBFBF" w:themeFill="background1" w:themeFillShade="BF"/>
            <w:vAlign w:val="center"/>
          </w:tcPr>
          <w:p w14:paraId="38CAAA17" w14:textId="77777777" w:rsidR="004D7B74" w:rsidRPr="004C745D"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4C745D">
              <w:t>2024–25</w:t>
            </w:r>
          </w:p>
        </w:tc>
        <w:tc>
          <w:tcPr>
            <w:tcW w:w="1015" w:type="pct"/>
            <w:shd w:val="clear" w:color="auto" w:fill="BFBFBF" w:themeFill="background1" w:themeFillShade="BF"/>
            <w:vAlign w:val="center"/>
          </w:tcPr>
          <w:p w14:paraId="51EC06ED" w14:textId="77777777" w:rsidR="004D7B74" w:rsidRPr="004C745D"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4C745D">
              <w:t>2025–26</w:t>
            </w:r>
          </w:p>
        </w:tc>
        <w:tc>
          <w:tcPr>
            <w:tcW w:w="1015" w:type="pct"/>
            <w:shd w:val="clear" w:color="auto" w:fill="BFBFBF" w:themeFill="background1" w:themeFillShade="BF"/>
            <w:vAlign w:val="center"/>
          </w:tcPr>
          <w:p w14:paraId="66D29261" w14:textId="77777777" w:rsidR="004D7B74" w:rsidRPr="004C745D"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4C745D">
              <w:t>2026–27</w:t>
            </w:r>
          </w:p>
        </w:tc>
        <w:tc>
          <w:tcPr>
            <w:tcW w:w="1013" w:type="pct"/>
            <w:shd w:val="clear" w:color="auto" w:fill="BFBFBF" w:themeFill="background1" w:themeFillShade="BF"/>
            <w:vAlign w:val="center"/>
          </w:tcPr>
          <w:p w14:paraId="37467CBD" w14:textId="77777777" w:rsidR="004D7B74" w:rsidRPr="004C745D"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4C745D">
              <w:t>2027–28</w:t>
            </w:r>
          </w:p>
        </w:tc>
      </w:tr>
      <w:tr w:rsidR="004D7B74" w:rsidRPr="008E3CD6" w14:paraId="242C78FA" w14:textId="77777777" w:rsidTr="005239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081068BB" w14:textId="77777777" w:rsidR="004D7B74" w:rsidRPr="009B277D" w:rsidRDefault="004D7B74" w:rsidP="00CA72A8">
            <w:pPr>
              <w:pStyle w:val="TableTextleftaligned"/>
              <w:spacing w:line="192" w:lineRule="auto"/>
              <w:rPr>
                <w:b w:val="0"/>
                <w:bCs/>
              </w:rPr>
            </w:pPr>
          </w:p>
        </w:tc>
        <w:tc>
          <w:tcPr>
            <w:tcW w:w="1014" w:type="pct"/>
          </w:tcPr>
          <w:p w14:paraId="788E775E" w14:textId="77777777" w:rsidR="004D7B74" w:rsidRPr="000C2C65"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0C2C65">
              <w:t>98%</w:t>
            </w:r>
            <w:r>
              <w:rPr>
                <w:rStyle w:val="FootnoteReference"/>
              </w:rPr>
              <w:footnoteReference w:id="40"/>
            </w:r>
          </w:p>
        </w:tc>
        <w:tc>
          <w:tcPr>
            <w:tcW w:w="1015" w:type="pct"/>
          </w:tcPr>
          <w:p w14:paraId="0C863C26" w14:textId="77777777" w:rsidR="004D7B74" w:rsidRPr="000C2C65"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0C2C65">
              <w:t>98%</w:t>
            </w:r>
          </w:p>
        </w:tc>
        <w:tc>
          <w:tcPr>
            <w:tcW w:w="1015" w:type="pct"/>
          </w:tcPr>
          <w:p w14:paraId="14BE3FF8" w14:textId="77777777" w:rsidR="004D7B74" w:rsidRPr="000C2C65"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0C2C65">
              <w:t>98%</w:t>
            </w:r>
          </w:p>
        </w:tc>
        <w:tc>
          <w:tcPr>
            <w:tcW w:w="1013" w:type="pct"/>
          </w:tcPr>
          <w:p w14:paraId="61A8CF7A" w14:textId="77777777" w:rsidR="004D7B74" w:rsidRPr="000C2C65"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0C2C65">
              <w:t>98%</w:t>
            </w:r>
          </w:p>
        </w:tc>
      </w:tr>
    </w:tbl>
    <w:p w14:paraId="7F4C87F1" w14:textId="77777777" w:rsidR="00483151" w:rsidRDefault="00523903" w:rsidP="00380262">
      <w:pPr>
        <w:pStyle w:val="Keyactivity"/>
        <w:rPr>
          <w:rStyle w:val="Strong"/>
        </w:rPr>
      </w:pPr>
      <w:r w:rsidRPr="00523903">
        <w:rPr>
          <w:rStyle w:val="Strong"/>
        </w:rPr>
        <w:t>Key Activity 1.8B:</w:t>
      </w:r>
    </w:p>
    <w:p w14:paraId="44CA6482" w14:textId="11E0FCBD" w:rsidR="00523903" w:rsidRPr="00CA2D80" w:rsidRDefault="00523903" w:rsidP="00380262">
      <w:pPr>
        <w:pStyle w:val="Keyactivity"/>
        <w:rPr>
          <w:b/>
          <w:bCs/>
        </w:rPr>
      </w:pPr>
      <w:r>
        <w:t>Regulating through compliance and monitoring and providing advice on the import, export, cultivation, production, and manufacture of controlled drugs, including medicinal cannabis, to support Australia’s obligations under the International Drug Conventions.</w:t>
      </w:r>
    </w:p>
    <w:p w14:paraId="72DBAE52" w14:textId="61819F55" w:rsidR="004D7B74" w:rsidRPr="00523903" w:rsidRDefault="00154ECD" w:rsidP="00523903">
      <w:pPr>
        <w:rPr>
          <w:highlight w:val="lightGray"/>
        </w:rPr>
      </w:pPr>
      <w:r w:rsidRPr="00523903">
        <w:rPr>
          <w:rStyle w:val="Strong"/>
        </w:rPr>
        <w:t xml:space="preserve">Key </w:t>
      </w:r>
      <w:r w:rsidR="00EE6012" w:rsidRPr="00523903">
        <w:rPr>
          <w:rStyle w:val="Strong"/>
        </w:rPr>
        <w:t>a</w:t>
      </w:r>
      <w:r w:rsidRPr="00523903">
        <w:rPr>
          <w:rStyle w:val="Strong"/>
        </w:rPr>
        <w:t>ctivity rationale</w:t>
      </w:r>
      <w:r w:rsidRPr="00523903">
        <w:t>: Ensuring effective regulation of controlled drugs helps to prevent illicit supply and use, while maintaining access to essential medications.</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512C3483" w14:textId="77777777" w:rsidTr="005239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70FB8AB" w14:textId="57049623" w:rsidR="004D7B74" w:rsidRPr="00523903" w:rsidRDefault="004D7B74" w:rsidP="00523903">
            <w:pPr>
              <w:pStyle w:val="TableTextleftaligned"/>
              <w:rPr>
                <w:b w:val="0"/>
                <w:sz w:val="22"/>
                <w:szCs w:val="22"/>
              </w:rPr>
            </w:pPr>
            <w:r w:rsidRPr="00CF1C46">
              <w:t xml:space="preserve">Measure 1.8B: Number of completed inspections of licence holders under the </w:t>
            </w:r>
            <w:r w:rsidRPr="00CF1C46">
              <w:rPr>
                <w:i/>
                <w:iCs/>
              </w:rPr>
              <w:t>Narcotic Drugs Act 1967</w:t>
            </w:r>
            <w:r w:rsidRPr="00CF1C46">
              <w:t xml:space="preserve">. </w:t>
            </w:r>
          </w:p>
        </w:tc>
      </w:tr>
      <w:tr w:rsidR="004D7B74" w:rsidRPr="008E3CD6" w14:paraId="11ADE5B9"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27E76EDE"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7494F5FD" w14:textId="373DFD8A"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665B5">
              <w:t>Th</w:t>
            </w:r>
            <w:r>
              <w:t>is</w:t>
            </w:r>
            <w:r w:rsidRPr="004665B5">
              <w:t xml:space="preserve"> measure demonstrates the Office of Drug Control’s (ODC) performance against the program’s objective by measuring compliance functions </w:t>
            </w:r>
            <w:r w:rsidRPr="007B11B0">
              <w:t>of regulated entities</w:t>
            </w:r>
            <w:r>
              <w:t xml:space="preserve"> </w:t>
            </w:r>
            <w:r w:rsidRPr="004665B5">
              <w:t xml:space="preserve">in relation to the </w:t>
            </w:r>
            <w:r w:rsidRPr="00A07BA4">
              <w:rPr>
                <w:i/>
                <w:iCs/>
              </w:rPr>
              <w:t>Narcotics Drugs Act 1967</w:t>
            </w:r>
            <w:r w:rsidRPr="004665B5">
              <w:t xml:space="preserve">, </w:t>
            </w:r>
            <w:r w:rsidR="00710219">
              <w:t xml:space="preserve">while </w:t>
            </w:r>
            <w:r w:rsidRPr="004665B5">
              <w:t>increasing awareness and maintaining safety for all Australians.</w:t>
            </w:r>
          </w:p>
        </w:tc>
      </w:tr>
      <w:tr w:rsidR="004D7B74" w:rsidRPr="008E3CD6" w14:paraId="33F85676"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57529298" w14:textId="77777777" w:rsidR="004D7B74" w:rsidRPr="009B277D" w:rsidRDefault="004D7B74" w:rsidP="00CA72A8">
            <w:pPr>
              <w:pStyle w:val="TableTextleftaligned"/>
              <w:spacing w:line="192" w:lineRule="auto"/>
              <w:rPr>
                <w:b w:val="0"/>
                <w:bCs/>
              </w:rPr>
            </w:pPr>
            <w:r w:rsidRPr="009B277D">
              <w:rPr>
                <w:bCs/>
              </w:rPr>
              <w:lastRenderedPageBreak/>
              <w:t>Measure Type</w:t>
            </w:r>
          </w:p>
        </w:tc>
        <w:tc>
          <w:tcPr>
            <w:tcW w:w="4057" w:type="pct"/>
            <w:gridSpan w:val="4"/>
          </w:tcPr>
          <w:p w14:paraId="15CEA764"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A07BA4">
              <w:t xml:space="preserve">Quantitative </w:t>
            </w:r>
            <w:r w:rsidRPr="009A1255">
              <w:t>/ Effectiveness</w:t>
            </w:r>
          </w:p>
        </w:tc>
      </w:tr>
      <w:tr w:rsidR="004D7B74" w:rsidRPr="008E3CD6" w14:paraId="0AEE877B"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5919AA02" w14:textId="77777777" w:rsidR="004D7B74" w:rsidRDefault="004D7B74" w:rsidP="00CA72A8">
            <w:pPr>
              <w:pStyle w:val="TableTextleftaligned"/>
              <w:spacing w:line="192" w:lineRule="auto"/>
              <w:rPr>
                <w:b w:val="0"/>
                <w:bCs/>
              </w:rPr>
            </w:pPr>
            <w:r w:rsidRPr="009B277D">
              <w:rPr>
                <w:bCs/>
              </w:rPr>
              <w:t>Method</w:t>
            </w:r>
          </w:p>
          <w:p w14:paraId="489BF0F5" w14:textId="7A62ED14" w:rsidR="004D7B74" w:rsidRPr="009B277D" w:rsidRDefault="004D7B74" w:rsidP="00CA72A8">
            <w:pPr>
              <w:pStyle w:val="TableTextleftaligned"/>
              <w:spacing w:line="192" w:lineRule="auto"/>
              <w:rPr>
                <w:b w:val="0"/>
                <w:bCs/>
              </w:rPr>
            </w:pPr>
            <w:r w:rsidRPr="00743DC1">
              <w:rPr>
                <w:rFonts w:ascii="Segoe UI" w:hAnsi="Segoe UI" w:cs="Segoe UI"/>
              </w:rPr>
              <w:t>(Data Source and Methodology</w:t>
            </w:r>
            <w:r w:rsidR="005D3FA9">
              <w:rPr>
                <w:rFonts w:ascii="Segoe UI" w:hAnsi="Segoe UI" w:cs="Segoe UI"/>
              </w:rPr>
              <w:t>)</w:t>
            </w:r>
          </w:p>
        </w:tc>
        <w:tc>
          <w:tcPr>
            <w:tcW w:w="4057" w:type="pct"/>
            <w:gridSpan w:val="4"/>
          </w:tcPr>
          <w:p w14:paraId="2177C5DE" w14:textId="77777777" w:rsidR="004D7B74" w:rsidRPr="006C1D77"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highlight w:val="yellow"/>
              </w:rPr>
            </w:pPr>
            <w:r>
              <w:t xml:space="preserve">The ODC Monitoring and Compliance Section maintains a spreadsheet database of the compliance and enforcement inspections it undertakes. This dataset is expected to be migrated into a Case Management System for the ODC. Source documents include inspection reports, the inspection spreadsheet, Quarterly Inspection </w:t>
            </w:r>
            <w:proofErr w:type="gramStart"/>
            <w:r>
              <w:t>Schedules</w:t>
            </w:r>
            <w:proofErr w:type="gramEnd"/>
            <w:r>
              <w:t xml:space="preserve"> and Operational Management Committee Minutes.</w:t>
            </w:r>
          </w:p>
        </w:tc>
      </w:tr>
      <w:tr w:rsidR="00E6299A" w:rsidRPr="008E3CD6" w14:paraId="03B6B17D"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19390A19" w14:textId="77777777" w:rsidR="00E6299A" w:rsidRDefault="00E6299A" w:rsidP="00E6299A">
            <w:pPr>
              <w:pStyle w:val="TableTextleftaligned"/>
              <w:spacing w:line="192" w:lineRule="auto"/>
              <w:rPr>
                <w:b w:val="0"/>
                <w:bCs/>
              </w:rPr>
            </w:pPr>
            <w:r>
              <w:rPr>
                <w:bCs/>
              </w:rPr>
              <w:t xml:space="preserve">Linked to </w:t>
            </w:r>
          </w:p>
          <w:p w14:paraId="46C12DC5" w14:textId="402E1B3E" w:rsidR="00E6299A" w:rsidRPr="009B277D" w:rsidRDefault="00E6299A" w:rsidP="00E6299A">
            <w:pPr>
              <w:pStyle w:val="TableTextleftaligned"/>
              <w:spacing w:line="192" w:lineRule="auto"/>
              <w:rPr>
                <w:b w:val="0"/>
                <w:bCs/>
              </w:rPr>
            </w:pPr>
            <w:r>
              <w:rPr>
                <w:bCs/>
              </w:rPr>
              <w:t>2024–25 Portfolio Budget Statements</w:t>
            </w:r>
          </w:p>
        </w:tc>
        <w:tc>
          <w:tcPr>
            <w:tcW w:w="4057" w:type="pct"/>
            <w:gridSpan w:val="4"/>
          </w:tcPr>
          <w:p w14:paraId="7C05C07F" w14:textId="20559289" w:rsidR="00E6299A" w:rsidRDefault="00E6299A" w:rsidP="00823660">
            <w:pPr>
              <w:pStyle w:val="TableTextleftaligned"/>
              <w:cnfStyle w:val="000000000000" w:firstRow="0" w:lastRow="0" w:firstColumn="0" w:lastColumn="0" w:oddVBand="0" w:evenVBand="0" w:oddHBand="0" w:evenHBand="0" w:firstRowFirstColumn="0" w:firstRowLastColumn="0" w:lastRowFirstColumn="0" w:lastRowLastColumn="0"/>
            </w:pPr>
            <w:r w:rsidRPr="00E6299A">
              <w:t>Program 1.8</w:t>
            </w:r>
            <w:r>
              <w:t xml:space="preserve"> </w:t>
            </w:r>
            <w:r w:rsidR="00FF27E1">
              <w:t>-</w:t>
            </w:r>
            <w:r w:rsidRPr="00E6299A">
              <w:t xml:space="preserve"> Health Protection, Emergency Response and Regulation</w:t>
            </w:r>
            <w:r>
              <w:t xml:space="preserve"> </w:t>
            </w:r>
            <w:r w:rsidRPr="00E6299A">
              <w:t xml:space="preserve">– page </w:t>
            </w:r>
            <w:r>
              <w:t>70</w:t>
            </w:r>
          </w:p>
        </w:tc>
      </w:tr>
      <w:tr w:rsidR="004D7B74" w:rsidRPr="008E3CD6" w14:paraId="27F2A311" w14:textId="77777777" w:rsidTr="00380262">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7BD02524" w14:textId="77777777" w:rsidR="004D7B74" w:rsidRPr="009B277D" w:rsidRDefault="004D7B74" w:rsidP="00CA72A8">
            <w:pPr>
              <w:pStyle w:val="TableTextleftaligned"/>
              <w:spacing w:line="192" w:lineRule="auto"/>
              <w:rPr>
                <w:b w:val="0"/>
                <w:bCs/>
              </w:rPr>
            </w:pPr>
            <w:r>
              <w:rPr>
                <w:bCs/>
              </w:rPr>
              <w:t>Planned Performance Results</w:t>
            </w:r>
          </w:p>
        </w:tc>
        <w:tc>
          <w:tcPr>
            <w:tcW w:w="1014" w:type="pct"/>
            <w:shd w:val="clear" w:color="auto" w:fill="BFBFBF" w:themeFill="background1" w:themeFillShade="BF"/>
            <w:vAlign w:val="center"/>
          </w:tcPr>
          <w:p w14:paraId="7B2DBD67" w14:textId="77777777" w:rsidR="004D7B74" w:rsidRPr="00CF1C46"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CF1C46">
              <w:t>2024–25</w:t>
            </w:r>
          </w:p>
        </w:tc>
        <w:tc>
          <w:tcPr>
            <w:tcW w:w="1015" w:type="pct"/>
            <w:shd w:val="clear" w:color="auto" w:fill="BFBFBF" w:themeFill="background1" w:themeFillShade="BF"/>
            <w:vAlign w:val="center"/>
          </w:tcPr>
          <w:p w14:paraId="24C804D7" w14:textId="77777777" w:rsidR="004D7B74" w:rsidRPr="00CF1C46"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CF1C46">
              <w:t>2025–26</w:t>
            </w:r>
          </w:p>
        </w:tc>
        <w:tc>
          <w:tcPr>
            <w:tcW w:w="1015" w:type="pct"/>
            <w:shd w:val="clear" w:color="auto" w:fill="BFBFBF" w:themeFill="background1" w:themeFillShade="BF"/>
            <w:vAlign w:val="center"/>
          </w:tcPr>
          <w:p w14:paraId="286E7FA7" w14:textId="77777777" w:rsidR="004D7B74" w:rsidRPr="00CF1C46"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CF1C46">
              <w:t>2026–27</w:t>
            </w:r>
          </w:p>
        </w:tc>
        <w:tc>
          <w:tcPr>
            <w:tcW w:w="1013" w:type="pct"/>
            <w:shd w:val="clear" w:color="auto" w:fill="BFBFBF" w:themeFill="background1" w:themeFillShade="BF"/>
            <w:vAlign w:val="center"/>
          </w:tcPr>
          <w:p w14:paraId="3223F173" w14:textId="77777777" w:rsidR="004D7B74" w:rsidRPr="00CF1C46"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CF1C46">
              <w:t>2027–28</w:t>
            </w:r>
          </w:p>
        </w:tc>
      </w:tr>
      <w:tr w:rsidR="004D7B74" w:rsidRPr="008E3CD6" w14:paraId="7D37CA99" w14:textId="77777777" w:rsidTr="005239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2266984C" w14:textId="77777777" w:rsidR="004D7B74" w:rsidRPr="009B277D" w:rsidRDefault="004D7B74" w:rsidP="00CA72A8">
            <w:pPr>
              <w:pStyle w:val="TableTextleftaligned"/>
              <w:spacing w:line="192" w:lineRule="auto"/>
              <w:rPr>
                <w:b w:val="0"/>
                <w:bCs/>
              </w:rPr>
            </w:pPr>
          </w:p>
        </w:tc>
        <w:tc>
          <w:tcPr>
            <w:tcW w:w="1014" w:type="pct"/>
          </w:tcPr>
          <w:p w14:paraId="54ED5C46" w14:textId="77777777" w:rsidR="004D7B74" w:rsidRPr="006C2A37"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6C2A37">
              <w:t>30</w:t>
            </w:r>
          </w:p>
        </w:tc>
        <w:tc>
          <w:tcPr>
            <w:tcW w:w="1015" w:type="pct"/>
          </w:tcPr>
          <w:p w14:paraId="30F9B9E7" w14:textId="77777777" w:rsidR="004D7B74" w:rsidRPr="006C2A37"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6C2A37">
              <w:t>32</w:t>
            </w:r>
          </w:p>
        </w:tc>
        <w:tc>
          <w:tcPr>
            <w:tcW w:w="1015" w:type="pct"/>
          </w:tcPr>
          <w:p w14:paraId="775DAFE7" w14:textId="77777777" w:rsidR="004D7B74" w:rsidRPr="006C2A37"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6C2A37">
              <w:t>35</w:t>
            </w:r>
          </w:p>
        </w:tc>
        <w:tc>
          <w:tcPr>
            <w:tcW w:w="1013" w:type="pct"/>
          </w:tcPr>
          <w:p w14:paraId="60321AB7" w14:textId="77777777" w:rsidR="004D7B74" w:rsidRPr="006C2A37"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6C2A37">
              <w:t>36</w:t>
            </w:r>
          </w:p>
        </w:tc>
      </w:tr>
    </w:tbl>
    <w:p w14:paraId="0F6028B9" w14:textId="66265203" w:rsidR="00CF1C46" w:rsidRPr="00CF1C46" w:rsidRDefault="00523903" w:rsidP="00380262">
      <w:pPr>
        <w:pStyle w:val="Keyactivity"/>
      </w:pPr>
      <w:r w:rsidRPr="00523903">
        <w:rPr>
          <w:rStyle w:val="Strong"/>
        </w:rPr>
        <w:t>Key Activity 1.8C</w:t>
      </w:r>
      <w:r w:rsidRPr="00523903">
        <w:t>: Administering the National Gene Technology Scheme by assessing applications and issuing approvals and by conducting monitoring and compliance activities for genetically modified organism (GMO) approvals</w:t>
      </w:r>
      <w:r w:rsidR="004D7B74" w:rsidRPr="00CF1C46">
        <w:t>.</w:t>
      </w:r>
      <w:r w:rsidR="004D7B74" w:rsidRPr="00CF1C46">
        <w:rPr>
          <w:rStyle w:val="FootnoteReference"/>
          <w:rFonts w:cs="Arial"/>
        </w:rPr>
        <w:footnoteReference w:id="41"/>
      </w:r>
    </w:p>
    <w:p w14:paraId="61DC209C" w14:textId="62F60994" w:rsidR="00CF1C46" w:rsidRPr="00CF1C46" w:rsidRDefault="00CF1C46" w:rsidP="00CF1C46">
      <w:pPr>
        <w:rPr>
          <w:rFonts w:cs="Arial"/>
          <w:szCs w:val="20"/>
        </w:rPr>
      </w:pPr>
      <w:r w:rsidRPr="00523903">
        <w:rPr>
          <w:rStyle w:val="Strong"/>
        </w:rPr>
        <w:t xml:space="preserve">Key </w:t>
      </w:r>
      <w:r w:rsidR="00EE6012" w:rsidRPr="00523903">
        <w:rPr>
          <w:rStyle w:val="Strong"/>
        </w:rPr>
        <w:t>a</w:t>
      </w:r>
      <w:r w:rsidRPr="00523903">
        <w:rPr>
          <w:rStyle w:val="Strong"/>
        </w:rPr>
        <w:t>ctivity rationale:</w:t>
      </w:r>
      <w:r w:rsidRPr="00CF1C46">
        <w:rPr>
          <w:rFonts w:cs="Arial"/>
          <w:szCs w:val="20"/>
        </w:rPr>
        <w:t xml:space="preserve"> This activity ensures the department meets its obligations under the </w:t>
      </w:r>
      <w:r w:rsidRPr="00523903">
        <w:rPr>
          <w:rStyle w:val="Emphasis"/>
        </w:rPr>
        <w:t>Gene Technology Act 2000</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38CE5B90" w14:textId="77777777" w:rsidTr="005239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820F12F" w14:textId="2993C551" w:rsidR="004D7B74" w:rsidRPr="00CA47B5" w:rsidRDefault="004D7B74" w:rsidP="00823660">
            <w:pPr>
              <w:pStyle w:val="TableTextleftaligned"/>
              <w:rPr>
                <w:b w:val="0"/>
              </w:rPr>
            </w:pPr>
            <w:r w:rsidRPr="00CA47B5">
              <w:t xml:space="preserve">Measure 1.8C: </w:t>
            </w:r>
          </w:p>
          <w:p w14:paraId="62D166F9" w14:textId="77777777" w:rsidR="004D7B74" w:rsidRPr="00CA47B5" w:rsidRDefault="004D7B74" w:rsidP="00823660">
            <w:pPr>
              <w:pStyle w:val="TableTextleftaligned"/>
              <w:rPr>
                <w:b w:val="0"/>
              </w:rPr>
            </w:pPr>
            <w:r w:rsidRPr="00CA47B5">
              <w:t xml:space="preserve">a. Percentage of statutory timeframes met for decisions on applications. </w:t>
            </w:r>
          </w:p>
          <w:p w14:paraId="16684290" w14:textId="77777777" w:rsidR="004D7B74" w:rsidRPr="00523903" w:rsidRDefault="004D7B74" w:rsidP="00523903">
            <w:r w:rsidRPr="00CA47B5">
              <w:t xml:space="preserve">b. Percentage of reported non-compliance with the conditions of GMO approvals assessed. </w:t>
            </w:r>
          </w:p>
        </w:tc>
      </w:tr>
      <w:tr w:rsidR="004D7B74" w:rsidRPr="008E3CD6" w14:paraId="35A41A4C"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5F9B8791"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6CACA0DC" w14:textId="57E4665C"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This measure focuses on efficiency and effectiveness of the OGTR’s activities in regulating dealings with GMOs to protect people and the environment. It reflects the annual reporting requirements prescribed in the </w:t>
            </w:r>
            <w:r w:rsidRPr="00C04292">
              <w:rPr>
                <w:i/>
                <w:iCs/>
              </w:rPr>
              <w:t>Gene Technology Act 2000</w:t>
            </w:r>
            <w:r>
              <w:rPr>
                <w:i/>
                <w:iCs/>
              </w:rPr>
              <w:t xml:space="preserve">; </w:t>
            </w:r>
            <w:r>
              <w:t xml:space="preserve">regulatory functions of most interest to the Commonwealth, </w:t>
            </w:r>
            <w:proofErr w:type="gramStart"/>
            <w:r w:rsidR="00710219">
              <w:t>s</w:t>
            </w:r>
            <w:r>
              <w:t>tate</w:t>
            </w:r>
            <w:proofErr w:type="gramEnd"/>
            <w:r>
              <w:t xml:space="preserve"> and </w:t>
            </w:r>
            <w:r w:rsidR="00710219">
              <w:t xml:space="preserve">territory </w:t>
            </w:r>
            <w:r>
              <w:t xml:space="preserve">governments; and the majority of key outputs that deliver the object of the legislation. </w:t>
            </w:r>
            <w:r w:rsidRPr="00F30252">
              <w:t xml:space="preserve">The measure will indicate the Regulator’s performance in identifying and managing risks to human health and safety or to the environment posed by or </w:t>
            </w:r>
            <w:proofErr w:type="gramStart"/>
            <w:r w:rsidRPr="00F30252">
              <w:t>as a result of</w:t>
            </w:r>
            <w:proofErr w:type="gramEnd"/>
            <w:r w:rsidRPr="00F30252">
              <w:t xml:space="preserve"> gene technology.</w:t>
            </w:r>
          </w:p>
        </w:tc>
      </w:tr>
      <w:tr w:rsidR="004D7B74" w:rsidRPr="008E3CD6" w14:paraId="573FCA41"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7391B18B" w14:textId="77777777" w:rsidR="004D7B74" w:rsidRPr="009B277D" w:rsidRDefault="004D7B74" w:rsidP="00CA72A8">
            <w:pPr>
              <w:pStyle w:val="TableTextleftaligned"/>
              <w:spacing w:line="192" w:lineRule="auto"/>
              <w:rPr>
                <w:b w:val="0"/>
                <w:bCs/>
              </w:rPr>
            </w:pPr>
            <w:r w:rsidRPr="009B277D">
              <w:rPr>
                <w:bCs/>
              </w:rPr>
              <w:t>Measure Type</w:t>
            </w:r>
          </w:p>
        </w:tc>
        <w:tc>
          <w:tcPr>
            <w:tcW w:w="4057" w:type="pct"/>
            <w:gridSpan w:val="4"/>
          </w:tcPr>
          <w:p w14:paraId="37551CD4" w14:textId="77777777" w:rsidR="004D7B74" w:rsidRPr="006C1D77"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31BD4">
              <w:t>Quantitative / Effectiveness</w:t>
            </w:r>
          </w:p>
        </w:tc>
      </w:tr>
      <w:tr w:rsidR="004D7B74" w:rsidRPr="008E3CD6" w14:paraId="21E04D8A"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1DE032B3" w14:textId="730673DB" w:rsidR="004D7B74" w:rsidRPr="00380262" w:rsidRDefault="004D7B74" w:rsidP="00380262">
            <w:pPr>
              <w:pStyle w:val="TableTextleftaligned"/>
            </w:pPr>
            <w:r w:rsidRPr="00380262">
              <w:t>Method</w:t>
            </w:r>
            <w:r w:rsidR="00380262" w:rsidRPr="00380262">
              <w:t xml:space="preserve"> </w:t>
            </w:r>
            <w:r w:rsidRPr="00380262">
              <w:t>(Data Source and Methodology)</w:t>
            </w:r>
          </w:p>
        </w:tc>
        <w:tc>
          <w:tcPr>
            <w:tcW w:w="4057" w:type="pct"/>
            <w:gridSpan w:val="4"/>
          </w:tcPr>
          <w:p w14:paraId="3D05C841"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Records of applications and incidents are stored in departmental databases and records management systems. Data is analysed and maintained internally by the Department. Application decisions are measured against statutory timeframes within the Gene Technology Regulations 2001. All reports or allegations (incidents) received are assessed in accordance with the Monitoring and Compliance Managing Incidents Reports Standard Operating Procedures.</w:t>
            </w:r>
          </w:p>
        </w:tc>
      </w:tr>
      <w:tr w:rsidR="00E6299A" w:rsidRPr="008E3CD6" w14:paraId="217738B9" w14:textId="77777777" w:rsidTr="00523903">
        <w:tc>
          <w:tcPr>
            <w:cnfStyle w:val="001000000000" w:firstRow="0" w:lastRow="0" w:firstColumn="1" w:lastColumn="0" w:oddVBand="0" w:evenVBand="0" w:oddHBand="0" w:evenHBand="0" w:firstRowFirstColumn="0" w:firstRowLastColumn="0" w:lastRowFirstColumn="0" w:lastRowLastColumn="0"/>
            <w:tcW w:w="943" w:type="pct"/>
          </w:tcPr>
          <w:p w14:paraId="7168DDF2" w14:textId="1B81D3D4" w:rsidR="00E6299A" w:rsidRPr="00380262" w:rsidRDefault="00E6299A" w:rsidP="00380262">
            <w:pPr>
              <w:pStyle w:val="TableTextleftaligned"/>
            </w:pPr>
            <w:r w:rsidRPr="00380262">
              <w:t>Linked to 2024–25 Portfolio Budget Statements</w:t>
            </w:r>
          </w:p>
        </w:tc>
        <w:tc>
          <w:tcPr>
            <w:tcW w:w="4057" w:type="pct"/>
            <w:gridSpan w:val="4"/>
          </w:tcPr>
          <w:p w14:paraId="5F1771D7" w14:textId="638DEBED" w:rsidR="00E6299A" w:rsidRDefault="00E6299A" w:rsidP="00823660">
            <w:pPr>
              <w:pStyle w:val="TableTextleftaligned"/>
              <w:cnfStyle w:val="000000000000" w:firstRow="0" w:lastRow="0" w:firstColumn="0" w:lastColumn="0" w:oddVBand="0" w:evenVBand="0" w:oddHBand="0" w:evenHBand="0" w:firstRowFirstColumn="0" w:firstRowLastColumn="0" w:lastRowFirstColumn="0" w:lastRowLastColumn="0"/>
            </w:pPr>
            <w:r w:rsidRPr="00E6299A">
              <w:t>Program 1.8</w:t>
            </w:r>
            <w:r>
              <w:t xml:space="preserve"> </w:t>
            </w:r>
            <w:r w:rsidR="00FF27E1">
              <w:t>-</w:t>
            </w:r>
            <w:r w:rsidRPr="00E6299A">
              <w:t xml:space="preserve"> Health Protection, Emergency Response and Regulation</w:t>
            </w:r>
            <w:r>
              <w:t xml:space="preserve"> </w:t>
            </w:r>
            <w:r w:rsidRPr="00E6299A">
              <w:t xml:space="preserve">– page </w:t>
            </w:r>
            <w:r>
              <w:t>71</w:t>
            </w:r>
          </w:p>
        </w:tc>
      </w:tr>
      <w:tr w:rsidR="004D7B74" w:rsidRPr="008E3CD6" w14:paraId="78C8979C" w14:textId="77777777" w:rsidTr="00380262">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350B7E80" w14:textId="77777777" w:rsidR="004D7B74" w:rsidRPr="00380262" w:rsidRDefault="004D7B74" w:rsidP="00380262">
            <w:pPr>
              <w:pStyle w:val="TableTextleftaligned"/>
            </w:pPr>
            <w:r>
              <w:t>Planned Performance Results</w:t>
            </w:r>
          </w:p>
        </w:tc>
        <w:tc>
          <w:tcPr>
            <w:tcW w:w="1014" w:type="pct"/>
            <w:shd w:val="clear" w:color="auto" w:fill="BFBFBF" w:themeFill="background1" w:themeFillShade="BF"/>
            <w:vAlign w:val="center"/>
          </w:tcPr>
          <w:p w14:paraId="1500C666" w14:textId="77777777" w:rsidR="004D7B74" w:rsidRPr="00CA47B5"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CA47B5">
              <w:t>2024–25</w:t>
            </w:r>
          </w:p>
        </w:tc>
        <w:tc>
          <w:tcPr>
            <w:tcW w:w="1015" w:type="pct"/>
            <w:shd w:val="clear" w:color="auto" w:fill="BFBFBF" w:themeFill="background1" w:themeFillShade="BF"/>
            <w:vAlign w:val="center"/>
          </w:tcPr>
          <w:p w14:paraId="59C7FEFC" w14:textId="77777777" w:rsidR="004D7B74" w:rsidRPr="00CA47B5"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CA47B5">
              <w:t>2025–26</w:t>
            </w:r>
          </w:p>
        </w:tc>
        <w:tc>
          <w:tcPr>
            <w:tcW w:w="1015" w:type="pct"/>
            <w:shd w:val="clear" w:color="auto" w:fill="BFBFBF" w:themeFill="background1" w:themeFillShade="BF"/>
            <w:vAlign w:val="center"/>
          </w:tcPr>
          <w:p w14:paraId="688DF1C5" w14:textId="77777777" w:rsidR="004D7B74" w:rsidRPr="00CA47B5"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CA47B5">
              <w:t>2026–27</w:t>
            </w:r>
          </w:p>
        </w:tc>
        <w:tc>
          <w:tcPr>
            <w:tcW w:w="1013" w:type="pct"/>
            <w:shd w:val="clear" w:color="auto" w:fill="BFBFBF" w:themeFill="background1" w:themeFillShade="BF"/>
            <w:vAlign w:val="center"/>
          </w:tcPr>
          <w:p w14:paraId="288105CF" w14:textId="77777777" w:rsidR="004D7B74" w:rsidRPr="00CA47B5" w:rsidRDefault="004D7B74" w:rsidP="00523903">
            <w:pPr>
              <w:pStyle w:val="TableTextstrong"/>
              <w:cnfStyle w:val="000000000000" w:firstRow="0" w:lastRow="0" w:firstColumn="0" w:lastColumn="0" w:oddVBand="0" w:evenVBand="0" w:oddHBand="0" w:evenHBand="0" w:firstRowFirstColumn="0" w:firstRowLastColumn="0" w:lastRowFirstColumn="0" w:lastRowLastColumn="0"/>
            </w:pPr>
            <w:r w:rsidRPr="00CA47B5">
              <w:t>2027–28</w:t>
            </w:r>
          </w:p>
        </w:tc>
      </w:tr>
      <w:tr w:rsidR="004D7B74" w:rsidRPr="008E3CD6" w14:paraId="5706AC4E" w14:textId="77777777" w:rsidTr="005239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426D2B77" w14:textId="77777777" w:rsidR="004D7B74" w:rsidRPr="009B277D" w:rsidRDefault="004D7B74" w:rsidP="00CA72A8">
            <w:pPr>
              <w:pStyle w:val="TableTextleftaligned"/>
              <w:spacing w:line="192" w:lineRule="auto"/>
              <w:rPr>
                <w:b w:val="0"/>
                <w:bCs/>
              </w:rPr>
            </w:pPr>
          </w:p>
        </w:tc>
        <w:tc>
          <w:tcPr>
            <w:tcW w:w="1014" w:type="pct"/>
          </w:tcPr>
          <w:p w14:paraId="71294E5E" w14:textId="519E1C05" w:rsidR="004D7B74" w:rsidRDefault="004D7B74" w:rsidP="00483151">
            <w:pPr>
              <w:pStyle w:val="TableTextleftaligned"/>
              <w:numPr>
                <w:ilvl w:val="0"/>
                <w:numId w:val="217"/>
              </w:numPr>
              <w:cnfStyle w:val="010000000000" w:firstRow="0" w:lastRow="1" w:firstColumn="0" w:lastColumn="0" w:oddVBand="0" w:evenVBand="0" w:oddHBand="0" w:evenHBand="0" w:firstRowFirstColumn="0" w:firstRowLastColumn="0" w:lastRowFirstColumn="0" w:lastRowLastColumn="0"/>
            </w:pPr>
            <w:r w:rsidRPr="00A80E11">
              <w:t>≥98%</w:t>
            </w:r>
          </w:p>
          <w:p w14:paraId="58B059B1" w14:textId="1B21E85F" w:rsidR="004D7B74" w:rsidRPr="007542F8" w:rsidRDefault="004D7B74" w:rsidP="00483151">
            <w:pPr>
              <w:pStyle w:val="TableTextleftaligned"/>
              <w:numPr>
                <w:ilvl w:val="0"/>
                <w:numId w:val="217"/>
              </w:numPr>
              <w:cnfStyle w:val="010000000000" w:firstRow="0" w:lastRow="1" w:firstColumn="0" w:lastColumn="0" w:oddVBand="0" w:evenVBand="0" w:oddHBand="0" w:evenHBand="0" w:firstRowFirstColumn="0" w:firstRowLastColumn="0" w:lastRowFirstColumn="0" w:lastRowLastColumn="0"/>
            </w:pPr>
            <w:r w:rsidRPr="00A80E11">
              <w:t>≥98%</w:t>
            </w:r>
          </w:p>
        </w:tc>
        <w:tc>
          <w:tcPr>
            <w:tcW w:w="1015" w:type="pct"/>
          </w:tcPr>
          <w:p w14:paraId="006DCAB9" w14:textId="6A27ABA6" w:rsidR="004D7B74" w:rsidRPr="00A80E11" w:rsidRDefault="004D7B74" w:rsidP="00483151">
            <w:pPr>
              <w:pStyle w:val="TableTextleftaligned"/>
              <w:numPr>
                <w:ilvl w:val="0"/>
                <w:numId w:val="218"/>
              </w:numPr>
              <w:cnfStyle w:val="010000000000" w:firstRow="0" w:lastRow="1" w:firstColumn="0" w:lastColumn="0" w:oddVBand="0" w:evenVBand="0" w:oddHBand="0" w:evenHBand="0" w:firstRowFirstColumn="0" w:firstRowLastColumn="0" w:lastRowFirstColumn="0" w:lastRowLastColumn="0"/>
            </w:pPr>
            <w:r w:rsidRPr="00A80E11">
              <w:t>≥98%</w:t>
            </w:r>
          </w:p>
          <w:p w14:paraId="0F06D282" w14:textId="72D9BCFE" w:rsidR="004D7B74" w:rsidRPr="007542F8" w:rsidRDefault="004D7B74" w:rsidP="00483151">
            <w:pPr>
              <w:pStyle w:val="TableTextleftaligned"/>
              <w:numPr>
                <w:ilvl w:val="0"/>
                <w:numId w:val="218"/>
              </w:numPr>
              <w:cnfStyle w:val="010000000000" w:firstRow="0" w:lastRow="1" w:firstColumn="0" w:lastColumn="0" w:oddVBand="0" w:evenVBand="0" w:oddHBand="0" w:evenHBand="0" w:firstRowFirstColumn="0" w:firstRowLastColumn="0" w:lastRowFirstColumn="0" w:lastRowLastColumn="0"/>
            </w:pPr>
            <w:r w:rsidRPr="00A80E11">
              <w:t>≥98%</w:t>
            </w:r>
          </w:p>
        </w:tc>
        <w:tc>
          <w:tcPr>
            <w:tcW w:w="1015" w:type="pct"/>
          </w:tcPr>
          <w:p w14:paraId="13C67AA8" w14:textId="71A7863B" w:rsidR="004D7B74" w:rsidRPr="00A80E11" w:rsidRDefault="004D7B74" w:rsidP="00483151">
            <w:pPr>
              <w:pStyle w:val="TableTextleftaligned"/>
              <w:numPr>
                <w:ilvl w:val="0"/>
                <w:numId w:val="219"/>
              </w:numPr>
              <w:cnfStyle w:val="010000000000" w:firstRow="0" w:lastRow="1" w:firstColumn="0" w:lastColumn="0" w:oddVBand="0" w:evenVBand="0" w:oddHBand="0" w:evenHBand="0" w:firstRowFirstColumn="0" w:firstRowLastColumn="0" w:lastRowFirstColumn="0" w:lastRowLastColumn="0"/>
            </w:pPr>
            <w:r w:rsidRPr="00A80E11">
              <w:t>≥98%</w:t>
            </w:r>
          </w:p>
          <w:p w14:paraId="405C2B34" w14:textId="2776DC95" w:rsidR="004D7B74" w:rsidRPr="007542F8" w:rsidRDefault="004D7B74" w:rsidP="00483151">
            <w:pPr>
              <w:pStyle w:val="TableTextleftaligned"/>
              <w:numPr>
                <w:ilvl w:val="0"/>
                <w:numId w:val="219"/>
              </w:numPr>
              <w:cnfStyle w:val="010000000000" w:firstRow="0" w:lastRow="1" w:firstColumn="0" w:lastColumn="0" w:oddVBand="0" w:evenVBand="0" w:oddHBand="0" w:evenHBand="0" w:firstRowFirstColumn="0" w:firstRowLastColumn="0" w:lastRowFirstColumn="0" w:lastRowLastColumn="0"/>
            </w:pPr>
            <w:r w:rsidRPr="00A80E11">
              <w:t>≥98%</w:t>
            </w:r>
          </w:p>
        </w:tc>
        <w:tc>
          <w:tcPr>
            <w:tcW w:w="1013" w:type="pct"/>
          </w:tcPr>
          <w:p w14:paraId="2AF23382" w14:textId="27AA6814" w:rsidR="004D7B74" w:rsidRPr="00A80E11" w:rsidRDefault="004D7B74" w:rsidP="00483151">
            <w:pPr>
              <w:pStyle w:val="TableTextleftaligned"/>
              <w:numPr>
                <w:ilvl w:val="0"/>
                <w:numId w:val="220"/>
              </w:numPr>
              <w:cnfStyle w:val="010000000000" w:firstRow="0" w:lastRow="1" w:firstColumn="0" w:lastColumn="0" w:oddVBand="0" w:evenVBand="0" w:oddHBand="0" w:evenHBand="0" w:firstRowFirstColumn="0" w:firstRowLastColumn="0" w:lastRowFirstColumn="0" w:lastRowLastColumn="0"/>
            </w:pPr>
            <w:r w:rsidRPr="00A80E11">
              <w:t>≥98%</w:t>
            </w:r>
          </w:p>
          <w:p w14:paraId="28AEDAA5" w14:textId="136800A7" w:rsidR="004D7B74" w:rsidRPr="007542F8" w:rsidRDefault="004D7B74" w:rsidP="00483151">
            <w:pPr>
              <w:pStyle w:val="TableTextleftaligned"/>
              <w:numPr>
                <w:ilvl w:val="0"/>
                <w:numId w:val="220"/>
              </w:numPr>
              <w:cnfStyle w:val="010000000000" w:firstRow="0" w:lastRow="1" w:firstColumn="0" w:lastColumn="0" w:oddVBand="0" w:evenVBand="0" w:oddHBand="0" w:evenHBand="0" w:firstRowFirstColumn="0" w:firstRowLastColumn="0" w:lastRowFirstColumn="0" w:lastRowLastColumn="0"/>
            </w:pPr>
            <w:r w:rsidRPr="00A80E11">
              <w:t>≥98%</w:t>
            </w:r>
          </w:p>
        </w:tc>
      </w:tr>
    </w:tbl>
    <w:p w14:paraId="7C8FF4A3" w14:textId="4EC19D7D" w:rsidR="00CA47B5" w:rsidRPr="00DB198D" w:rsidRDefault="004D7B74" w:rsidP="00380262">
      <w:pPr>
        <w:pStyle w:val="Keyactivity"/>
      </w:pPr>
      <w:r w:rsidRPr="00DB198D">
        <w:rPr>
          <w:rStyle w:val="Strong"/>
        </w:rPr>
        <w:lastRenderedPageBreak/>
        <w:t>Key Activity 1.8D</w:t>
      </w:r>
      <w:r w:rsidRPr="00DB198D">
        <w:t xml:space="preserve">: Completing industrial chemical risk assessments within statutory timeframes under the Australian Industrial Chemicals Introduction Scheme, to provide timely information and recommendations about the safe use of industrial chemicals. </w:t>
      </w:r>
    </w:p>
    <w:p w14:paraId="5650D391" w14:textId="7A0E7236" w:rsidR="004D7B74" w:rsidRPr="00E57E47" w:rsidRDefault="00CA47B5" w:rsidP="00CA47B5">
      <w:pPr>
        <w:rPr>
          <w:rFonts w:eastAsia="Times New Roman" w:cstheme="minorHAnsi"/>
          <w:szCs w:val="20"/>
          <w:lang w:eastAsia="en-AU"/>
        </w:rPr>
      </w:pPr>
      <w:r w:rsidRPr="00CA47B5">
        <w:rPr>
          <w:rFonts w:cs="Arial"/>
          <w:b/>
          <w:bCs/>
          <w:szCs w:val="20"/>
        </w:rPr>
        <w:t xml:space="preserve">Key </w:t>
      </w:r>
      <w:r w:rsidR="00EE6012">
        <w:rPr>
          <w:rFonts w:cs="Arial"/>
          <w:b/>
          <w:bCs/>
          <w:szCs w:val="20"/>
        </w:rPr>
        <w:t>a</w:t>
      </w:r>
      <w:r w:rsidRPr="00CA47B5">
        <w:rPr>
          <w:rFonts w:cs="Arial"/>
          <w:b/>
          <w:bCs/>
          <w:szCs w:val="20"/>
        </w:rPr>
        <w:t>ctivity rationale:</w:t>
      </w:r>
      <w:r w:rsidRPr="00CA47B5">
        <w:rPr>
          <w:rFonts w:cs="Arial"/>
          <w:szCs w:val="20"/>
        </w:rPr>
        <w:t xml:space="preserve"> </w:t>
      </w:r>
      <w:r w:rsidRPr="00DB198D">
        <w:t>The timely provision of information and recommendations about the safe use of industrial chemicals aids in the protection of human health and the environment from the introduction and use of these chemicals, while affording confidence around which businesses can plan.</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4FBB34C6" w14:textId="77777777" w:rsidTr="00DB19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5587A469" w14:textId="77777777" w:rsidR="004D7B74" w:rsidRPr="00DB198D" w:rsidRDefault="004D7B74" w:rsidP="00DB198D">
            <w:r w:rsidRPr="00CA47B5">
              <w:t xml:space="preserve">Measure 1.8D: Proportion of </w:t>
            </w:r>
            <w:r w:rsidRPr="00CA47B5">
              <w:rPr>
                <w:rStyle w:val="FootnoteReference"/>
                <w:bCs/>
              </w:rPr>
              <w:footnoteReference w:id="42"/>
            </w:r>
            <w:r w:rsidRPr="00CA47B5">
              <w:t xml:space="preserve"> Industrial chemical risk assessments completed within statutory timeframes. </w:t>
            </w:r>
          </w:p>
        </w:tc>
      </w:tr>
      <w:tr w:rsidR="004D7B74" w:rsidRPr="008E3CD6" w14:paraId="63430AB8"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5BE46798" w14:textId="77777777" w:rsidR="004D7B74" w:rsidRPr="00380262" w:rsidRDefault="004D7B74" w:rsidP="00380262">
            <w:pPr>
              <w:pStyle w:val="TableTextleftaligned"/>
            </w:pPr>
            <w:r w:rsidRPr="00380262">
              <w:t>Rationale</w:t>
            </w:r>
          </w:p>
        </w:tc>
        <w:tc>
          <w:tcPr>
            <w:tcW w:w="4057" w:type="pct"/>
            <w:gridSpan w:val="4"/>
          </w:tcPr>
          <w:p w14:paraId="64671FFD" w14:textId="77777777" w:rsidR="004D7B74" w:rsidRPr="008178DB"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highlight w:val="yellow"/>
              </w:rPr>
            </w:pPr>
            <w:r w:rsidRPr="00F15854">
              <w:t>Assessment of industrial chemicals identifies human health and environmental risks that require control measures. Timely risk management recommendations resulting from assessments assist in protecting human health and the environment from the use of industrial chemicals and provides a degree of certainty to the regulated industry.</w:t>
            </w:r>
          </w:p>
        </w:tc>
      </w:tr>
      <w:tr w:rsidR="004D7B74" w:rsidRPr="008E3CD6" w14:paraId="62CEF818"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1DFF1E92" w14:textId="77777777" w:rsidR="004D7B74" w:rsidRPr="00380262" w:rsidRDefault="004D7B74" w:rsidP="00380262">
            <w:pPr>
              <w:pStyle w:val="TableTextleftaligned"/>
            </w:pPr>
            <w:r w:rsidRPr="00380262">
              <w:t>Measure Type</w:t>
            </w:r>
          </w:p>
        </w:tc>
        <w:tc>
          <w:tcPr>
            <w:tcW w:w="4057" w:type="pct"/>
            <w:gridSpan w:val="4"/>
          </w:tcPr>
          <w:p w14:paraId="5F4485D4"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BC533B">
              <w:t>Quantitative</w:t>
            </w:r>
            <w:r>
              <w:t xml:space="preserve"> / </w:t>
            </w:r>
            <w:r w:rsidRPr="00BC533B">
              <w:t>Output (Proxy for Efficiency)</w:t>
            </w:r>
          </w:p>
        </w:tc>
      </w:tr>
      <w:tr w:rsidR="004D7B74" w:rsidRPr="008E3CD6" w14:paraId="789BF59F"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4F0A0ECC" w14:textId="549045AE" w:rsidR="004D7B74" w:rsidRPr="00CA47B5" w:rsidRDefault="004D7B74" w:rsidP="00380262">
            <w:pPr>
              <w:pStyle w:val="TableTextleftaligned"/>
              <w:rPr>
                <w:b w:val="0"/>
              </w:rPr>
            </w:pPr>
            <w:r w:rsidRPr="00CA47B5">
              <w:t>Method</w:t>
            </w:r>
            <w:r w:rsidR="00380262">
              <w:t xml:space="preserve"> </w:t>
            </w:r>
            <w:r w:rsidRPr="00CA47B5">
              <w:t>(Data Source and Methodology)</w:t>
            </w:r>
          </w:p>
        </w:tc>
        <w:tc>
          <w:tcPr>
            <w:tcW w:w="4057" w:type="pct"/>
            <w:gridSpan w:val="4"/>
          </w:tcPr>
          <w:p w14:paraId="57C3C814" w14:textId="69C96698" w:rsidR="004D7B74" w:rsidRPr="00F15854" w:rsidRDefault="00710219" w:rsidP="00DB198D">
            <w:pPr>
              <w:pStyle w:val="TableTextleftaligned"/>
              <w:cnfStyle w:val="000000000000" w:firstRow="0" w:lastRow="0" w:firstColumn="0" w:lastColumn="0" w:oddVBand="0" w:evenVBand="0" w:oddHBand="0" w:evenHBand="0" w:firstRowFirstColumn="0" w:firstRowLastColumn="0" w:lastRowFirstColumn="0" w:lastRowLastColumn="0"/>
            </w:pPr>
            <w:r w:rsidRPr="00CA47B5">
              <w:rPr>
                <w:b/>
                <w:bCs/>
              </w:rPr>
              <w:t>Data source:</w:t>
            </w:r>
            <w:r>
              <w:t xml:space="preserve"> </w:t>
            </w:r>
            <w:r w:rsidR="004D7B74" w:rsidRPr="00F15854">
              <w:t>Data are sourced from risk assessment records stored within the AICIS Information Technology (IT) System (Microsoft Dynamics 365 Online Customers relationship Management (CRM)</w:t>
            </w:r>
            <w:r w:rsidR="00D5625C">
              <w:t>)</w:t>
            </w:r>
            <w:r w:rsidR="004D7B74" w:rsidRPr="00F15854">
              <w:t xml:space="preserve"> </w:t>
            </w:r>
            <w:r>
              <w:t xml:space="preserve">application </w:t>
            </w:r>
            <w:r w:rsidR="004D7B74" w:rsidRPr="00F15854">
              <w:t>containing administrative data, and the International Uniform Chemical Information Database (IUCLID) application containing scientific information.</w:t>
            </w:r>
          </w:p>
          <w:p w14:paraId="0CDF9676" w14:textId="768EE18E" w:rsidR="004D7B74" w:rsidRPr="00F1585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A47B5">
              <w:rPr>
                <w:b/>
                <w:bCs/>
              </w:rPr>
              <w:t>Methodology:</w:t>
            </w:r>
            <w:r w:rsidRPr="00F15854">
              <w:t xml:space="preserve"> Chemical risk assessments go through a workflow in CRM, with start and end dates tracked automatically. ‘Stop clocks’ are included in the CRM workflow to generate total working days. The data are extracted from the AICIS </w:t>
            </w:r>
            <w:proofErr w:type="gramStart"/>
            <w:r w:rsidRPr="00F15854">
              <w:t>CRM</w:t>
            </w:r>
            <w:proofErr w:type="gramEnd"/>
            <w:r w:rsidRPr="00F15854">
              <w:t xml:space="preserve"> and a simple tally performed. The</w:t>
            </w:r>
            <w:r w:rsidR="00710219">
              <w:t xml:space="preserve"> </w:t>
            </w:r>
            <w:r w:rsidRPr="00F15854">
              <w:t>number of AICIS risks assessments completed</w:t>
            </w:r>
            <w:r w:rsidR="00710219">
              <w:t xml:space="preserve"> on time</w:t>
            </w:r>
            <w:r w:rsidRPr="00F15854">
              <w:t xml:space="preserve"> is compared to the </w:t>
            </w:r>
            <w:r w:rsidR="00097081">
              <w:t xml:space="preserve">total </w:t>
            </w:r>
            <w:r w:rsidRPr="00F15854">
              <w:t>number completed</w:t>
            </w:r>
            <w:r w:rsidR="00097081">
              <w:t>,</w:t>
            </w:r>
            <w:r w:rsidRPr="00F15854">
              <w:t xml:space="preserve"> to arrive at the percentage completed on time. The data are simple to extract and do not require extensive transformation or manipulation.</w:t>
            </w:r>
            <w:r w:rsidRPr="003F7B7E">
              <w:rPr>
                <w:rFonts w:asciiTheme="minorHAnsi" w:hAnsiTheme="minorHAnsi" w:cstheme="minorHAnsi"/>
                <w:szCs w:val="20"/>
              </w:rPr>
              <w:t xml:space="preserve"> </w:t>
            </w:r>
          </w:p>
        </w:tc>
      </w:tr>
      <w:tr w:rsidR="005C4E3B" w:rsidRPr="008E3CD6" w14:paraId="5848F0E8"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3389E154" w14:textId="7B2B3A62" w:rsidR="005C4E3B" w:rsidRPr="00CA47B5" w:rsidRDefault="005C4E3B" w:rsidP="00380262">
            <w:pPr>
              <w:pStyle w:val="TableTextleftaligned"/>
              <w:rPr>
                <w:b w:val="0"/>
              </w:rPr>
            </w:pPr>
            <w:r w:rsidRPr="00CA47B5">
              <w:t>Linked to 2024–25 Portfolio Budget Statements</w:t>
            </w:r>
          </w:p>
        </w:tc>
        <w:tc>
          <w:tcPr>
            <w:tcW w:w="4057" w:type="pct"/>
            <w:gridSpan w:val="4"/>
          </w:tcPr>
          <w:p w14:paraId="4B9618F9" w14:textId="733A49CB" w:rsidR="005C4E3B" w:rsidRPr="00F15854" w:rsidRDefault="005C4E3B" w:rsidP="00823660">
            <w:pPr>
              <w:pStyle w:val="TableTextleftaligned"/>
              <w:cnfStyle w:val="000000000000" w:firstRow="0" w:lastRow="0" w:firstColumn="0" w:lastColumn="0" w:oddVBand="0" w:evenVBand="0" w:oddHBand="0" w:evenHBand="0" w:firstRowFirstColumn="0" w:firstRowLastColumn="0" w:lastRowFirstColumn="0" w:lastRowLastColumn="0"/>
            </w:pPr>
            <w:r w:rsidRPr="00E6299A">
              <w:t>Program 1.8</w:t>
            </w:r>
            <w:r>
              <w:t xml:space="preserve"> </w:t>
            </w:r>
            <w:r w:rsidR="00FF27E1">
              <w:t>-</w:t>
            </w:r>
            <w:r w:rsidRPr="00E6299A">
              <w:t xml:space="preserve"> Health Protection, Emergency Response and Regulation</w:t>
            </w:r>
            <w:r>
              <w:t xml:space="preserve"> </w:t>
            </w:r>
            <w:r w:rsidRPr="00E6299A">
              <w:t xml:space="preserve">– page </w:t>
            </w:r>
            <w:r>
              <w:t>72</w:t>
            </w:r>
          </w:p>
        </w:tc>
      </w:tr>
      <w:tr w:rsidR="004D7B74" w:rsidRPr="008E3CD6" w14:paraId="5F524B71" w14:textId="77777777" w:rsidTr="00380262">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122ABCEA" w14:textId="77777777" w:rsidR="004D7B74" w:rsidRPr="00380262" w:rsidRDefault="004D7B74" w:rsidP="00380262">
            <w:pPr>
              <w:pStyle w:val="TableTextleftaligned"/>
            </w:pPr>
            <w:r w:rsidRPr="00CA47B5">
              <w:t>Planned Performance Results</w:t>
            </w:r>
          </w:p>
        </w:tc>
        <w:tc>
          <w:tcPr>
            <w:tcW w:w="1014" w:type="pct"/>
            <w:shd w:val="clear" w:color="auto" w:fill="BFBFBF" w:themeFill="background1" w:themeFillShade="BF"/>
            <w:vAlign w:val="center"/>
          </w:tcPr>
          <w:p w14:paraId="0C9E2312" w14:textId="77777777" w:rsidR="004D7B74" w:rsidRPr="00CA47B5"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CA47B5">
              <w:t>2024–25</w:t>
            </w:r>
          </w:p>
        </w:tc>
        <w:tc>
          <w:tcPr>
            <w:tcW w:w="1015" w:type="pct"/>
            <w:shd w:val="clear" w:color="auto" w:fill="BFBFBF" w:themeFill="background1" w:themeFillShade="BF"/>
            <w:vAlign w:val="center"/>
          </w:tcPr>
          <w:p w14:paraId="29B416A6" w14:textId="77777777" w:rsidR="004D7B74" w:rsidRPr="00CA47B5"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CA47B5">
              <w:t>2025–26</w:t>
            </w:r>
          </w:p>
        </w:tc>
        <w:tc>
          <w:tcPr>
            <w:tcW w:w="1015" w:type="pct"/>
            <w:shd w:val="clear" w:color="auto" w:fill="BFBFBF" w:themeFill="background1" w:themeFillShade="BF"/>
            <w:vAlign w:val="center"/>
          </w:tcPr>
          <w:p w14:paraId="7CD59F1D" w14:textId="77777777" w:rsidR="004D7B74" w:rsidRPr="00CA47B5"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CA47B5">
              <w:t>2026–27</w:t>
            </w:r>
          </w:p>
        </w:tc>
        <w:tc>
          <w:tcPr>
            <w:tcW w:w="1013" w:type="pct"/>
            <w:shd w:val="clear" w:color="auto" w:fill="BFBFBF" w:themeFill="background1" w:themeFillShade="BF"/>
            <w:vAlign w:val="center"/>
          </w:tcPr>
          <w:p w14:paraId="2A46204F" w14:textId="77777777" w:rsidR="004D7B74" w:rsidRPr="00CA47B5"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CA47B5">
              <w:t>2027–28</w:t>
            </w:r>
          </w:p>
        </w:tc>
      </w:tr>
      <w:tr w:rsidR="004D7B74" w:rsidRPr="008E3CD6" w14:paraId="6C11952E" w14:textId="77777777" w:rsidTr="00DB19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73251899" w14:textId="77777777" w:rsidR="004D7B74" w:rsidRPr="009B277D" w:rsidRDefault="004D7B74" w:rsidP="00CA72A8">
            <w:pPr>
              <w:pStyle w:val="TableTextleftaligned"/>
              <w:spacing w:line="192" w:lineRule="auto"/>
              <w:rPr>
                <w:b w:val="0"/>
                <w:bCs/>
              </w:rPr>
            </w:pPr>
          </w:p>
        </w:tc>
        <w:tc>
          <w:tcPr>
            <w:tcW w:w="1014" w:type="pct"/>
          </w:tcPr>
          <w:p w14:paraId="712D8AA8" w14:textId="77777777" w:rsidR="004D7B74" w:rsidRPr="00870BA8"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870BA8">
              <w:rPr>
                <w:rFonts w:hint="eastAsia"/>
              </w:rPr>
              <w:t>≥</w:t>
            </w:r>
            <w:r w:rsidRPr="00870BA8">
              <w:t>95%</w:t>
            </w:r>
          </w:p>
        </w:tc>
        <w:tc>
          <w:tcPr>
            <w:tcW w:w="1015" w:type="pct"/>
          </w:tcPr>
          <w:p w14:paraId="7B2D5094" w14:textId="77777777" w:rsidR="004D7B74" w:rsidRPr="00870BA8"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870BA8">
              <w:rPr>
                <w:rFonts w:hint="eastAsia"/>
              </w:rPr>
              <w:t>≥</w:t>
            </w:r>
            <w:r w:rsidRPr="00870BA8">
              <w:t>95%</w:t>
            </w:r>
          </w:p>
        </w:tc>
        <w:tc>
          <w:tcPr>
            <w:tcW w:w="1015" w:type="pct"/>
          </w:tcPr>
          <w:p w14:paraId="14794038" w14:textId="77777777" w:rsidR="004D7B74" w:rsidRPr="00870BA8"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870BA8">
              <w:rPr>
                <w:rFonts w:hint="eastAsia"/>
              </w:rPr>
              <w:t>≥</w:t>
            </w:r>
            <w:r w:rsidRPr="00870BA8">
              <w:t>95%</w:t>
            </w:r>
          </w:p>
        </w:tc>
        <w:tc>
          <w:tcPr>
            <w:tcW w:w="1013" w:type="pct"/>
          </w:tcPr>
          <w:p w14:paraId="0AA160F7" w14:textId="77777777" w:rsidR="004D7B74" w:rsidRPr="00870BA8"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870BA8">
              <w:rPr>
                <w:rFonts w:hint="eastAsia"/>
              </w:rPr>
              <w:t>≥</w:t>
            </w:r>
            <w:r w:rsidRPr="00870BA8">
              <w:t>95%</w:t>
            </w:r>
          </w:p>
        </w:tc>
      </w:tr>
    </w:tbl>
    <w:p w14:paraId="64643B83" w14:textId="77777777" w:rsidR="004D7B74" w:rsidRPr="00001034" w:rsidRDefault="004D7B74" w:rsidP="00CA2D80">
      <w:pPr>
        <w:pStyle w:val="Heading2"/>
      </w:pPr>
      <w:bookmarkStart w:id="130" w:name="_Program_1.9_Immunisation"/>
      <w:bookmarkEnd w:id="130"/>
      <w:r>
        <w:br w:type="page"/>
      </w:r>
      <w:bookmarkStart w:id="131" w:name="_Toc171411944"/>
      <w:bookmarkStart w:id="132" w:name="_Toc175293634"/>
      <w:bookmarkStart w:id="133" w:name="_Toc175846503"/>
      <w:r w:rsidRPr="00001034">
        <w:lastRenderedPageBreak/>
        <w:t>Program 1.9 Immunisation</w:t>
      </w:r>
      <w:bookmarkStart w:id="134" w:name="_Toc166069794"/>
      <w:bookmarkEnd w:id="131"/>
      <w:bookmarkEnd w:id="132"/>
      <w:bookmarkEnd w:id="133"/>
      <w:r w:rsidRPr="00001034">
        <w:t xml:space="preserve"> </w:t>
      </w:r>
    </w:p>
    <w:p w14:paraId="744C021A" w14:textId="77777777" w:rsidR="004D7B74" w:rsidRPr="00001034" w:rsidRDefault="004D7B74" w:rsidP="00CA2D80">
      <w:pPr>
        <w:pStyle w:val="Heading3"/>
        <w:rPr>
          <w:bCs w:val="0"/>
        </w:rPr>
      </w:pPr>
      <w:bookmarkStart w:id="135" w:name="_Toc171411945"/>
      <w:bookmarkStart w:id="136" w:name="_Toc175293635"/>
      <w:r w:rsidRPr="00001034">
        <w:t>Program Objective</w:t>
      </w:r>
      <w:bookmarkEnd w:id="135"/>
      <w:bookmarkEnd w:id="136"/>
    </w:p>
    <w:p w14:paraId="22F9A6C5" w14:textId="77777777" w:rsidR="004D7B74" w:rsidRPr="00BB4FE7" w:rsidRDefault="004D7B74" w:rsidP="00BB4FE7">
      <w:r w:rsidRPr="00BB4FE7">
        <w:t>Reduce the incidence of vaccine preventable diseases to protect individuals and increase national immunisation coverage rates to protect the Australian community.</w:t>
      </w:r>
    </w:p>
    <w:p w14:paraId="46B32D0D" w14:textId="5E5390DD" w:rsidR="00001034" w:rsidRPr="00656F73" w:rsidRDefault="004D7B74" w:rsidP="00380262">
      <w:pPr>
        <w:pStyle w:val="Keyactivity"/>
      </w:pPr>
      <w:r w:rsidRPr="00656F73">
        <w:rPr>
          <w:rStyle w:val="Strong"/>
        </w:rPr>
        <w:t>Key Activity 1.9A:</w:t>
      </w:r>
      <w:r w:rsidRPr="00656F73">
        <w:t xml:space="preserve"> Developing, </w:t>
      </w:r>
      <w:proofErr w:type="gramStart"/>
      <w:r w:rsidRPr="00656F73">
        <w:t>implementing</w:t>
      </w:r>
      <w:proofErr w:type="gramEnd"/>
      <w:r w:rsidRPr="00656F73">
        <w:t xml:space="preserve"> and evaluating strategies to improve immunisation coverage of vaccines covered by the National Immunisation Program (NIP), including through ensuring sufficient supply and efficient use of vaccines on the NIP. </w:t>
      </w:r>
    </w:p>
    <w:p w14:paraId="5DB17F90" w14:textId="75D623FB" w:rsidR="004D7B74" w:rsidRPr="00BB4FE7" w:rsidRDefault="00001034" w:rsidP="00BB4FE7">
      <w:r w:rsidRPr="00656F73">
        <w:rPr>
          <w:rStyle w:val="Strong"/>
        </w:rPr>
        <w:t xml:space="preserve">Key </w:t>
      </w:r>
      <w:r w:rsidR="00EE6012" w:rsidRPr="00656F73">
        <w:rPr>
          <w:rStyle w:val="Strong"/>
        </w:rPr>
        <w:t>a</w:t>
      </w:r>
      <w:r w:rsidRPr="00656F73">
        <w:rPr>
          <w:rStyle w:val="Strong"/>
        </w:rPr>
        <w:t>ctivity rationale:</w:t>
      </w:r>
      <w:r w:rsidRPr="00665145">
        <w:rPr>
          <w:rFonts w:cs="Arial"/>
          <w:szCs w:val="20"/>
        </w:rPr>
        <w:t xml:space="preserve"> This key activity aims to support increased immunisation coverage and the sustainability of the National Immunisation Program, which will help reduce the incidence of vaccine preventable diseases.</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3551465B" w14:textId="77777777" w:rsidTr="00DB19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3BB2C89" w14:textId="77777777" w:rsidR="004D7B74" w:rsidRPr="00C4773C" w:rsidRDefault="004D7B74" w:rsidP="00823660">
            <w:pPr>
              <w:pStyle w:val="TableTextleftaligned"/>
              <w:rPr>
                <w:b w:val="0"/>
              </w:rPr>
            </w:pPr>
            <w:r w:rsidRPr="00C4773C">
              <w:t>Measure 1.9A: Immunisation coverage rates:</w:t>
            </w:r>
          </w:p>
          <w:p w14:paraId="5EA85404" w14:textId="77777777" w:rsidR="004D7B74" w:rsidRPr="00C4773C" w:rsidRDefault="004D7B74" w:rsidP="00380262">
            <w:pPr>
              <w:pStyle w:val="TableTextleftaligned"/>
              <w:spacing w:before="0"/>
              <w:rPr>
                <w:b w:val="0"/>
              </w:rPr>
            </w:pPr>
            <w:r w:rsidRPr="00C4773C">
              <w:t xml:space="preserve">a. For children at 5 years of age are increased and maintained at the protective rate of 95%. </w:t>
            </w:r>
          </w:p>
          <w:p w14:paraId="7AAC0BE5" w14:textId="7416CBC2" w:rsidR="004D7B74" w:rsidRPr="00C4773C" w:rsidRDefault="004D7B74" w:rsidP="00380262">
            <w:pPr>
              <w:pStyle w:val="TableTextleftaligned"/>
              <w:spacing w:before="0"/>
              <w:rPr>
                <w:b w:val="0"/>
              </w:rPr>
            </w:pPr>
            <w:r w:rsidRPr="00C4773C">
              <w:t xml:space="preserve">b. For First Nations children 12 to 15 months of age </w:t>
            </w:r>
            <w:proofErr w:type="gramStart"/>
            <w:r w:rsidRPr="00C4773C">
              <w:t>are</w:t>
            </w:r>
            <w:proofErr w:type="gramEnd"/>
            <w:r w:rsidRPr="00C4773C">
              <w:t xml:space="preserve"> increased to close the gap between First Nations children and non-First Nations children and then be maintained.</w:t>
            </w:r>
            <w:r w:rsidR="00EE6012" w:rsidRPr="00C4773C">
              <w:rPr>
                <w:rStyle w:val="FootnoteReference"/>
                <w:bCs/>
              </w:rPr>
              <w:footnoteReference w:id="43"/>
            </w:r>
            <w:r w:rsidRPr="00C4773C">
              <w:t xml:space="preserve"> </w:t>
            </w:r>
            <w:r w:rsidRPr="00C4773C">
              <w:br/>
              <w:t xml:space="preserve">c. For 15-year-olds, HPV vaccinations are increased with a target of 90% coverage by 2030. </w:t>
            </w:r>
          </w:p>
        </w:tc>
      </w:tr>
      <w:tr w:rsidR="004D7B74" w:rsidRPr="008E3CD6" w14:paraId="1B26244C"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0A04D5C5"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7689AFB2" w14:textId="77777777" w:rsidR="004D7B74" w:rsidRPr="00CA66CB"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CA66CB">
              <w:t xml:space="preserve">A core objective of the National Immunisation Program is to reduce the incidence of vaccine preventable diseases to protect individuals through increasing national immunisation coverage rates. The proposed Key Activities support increased immunisation coverage, </w:t>
            </w:r>
            <w:proofErr w:type="gramStart"/>
            <w:r w:rsidRPr="00CA66CB">
              <w:t>effectiveness</w:t>
            </w:r>
            <w:proofErr w:type="gramEnd"/>
            <w:r w:rsidRPr="00CA66CB">
              <w:t xml:space="preserve"> and the sustainability of the National Immunisation Program.</w:t>
            </w:r>
            <w:r w:rsidRPr="00CA66CB">
              <w:rPr>
                <w:rFonts w:asciiTheme="minorHAnsi" w:hAnsiTheme="minorHAnsi" w:cstheme="minorHAnsi"/>
                <w:szCs w:val="20"/>
              </w:rPr>
              <w:t xml:space="preserve"> </w:t>
            </w:r>
          </w:p>
        </w:tc>
      </w:tr>
      <w:tr w:rsidR="004D7B74" w:rsidRPr="008E3CD6" w14:paraId="7C5F0A35"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214B28FD" w14:textId="77777777" w:rsidR="004D7B74" w:rsidRPr="009B277D" w:rsidRDefault="004D7B74" w:rsidP="00CA72A8">
            <w:pPr>
              <w:pStyle w:val="TableTextleftaligned"/>
              <w:spacing w:line="192" w:lineRule="auto"/>
              <w:rPr>
                <w:b w:val="0"/>
                <w:bCs/>
              </w:rPr>
            </w:pPr>
            <w:r w:rsidRPr="009B277D">
              <w:rPr>
                <w:bCs/>
              </w:rPr>
              <w:t>Measure Type</w:t>
            </w:r>
          </w:p>
        </w:tc>
        <w:tc>
          <w:tcPr>
            <w:tcW w:w="4057" w:type="pct"/>
            <w:gridSpan w:val="4"/>
          </w:tcPr>
          <w:p w14:paraId="5B704049" w14:textId="77777777" w:rsidR="004D7B74" w:rsidRPr="00CA66CB"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CA66CB">
              <w:t>Quantitative / Effectiveness</w:t>
            </w:r>
          </w:p>
        </w:tc>
      </w:tr>
      <w:tr w:rsidR="004D7B74" w:rsidRPr="008E3CD6" w14:paraId="63D01CB0"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5130C753" w14:textId="687CD156" w:rsidR="004D7B74" w:rsidRPr="007B6FB1" w:rsidRDefault="004D7B74" w:rsidP="00380262">
            <w:pPr>
              <w:pStyle w:val="TableTextleftaligned"/>
              <w:rPr>
                <w:rFonts w:ascii="Segoe UI" w:hAnsi="Segoe UI" w:cs="Segoe UI"/>
              </w:rPr>
            </w:pPr>
            <w:r w:rsidRPr="009B277D">
              <w:rPr>
                <w:bCs/>
              </w:rPr>
              <w:t>Method</w:t>
            </w:r>
            <w:r w:rsidR="00380262">
              <w:rPr>
                <w:bCs/>
              </w:rPr>
              <w:t xml:space="preserve"> </w:t>
            </w:r>
            <w:r w:rsidRPr="002B335E">
              <w:t>(</w:t>
            </w:r>
            <w:r w:rsidRPr="003106EF">
              <w:t>Data Source and Methodology)</w:t>
            </w:r>
          </w:p>
        </w:tc>
        <w:tc>
          <w:tcPr>
            <w:tcW w:w="4057" w:type="pct"/>
            <w:gridSpan w:val="4"/>
          </w:tcPr>
          <w:p w14:paraId="73551911" w14:textId="5F8EE286" w:rsidR="004D7B74" w:rsidRDefault="004D7B74" w:rsidP="00DB198D">
            <w:pPr>
              <w:pStyle w:val="TableTextleftaligned"/>
              <w:cnfStyle w:val="000000000000" w:firstRow="0" w:lastRow="0" w:firstColumn="0" w:lastColumn="0" w:oddVBand="0" w:evenVBand="0" w:oddHBand="0" w:evenHBand="0" w:firstRowFirstColumn="0" w:firstRowLastColumn="0" w:lastRowFirstColumn="0" w:lastRowLastColumn="0"/>
            </w:pPr>
            <w:r w:rsidRPr="00CA66CB">
              <w:t>The Australian Immunisation Register (AIR) is the data source for these measures</w:t>
            </w:r>
            <w:r>
              <w:t xml:space="preserve"> and is administered by Services Australia on behalf of the department</w:t>
            </w:r>
            <w:r w:rsidRPr="00CA66CB">
              <w:t>.</w:t>
            </w:r>
          </w:p>
          <w:p w14:paraId="22AF965E" w14:textId="530741D8" w:rsidR="004D7B74" w:rsidRPr="00CA66CB" w:rsidRDefault="00127D3F" w:rsidP="00823660">
            <w:pPr>
              <w:pStyle w:val="TableTextleftaligned"/>
              <w:cnfStyle w:val="000000000000" w:firstRow="0" w:lastRow="0" w:firstColumn="0" w:lastColumn="0" w:oddVBand="0" w:evenVBand="0" w:oddHBand="0" w:evenHBand="0" w:firstRowFirstColumn="0" w:firstRowLastColumn="0" w:lastRowFirstColumn="0" w:lastRowLastColumn="0"/>
            </w:pPr>
            <w:r>
              <w:rPr>
                <w:b/>
                <w:bCs/>
              </w:rPr>
              <w:t xml:space="preserve">Measure </w:t>
            </w:r>
            <w:r w:rsidR="004D7B74" w:rsidRPr="00C4773C">
              <w:rPr>
                <w:b/>
                <w:bCs/>
              </w:rPr>
              <w:t>a and b</w:t>
            </w:r>
            <w:r w:rsidR="004D7B74" w:rsidRPr="00CA66CB">
              <w:t>. The target has been set at 95% for children aged 5 years as this level provides sufficient herd immunity to prevent transmission of vaccine preventable diseases in the community.</w:t>
            </w:r>
          </w:p>
          <w:p w14:paraId="45284AEC" w14:textId="63421DE5" w:rsidR="004D7B74" w:rsidRPr="00CA66CB" w:rsidRDefault="00127D3F" w:rsidP="00823660">
            <w:pPr>
              <w:pStyle w:val="TableTextleftaligned"/>
              <w:cnfStyle w:val="000000000000" w:firstRow="0" w:lastRow="0" w:firstColumn="0" w:lastColumn="0" w:oddVBand="0" w:evenVBand="0" w:oddHBand="0" w:evenHBand="0" w:firstRowFirstColumn="0" w:firstRowLastColumn="0" w:lastRowFirstColumn="0" w:lastRowLastColumn="0"/>
            </w:pPr>
            <w:r>
              <w:rPr>
                <w:b/>
                <w:bCs/>
              </w:rPr>
              <w:t xml:space="preserve">Measure </w:t>
            </w:r>
            <w:r w:rsidR="004D7B74" w:rsidRPr="00C4773C">
              <w:rPr>
                <w:b/>
                <w:bCs/>
              </w:rPr>
              <w:t>c.</w:t>
            </w:r>
            <w:r w:rsidR="004D7B74" w:rsidRPr="00CA66CB">
              <w:t xml:space="preserve"> The target has been set at 90% as a measure to align with the national strategy for elimination of cervical cancer</w:t>
            </w:r>
            <w:r w:rsidR="005C4E3B">
              <w:t>.</w:t>
            </w:r>
          </w:p>
          <w:p w14:paraId="35CF111C" w14:textId="77777777" w:rsidR="004D7B74" w:rsidRPr="00CA66CB" w:rsidRDefault="004D7B74" w:rsidP="00CA72A8">
            <w:pPr>
              <w:pStyle w:val="TableTextrightaligned"/>
              <w:spacing w:line="192" w:lineRule="auto"/>
              <w:ind w:left="360"/>
              <w:cnfStyle w:val="000000000000" w:firstRow="0" w:lastRow="0" w:firstColumn="0" w:lastColumn="0" w:oddVBand="0" w:evenVBand="0" w:oddHBand="0" w:evenHBand="0" w:firstRowFirstColumn="0" w:firstRowLastColumn="0" w:lastRowFirstColumn="0" w:lastRowLastColumn="0"/>
            </w:pPr>
          </w:p>
        </w:tc>
      </w:tr>
      <w:tr w:rsidR="005C4E3B" w:rsidRPr="008E3CD6" w14:paraId="67466285"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3BAD4DD7" w14:textId="45BF247A" w:rsidR="005C4E3B" w:rsidRPr="009B277D" w:rsidRDefault="005C4E3B" w:rsidP="00380262">
            <w:pPr>
              <w:pStyle w:val="TableTextleftaligned"/>
              <w:rPr>
                <w:b w:val="0"/>
              </w:rPr>
            </w:pPr>
            <w:r>
              <w:t>Linked to 2024–25 Portfolio Budget Statements</w:t>
            </w:r>
          </w:p>
        </w:tc>
        <w:tc>
          <w:tcPr>
            <w:tcW w:w="4057" w:type="pct"/>
            <w:gridSpan w:val="4"/>
          </w:tcPr>
          <w:p w14:paraId="028FF213" w14:textId="5F00BFF5" w:rsidR="005C4E3B" w:rsidRPr="00CA66CB" w:rsidRDefault="005C4E3B" w:rsidP="00823660">
            <w:pPr>
              <w:pStyle w:val="TableTextleftaligned"/>
              <w:cnfStyle w:val="000000000000" w:firstRow="0" w:lastRow="0" w:firstColumn="0" w:lastColumn="0" w:oddVBand="0" w:evenVBand="0" w:oddHBand="0" w:evenHBand="0" w:firstRowFirstColumn="0" w:firstRowLastColumn="0" w:lastRowFirstColumn="0" w:lastRowLastColumn="0"/>
            </w:pPr>
            <w:r w:rsidRPr="00E6299A">
              <w:t>Program 1.</w:t>
            </w:r>
            <w:r>
              <w:t xml:space="preserve">9 </w:t>
            </w:r>
            <w:r w:rsidR="00FF27E1">
              <w:t>-</w:t>
            </w:r>
            <w:r w:rsidRPr="00E6299A">
              <w:t xml:space="preserve"> </w:t>
            </w:r>
            <w:r>
              <w:t xml:space="preserve">Immunisation </w:t>
            </w:r>
            <w:r w:rsidRPr="00E6299A">
              <w:t xml:space="preserve">– page </w:t>
            </w:r>
            <w:r>
              <w:t>73</w:t>
            </w:r>
          </w:p>
        </w:tc>
      </w:tr>
      <w:tr w:rsidR="004D7B74" w:rsidRPr="008E3CD6" w14:paraId="5F664F27" w14:textId="77777777" w:rsidTr="00380262">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41E96AA6" w14:textId="77777777" w:rsidR="004D7B74" w:rsidRPr="009B277D" w:rsidRDefault="004D7B74" w:rsidP="00CA72A8">
            <w:pPr>
              <w:pStyle w:val="TableTextleftaligned"/>
              <w:spacing w:line="192" w:lineRule="auto"/>
              <w:rPr>
                <w:b w:val="0"/>
                <w:bCs/>
              </w:rPr>
            </w:pPr>
            <w:r>
              <w:rPr>
                <w:bCs/>
              </w:rPr>
              <w:t>Planned Performance Results</w:t>
            </w:r>
          </w:p>
        </w:tc>
        <w:tc>
          <w:tcPr>
            <w:tcW w:w="1014" w:type="pct"/>
            <w:shd w:val="clear" w:color="auto" w:fill="BFBFBF" w:themeFill="background1" w:themeFillShade="BF"/>
            <w:vAlign w:val="center"/>
          </w:tcPr>
          <w:p w14:paraId="32AD2C8F" w14:textId="77777777" w:rsidR="004D7B74" w:rsidRPr="00C4773C"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C4773C">
              <w:t>2024–25</w:t>
            </w:r>
          </w:p>
        </w:tc>
        <w:tc>
          <w:tcPr>
            <w:tcW w:w="1015" w:type="pct"/>
            <w:shd w:val="clear" w:color="auto" w:fill="BFBFBF" w:themeFill="background1" w:themeFillShade="BF"/>
            <w:vAlign w:val="center"/>
          </w:tcPr>
          <w:p w14:paraId="38934404" w14:textId="77777777" w:rsidR="004D7B74" w:rsidRPr="00C4773C"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C4773C">
              <w:t>2025–26</w:t>
            </w:r>
          </w:p>
        </w:tc>
        <w:tc>
          <w:tcPr>
            <w:tcW w:w="1015" w:type="pct"/>
            <w:shd w:val="clear" w:color="auto" w:fill="BFBFBF" w:themeFill="background1" w:themeFillShade="BF"/>
            <w:vAlign w:val="center"/>
          </w:tcPr>
          <w:p w14:paraId="04A50DAC" w14:textId="77777777" w:rsidR="004D7B74" w:rsidRPr="00C4773C"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C4773C">
              <w:t>2026</w:t>
            </w:r>
            <w:bookmarkStart w:id="137" w:name="_Hlk175315553"/>
            <w:r w:rsidRPr="00C4773C">
              <w:t>–</w:t>
            </w:r>
            <w:bookmarkEnd w:id="137"/>
            <w:r w:rsidRPr="00C4773C">
              <w:t>27</w:t>
            </w:r>
          </w:p>
        </w:tc>
        <w:tc>
          <w:tcPr>
            <w:tcW w:w="1013" w:type="pct"/>
            <w:shd w:val="clear" w:color="auto" w:fill="BFBFBF" w:themeFill="background1" w:themeFillShade="BF"/>
            <w:vAlign w:val="center"/>
          </w:tcPr>
          <w:p w14:paraId="4B0A2626" w14:textId="77777777" w:rsidR="004D7B74" w:rsidRPr="00C4773C"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C4773C">
              <w:t>2027–28</w:t>
            </w:r>
          </w:p>
        </w:tc>
      </w:tr>
      <w:tr w:rsidR="004D7B74" w:rsidRPr="008E3CD6" w14:paraId="43C2A773" w14:textId="77777777" w:rsidTr="00DB19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72F772B7" w14:textId="77777777" w:rsidR="004D7B74" w:rsidRPr="009B277D" w:rsidRDefault="004D7B74" w:rsidP="00CA72A8">
            <w:pPr>
              <w:pStyle w:val="TableTextleftaligned"/>
              <w:spacing w:line="192" w:lineRule="auto"/>
              <w:rPr>
                <w:b w:val="0"/>
                <w:bCs/>
              </w:rPr>
            </w:pPr>
          </w:p>
        </w:tc>
        <w:tc>
          <w:tcPr>
            <w:tcW w:w="1014" w:type="pct"/>
          </w:tcPr>
          <w:p w14:paraId="19F8D7BC" w14:textId="14038FD1" w:rsidR="004D7B74" w:rsidRPr="00CA66CB" w:rsidRDefault="00483151" w:rsidP="00823660">
            <w:pPr>
              <w:pStyle w:val="TableTextleftaligned"/>
              <w:cnfStyle w:val="010000000000" w:firstRow="0" w:lastRow="1" w:firstColumn="0" w:lastColumn="0" w:oddVBand="0" w:evenVBand="0" w:oddHBand="0" w:evenHBand="0" w:firstRowFirstColumn="0" w:firstRowLastColumn="0" w:lastRowFirstColumn="0" w:lastRowLastColumn="0"/>
            </w:pPr>
            <w:r w:rsidRPr="00483151">
              <w:t xml:space="preserve">a. </w:t>
            </w:r>
            <w:r w:rsidR="004D7B74" w:rsidRPr="00483151">
              <w:rPr>
                <w:u w:val="single"/>
              </w:rPr>
              <w:t>&gt;</w:t>
            </w:r>
            <w:r w:rsidR="004D7B74" w:rsidRPr="00CA66CB">
              <w:t xml:space="preserve"> 95%</w:t>
            </w:r>
          </w:p>
          <w:p w14:paraId="7A790782" w14:textId="7B8BEEA4" w:rsidR="004D7B74" w:rsidRPr="00CA66CB" w:rsidRDefault="00483151" w:rsidP="00823660">
            <w:pPr>
              <w:pStyle w:val="TableTextleftaligned"/>
              <w:cnfStyle w:val="010000000000" w:firstRow="0" w:lastRow="1" w:firstColumn="0" w:lastColumn="0" w:oddVBand="0" w:evenVBand="0" w:oddHBand="0" w:evenHBand="0" w:firstRowFirstColumn="0" w:firstRowLastColumn="0" w:lastRowFirstColumn="0" w:lastRowLastColumn="0"/>
            </w:pPr>
            <w:r w:rsidRPr="00483151">
              <w:t xml:space="preserve">b. </w:t>
            </w:r>
            <w:r w:rsidR="004D7B74" w:rsidRPr="00CA66CB">
              <w:rPr>
                <w:u w:val="single"/>
              </w:rPr>
              <w:t>&gt;</w:t>
            </w:r>
            <w:r w:rsidR="004D7B74" w:rsidRPr="00CA66CB">
              <w:t xml:space="preserve"> 95%</w:t>
            </w:r>
          </w:p>
          <w:p w14:paraId="0271F1C0" w14:textId="4B3991EC" w:rsidR="004D7B74" w:rsidRPr="00CA66CB" w:rsidRDefault="00483151" w:rsidP="00DB198D">
            <w:pPr>
              <w:pStyle w:val="TableTextleftaligned"/>
              <w:cnfStyle w:val="010000000000" w:firstRow="0" w:lastRow="1" w:firstColumn="0" w:lastColumn="0" w:oddVBand="0" w:evenVBand="0" w:oddHBand="0" w:evenHBand="0" w:firstRowFirstColumn="0" w:firstRowLastColumn="0" w:lastRowFirstColumn="0" w:lastRowLastColumn="0"/>
            </w:pPr>
            <w:r>
              <w:t>c</w:t>
            </w:r>
            <w:r w:rsidRPr="00483151">
              <w:t xml:space="preserve">. </w:t>
            </w:r>
            <w:r w:rsidR="004D7B74" w:rsidRPr="00CA66CB">
              <w:rPr>
                <w:u w:val="single"/>
              </w:rPr>
              <w:t>&gt;</w:t>
            </w:r>
            <w:r w:rsidR="004D7B74" w:rsidRPr="00CA66CB">
              <w:t xml:space="preserve"> 90%</w:t>
            </w:r>
          </w:p>
        </w:tc>
        <w:tc>
          <w:tcPr>
            <w:tcW w:w="1015" w:type="pct"/>
          </w:tcPr>
          <w:p w14:paraId="685413EF" w14:textId="70E4D418" w:rsidR="004D7B74" w:rsidRPr="00CA66CB" w:rsidRDefault="00483151" w:rsidP="00823660">
            <w:pPr>
              <w:pStyle w:val="TableTextleftaligned"/>
              <w:cnfStyle w:val="010000000000" w:firstRow="0" w:lastRow="1" w:firstColumn="0" w:lastColumn="0" w:oddVBand="0" w:evenVBand="0" w:oddHBand="0" w:evenHBand="0" w:firstRowFirstColumn="0" w:firstRowLastColumn="0" w:lastRowFirstColumn="0" w:lastRowLastColumn="0"/>
            </w:pPr>
            <w:r w:rsidRPr="00483151">
              <w:t xml:space="preserve">a. </w:t>
            </w:r>
            <w:r w:rsidR="004D7B74" w:rsidRPr="00CA66CB">
              <w:rPr>
                <w:u w:val="single"/>
              </w:rPr>
              <w:t>&gt;</w:t>
            </w:r>
            <w:r w:rsidR="004D7B74" w:rsidRPr="00CA66CB">
              <w:t xml:space="preserve"> 95%</w:t>
            </w:r>
          </w:p>
          <w:p w14:paraId="7C8DB913" w14:textId="003C8F97" w:rsidR="004D7B74" w:rsidRDefault="00483151" w:rsidP="00823660">
            <w:pPr>
              <w:pStyle w:val="TableTextleftaligned"/>
              <w:cnfStyle w:val="010000000000" w:firstRow="0" w:lastRow="1" w:firstColumn="0" w:lastColumn="0" w:oddVBand="0" w:evenVBand="0" w:oddHBand="0" w:evenHBand="0" w:firstRowFirstColumn="0" w:firstRowLastColumn="0" w:lastRowFirstColumn="0" w:lastRowLastColumn="0"/>
            </w:pPr>
            <w:r w:rsidRPr="00483151">
              <w:t xml:space="preserve">b. </w:t>
            </w:r>
            <w:r w:rsidR="004D7B74" w:rsidRPr="00CA66CB">
              <w:rPr>
                <w:u w:val="single"/>
              </w:rPr>
              <w:t>&gt;</w:t>
            </w:r>
            <w:r w:rsidR="004D7B74" w:rsidRPr="00CA66CB">
              <w:t xml:space="preserve"> 95%</w:t>
            </w:r>
          </w:p>
          <w:p w14:paraId="64020B68" w14:textId="667F94C0" w:rsidR="004D7B74" w:rsidRPr="00CA66CB" w:rsidRDefault="00483151" w:rsidP="00823660">
            <w:pPr>
              <w:pStyle w:val="TableTextleftaligned"/>
              <w:cnfStyle w:val="010000000000" w:firstRow="0" w:lastRow="1" w:firstColumn="0" w:lastColumn="0" w:oddVBand="0" w:evenVBand="0" w:oddHBand="0" w:evenHBand="0" w:firstRowFirstColumn="0" w:firstRowLastColumn="0" w:lastRowFirstColumn="0" w:lastRowLastColumn="0"/>
            </w:pPr>
            <w:r>
              <w:t>c</w:t>
            </w:r>
            <w:r w:rsidRPr="00483151">
              <w:t xml:space="preserve">. </w:t>
            </w:r>
            <w:r w:rsidR="004D7B74" w:rsidRPr="00BA0EF7">
              <w:rPr>
                <w:u w:val="single"/>
              </w:rPr>
              <w:t>&gt;</w:t>
            </w:r>
            <w:r w:rsidR="006910B5" w:rsidRPr="006910B5">
              <w:rPr>
                <w:u w:val="dotted"/>
              </w:rPr>
              <w:t xml:space="preserve"> </w:t>
            </w:r>
            <w:r w:rsidR="004D7B74" w:rsidRPr="00CA66CB">
              <w:t>90%</w:t>
            </w:r>
          </w:p>
        </w:tc>
        <w:tc>
          <w:tcPr>
            <w:tcW w:w="1015" w:type="pct"/>
          </w:tcPr>
          <w:p w14:paraId="3D7C7836" w14:textId="15A985D9" w:rsidR="004D7B74" w:rsidRPr="00CA66CB" w:rsidRDefault="00483151" w:rsidP="00823660">
            <w:pPr>
              <w:pStyle w:val="TableTextleftaligned"/>
              <w:cnfStyle w:val="010000000000" w:firstRow="0" w:lastRow="1" w:firstColumn="0" w:lastColumn="0" w:oddVBand="0" w:evenVBand="0" w:oddHBand="0" w:evenHBand="0" w:firstRowFirstColumn="0" w:firstRowLastColumn="0" w:lastRowFirstColumn="0" w:lastRowLastColumn="0"/>
            </w:pPr>
            <w:r w:rsidRPr="00483151">
              <w:t xml:space="preserve">a. </w:t>
            </w:r>
            <w:r w:rsidR="004D7B74" w:rsidRPr="00CA66CB">
              <w:rPr>
                <w:u w:val="single"/>
              </w:rPr>
              <w:t>&gt;</w:t>
            </w:r>
            <w:r w:rsidR="004D7B74" w:rsidRPr="00CA66CB">
              <w:t xml:space="preserve"> 95%</w:t>
            </w:r>
          </w:p>
          <w:p w14:paraId="6B1C8AE1" w14:textId="2E5D4DA0" w:rsidR="004D7B74" w:rsidRPr="00CA66CB" w:rsidRDefault="00483151" w:rsidP="00823660">
            <w:pPr>
              <w:pStyle w:val="TableTextleftaligned"/>
              <w:cnfStyle w:val="010000000000" w:firstRow="0" w:lastRow="1" w:firstColumn="0" w:lastColumn="0" w:oddVBand="0" w:evenVBand="0" w:oddHBand="0" w:evenHBand="0" w:firstRowFirstColumn="0" w:firstRowLastColumn="0" w:lastRowFirstColumn="0" w:lastRowLastColumn="0"/>
            </w:pPr>
            <w:r w:rsidRPr="00483151">
              <w:t xml:space="preserve">b. </w:t>
            </w:r>
            <w:r w:rsidR="004D7B74" w:rsidRPr="00CA66CB">
              <w:rPr>
                <w:u w:val="single"/>
              </w:rPr>
              <w:t>&gt;</w:t>
            </w:r>
            <w:r w:rsidR="004D7B74" w:rsidRPr="00CA66CB">
              <w:t xml:space="preserve"> 95%</w:t>
            </w:r>
          </w:p>
          <w:p w14:paraId="073CB6BD" w14:textId="477A87C7" w:rsidR="004D7B74" w:rsidRPr="00CA66CB" w:rsidRDefault="00483151" w:rsidP="00DB198D">
            <w:pPr>
              <w:pStyle w:val="TableTextleftaligned"/>
              <w:cnfStyle w:val="010000000000" w:firstRow="0" w:lastRow="1" w:firstColumn="0" w:lastColumn="0" w:oddVBand="0" w:evenVBand="0" w:oddHBand="0" w:evenHBand="0" w:firstRowFirstColumn="0" w:firstRowLastColumn="0" w:lastRowFirstColumn="0" w:lastRowLastColumn="0"/>
            </w:pPr>
            <w:r>
              <w:t>c</w:t>
            </w:r>
            <w:r w:rsidRPr="00483151">
              <w:t xml:space="preserve">. </w:t>
            </w:r>
            <w:r w:rsidR="004D7B74" w:rsidRPr="00CA66CB">
              <w:rPr>
                <w:u w:val="single"/>
              </w:rPr>
              <w:t>&gt;</w:t>
            </w:r>
            <w:r w:rsidR="004D7B74" w:rsidRPr="00CA66CB">
              <w:t xml:space="preserve"> 90%</w:t>
            </w:r>
          </w:p>
        </w:tc>
        <w:tc>
          <w:tcPr>
            <w:tcW w:w="1013" w:type="pct"/>
          </w:tcPr>
          <w:p w14:paraId="3F3B269C" w14:textId="23808351" w:rsidR="004D7B74" w:rsidRPr="00CA66CB" w:rsidRDefault="00483151" w:rsidP="00823660">
            <w:pPr>
              <w:pStyle w:val="TableTextleftaligned"/>
              <w:cnfStyle w:val="010000000000" w:firstRow="0" w:lastRow="1" w:firstColumn="0" w:lastColumn="0" w:oddVBand="0" w:evenVBand="0" w:oddHBand="0" w:evenHBand="0" w:firstRowFirstColumn="0" w:firstRowLastColumn="0" w:lastRowFirstColumn="0" w:lastRowLastColumn="0"/>
            </w:pPr>
            <w:r w:rsidRPr="00483151">
              <w:t xml:space="preserve">a. </w:t>
            </w:r>
            <w:r w:rsidR="004D7B74" w:rsidRPr="00CA66CB">
              <w:rPr>
                <w:u w:val="single"/>
              </w:rPr>
              <w:t>&gt;</w:t>
            </w:r>
            <w:r w:rsidR="004D7B74" w:rsidRPr="00CA66CB">
              <w:t xml:space="preserve"> 95%</w:t>
            </w:r>
          </w:p>
          <w:p w14:paraId="5B45001E" w14:textId="4C77CEB0" w:rsidR="004D7B74" w:rsidRPr="00CA66CB" w:rsidRDefault="00483151" w:rsidP="00823660">
            <w:pPr>
              <w:pStyle w:val="TableTextleftaligned"/>
              <w:cnfStyle w:val="010000000000" w:firstRow="0" w:lastRow="1" w:firstColumn="0" w:lastColumn="0" w:oddVBand="0" w:evenVBand="0" w:oddHBand="0" w:evenHBand="0" w:firstRowFirstColumn="0" w:firstRowLastColumn="0" w:lastRowFirstColumn="0" w:lastRowLastColumn="0"/>
            </w:pPr>
            <w:r w:rsidRPr="00483151">
              <w:t xml:space="preserve">b. </w:t>
            </w:r>
            <w:r w:rsidR="004D7B74" w:rsidRPr="00CA66CB">
              <w:rPr>
                <w:u w:val="single"/>
              </w:rPr>
              <w:t>&gt;</w:t>
            </w:r>
            <w:r w:rsidR="004D7B74" w:rsidRPr="00CA66CB">
              <w:t xml:space="preserve"> 95%</w:t>
            </w:r>
          </w:p>
          <w:p w14:paraId="203F9EFA" w14:textId="42B7CB10" w:rsidR="004D7B74" w:rsidRPr="00483151" w:rsidRDefault="00483151" w:rsidP="00483151">
            <w:pPr>
              <w:pStyle w:val="TableTextleftaligned"/>
              <w:cnfStyle w:val="010000000000" w:firstRow="0" w:lastRow="1" w:firstColumn="0" w:lastColumn="0" w:oddVBand="0" w:evenVBand="0" w:oddHBand="0" w:evenHBand="0" w:firstRowFirstColumn="0" w:firstRowLastColumn="0" w:lastRowFirstColumn="0" w:lastRowLastColumn="0"/>
            </w:pPr>
            <w:r>
              <w:t>c</w:t>
            </w:r>
            <w:r w:rsidRPr="00483151">
              <w:t xml:space="preserve">. </w:t>
            </w:r>
            <w:r w:rsidR="004D7B74" w:rsidRPr="00CA66CB">
              <w:rPr>
                <w:u w:val="single"/>
              </w:rPr>
              <w:t>&gt;</w:t>
            </w:r>
            <w:r w:rsidR="004D7B74" w:rsidRPr="00CA66CB">
              <w:t xml:space="preserve"> 90%</w:t>
            </w:r>
          </w:p>
        </w:tc>
      </w:tr>
    </w:tbl>
    <w:p w14:paraId="361A109F" w14:textId="77777777" w:rsidR="00380262" w:rsidRDefault="00380262">
      <w:bookmarkStart w:id="138" w:name="_Toc175293636"/>
      <w:bookmarkEnd w:id="134"/>
      <w:r>
        <w:br w:type="page"/>
      </w:r>
    </w:p>
    <w:p w14:paraId="78A44890" w14:textId="265680FA" w:rsidR="004D7B74" w:rsidRPr="00380262" w:rsidRDefault="004D7B74" w:rsidP="00380262">
      <w:pPr>
        <w:pStyle w:val="Heading1"/>
        <w:rPr>
          <w:rFonts w:eastAsiaTheme="minorHAnsi"/>
          <w:kern w:val="0"/>
          <w:sz w:val="22"/>
          <w:szCs w:val="22"/>
        </w:rPr>
      </w:pPr>
      <w:bookmarkStart w:id="139" w:name="_Toc175846504"/>
      <w:r w:rsidRPr="00380262">
        <w:rPr>
          <w:rFonts w:eastAsiaTheme="minorHAnsi"/>
        </w:rPr>
        <w:lastRenderedPageBreak/>
        <w:t xml:space="preserve">Outcome 2 </w:t>
      </w:r>
      <w:bookmarkStart w:id="140" w:name="_Hlk175669629"/>
      <w:r w:rsidRPr="00380262">
        <w:rPr>
          <w:rFonts w:eastAsiaTheme="minorHAnsi"/>
        </w:rPr>
        <w:t>Individual Health Benefits</w:t>
      </w:r>
      <w:bookmarkEnd w:id="138"/>
      <w:bookmarkEnd w:id="139"/>
      <w:bookmarkEnd w:id="140"/>
    </w:p>
    <w:p w14:paraId="5180C31C" w14:textId="77777777" w:rsidR="004D7B74" w:rsidRPr="00380262" w:rsidRDefault="004D7B74" w:rsidP="00380262">
      <w:bookmarkStart w:id="141" w:name="_Hlk170822021"/>
      <w:r w:rsidRPr="00380262">
        <w:t xml:space="preserve">Ensuring improved access for all Australians to cost-effective and affordable medicines, medical, </w:t>
      </w:r>
      <w:proofErr w:type="gramStart"/>
      <w:r w:rsidRPr="00380262">
        <w:t>dental</w:t>
      </w:r>
      <w:proofErr w:type="gramEnd"/>
      <w:r w:rsidRPr="00380262">
        <w:t xml:space="preserve"> and hearing services; improved choice in health care services, through guaranteeing Medicare and the Pharmaceutical Benefits Scheme; supporting targeted assistance strategies and private health insurance.</w:t>
      </w:r>
    </w:p>
    <w:p w14:paraId="5C7213D1" w14:textId="11EB3517" w:rsidR="00F27C84" w:rsidRPr="009B44A6" w:rsidRDefault="00F27C84" w:rsidP="009B44A6">
      <w:pPr>
        <w:pBdr>
          <w:top w:val="single" w:sz="8" w:space="1" w:color="A5A5A5" w:themeColor="accent3"/>
        </w:pBdr>
        <w:rPr>
          <w:rStyle w:val="Strong"/>
        </w:rPr>
      </w:pPr>
      <w:r w:rsidRPr="009B44A6">
        <w:rPr>
          <w:rStyle w:val="Strong"/>
        </w:rPr>
        <w:t>Outcome 2 is delivered through the following programs:</w:t>
      </w:r>
    </w:p>
    <w:p w14:paraId="1F6F1A2F" w14:textId="0A4E144D" w:rsidR="00F27C84" w:rsidRPr="00946965" w:rsidRDefault="00380262" w:rsidP="00F27C84">
      <w:pPr>
        <w:rPr>
          <w:rFonts w:eastAsiaTheme="majorEastAsia" w:cs="Arial"/>
        </w:rPr>
      </w:pPr>
      <w:hyperlink w:anchor="_Program_2.1_Medical" w:history="1">
        <w:r w:rsidR="00F27C84" w:rsidRPr="00380262">
          <w:rPr>
            <w:rStyle w:val="Hyperlink"/>
            <w:rFonts w:eastAsiaTheme="majorEastAsia" w:cs="Arial"/>
          </w:rPr>
          <w:t xml:space="preserve">2.1 </w:t>
        </w:r>
        <w:r w:rsidR="00310385" w:rsidRPr="00380262">
          <w:rPr>
            <w:rStyle w:val="Hyperlink"/>
            <w:rFonts w:eastAsiaTheme="majorEastAsia" w:cs="Arial"/>
          </w:rPr>
          <w:t>Medical Benefits</w:t>
        </w:r>
      </w:hyperlink>
    </w:p>
    <w:p w14:paraId="044C4E13" w14:textId="47FE3AB9" w:rsidR="00F27C84" w:rsidRPr="00946965" w:rsidRDefault="00380262" w:rsidP="00F27C84">
      <w:pPr>
        <w:rPr>
          <w:rFonts w:eastAsiaTheme="majorEastAsia" w:cs="Arial"/>
        </w:rPr>
      </w:pPr>
      <w:hyperlink w:anchor="_Program_2.2_Hearing" w:history="1">
        <w:r w:rsidR="00310385" w:rsidRPr="00380262">
          <w:rPr>
            <w:rStyle w:val="Hyperlink"/>
            <w:rFonts w:eastAsiaTheme="majorEastAsia" w:cs="Arial"/>
          </w:rPr>
          <w:t>2</w:t>
        </w:r>
        <w:r w:rsidR="00F27C84" w:rsidRPr="00380262">
          <w:rPr>
            <w:rStyle w:val="Hyperlink"/>
            <w:rFonts w:eastAsiaTheme="majorEastAsia" w:cs="Arial"/>
          </w:rPr>
          <w:t xml:space="preserve">.2 </w:t>
        </w:r>
        <w:r w:rsidR="00310385" w:rsidRPr="00380262">
          <w:rPr>
            <w:rStyle w:val="Hyperlink"/>
            <w:rFonts w:eastAsiaTheme="majorEastAsia" w:cs="Arial"/>
          </w:rPr>
          <w:t>Hearing Services</w:t>
        </w:r>
      </w:hyperlink>
    </w:p>
    <w:p w14:paraId="7E5BEFF0" w14:textId="758FF4FA" w:rsidR="00F27C84" w:rsidRPr="00946965" w:rsidRDefault="00380262" w:rsidP="00F27C84">
      <w:pPr>
        <w:rPr>
          <w:rFonts w:eastAsiaTheme="majorEastAsia" w:cs="Arial"/>
        </w:rPr>
      </w:pPr>
      <w:hyperlink w:anchor="_Program_2.3_Pharmaceutical" w:history="1">
        <w:r w:rsidR="00310385" w:rsidRPr="00380262">
          <w:rPr>
            <w:rStyle w:val="Hyperlink"/>
            <w:rFonts w:eastAsiaTheme="majorEastAsia" w:cs="Arial"/>
          </w:rPr>
          <w:t>2</w:t>
        </w:r>
        <w:r w:rsidR="00F27C84" w:rsidRPr="00380262">
          <w:rPr>
            <w:rStyle w:val="Hyperlink"/>
            <w:rFonts w:eastAsiaTheme="majorEastAsia" w:cs="Arial"/>
          </w:rPr>
          <w:t xml:space="preserve">.3 </w:t>
        </w:r>
        <w:r w:rsidR="00937AE1" w:rsidRPr="00380262">
          <w:rPr>
            <w:rStyle w:val="Hyperlink"/>
            <w:rFonts w:eastAsiaTheme="majorEastAsia" w:cs="Arial"/>
          </w:rPr>
          <w:t>Pharmaceutical Benefits</w:t>
        </w:r>
      </w:hyperlink>
      <w:r w:rsidR="00F27C84" w:rsidRPr="00946965">
        <w:rPr>
          <w:rFonts w:eastAsiaTheme="majorEastAsia" w:cs="Arial"/>
        </w:rPr>
        <w:t xml:space="preserve"> </w:t>
      </w:r>
    </w:p>
    <w:p w14:paraId="2810BD81" w14:textId="03AEFD8A" w:rsidR="00F27C84" w:rsidRPr="00946965" w:rsidRDefault="00380262" w:rsidP="00F27C84">
      <w:pPr>
        <w:rPr>
          <w:rFonts w:eastAsiaTheme="majorEastAsia" w:cs="Arial"/>
        </w:rPr>
      </w:pPr>
      <w:hyperlink w:anchor="_Program_2.4_Private" w:history="1">
        <w:r w:rsidR="00310385" w:rsidRPr="00380262">
          <w:rPr>
            <w:rStyle w:val="Hyperlink"/>
            <w:rFonts w:eastAsiaTheme="majorEastAsia" w:cs="Arial"/>
          </w:rPr>
          <w:t>2</w:t>
        </w:r>
        <w:r w:rsidR="00F27C84" w:rsidRPr="00380262">
          <w:rPr>
            <w:rStyle w:val="Hyperlink"/>
            <w:rFonts w:eastAsiaTheme="majorEastAsia" w:cs="Arial"/>
          </w:rPr>
          <w:t xml:space="preserve">.4 </w:t>
        </w:r>
        <w:r w:rsidR="00937AE1" w:rsidRPr="00380262">
          <w:rPr>
            <w:rStyle w:val="Hyperlink"/>
            <w:rFonts w:eastAsiaTheme="majorEastAsia" w:cs="Arial"/>
          </w:rPr>
          <w:t>Private Health Insurance</w:t>
        </w:r>
      </w:hyperlink>
      <w:r w:rsidR="00F27C84" w:rsidRPr="00946965">
        <w:rPr>
          <w:rFonts w:eastAsiaTheme="majorEastAsia" w:cs="Arial"/>
        </w:rPr>
        <w:t xml:space="preserve"> </w:t>
      </w:r>
    </w:p>
    <w:p w14:paraId="2542C652" w14:textId="444B152F" w:rsidR="00F27C84" w:rsidRPr="00946965" w:rsidRDefault="00380262" w:rsidP="00F27C84">
      <w:pPr>
        <w:rPr>
          <w:rFonts w:eastAsiaTheme="majorEastAsia" w:cs="Arial"/>
        </w:rPr>
      </w:pPr>
      <w:hyperlink w:anchor="_Program_2.5_Dental" w:history="1">
        <w:r w:rsidR="00310385" w:rsidRPr="00380262">
          <w:rPr>
            <w:rStyle w:val="Hyperlink"/>
            <w:rFonts w:eastAsiaTheme="majorEastAsia" w:cs="Arial"/>
          </w:rPr>
          <w:t>2</w:t>
        </w:r>
        <w:r w:rsidR="00F27C84" w:rsidRPr="00380262">
          <w:rPr>
            <w:rStyle w:val="Hyperlink"/>
            <w:rFonts w:eastAsiaTheme="majorEastAsia" w:cs="Arial"/>
          </w:rPr>
          <w:t xml:space="preserve">.5 </w:t>
        </w:r>
        <w:r w:rsidR="00937AE1" w:rsidRPr="00380262">
          <w:rPr>
            <w:rStyle w:val="Hyperlink"/>
            <w:rFonts w:eastAsiaTheme="majorEastAsia" w:cs="Arial"/>
          </w:rPr>
          <w:t>Dental Services</w:t>
        </w:r>
      </w:hyperlink>
      <w:r w:rsidR="00F27C84" w:rsidRPr="00946965">
        <w:rPr>
          <w:rFonts w:eastAsiaTheme="majorEastAsia" w:cs="Arial"/>
        </w:rPr>
        <w:t xml:space="preserve"> </w:t>
      </w:r>
    </w:p>
    <w:p w14:paraId="0DBF0412" w14:textId="6FE1BCEF" w:rsidR="00F27C84" w:rsidRPr="00946965" w:rsidRDefault="00380262" w:rsidP="00F27C84">
      <w:pPr>
        <w:rPr>
          <w:rFonts w:eastAsiaTheme="majorEastAsia" w:cs="Arial"/>
        </w:rPr>
      </w:pPr>
      <w:hyperlink w:anchor="_Program_2.6_Health" w:history="1">
        <w:r w:rsidR="00310385" w:rsidRPr="00380262">
          <w:rPr>
            <w:rStyle w:val="Hyperlink"/>
            <w:rFonts w:eastAsiaTheme="majorEastAsia" w:cs="Arial"/>
          </w:rPr>
          <w:t>2</w:t>
        </w:r>
        <w:r w:rsidR="00F27C84" w:rsidRPr="00380262">
          <w:rPr>
            <w:rStyle w:val="Hyperlink"/>
            <w:rFonts w:eastAsiaTheme="majorEastAsia" w:cs="Arial"/>
          </w:rPr>
          <w:t xml:space="preserve">.6 </w:t>
        </w:r>
        <w:r w:rsidR="00937AE1" w:rsidRPr="00380262">
          <w:rPr>
            <w:rStyle w:val="Hyperlink"/>
            <w:rFonts w:eastAsiaTheme="majorEastAsia" w:cs="Arial"/>
          </w:rPr>
          <w:t>Health and Benefit Compliance</w:t>
        </w:r>
      </w:hyperlink>
    </w:p>
    <w:p w14:paraId="740BD691" w14:textId="16581B32" w:rsidR="00F27C84" w:rsidRPr="00946965" w:rsidRDefault="00380262" w:rsidP="009B44A6">
      <w:pPr>
        <w:pBdr>
          <w:bottom w:val="single" w:sz="8" w:space="1" w:color="A5A5A5" w:themeColor="accent3"/>
        </w:pBdr>
        <w:rPr>
          <w:rFonts w:eastAsiaTheme="majorEastAsia" w:cs="Arial"/>
        </w:rPr>
      </w:pPr>
      <w:hyperlink w:anchor="_Program_2.7_Assistance" w:history="1">
        <w:r w:rsidR="00310385" w:rsidRPr="00380262">
          <w:rPr>
            <w:rStyle w:val="Hyperlink"/>
            <w:rFonts w:eastAsiaTheme="majorEastAsia" w:cs="Arial"/>
          </w:rPr>
          <w:t>2</w:t>
        </w:r>
        <w:r w:rsidR="00F27C84" w:rsidRPr="00380262">
          <w:rPr>
            <w:rStyle w:val="Hyperlink"/>
            <w:rFonts w:eastAsiaTheme="majorEastAsia" w:cs="Arial"/>
          </w:rPr>
          <w:t xml:space="preserve">.7 </w:t>
        </w:r>
        <w:r w:rsidR="00937AE1" w:rsidRPr="00380262">
          <w:rPr>
            <w:rStyle w:val="Hyperlink"/>
            <w:rFonts w:eastAsiaTheme="majorEastAsia" w:cs="Arial"/>
          </w:rPr>
          <w:t>Assistance through Aids and Appliances</w:t>
        </w:r>
      </w:hyperlink>
    </w:p>
    <w:p w14:paraId="7C490861" w14:textId="77777777" w:rsidR="00DC4280" w:rsidRDefault="00DC4280">
      <w:pPr>
        <w:rPr>
          <w:rFonts w:cs="Arial"/>
          <w:sz w:val="24"/>
          <w:szCs w:val="24"/>
        </w:rPr>
      </w:pPr>
      <w:bookmarkStart w:id="142" w:name="_Toc171411947"/>
      <w:bookmarkStart w:id="143" w:name="_Toc175293637"/>
      <w:bookmarkStart w:id="144" w:name="_Toc166069796"/>
      <w:bookmarkEnd w:id="141"/>
      <w:r>
        <w:rPr>
          <w:rFonts w:cs="Arial"/>
          <w:sz w:val="24"/>
          <w:szCs w:val="24"/>
        </w:rPr>
        <w:br w:type="page"/>
      </w:r>
    </w:p>
    <w:p w14:paraId="53C9DA51" w14:textId="6ADB5B43" w:rsidR="004D7B74" w:rsidRPr="005C150F" w:rsidRDefault="004D7B74" w:rsidP="00380262">
      <w:pPr>
        <w:pStyle w:val="Heading2"/>
      </w:pPr>
      <w:bookmarkStart w:id="145" w:name="_Program_2.1_Medical"/>
      <w:bookmarkStart w:id="146" w:name="_Toc175846505"/>
      <w:bookmarkEnd w:id="145"/>
      <w:r w:rsidRPr="005C150F">
        <w:lastRenderedPageBreak/>
        <w:t>Program 2.1 Medical Benefits</w:t>
      </w:r>
      <w:bookmarkEnd w:id="142"/>
      <w:bookmarkEnd w:id="143"/>
      <w:bookmarkEnd w:id="146"/>
    </w:p>
    <w:p w14:paraId="0C3E67FE" w14:textId="77777777" w:rsidR="00DB198D" w:rsidRDefault="004D7B74" w:rsidP="00380262">
      <w:pPr>
        <w:pStyle w:val="Heading3"/>
      </w:pPr>
      <w:r w:rsidRPr="009E7781">
        <w:t>Program Objective</w:t>
      </w:r>
    </w:p>
    <w:p w14:paraId="01C94AC5" w14:textId="6D16516B" w:rsidR="004D7B74" w:rsidRPr="009E7781" w:rsidRDefault="004D7B74" w:rsidP="004D7B74">
      <w:pPr>
        <w:rPr>
          <w:rFonts w:cs="Arial"/>
        </w:rPr>
      </w:pPr>
      <w:r w:rsidRPr="009E7781">
        <w:rPr>
          <w:rFonts w:eastAsiaTheme="majorEastAsia" w:cs="Arial"/>
        </w:rPr>
        <w:t xml:space="preserve">Deliver a modern, sustainable Medicare Benefits Schedule that supports all </w:t>
      </w:r>
      <w:r w:rsidR="00BC62F3" w:rsidRPr="009E7781">
        <w:rPr>
          <w:rFonts w:eastAsiaTheme="majorEastAsia" w:cs="Arial"/>
        </w:rPr>
        <w:t xml:space="preserve">eligible </w:t>
      </w:r>
      <w:r w:rsidRPr="009E7781">
        <w:rPr>
          <w:rFonts w:eastAsiaTheme="majorEastAsia" w:cs="Arial"/>
        </w:rPr>
        <w:t xml:space="preserve">Australians to access high-quality and cost-effective professional services. Work with consumers, health professionals, private health insurers and states and territories to continue strengthening Medicare. Provide and improve access to health services for all Australians through a contemporary Medicare Benefits Schedule (MBS) that is based on clinical </w:t>
      </w:r>
      <w:proofErr w:type="gramStart"/>
      <w:r w:rsidRPr="009E7781">
        <w:rPr>
          <w:rFonts w:eastAsiaTheme="majorEastAsia" w:cs="Arial"/>
        </w:rPr>
        <w:t>evidence</w:t>
      </w:r>
      <w:proofErr w:type="gramEnd"/>
      <w:r w:rsidRPr="009E7781">
        <w:rPr>
          <w:rFonts w:eastAsiaTheme="majorEastAsia" w:cs="Arial"/>
        </w:rPr>
        <w:t xml:space="preserve"> and which supports the provision of high quality services.</w:t>
      </w:r>
      <w:r w:rsidRPr="009E7781">
        <w:rPr>
          <w:rFonts w:cs="Arial"/>
          <w:sz w:val="18"/>
          <w:szCs w:val="18"/>
        </w:rPr>
        <w:t xml:space="preserve"> </w:t>
      </w:r>
    </w:p>
    <w:p w14:paraId="36CDE145" w14:textId="77777777" w:rsidR="00483151" w:rsidRDefault="004D7B74" w:rsidP="00380262">
      <w:pPr>
        <w:pStyle w:val="Keyactivity"/>
      </w:pPr>
      <w:r w:rsidRPr="002A42FD">
        <w:rPr>
          <w:rStyle w:val="Strong"/>
        </w:rPr>
        <w:t>Key Activity 2.1A</w:t>
      </w:r>
      <w:r w:rsidRPr="002A42FD">
        <w:t>:</w:t>
      </w:r>
    </w:p>
    <w:p w14:paraId="0A92513A" w14:textId="30F15EC8" w:rsidR="00106736" w:rsidRPr="002A42FD" w:rsidRDefault="004D7B74" w:rsidP="00380262">
      <w:pPr>
        <w:pStyle w:val="Keyactivity"/>
      </w:pPr>
      <w:r w:rsidRPr="002A42FD">
        <w:t xml:space="preserve">Supporting access to a contemporary and sustainable Medicare Benefits Schedule (MBS). </w:t>
      </w:r>
    </w:p>
    <w:p w14:paraId="6B7B5958" w14:textId="6F241612" w:rsidR="004D7B74" w:rsidRPr="0060006F" w:rsidRDefault="00106736" w:rsidP="00F37CFB">
      <w:pPr>
        <w:rPr>
          <w:rFonts w:cs="Arial"/>
          <w:szCs w:val="20"/>
        </w:rPr>
      </w:pPr>
      <w:r w:rsidRPr="0060006F">
        <w:rPr>
          <w:rFonts w:cs="Arial"/>
          <w:b/>
          <w:bCs/>
          <w:szCs w:val="20"/>
        </w:rPr>
        <w:t xml:space="preserve">Key </w:t>
      </w:r>
      <w:r w:rsidR="001C4A15">
        <w:rPr>
          <w:rFonts w:cs="Arial"/>
          <w:b/>
          <w:bCs/>
          <w:szCs w:val="20"/>
        </w:rPr>
        <w:t>a</w:t>
      </w:r>
      <w:r w:rsidRPr="0060006F">
        <w:rPr>
          <w:rFonts w:cs="Arial"/>
          <w:b/>
          <w:bCs/>
          <w:szCs w:val="20"/>
        </w:rPr>
        <w:t>ctivity rationale:</w:t>
      </w:r>
      <w:r w:rsidRPr="0060006F">
        <w:rPr>
          <w:rFonts w:cs="Arial"/>
          <w:szCs w:val="20"/>
        </w:rPr>
        <w:t xml:space="preserve"> By delivering this activity the department ensures improved access for all Australians to cost-effective health services.</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1E442137" w14:textId="77777777" w:rsidTr="00DB19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5107408C" w14:textId="77777777" w:rsidR="004D7B74" w:rsidRPr="00396FF8" w:rsidRDefault="004D7B74" w:rsidP="00823660">
            <w:pPr>
              <w:pStyle w:val="TableTextleftaligned"/>
              <w:rPr>
                <w:b w:val="0"/>
                <w:color w:val="FFFFFF" w:themeColor="background1"/>
              </w:rPr>
            </w:pPr>
            <w:r w:rsidRPr="00396FF8">
              <w:t xml:space="preserve">Measure 2.1A: Percentage of Australians accessing Medicare Benefits Schedule services. </w:t>
            </w:r>
          </w:p>
        </w:tc>
      </w:tr>
      <w:tr w:rsidR="004D7B74" w:rsidRPr="008E3CD6" w14:paraId="37FECCF6"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36BAF31A"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3D0D0828"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B96BBC">
              <w:t>The measure is an indicator of access by Australians to government subsidised health services. Any decrease in access may be an indication of barriers which need to be addressed.</w:t>
            </w:r>
          </w:p>
        </w:tc>
      </w:tr>
      <w:tr w:rsidR="004D7B74" w:rsidRPr="008E3CD6" w14:paraId="20D2D786"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4509B875" w14:textId="77777777" w:rsidR="004D7B74" w:rsidRPr="009B277D" w:rsidRDefault="004D7B74" w:rsidP="00CA72A8">
            <w:pPr>
              <w:pStyle w:val="TableTextleftaligned"/>
              <w:spacing w:line="192" w:lineRule="auto"/>
              <w:rPr>
                <w:b w:val="0"/>
                <w:bCs/>
              </w:rPr>
            </w:pPr>
            <w:bookmarkStart w:id="147" w:name="_Hlk170821407"/>
            <w:r w:rsidRPr="009B277D">
              <w:rPr>
                <w:bCs/>
              </w:rPr>
              <w:t>Measure Type</w:t>
            </w:r>
          </w:p>
        </w:tc>
        <w:tc>
          <w:tcPr>
            <w:tcW w:w="4057" w:type="pct"/>
            <w:gridSpan w:val="4"/>
          </w:tcPr>
          <w:p w14:paraId="20F63819" w14:textId="77777777" w:rsidR="004D7B74" w:rsidRPr="00B96BBC"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0"/>
              </w:rPr>
            </w:pPr>
            <w:r w:rsidRPr="00B96BBC">
              <w:t>Quantitative / Effectiveness</w:t>
            </w:r>
          </w:p>
        </w:tc>
      </w:tr>
      <w:bookmarkEnd w:id="147"/>
      <w:tr w:rsidR="004D7B74" w:rsidRPr="008E3CD6" w14:paraId="024DDAF0"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2C27B93D" w14:textId="4D1266AD" w:rsidR="004D7B74" w:rsidRPr="009B277D" w:rsidRDefault="004D7B74" w:rsidP="00380262">
            <w:pPr>
              <w:pStyle w:val="TableTextleftaligned"/>
              <w:rPr>
                <w:b w:val="0"/>
                <w:bCs/>
              </w:rPr>
            </w:pPr>
            <w:r w:rsidRPr="009B277D">
              <w:rPr>
                <w:bCs/>
              </w:rPr>
              <w:t>Method</w:t>
            </w:r>
            <w:r w:rsidR="00380262">
              <w:rPr>
                <w:bCs/>
              </w:rPr>
              <w:t xml:space="preserve"> </w:t>
            </w:r>
            <w:r w:rsidRPr="002B335E">
              <w:t>(</w:t>
            </w:r>
            <w:r w:rsidRPr="003106EF">
              <w:t>Data Source and Methodology)</w:t>
            </w:r>
          </w:p>
        </w:tc>
        <w:tc>
          <w:tcPr>
            <w:tcW w:w="4057" w:type="pct"/>
            <w:gridSpan w:val="4"/>
          </w:tcPr>
          <w:p w14:paraId="37FCC148" w14:textId="21E5F8AE" w:rsidR="004D7B74" w:rsidRDefault="004D7B74" w:rsidP="00DB198D">
            <w:pPr>
              <w:pStyle w:val="TableTextleftaligned"/>
              <w:cnfStyle w:val="000000000000" w:firstRow="0" w:lastRow="0" w:firstColumn="0" w:lastColumn="0" w:oddVBand="0" w:evenVBand="0" w:oddHBand="0" w:evenHBand="0" w:firstRowFirstColumn="0" w:firstRowLastColumn="0" w:lastRowFirstColumn="0" w:lastRowLastColumn="0"/>
            </w:pPr>
            <w:r>
              <w:t>Each Medicare patient has a unique identification number. The count of patients divided by the Australian Bureau of Statistics (ABS) Estimated Resident Population (ERP) is equal to the proportion of patients who accessed Medicare</w:t>
            </w:r>
            <w:r w:rsidR="00BC62F3">
              <w:t xml:space="preserve"> Benefits Schedule subsidised</w:t>
            </w:r>
            <w:r>
              <w:t xml:space="preserve"> services. </w:t>
            </w:r>
          </w:p>
          <w:p w14:paraId="768FB634" w14:textId="2E3D7C98"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This measure has two components, i.e. Patient Count and ERP. Patients who have had at least one MBS claim during the relevant </w:t>
            </w:r>
            <w:proofErr w:type="gramStart"/>
            <w:r>
              <w:t>time period</w:t>
            </w:r>
            <w:proofErr w:type="gramEnd"/>
            <w:r>
              <w:t xml:space="preserve"> is divided by the ERP. Patient counts are extracted from Medicare claims data held in the </w:t>
            </w:r>
            <w:r w:rsidR="00120EA5">
              <w:t>d</w:t>
            </w:r>
            <w:r>
              <w:t>epartment</w:t>
            </w:r>
            <w:r w:rsidR="00120EA5">
              <w:t>’s</w:t>
            </w:r>
            <w:r>
              <w:t xml:space="preserve"> Enterprise Data Warehouse</w:t>
            </w:r>
            <w:r w:rsidR="00120EA5">
              <w:t xml:space="preserve"> (EDW)</w:t>
            </w:r>
            <w:r>
              <w:t>. ERP figures are sourced from published ABS figures. ERP data as at the 30 June immediately prior to the Financial Year reported is used, consistent with public reporting of the measure and derivation of the threshold amount. For the 2024</w:t>
            </w:r>
            <w:r w:rsidRPr="00C72013">
              <w:rPr>
                <w:rFonts w:eastAsia="Arial" w:cs="Arial"/>
                <w:spacing w:val="-2"/>
                <w:szCs w:val="20"/>
                <w:lang w:val="en-US"/>
              </w:rPr>
              <w:t>–</w:t>
            </w:r>
            <w:r>
              <w:t xml:space="preserve">25 measure this will be the ERP as </w:t>
            </w:r>
            <w:proofErr w:type="gramStart"/>
            <w:r>
              <w:t>at</w:t>
            </w:r>
            <w:proofErr w:type="gramEnd"/>
            <w:r>
              <w:t xml:space="preserve"> June 2024. The latest release of ERP available when the measure is reported is used.</w:t>
            </w:r>
          </w:p>
        </w:tc>
      </w:tr>
      <w:tr w:rsidR="004C3FB5" w:rsidRPr="008E3CD6" w14:paraId="27659932"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5AF78D6C" w14:textId="16227DD6" w:rsidR="004C3FB5" w:rsidRPr="009B277D" w:rsidRDefault="004C3FB5" w:rsidP="00380262">
            <w:pPr>
              <w:pStyle w:val="TableTextleftaligned"/>
              <w:rPr>
                <w:b w:val="0"/>
              </w:rPr>
            </w:pPr>
            <w:r>
              <w:t>Linked to 2024–25 Portfolio Budget Statements</w:t>
            </w:r>
          </w:p>
        </w:tc>
        <w:tc>
          <w:tcPr>
            <w:tcW w:w="4057" w:type="pct"/>
            <w:gridSpan w:val="4"/>
          </w:tcPr>
          <w:p w14:paraId="65F948AA" w14:textId="7F9CFAD1" w:rsidR="004C3FB5" w:rsidRDefault="004C3FB5" w:rsidP="00823660">
            <w:pPr>
              <w:pStyle w:val="TableTextleftaligned"/>
              <w:cnfStyle w:val="000000000000" w:firstRow="0" w:lastRow="0" w:firstColumn="0" w:lastColumn="0" w:oddVBand="0" w:evenVBand="0" w:oddHBand="0" w:evenHBand="0" w:firstRowFirstColumn="0" w:firstRowLastColumn="0" w:lastRowFirstColumn="0" w:lastRowLastColumn="0"/>
            </w:pPr>
            <w:r w:rsidRPr="00E6299A">
              <w:t xml:space="preserve">Program </w:t>
            </w:r>
            <w:r>
              <w:t>2</w:t>
            </w:r>
            <w:r w:rsidR="00742F51">
              <w:t>.1</w:t>
            </w:r>
            <w:r>
              <w:t xml:space="preserve"> </w:t>
            </w:r>
            <w:r w:rsidR="00FF27E1">
              <w:t>-</w:t>
            </w:r>
            <w:r w:rsidRPr="00E6299A">
              <w:t xml:space="preserve"> </w:t>
            </w:r>
            <w:r w:rsidR="00F04F62">
              <w:t>Medical</w:t>
            </w:r>
            <w:r w:rsidR="00742F51">
              <w:t xml:space="preserve"> Benefits</w:t>
            </w:r>
            <w:r>
              <w:t xml:space="preserve"> </w:t>
            </w:r>
            <w:r w:rsidRPr="00E6299A">
              <w:t xml:space="preserve">– page </w:t>
            </w:r>
            <w:r w:rsidR="00742F51">
              <w:t>80</w:t>
            </w:r>
          </w:p>
        </w:tc>
      </w:tr>
      <w:tr w:rsidR="004D7B74" w:rsidRPr="008E3CD6" w14:paraId="169572BD" w14:textId="77777777" w:rsidTr="00380262">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7FD4C7FB" w14:textId="77777777" w:rsidR="004D7B74" w:rsidRPr="009B277D" w:rsidRDefault="004D7B74" w:rsidP="00CA72A8">
            <w:pPr>
              <w:pStyle w:val="TableTextleftaligned"/>
              <w:spacing w:line="192" w:lineRule="auto"/>
              <w:rPr>
                <w:b w:val="0"/>
                <w:bCs/>
              </w:rPr>
            </w:pPr>
            <w:r>
              <w:rPr>
                <w:bCs/>
              </w:rPr>
              <w:t>Planned Performance Results</w:t>
            </w:r>
          </w:p>
        </w:tc>
        <w:tc>
          <w:tcPr>
            <w:tcW w:w="1014" w:type="pct"/>
            <w:shd w:val="clear" w:color="auto" w:fill="BFBFBF" w:themeFill="background1" w:themeFillShade="BF"/>
            <w:vAlign w:val="center"/>
          </w:tcPr>
          <w:p w14:paraId="2108DB21" w14:textId="77777777" w:rsidR="004D7B74" w:rsidRPr="00396FF8"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396FF8">
              <w:t>2024</w:t>
            </w:r>
            <w:r w:rsidRPr="00396FF8">
              <w:rPr>
                <w:rFonts w:eastAsia="Arial" w:cs="Arial"/>
                <w:spacing w:val="-2"/>
                <w:szCs w:val="20"/>
                <w:lang w:val="en-US"/>
              </w:rPr>
              <w:t>–</w:t>
            </w:r>
            <w:r w:rsidRPr="00396FF8">
              <w:t>25</w:t>
            </w:r>
          </w:p>
        </w:tc>
        <w:tc>
          <w:tcPr>
            <w:tcW w:w="1015" w:type="pct"/>
            <w:shd w:val="clear" w:color="auto" w:fill="BFBFBF" w:themeFill="background1" w:themeFillShade="BF"/>
            <w:vAlign w:val="center"/>
          </w:tcPr>
          <w:p w14:paraId="6BCB3D9A" w14:textId="77777777" w:rsidR="004D7B74" w:rsidRPr="00396FF8"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396FF8">
              <w:t>2025</w:t>
            </w:r>
            <w:r w:rsidRPr="00396FF8">
              <w:rPr>
                <w:rFonts w:eastAsia="Arial" w:cs="Arial"/>
                <w:spacing w:val="-2"/>
                <w:szCs w:val="20"/>
                <w:lang w:val="en-US"/>
              </w:rPr>
              <w:t>–</w:t>
            </w:r>
            <w:r w:rsidRPr="00396FF8">
              <w:t>26</w:t>
            </w:r>
          </w:p>
        </w:tc>
        <w:tc>
          <w:tcPr>
            <w:tcW w:w="1015" w:type="pct"/>
            <w:shd w:val="clear" w:color="auto" w:fill="BFBFBF" w:themeFill="background1" w:themeFillShade="BF"/>
            <w:vAlign w:val="center"/>
          </w:tcPr>
          <w:p w14:paraId="6F073B1F" w14:textId="77777777" w:rsidR="004D7B74" w:rsidRPr="00396FF8"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396FF8">
              <w:t>2026</w:t>
            </w:r>
            <w:r w:rsidRPr="00396FF8">
              <w:rPr>
                <w:rFonts w:eastAsia="Arial" w:cs="Arial"/>
                <w:spacing w:val="-2"/>
                <w:szCs w:val="20"/>
                <w:lang w:val="en-US"/>
              </w:rPr>
              <w:t>–</w:t>
            </w:r>
            <w:r w:rsidRPr="00396FF8">
              <w:t>27</w:t>
            </w:r>
          </w:p>
        </w:tc>
        <w:tc>
          <w:tcPr>
            <w:tcW w:w="1013" w:type="pct"/>
            <w:shd w:val="clear" w:color="auto" w:fill="BFBFBF" w:themeFill="background1" w:themeFillShade="BF"/>
            <w:vAlign w:val="center"/>
          </w:tcPr>
          <w:p w14:paraId="03740FF9" w14:textId="77777777" w:rsidR="004D7B74" w:rsidRPr="00396FF8"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396FF8">
              <w:t>2027</w:t>
            </w:r>
            <w:r w:rsidRPr="00396FF8">
              <w:rPr>
                <w:rFonts w:eastAsia="Arial" w:cs="Arial"/>
                <w:spacing w:val="-2"/>
                <w:szCs w:val="20"/>
                <w:lang w:val="en-US"/>
              </w:rPr>
              <w:t>–</w:t>
            </w:r>
            <w:r w:rsidRPr="00396FF8">
              <w:t>28</w:t>
            </w:r>
          </w:p>
        </w:tc>
      </w:tr>
      <w:tr w:rsidR="004D7B74" w:rsidRPr="008E3CD6" w14:paraId="25FB1D37" w14:textId="77777777" w:rsidTr="00DB19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7E5F87BC" w14:textId="77777777" w:rsidR="004D7B74" w:rsidRPr="009B277D" w:rsidRDefault="004D7B74" w:rsidP="00CA72A8">
            <w:pPr>
              <w:pStyle w:val="TableTextleftaligned"/>
              <w:spacing w:line="192" w:lineRule="auto"/>
              <w:rPr>
                <w:b w:val="0"/>
                <w:bCs/>
              </w:rPr>
            </w:pPr>
          </w:p>
        </w:tc>
        <w:tc>
          <w:tcPr>
            <w:tcW w:w="1014" w:type="pct"/>
          </w:tcPr>
          <w:p w14:paraId="31E737A6" w14:textId="77777777" w:rsidR="004D7B74" w:rsidRPr="008D703C"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8D703C">
              <w:t xml:space="preserve"> &gt;90%</w:t>
            </w:r>
          </w:p>
        </w:tc>
        <w:tc>
          <w:tcPr>
            <w:tcW w:w="1015" w:type="pct"/>
          </w:tcPr>
          <w:p w14:paraId="0E4EBAFE" w14:textId="77777777" w:rsidR="004D7B74" w:rsidRPr="008D703C"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8D703C">
              <w:t xml:space="preserve"> &gt;90%</w:t>
            </w:r>
          </w:p>
        </w:tc>
        <w:tc>
          <w:tcPr>
            <w:tcW w:w="1015" w:type="pct"/>
          </w:tcPr>
          <w:p w14:paraId="7D685406" w14:textId="77777777" w:rsidR="004D7B74" w:rsidRPr="008D703C"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8D703C">
              <w:t xml:space="preserve"> &gt;90%</w:t>
            </w:r>
          </w:p>
        </w:tc>
        <w:tc>
          <w:tcPr>
            <w:tcW w:w="1013" w:type="pct"/>
          </w:tcPr>
          <w:p w14:paraId="266C5B66" w14:textId="77777777" w:rsidR="004D7B74" w:rsidRPr="008D703C"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8D703C">
              <w:t xml:space="preserve"> &gt; 90%</w:t>
            </w:r>
          </w:p>
        </w:tc>
      </w:tr>
    </w:tbl>
    <w:p w14:paraId="2D9C938F" w14:textId="0C62BB70" w:rsidR="004D7B74" w:rsidRPr="00380262" w:rsidRDefault="004D7B74" w:rsidP="00483151">
      <w:pPr>
        <w:pStyle w:val="Heading2"/>
      </w:pPr>
      <w:bookmarkStart w:id="148" w:name="_Toc166069798"/>
      <w:bookmarkStart w:id="149" w:name="_Toc171411948"/>
      <w:bookmarkStart w:id="150" w:name="_Toc175293638"/>
      <w:bookmarkStart w:id="151" w:name="_Program_2.2_Hearing"/>
      <w:bookmarkStart w:id="152" w:name="_Toc175846506"/>
      <w:bookmarkEnd w:id="144"/>
      <w:bookmarkEnd w:id="151"/>
      <w:r w:rsidRPr="00906723">
        <w:t xml:space="preserve">Program 2.2 Hearing </w:t>
      </w:r>
      <w:r w:rsidRPr="00483151">
        <w:t>Services</w:t>
      </w:r>
      <w:bookmarkEnd w:id="148"/>
      <w:bookmarkEnd w:id="149"/>
      <w:bookmarkEnd w:id="150"/>
      <w:bookmarkEnd w:id="152"/>
    </w:p>
    <w:p w14:paraId="2088A51D" w14:textId="3388A927" w:rsidR="004D7B74" w:rsidRPr="00DB198D" w:rsidRDefault="004D7B74" w:rsidP="00380262">
      <w:bookmarkStart w:id="153" w:name="_Toc171411949"/>
      <w:bookmarkStart w:id="154" w:name="_Toc175293639"/>
      <w:r w:rsidRPr="00DB198D">
        <w:t>Program Objective</w:t>
      </w:r>
      <w:r w:rsidR="00DB198D" w:rsidRPr="00DB198D">
        <w:t xml:space="preserve"> </w:t>
      </w:r>
      <w:r w:rsidRPr="00DB198D">
        <w:t>Provide high-</w:t>
      </w:r>
      <w:r w:rsidRPr="00380262">
        <w:t>quality</w:t>
      </w:r>
      <w:r w:rsidRPr="00DB198D">
        <w:t xml:space="preserve"> hearing services, including devices, to eligible people to help manage their hearing loss and improve engagement with the community.</w:t>
      </w:r>
      <w:bookmarkEnd w:id="153"/>
      <w:bookmarkEnd w:id="154"/>
      <w:r w:rsidRPr="00DB198D">
        <w:t xml:space="preserve"> </w:t>
      </w:r>
    </w:p>
    <w:p w14:paraId="467F317C" w14:textId="189A2F3A" w:rsidR="00483151" w:rsidRDefault="004D7B74" w:rsidP="00380262">
      <w:pPr>
        <w:pStyle w:val="Keyactivity"/>
      </w:pPr>
      <w:r w:rsidRPr="00380262">
        <w:rPr>
          <w:rStyle w:val="Strong"/>
        </w:rPr>
        <w:t>Key Activity 2.2A:</w:t>
      </w:r>
    </w:p>
    <w:p w14:paraId="3532FBD0" w14:textId="1347D9E7" w:rsidR="004D7B74" w:rsidRPr="00DB198D" w:rsidRDefault="004D7B74" w:rsidP="00380262">
      <w:pPr>
        <w:pStyle w:val="Keyactivity"/>
      </w:pPr>
      <w:r w:rsidRPr="00DB198D">
        <w:t>Provide access to high-quality hearing services through the delivery of the Voucher scheme and Community Service Obligations (CSO) component of the Hearing Services Program (HSP).</w:t>
      </w:r>
    </w:p>
    <w:p w14:paraId="2CE5ECAE" w14:textId="5155F98B" w:rsidR="00906723" w:rsidRPr="00653BA4" w:rsidRDefault="00B84C79" w:rsidP="009937A8">
      <w:pPr>
        <w:rPr>
          <w:rFonts w:cs="Arial"/>
          <w:b/>
          <w:bCs/>
          <w:szCs w:val="20"/>
        </w:rPr>
      </w:pPr>
      <w:r w:rsidRPr="00380262">
        <w:rPr>
          <w:rStyle w:val="Strong"/>
        </w:rPr>
        <w:t>Key Activity rationale:</w:t>
      </w:r>
      <w:r w:rsidR="00653BA4" w:rsidRPr="00653BA4">
        <w:rPr>
          <w:rFonts w:cs="Arial"/>
          <w:b/>
          <w:bCs/>
          <w:szCs w:val="20"/>
        </w:rPr>
        <w:t xml:space="preserve"> </w:t>
      </w:r>
      <w:r w:rsidR="00653BA4" w:rsidRPr="00653BA4">
        <w:rPr>
          <w:rFonts w:cs="Arial"/>
          <w:szCs w:val="20"/>
        </w:rPr>
        <w:t>Hearing is an important part of being able to effectively communicate and maintain social and community engagement.</w:t>
      </w:r>
      <w:r w:rsidR="00104DDE">
        <w:rPr>
          <w:rFonts w:cs="Arial"/>
          <w:szCs w:val="20"/>
        </w:rPr>
        <w:t xml:space="preserve"> </w:t>
      </w:r>
      <w:r w:rsidR="00653BA4" w:rsidRPr="00653BA4">
        <w:rPr>
          <w:rFonts w:cs="Arial"/>
          <w:szCs w:val="20"/>
        </w:rPr>
        <w:t>The program assists eligible people that may not otherwise be able to access hearing services.</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73EF7B44" w14:textId="77777777" w:rsidTr="00DB198D">
        <w:trPr>
          <w:cnfStyle w:val="100000000000" w:firstRow="1" w:lastRow="0" w:firstColumn="0" w:lastColumn="0" w:oddVBand="0" w:evenVBand="0" w:oddHBand="0" w:evenHBand="0" w:firstRowFirstColumn="0" w:firstRowLastColumn="0" w:lastRowFirstColumn="0" w:lastRowLastColumn="0"/>
          <w:trHeight w:val="875"/>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F7ECCFB" w14:textId="55854D6E" w:rsidR="004D7B74" w:rsidRPr="00081136" w:rsidRDefault="004D7B74" w:rsidP="00823660">
            <w:pPr>
              <w:pStyle w:val="TableTextleftaligned"/>
              <w:rPr>
                <w:b w:val="0"/>
              </w:rPr>
            </w:pPr>
            <w:r w:rsidRPr="00081136">
              <w:lastRenderedPageBreak/>
              <w:t>Measure 2.2A:</w:t>
            </w:r>
          </w:p>
          <w:p w14:paraId="6D175CF7" w14:textId="77777777" w:rsidR="00380262" w:rsidRDefault="004D7B74" w:rsidP="00380262">
            <w:pPr>
              <w:pStyle w:val="TableTextleftaligned"/>
              <w:numPr>
                <w:ilvl w:val="0"/>
                <w:numId w:val="209"/>
              </w:numPr>
              <w:rPr>
                <w:b w:val="0"/>
              </w:rPr>
            </w:pPr>
            <w:r w:rsidRPr="00081136">
              <w:t>Number of active vouchered clients</w:t>
            </w:r>
            <w:r w:rsidRPr="00081136">
              <w:rPr>
                <w:rStyle w:val="FootnoteReference"/>
                <w:bCs/>
              </w:rPr>
              <w:footnoteReference w:id="44"/>
            </w:r>
            <w:r w:rsidRPr="00081136">
              <w:t xml:space="preserve"> who receive hearing services. </w:t>
            </w:r>
          </w:p>
          <w:p w14:paraId="324AA02C" w14:textId="4DF93948" w:rsidR="004D7B74" w:rsidRPr="00380262" w:rsidRDefault="004D7B74" w:rsidP="00380262">
            <w:pPr>
              <w:pStyle w:val="TableTextleftaligned"/>
              <w:numPr>
                <w:ilvl w:val="0"/>
                <w:numId w:val="209"/>
              </w:numPr>
              <w:rPr>
                <w:b w:val="0"/>
              </w:rPr>
            </w:pPr>
            <w:r w:rsidRPr="00380262">
              <w:t xml:space="preserve">Number of active Community Service Obligations clients who receive hearing services. </w:t>
            </w:r>
          </w:p>
        </w:tc>
      </w:tr>
      <w:tr w:rsidR="004D7B74" w:rsidRPr="008E3CD6" w14:paraId="399F70C9"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4558E440" w14:textId="77777777" w:rsidR="004D7B74" w:rsidRPr="00380262" w:rsidRDefault="004D7B74" w:rsidP="00380262">
            <w:pPr>
              <w:pStyle w:val="TableTextleftaligned"/>
            </w:pPr>
            <w:r w:rsidRPr="00380262">
              <w:t>Rationale</w:t>
            </w:r>
          </w:p>
        </w:tc>
        <w:tc>
          <w:tcPr>
            <w:tcW w:w="4057" w:type="pct"/>
            <w:gridSpan w:val="4"/>
          </w:tcPr>
          <w:p w14:paraId="7E395186" w14:textId="5FF1E27D" w:rsidR="004D7B74" w:rsidRPr="001B6E7C"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1B6E7C">
              <w:t xml:space="preserve">This measure demonstrates how many eligible people </w:t>
            </w:r>
            <w:r>
              <w:t xml:space="preserve">have </w:t>
            </w:r>
            <w:r w:rsidRPr="001B6E7C">
              <w:t>access</w:t>
            </w:r>
            <w:r>
              <w:t>ed</w:t>
            </w:r>
            <w:r w:rsidRPr="001B6E7C">
              <w:t xml:space="preserve"> program services </w:t>
            </w:r>
            <w:r>
              <w:t>with</w:t>
            </w:r>
            <w:r w:rsidRPr="001B6E7C">
              <w:t>in the reporting period. Monitoring client numbers helps the department identify market change, and therefore investigate if there are any barriers to service access (in the event of lower client numbers) or plan for increased demand/budgeting requirements (in the event of higher client numbers).</w:t>
            </w:r>
          </w:p>
          <w:p w14:paraId="77F97F8E"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1B6E7C">
              <w:t>A review to consider a potential new qualitative measure is currently underway, with decisions expected in mid-2025.</w:t>
            </w:r>
            <w:r>
              <w:rPr>
                <w:rFonts w:cstheme="minorHAnsi"/>
                <w:szCs w:val="20"/>
              </w:rPr>
              <w:t xml:space="preserve"> </w:t>
            </w:r>
          </w:p>
        </w:tc>
      </w:tr>
      <w:tr w:rsidR="004D7B74" w:rsidRPr="008E3CD6" w14:paraId="74559BA8"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34B68EC9" w14:textId="77777777" w:rsidR="004D7B74" w:rsidRPr="00380262" w:rsidRDefault="004D7B74" w:rsidP="00380262">
            <w:pPr>
              <w:pStyle w:val="TableTextleftaligned"/>
            </w:pPr>
            <w:r w:rsidRPr="00380262">
              <w:t>Measure Type</w:t>
            </w:r>
          </w:p>
        </w:tc>
        <w:tc>
          <w:tcPr>
            <w:tcW w:w="4057" w:type="pct"/>
            <w:gridSpan w:val="4"/>
          </w:tcPr>
          <w:p w14:paraId="5A907E99"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Quantitative / Output</w:t>
            </w:r>
          </w:p>
        </w:tc>
      </w:tr>
      <w:tr w:rsidR="004D7B74" w:rsidRPr="008E3CD6" w14:paraId="671A5E4B"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4E3FE9E5" w14:textId="7E93688B" w:rsidR="004D7B74" w:rsidRPr="00380262" w:rsidRDefault="004D7B74" w:rsidP="00380262">
            <w:pPr>
              <w:pStyle w:val="TableTextleftaligned"/>
            </w:pPr>
            <w:r w:rsidRPr="00380262">
              <w:t>Method</w:t>
            </w:r>
            <w:r w:rsidR="00DB198D" w:rsidRPr="00380262">
              <w:t xml:space="preserve"> </w:t>
            </w:r>
            <w:r w:rsidRPr="00380262">
              <w:t>(Data Source and Methodology)</w:t>
            </w:r>
          </w:p>
        </w:tc>
        <w:tc>
          <w:tcPr>
            <w:tcW w:w="4057" w:type="pct"/>
            <w:gridSpan w:val="4"/>
          </w:tcPr>
          <w:p w14:paraId="04FCE53D" w14:textId="6B175D04" w:rsidR="004D7B74" w:rsidRPr="00380262" w:rsidRDefault="00472B51" w:rsidP="00DB198D">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380262">
              <w:rPr>
                <w:rStyle w:val="Strong"/>
              </w:rPr>
              <w:t xml:space="preserve">Measure </w:t>
            </w:r>
            <w:r w:rsidR="004D7B74" w:rsidRPr="00380262">
              <w:rPr>
                <w:rStyle w:val="Strong"/>
              </w:rPr>
              <w:t>2.2A(a):</w:t>
            </w:r>
          </w:p>
          <w:p w14:paraId="74F30FFA" w14:textId="77777777" w:rsidR="004D7B74" w:rsidRPr="00DB198D" w:rsidRDefault="004D7B74" w:rsidP="00DB198D">
            <w:pPr>
              <w:pStyle w:val="TableTextleftaligned"/>
              <w:cnfStyle w:val="000000000000" w:firstRow="0" w:lastRow="0" w:firstColumn="0" w:lastColumn="0" w:oddVBand="0" w:evenVBand="0" w:oddHBand="0" w:evenHBand="0" w:firstRowFirstColumn="0" w:firstRowLastColumn="0" w:lastRowFirstColumn="0" w:lastRowLastColumn="0"/>
            </w:pPr>
            <w:r w:rsidRPr="00DB198D">
              <w:t xml:space="preserve">Client, services and claiming data is submitted through the Hearing Services Online Portal by contracted providers. Client eligibility status is validated with Services Australia via the online Centrelink Confirmation </w:t>
            </w:r>
            <w:proofErr w:type="spellStart"/>
            <w:r w:rsidRPr="00DB198D">
              <w:t>eServices</w:t>
            </w:r>
            <w:proofErr w:type="spellEnd"/>
            <w:r w:rsidRPr="00DB198D">
              <w:t xml:space="preserve"> (CCES), and by contacting other relevant agencies (e.g. DVA). Claiming data is subject to a range of data integrity checks undertaken by the program’s Compliance team.</w:t>
            </w:r>
          </w:p>
          <w:p w14:paraId="2BB8DA37" w14:textId="77777777" w:rsidR="004D7B74" w:rsidRPr="00DB198D" w:rsidRDefault="004D7B74" w:rsidP="00DB198D">
            <w:pPr>
              <w:pStyle w:val="TableTextleftaligned"/>
              <w:cnfStyle w:val="000000000000" w:firstRow="0" w:lastRow="0" w:firstColumn="0" w:lastColumn="0" w:oddVBand="0" w:evenVBand="0" w:oddHBand="0" w:evenHBand="0" w:firstRowFirstColumn="0" w:firstRowLastColumn="0" w:lastRowFirstColumn="0" w:lastRowLastColumn="0"/>
            </w:pPr>
            <w:r w:rsidRPr="00DB198D">
              <w:t xml:space="preserve">The measure is defined by the number of vouchered clients who received at least one claimed program funded service during the (financial year) reporting period as at the reporting date. </w:t>
            </w:r>
          </w:p>
          <w:p w14:paraId="298BD2D9" w14:textId="2CE8F069" w:rsidR="00472B51" w:rsidRPr="00DB198D" w:rsidRDefault="004D7B74" w:rsidP="00DB198D">
            <w:pPr>
              <w:pStyle w:val="TableTextleftaligned"/>
              <w:cnfStyle w:val="000000000000" w:firstRow="0" w:lastRow="0" w:firstColumn="0" w:lastColumn="0" w:oddVBand="0" w:evenVBand="0" w:oddHBand="0" w:evenHBand="0" w:firstRowFirstColumn="0" w:firstRowLastColumn="0" w:lastRowFirstColumn="0" w:lastRowLastColumn="0"/>
            </w:pPr>
            <w:r w:rsidRPr="00DB198D">
              <w:t>Voucher scheme eligibility includes Pension Concession Card holders, DVA Gold Card and DVA White Card holders, Defence personnel and people referred by the Disability Employment Services Program, as defined by the Australian Hearing Services Administration Act 1997. A Voucher service is defined by items listed in the program’s Schedule of Service Items and Fees.</w:t>
            </w:r>
            <w:r w:rsidR="00937AE1" w:rsidRPr="00DB198D">
              <w:footnoteReference w:id="45"/>
            </w:r>
          </w:p>
          <w:p w14:paraId="033B72A9" w14:textId="7962394E" w:rsidR="004D7B74" w:rsidRPr="00380262" w:rsidRDefault="00472B51" w:rsidP="00DB198D">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380262">
              <w:rPr>
                <w:rStyle w:val="Strong"/>
              </w:rPr>
              <w:t xml:space="preserve">Measure </w:t>
            </w:r>
            <w:r w:rsidR="004D7B74" w:rsidRPr="00380262">
              <w:rPr>
                <w:rStyle w:val="Strong"/>
              </w:rPr>
              <w:t>2.2A(b):</w:t>
            </w:r>
          </w:p>
          <w:p w14:paraId="1AAA6316" w14:textId="77777777" w:rsidR="004D7B74" w:rsidRPr="001B6E7C" w:rsidRDefault="004D7B74" w:rsidP="00DB198D">
            <w:pPr>
              <w:pStyle w:val="TableTextleftaligned"/>
              <w:cnfStyle w:val="000000000000" w:firstRow="0" w:lastRow="0" w:firstColumn="0" w:lastColumn="0" w:oddVBand="0" w:evenVBand="0" w:oddHBand="0" w:evenHBand="0" w:firstRowFirstColumn="0" w:firstRowLastColumn="0" w:lastRowFirstColumn="0" w:lastRowLastColumn="0"/>
              <w:rPr>
                <w:i/>
                <w:iCs/>
              </w:rPr>
            </w:pPr>
            <w:r w:rsidRPr="00DB198D">
              <w:t>CSO data is sourced from Hearing Australia, the provider of CSO services and a statutory authority</w:t>
            </w:r>
            <w:r w:rsidRPr="001B6E7C">
              <w:t xml:space="preserve"> as established by the </w:t>
            </w:r>
            <w:r w:rsidRPr="001B6E7C">
              <w:rPr>
                <w:i/>
                <w:iCs/>
              </w:rPr>
              <w:t>Australian Hearing Services Act 1991.</w:t>
            </w:r>
          </w:p>
          <w:p w14:paraId="15A8047C" w14:textId="095231D2" w:rsidR="004D7B74" w:rsidRPr="00EB0D69" w:rsidRDefault="004D7B74" w:rsidP="00DB198D">
            <w:pPr>
              <w:pStyle w:val="TableTextleftaligned"/>
              <w:cnfStyle w:val="000000000000" w:firstRow="0" w:lastRow="0" w:firstColumn="0" w:lastColumn="0" w:oddVBand="0" w:evenVBand="0" w:oddHBand="0" w:evenHBand="0" w:firstRowFirstColumn="0" w:firstRowLastColumn="0" w:lastRowFirstColumn="0" w:lastRowLastColumn="0"/>
            </w:pPr>
            <w:r w:rsidRPr="00EB0D69">
              <w:t xml:space="preserve">Each </w:t>
            </w:r>
            <w:r w:rsidRPr="00DB198D">
              <w:t>client’s</w:t>
            </w:r>
            <w:r w:rsidRPr="00EB0D69">
              <w:t xml:space="preserve"> reason for CSO eligibility is recorded in the client management system following a ‘first in list’ principle, which ensures they are categorised correctly and only once. Hearing Australia extracts client data from the client management system into a data warehouse.</w:t>
            </w:r>
          </w:p>
          <w:p w14:paraId="24157AF2" w14:textId="7C791109" w:rsidR="004D7B74" w:rsidRPr="00EB0D6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EB0D69">
              <w:t>Relevant data is then extracted from the data warehouse to meet CSO reporting requirements. Each CSO client is only counted once in any financial year and will appear in the quarterly report when they receive their first service that financial year. Hearing Australia’s Q</w:t>
            </w:r>
            <w:r>
              <w:t xml:space="preserve">uarter </w:t>
            </w:r>
            <w:r w:rsidRPr="00EB0D69">
              <w:t>4 CSO Report (Annual Report) provides the total number of CSO clients supported in the reporting period.</w:t>
            </w:r>
          </w:p>
        </w:tc>
      </w:tr>
      <w:tr w:rsidR="00742F51" w:rsidRPr="008E3CD6" w14:paraId="6EBEFB92"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58DF3715" w14:textId="67C19A88" w:rsidR="00742F51" w:rsidRPr="009B277D" w:rsidRDefault="00742F51" w:rsidP="00380262">
            <w:pPr>
              <w:pStyle w:val="TableTextleftaligned"/>
              <w:spacing w:line="192" w:lineRule="auto"/>
              <w:rPr>
                <w:b w:val="0"/>
                <w:bCs/>
              </w:rPr>
            </w:pPr>
            <w:r>
              <w:rPr>
                <w:bCs/>
              </w:rPr>
              <w:t>Linked to 2024–25 Portfolio Budget Statements</w:t>
            </w:r>
          </w:p>
        </w:tc>
        <w:tc>
          <w:tcPr>
            <w:tcW w:w="4057" w:type="pct"/>
            <w:gridSpan w:val="4"/>
          </w:tcPr>
          <w:p w14:paraId="06510F27" w14:textId="28135B3A" w:rsidR="00742F51" w:rsidRPr="00C17538" w:rsidRDefault="00742F51" w:rsidP="00823660">
            <w:pPr>
              <w:pStyle w:val="TableTextleftaligned"/>
              <w:cnfStyle w:val="000000000000" w:firstRow="0" w:lastRow="0" w:firstColumn="0" w:lastColumn="0" w:oddVBand="0" w:evenVBand="0" w:oddHBand="0" w:evenHBand="0" w:firstRowFirstColumn="0" w:firstRowLastColumn="0" w:lastRowFirstColumn="0" w:lastRowLastColumn="0"/>
            </w:pPr>
            <w:r w:rsidRPr="00E6299A">
              <w:t xml:space="preserve">Program </w:t>
            </w:r>
            <w:r>
              <w:t xml:space="preserve">2.2 </w:t>
            </w:r>
            <w:r w:rsidR="00FF27E1">
              <w:t>-</w:t>
            </w:r>
            <w:r w:rsidRPr="00E6299A">
              <w:t xml:space="preserve"> </w:t>
            </w:r>
            <w:r w:rsidR="00F04F62">
              <w:t>Hearing Services</w:t>
            </w:r>
            <w:r>
              <w:t xml:space="preserve"> </w:t>
            </w:r>
            <w:r w:rsidRPr="00E6299A">
              <w:t xml:space="preserve">– page </w:t>
            </w:r>
            <w:r>
              <w:t>8</w:t>
            </w:r>
            <w:r w:rsidR="00F04F62">
              <w:t>1</w:t>
            </w:r>
          </w:p>
        </w:tc>
      </w:tr>
      <w:tr w:rsidR="004D7B74" w:rsidRPr="008E3CD6" w14:paraId="0D96DE1C" w14:textId="77777777" w:rsidTr="00380262">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79A04EEA" w14:textId="77777777" w:rsidR="004D7B74" w:rsidRPr="009B277D" w:rsidRDefault="004D7B74" w:rsidP="00CA72A8">
            <w:pPr>
              <w:pStyle w:val="TableTextleftaligned"/>
              <w:spacing w:line="192" w:lineRule="auto"/>
              <w:rPr>
                <w:b w:val="0"/>
                <w:bCs/>
              </w:rPr>
            </w:pPr>
            <w:r>
              <w:rPr>
                <w:bCs/>
              </w:rPr>
              <w:t>Planned Performance Results</w:t>
            </w:r>
          </w:p>
        </w:tc>
        <w:tc>
          <w:tcPr>
            <w:tcW w:w="1014" w:type="pct"/>
            <w:shd w:val="clear" w:color="auto" w:fill="BFBFBF" w:themeFill="background1" w:themeFillShade="BF"/>
            <w:vAlign w:val="center"/>
          </w:tcPr>
          <w:p w14:paraId="160067E3" w14:textId="77777777" w:rsidR="004D7B74" w:rsidRPr="00081136"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081136">
              <w:t>2024</w:t>
            </w:r>
            <w:r w:rsidRPr="00081136">
              <w:rPr>
                <w:rFonts w:eastAsia="Arial" w:cs="Arial"/>
                <w:spacing w:val="-2"/>
                <w:szCs w:val="20"/>
                <w:lang w:val="en-US"/>
              </w:rPr>
              <w:t>–</w:t>
            </w:r>
            <w:r w:rsidRPr="00081136">
              <w:t>25</w:t>
            </w:r>
          </w:p>
        </w:tc>
        <w:tc>
          <w:tcPr>
            <w:tcW w:w="1015" w:type="pct"/>
            <w:shd w:val="clear" w:color="auto" w:fill="BFBFBF" w:themeFill="background1" w:themeFillShade="BF"/>
            <w:vAlign w:val="center"/>
          </w:tcPr>
          <w:p w14:paraId="289E3320" w14:textId="77777777" w:rsidR="004D7B74" w:rsidRPr="00081136"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081136">
              <w:t>2025</w:t>
            </w:r>
            <w:r w:rsidRPr="00081136">
              <w:rPr>
                <w:rFonts w:eastAsia="Arial" w:cs="Arial"/>
                <w:spacing w:val="-2"/>
                <w:szCs w:val="20"/>
                <w:lang w:val="en-US"/>
              </w:rPr>
              <w:t>–</w:t>
            </w:r>
            <w:r w:rsidRPr="00081136">
              <w:t>26</w:t>
            </w:r>
          </w:p>
        </w:tc>
        <w:tc>
          <w:tcPr>
            <w:tcW w:w="1015" w:type="pct"/>
            <w:shd w:val="clear" w:color="auto" w:fill="BFBFBF" w:themeFill="background1" w:themeFillShade="BF"/>
            <w:vAlign w:val="center"/>
          </w:tcPr>
          <w:p w14:paraId="581C2D49" w14:textId="77777777" w:rsidR="004D7B74" w:rsidRPr="00081136"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081136">
              <w:t>2026</w:t>
            </w:r>
            <w:r w:rsidRPr="00081136">
              <w:rPr>
                <w:rFonts w:eastAsia="Arial" w:cs="Arial"/>
                <w:spacing w:val="-2"/>
                <w:szCs w:val="20"/>
                <w:lang w:val="en-US"/>
              </w:rPr>
              <w:t>–</w:t>
            </w:r>
            <w:r w:rsidRPr="00081136">
              <w:t>27</w:t>
            </w:r>
          </w:p>
        </w:tc>
        <w:tc>
          <w:tcPr>
            <w:tcW w:w="1013" w:type="pct"/>
            <w:shd w:val="clear" w:color="auto" w:fill="BFBFBF" w:themeFill="background1" w:themeFillShade="BF"/>
            <w:vAlign w:val="center"/>
          </w:tcPr>
          <w:p w14:paraId="4C02417B" w14:textId="77777777" w:rsidR="004D7B74" w:rsidRPr="00081136"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081136">
              <w:t>2027</w:t>
            </w:r>
            <w:r w:rsidRPr="00081136">
              <w:rPr>
                <w:rFonts w:eastAsia="Arial" w:cs="Arial"/>
                <w:spacing w:val="-2"/>
                <w:szCs w:val="20"/>
                <w:lang w:val="en-US"/>
              </w:rPr>
              <w:t>–</w:t>
            </w:r>
            <w:r w:rsidRPr="00081136">
              <w:t>28</w:t>
            </w:r>
          </w:p>
        </w:tc>
      </w:tr>
      <w:tr w:rsidR="004D7B74" w:rsidRPr="008E3CD6" w14:paraId="2A398F1D" w14:textId="77777777" w:rsidTr="00DB19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6FD38427" w14:textId="77777777" w:rsidR="004D7B74" w:rsidRPr="009B277D" w:rsidRDefault="004D7B74" w:rsidP="00CA72A8">
            <w:pPr>
              <w:pStyle w:val="TableTextleftaligned"/>
              <w:spacing w:line="192" w:lineRule="auto"/>
              <w:rPr>
                <w:b w:val="0"/>
                <w:bCs/>
              </w:rPr>
            </w:pPr>
          </w:p>
        </w:tc>
        <w:tc>
          <w:tcPr>
            <w:tcW w:w="1014" w:type="pct"/>
          </w:tcPr>
          <w:p w14:paraId="2081BDE9" w14:textId="77777777" w:rsidR="004D7B74" w:rsidRPr="007B4B01"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7B4B01">
              <w:t>a. 899,000</w:t>
            </w:r>
          </w:p>
          <w:p w14:paraId="2C5F634B" w14:textId="77777777" w:rsidR="004D7B74" w:rsidRPr="007B4B01"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7B4B01">
              <w:t>b. 81,700</w:t>
            </w:r>
          </w:p>
        </w:tc>
        <w:tc>
          <w:tcPr>
            <w:tcW w:w="1015" w:type="pct"/>
          </w:tcPr>
          <w:p w14:paraId="6271114E" w14:textId="77777777" w:rsidR="004D7B74" w:rsidRPr="007B4B01"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7B4B01">
              <w:t>a. 914,000</w:t>
            </w:r>
          </w:p>
          <w:p w14:paraId="26B1CE1B" w14:textId="77777777" w:rsidR="004D7B74" w:rsidRPr="007B4B01"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7B4B01">
              <w:t>b.</w:t>
            </w:r>
            <w:r>
              <w:t xml:space="preserve"> </w:t>
            </w:r>
            <w:r w:rsidRPr="007B4B01">
              <w:t>83,800</w:t>
            </w:r>
          </w:p>
        </w:tc>
        <w:tc>
          <w:tcPr>
            <w:tcW w:w="1015" w:type="pct"/>
          </w:tcPr>
          <w:p w14:paraId="0E3CA373" w14:textId="77777777" w:rsidR="004D7B74" w:rsidRPr="007B4B01"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7B4B01">
              <w:t>a. 943,</w:t>
            </w:r>
            <w:r>
              <w:t>359</w:t>
            </w:r>
          </w:p>
          <w:p w14:paraId="47572AC0" w14:textId="77777777" w:rsidR="004D7B74" w:rsidRPr="007B4B01"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7B4B01">
              <w:t>b. 87,152</w:t>
            </w:r>
          </w:p>
        </w:tc>
        <w:tc>
          <w:tcPr>
            <w:tcW w:w="1013" w:type="pct"/>
          </w:tcPr>
          <w:p w14:paraId="760FD586" w14:textId="77777777" w:rsidR="004D7B74" w:rsidRPr="007B4B01"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7B4B01">
              <w:t>a. 972,000</w:t>
            </w:r>
          </w:p>
          <w:p w14:paraId="587F6459" w14:textId="77777777" w:rsidR="004D7B74" w:rsidRPr="007B4B01"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7B4B01">
              <w:t>b. 90,500</w:t>
            </w:r>
          </w:p>
        </w:tc>
      </w:tr>
    </w:tbl>
    <w:p w14:paraId="508E3375" w14:textId="77777777" w:rsidR="004D7B74" w:rsidRPr="00472B51" w:rsidRDefault="004D7B74" w:rsidP="00380262">
      <w:pPr>
        <w:pStyle w:val="Heading2"/>
      </w:pPr>
      <w:bookmarkStart w:id="155" w:name="_Toc166069800"/>
      <w:bookmarkStart w:id="156" w:name="_Toc171411950"/>
      <w:bookmarkStart w:id="157" w:name="_Toc175293640"/>
      <w:bookmarkStart w:id="158" w:name="_Program_2.3_Pharmaceutical"/>
      <w:bookmarkStart w:id="159" w:name="_Toc175846507"/>
      <w:bookmarkEnd w:id="158"/>
      <w:r w:rsidRPr="00472B51">
        <w:lastRenderedPageBreak/>
        <w:t xml:space="preserve">Program 2.3 </w:t>
      </w:r>
      <w:r w:rsidRPr="00380262">
        <w:t>Pharmaceutical</w:t>
      </w:r>
      <w:r w:rsidRPr="00472B51">
        <w:t xml:space="preserve"> Benefits</w:t>
      </w:r>
      <w:bookmarkEnd w:id="155"/>
      <w:bookmarkEnd w:id="156"/>
      <w:bookmarkEnd w:id="157"/>
      <w:bookmarkEnd w:id="159"/>
      <w:r w:rsidRPr="00472B51">
        <w:t xml:space="preserve"> </w:t>
      </w:r>
    </w:p>
    <w:p w14:paraId="7A58EE23" w14:textId="77777777" w:rsidR="004D7B74" w:rsidRPr="00380262" w:rsidRDefault="004D7B74" w:rsidP="00380262">
      <w:pPr>
        <w:pStyle w:val="Heading3"/>
      </w:pPr>
      <w:bookmarkStart w:id="160" w:name="_Toc171411951"/>
      <w:bookmarkStart w:id="161" w:name="_Toc175293641"/>
      <w:r w:rsidRPr="00472B51">
        <w:t>Program Objective</w:t>
      </w:r>
      <w:bookmarkEnd w:id="160"/>
      <w:bookmarkEnd w:id="161"/>
    </w:p>
    <w:p w14:paraId="40B49E5D" w14:textId="77777777" w:rsidR="004D7B74" w:rsidRPr="00472B51" w:rsidRDefault="004D7B74" w:rsidP="00BB4FE7">
      <w:pPr>
        <w:rPr>
          <w:rFonts w:cs="Arial"/>
          <w:i/>
          <w:iCs/>
        </w:rPr>
      </w:pPr>
      <w:r w:rsidRPr="00472B51">
        <w:rPr>
          <w:rFonts w:cs="Arial"/>
        </w:rPr>
        <w:t>Provide all eligible Australians with reliable, timely, and affordable access to high-quality, cost-effective medicines, and pharmaceutical services, by subsidising the cost of medicines through the Pharmaceutical Benefits Scheme (PBS).</w:t>
      </w:r>
    </w:p>
    <w:p w14:paraId="77E45A64" w14:textId="77777777" w:rsidR="00483151" w:rsidRDefault="004D7B74" w:rsidP="00380262">
      <w:pPr>
        <w:pStyle w:val="Keyactivity"/>
        <w:rPr>
          <w:rStyle w:val="Strong"/>
        </w:rPr>
      </w:pPr>
      <w:r w:rsidRPr="002A42FD">
        <w:rPr>
          <w:rStyle w:val="Strong"/>
        </w:rPr>
        <w:t>Key Activity 2.3:</w:t>
      </w:r>
    </w:p>
    <w:p w14:paraId="6C2C341E" w14:textId="031280D0" w:rsidR="004D7B74" w:rsidRPr="002A42FD" w:rsidRDefault="004D7B74" w:rsidP="00380262">
      <w:pPr>
        <w:pStyle w:val="Keyactivity"/>
      </w:pPr>
      <w:r w:rsidRPr="002A42FD">
        <w:t>Provide all eligible Australians with reliable, timely, and affordable access to high-quality, clinically effective, cost-effective medicines recommended by the Pharmaceutical Benefits Advisory Committee, by listing new medicines on the Pharmaceutical Benefits Scheme</w:t>
      </w:r>
      <w:r w:rsidR="00937AE1" w:rsidRPr="002A42FD">
        <w:t xml:space="preserve"> (PBS)</w:t>
      </w:r>
      <w:r w:rsidRPr="002A42FD">
        <w:t>.</w:t>
      </w:r>
    </w:p>
    <w:p w14:paraId="61D67024" w14:textId="279D7102" w:rsidR="00472B51" w:rsidRPr="00472B51" w:rsidRDefault="00472B51" w:rsidP="009937A8">
      <w:pPr>
        <w:spacing w:after="240"/>
        <w:rPr>
          <w:rFonts w:eastAsia="Times New Roman" w:cs="Arial"/>
          <w:b/>
          <w:bCs/>
          <w:szCs w:val="20"/>
          <w:lang w:eastAsia="en-AU"/>
        </w:rPr>
      </w:pPr>
      <w:r w:rsidRPr="00472B51">
        <w:rPr>
          <w:rFonts w:eastAsia="Times New Roman" w:cs="Arial"/>
          <w:b/>
          <w:bCs/>
          <w:szCs w:val="20"/>
          <w:lang w:eastAsia="en-AU"/>
        </w:rPr>
        <w:t xml:space="preserve">Key </w:t>
      </w:r>
      <w:r w:rsidR="001C4A15">
        <w:rPr>
          <w:rFonts w:eastAsia="Times New Roman" w:cs="Arial"/>
          <w:b/>
          <w:bCs/>
          <w:szCs w:val="20"/>
          <w:lang w:eastAsia="en-AU"/>
        </w:rPr>
        <w:t>a</w:t>
      </w:r>
      <w:r w:rsidRPr="00472B51">
        <w:rPr>
          <w:rFonts w:eastAsia="Times New Roman" w:cs="Arial"/>
          <w:b/>
          <w:bCs/>
          <w:szCs w:val="20"/>
          <w:lang w:eastAsia="en-AU"/>
        </w:rPr>
        <w:t xml:space="preserve">ctivity rationale: </w:t>
      </w:r>
      <w:r w:rsidRPr="00472B51">
        <w:rPr>
          <w:rFonts w:cs="Arial"/>
          <w:szCs w:val="20"/>
        </w:rPr>
        <w:t xml:space="preserve">This activity aligns with the Government’s broader National Medicines Policy, which aims to ensure equitable, timely, </w:t>
      </w:r>
      <w:proofErr w:type="gramStart"/>
      <w:r w:rsidRPr="00472B51">
        <w:rPr>
          <w:rFonts w:cs="Arial"/>
          <w:szCs w:val="20"/>
        </w:rPr>
        <w:t>safe</w:t>
      </w:r>
      <w:proofErr w:type="gramEnd"/>
      <w:r w:rsidRPr="00472B51">
        <w:rPr>
          <w:rFonts w:cs="Arial"/>
          <w:szCs w:val="20"/>
        </w:rPr>
        <w:t xml:space="preserve"> and affordable access to medicines for all Australians.</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60D444F6" w14:textId="77777777" w:rsidTr="00DB19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5D2BE1D" w14:textId="77777777" w:rsidR="004D7B74" w:rsidRPr="00472B51" w:rsidRDefault="004D7B74" w:rsidP="00823660">
            <w:pPr>
              <w:pStyle w:val="TableTextleftaligned"/>
              <w:rPr>
                <w:rFonts w:asciiTheme="minorHAnsi" w:eastAsia="Times New Roman" w:hAnsiTheme="minorHAnsi" w:cstheme="minorHAnsi"/>
                <w:b w:val="0"/>
                <w:szCs w:val="20"/>
              </w:rPr>
            </w:pPr>
            <w:r w:rsidRPr="00472B51">
              <w:t xml:space="preserve">Measure 2.3A: Percentage of new medicines recommended by the Pharmaceutical Benefits Advisory Committee (PBAC) that are listed on the Pharmaceutical Benefits Scheme within 6 months of in principle agreement to listing arrangements. </w:t>
            </w:r>
          </w:p>
        </w:tc>
      </w:tr>
      <w:tr w:rsidR="004D7B74" w:rsidRPr="008E3CD6" w14:paraId="196A06D6" w14:textId="77777777" w:rsidTr="00823660">
        <w:tc>
          <w:tcPr>
            <w:cnfStyle w:val="001000000000" w:firstRow="0" w:lastRow="0" w:firstColumn="1" w:lastColumn="0" w:oddVBand="0" w:evenVBand="0" w:oddHBand="0" w:evenHBand="0" w:firstRowFirstColumn="0" w:firstRowLastColumn="0" w:lastRowFirstColumn="0" w:lastRowLastColumn="0"/>
            <w:tcW w:w="943" w:type="pct"/>
          </w:tcPr>
          <w:p w14:paraId="4A6676D2"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25D24B11"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9D32AA">
              <w:t xml:space="preserve">The measure reports the percentage of PBAC recommendations for </w:t>
            </w:r>
            <w:r>
              <w:t>new medicines where</w:t>
            </w:r>
            <w:r w:rsidRPr="009D32AA">
              <w:t xml:space="preserve"> negotiations with product sponsors and activities for listing on the PBS are completed in a timely manner.</w:t>
            </w:r>
          </w:p>
          <w:p w14:paraId="1B07E85D" w14:textId="14116F29"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The 6-month timeframe provides sufficient time to negotiate complex pricing and budget impact issues, seek agreement to listing arrangements, seek government approval and finalise and distribute the amended PBS schedule.</w:t>
            </w:r>
          </w:p>
        </w:tc>
      </w:tr>
      <w:tr w:rsidR="004D7B74" w:rsidRPr="008E3CD6" w14:paraId="5EF77686" w14:textId="77777777" w:rsidTr="00823660">
        <w:tc>
          <w:tcPr>
            <w:cnfStyle w:val="001000000000" w:firstRow="0" w:lastRow="0" w:firstColumn="1" w:lastColumn="0" w:oddVBand="0" w:evenVBand="0" w:oddHBand="0" w:evenHBand="0" w:firstRowFirstColumn="0" w:firstRowLastColumn="0" w:lastRowFirstColumn="0" w:lastRowLastColumn="0"/>
            <w:tcW w:w="943" w:type="pct"/>
          </w:tcPr>
          <w:p w14:paraId="13950B6C" w14:textId="77777777" w:rsidR="004D7B74" w:rsidRPr="009B277D" w:rsidRDefault="004D7B74" w:rsidP="00CA72A8">
            <w:pPr>
              <w:pStyle w:val="TableTextleftaligned"/>
              <w:spacing w:line="192" w:lineRule="auto"/>
              <w:rPr>
                <w:b w:val="0"/>
                <w:bCs/>
              </w:rPr>
            </w:pPr>
            <w:r w:rsidRPr="009B277D">
              <w:rPr>
                <w:bCs/>
              </w:rPr>
              <w:t>Measure Type</w:t>
            </w:r>
          </w:p>
        </w:tc>
        <w:tc>
          <w:tcPr>
            <w:tcW w:w="4057" w:type="pct"/>
            <w:gridSpan w:val="4"/>
          </w:tcPr>
          <w:p w14:paraId="57E3F33E"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5245B6">
              <w:t>Quantitative / Output</w:t>
            </w:r>
          </w:p>
        </w:tc>
      </w:tr>
      <w:tr w:rsidR="004D7B74" w:rsidRPr="008E3CD6" w14:paraId="7F9CEB57" w14:textId="77777777" w:rsidTr="00823660">
        <w:tc>
          <w:tcPr>
            <w:cnfStyle w:val="001000000000" w:firstRow="0" w:lastRow="0" w:firstColumn="1" w:lastColumn="0" w:oddVBand="0" w:evenVBand="0" w:oddHBand="0" w:evenHBand="0" w:firstRowFirstColumn="0" w:firstRowLastColumn="0" w:lastRowFirstColumn="0" w:lastRowLastColumn="0"/>
            <w:tcW w:w="943" w:type="pct"/>
          </w:tcPr>
          <w:p w14:paraId="2ABA239B" w14:textId="7B818C2D" w:rsidR="004D7B74" w:rsidRPr="003106EF" w:rsidRDefault="004D7B74" w:rsidP="00380262">
            <w:pPr>
              <w:pStyle w:val="TableTextleftaligned"/>
              <w:spacing w:line="192" w:lineRule="auto"/>
            </w:pPr>
            <w:r w:rsidRPr="009B277D">
              <w:rPr>
                <w:bCs/>
              </w:rPr>
              <w:t>Method</w:t>
            </w:r>
            <w:r w:rsidR="00380262">
              <w:rPr>
                <w:bCs/>
              </w:rPr>
              <w:t xml:space="preserve"> </w:t>
            </w:r>
            <w:r w:rsidRPr="003106EF">
              <w:t>(Data Source and Methodology)</w:t>
            </w:r>
          </w:p>
        </w:tc>
        <w:tc>
          <w:tcPr>
            <w:tcW w:w="4057" w:type="pct"/>
            <w:gridSpan w:val="4"/>
          </w:tcPr>
          <w:p w14:paraId="41F4AAA1" w14:textId="2BCA54EB"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Data is analysed for each new medicine listed on the PBS within a financial year. Data is maintained internally by the department. The date of listing is based on the first appearance of that new medicine in the </w:t>
            </w:r>
            <w:r w:rsidRPr="005245B6">
              <w:t>National Health (Listing of Pharmaceutical Benefits) Instrument 2024 (PB 26 of 2024)</w:t>
            </w:r>
            <w:r w:rsidRPr="00141151">
              <w:t xml:space="preserve">. </w:t>
            </w:r>
            <w:r>
              <w:t>The date when the in-</w:t>
            </w:r>
            <w:proofErr w:type="gramStart"/>
            <w:r>
              <w:t>principle</w:t>
            </w:r>
            <w:proofErr w:type="gramEnd"/>
            <w:r>
              <w:t xml:space="preserve"> pricing outcome letter is sent to the sponsor is used as the date of in-principle agreement to listing arrangements and is publicly available on the Medicine Status website</w:t>
            </w:r>
            <w:r>
              <w:rPr>
                <w:rStyle w:val="FootnoteReference"/>
              </w:rPr>
              <w:footnoteReference w:id="46"/>
            </w:r>
            <w:r>
              <w:t xml:space="preserve"> as the date government processes commence. </w:t>
            </w:r>
          </w:p>
          <w:p w14:paraId="34FD972A" w14:textId="07695309"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More information on the PBAC is available on the department’s website</w:t>
            </w:r>
            <w:r w:rsidR="00D36EE5">
              <w:t>.</w:t>
            </w:r>
            <w:r w:rsidR="00D36EE5">
              <w:rPr>
                <w:rStyle w:val="FootnoteReference"/>
              </w:rPr>
              <w:footnoteReference w:id="47"/>
            </w:r>
          </w:p>
        </w:tc>
      </w:tr>
      <w:tr w:rsidR="00F04F62" w:rsidRPr="008E3CD6" w14:paraId="12F74E5F" w14:textId="77777777" w:rsidTr="00823660">
        <w:tc>
          <w:tcPr>
            <w:cnfStyle w:val="001000000000" w:firstRow="0" w:lastRow="0" w:firstColumn="1" w:lastColumn="0" w:oddVBand="0" w:evenVBand="0" w:oddHBand="0" w:evenHBand="0" w:firstRowFirstColumn="0" w:firstRowLastColumn="0" w:lastRowFirstColumn="0" w:lastRowLastColumn="0"/>
            <w:tcW w:w="943" w:type="pct"/>
          </w:tcPr>
          <w:p w14:paraId="65EE3B66" w14:textId="6E4A7F59" w:rsidR="00F04F62" w:rsidRPr="009B277D" w:rsidRDefault="00F04F62" w:rsidP="00380262">
            <w:pPr>
              <w:pStyle w:val="TableTextleftaligned"/>
              <w:spacing w:line="192" w:lineRule="auto"/>
              <w:rPr>
                <w:b w:val="0"/>
                <w:bCs/>
              </w:rPr>
            </w:pPr>
            <w:r>
              <w:rPr>
                <w:bCs/>
              </w:rPr>
              <w:t xml:space="preserve">Linked </w:t>
            </w:r>
            <w:proofErr w:type="gramStart"/>
            <w:r>
              <w:rPr>
                <w:bCs/>
              </w:rPr>
              <w:t xml:space="preserve">to </w:t>
            </w:r>
            <w:r w:rsidR="00380262">
              <w:rPr>
                <w:bCs/>
              </w:rPr>
              <w:t xml:space="preserve"> </w:t>
            </w:r>
            <w:r>
              <w:rPr>
                <w:bCs/>
              </w:rPr>
              <w:t>2024</w:t>
            </w:r>
            <w:proofErr w:type="gramEnd"/>
            <w:r>
              <w:rPr>
                <w:bCs/>
              </w:rPr>
              <w:t>–25 Portfolio Budget Statements</w:t>
            </w:r>
          </w:p>
        </w:tc>
        <w:tc>
          <w:tcPr>
            <w:tcW w:w="4057" w:type="pct"/>
            <w:gridSpan w:val="4"/>
          </w:tcPr>
          <w:p w14:paraId="7F69A54C" w14:textId="482B907C" w:rsidR="00F04F62" w:rsidRDefault="00F04F62" w:rsidP="00823660">
            <w:pPr>
              <w:pStyle w:val="TableTextleftaligned"/>
              <w:cnfStyle w:val="000000000000" w:firstRow="0" w:lastRow="0" w:firstColumn="0" w:lastColumn="0" w:oddVBand="0" w:evenVBand="0" w:oddHBand="0" w:evenHBand="0" w:firstRowFirstColumn="0" w:firstRowLastColumn="0" w:lastRowFirstColumn="0" w:lastRowLastColumn="0"/>
            </w:pPr>
            <w:r w:rsidRPr="00E6299A">
              <w:t xml:space="preserve">Program </w:t>
            </w:r>
            <w:r>
              <w:t>2.</w:t>
            </w:r>
            <w:r w:rsidR="007305F2">
              <w:t>3</w:t>
            </w:r>
            <w:r>
              <w:t xml:space="preserve"> </w:t>
            </w:r>
            <w:r w:rsidR="00FF27E1">
              <w:t>-</w:t>
            </w:r>
            <w:r w:rsidRPr="00E6299A">
              <w:t xml:space="preserve"> </w:t>
            </w:r>
            <w:r w:rsidR="007305F2">
              <w:t>Pharmaceuticals Benefits</w:t>
            </w:r>
            <w:r>
              <w:t xml:space="preserve"> </w:t>
            </w:r>
            <w:r w:rsidRPr="00E6299A">
              <w:t xml:space="preserve">– page </w:t>
            </w:r>
            <w:r>
              <w:t>8</w:t>
            </w:r>
            <w:r w:rsidR="007305F2">
              <w:t>2</w:t>
            </w:r>
          </w:p>
        </w:tc>
      </w:tr>
      <w:tr w:rsidR="004D7B74" w:rsidRPr="008E3CD6" w14:paraId="04664746" w14:textId="77777777" w:rsidTr="00380262">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41FD5494" w14:textId="77777777" w:rsidR="004D7B74" w:rsidRPr="009B277D" w:rsidRDefault="004D7B74" w:rsidP="00CA72A8">
            <w:pPr>
              <w:pStyle w:val="TableTextleftaligned"/>
              <w:spacing w:line="192" w:lineRule="auto"/>
              <w:rPr>
                <w:b w:val="0"/>
                <w:bCs/>
              </w:rPr>
            </w:pPr>
            <w:r>
              <w:rPr>
                <w:bCs/>
              </w:rPr>
              <w:t>Planned Performance Results</w:t>
            </w:r>
          </w:p>
        </w:tc>
        <w:tc>
          <w:tcPr>
            <w:tcW w:w="1014" w:type="pct"/>
            <w:shd w:val="clear" w:color="auto" w:fill="BFBFBF" w:themeFill="background1" w:themeFillShade="BF"/>
            <w:vAlign w:val="center"/>
          </w:tcPr>
          <w:p w14:paraId="2EA281DE" w14:textId="77777777" w:rsidR="004D7B74" w:rsidRPr="00D36EE5"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D36EE5">
              <w:t>2024</w:t>
            </w:r>
            <w:r w:rsidRPr="00D36EE5">
              <w:rPr>
                <w:rFonts w:eastAsia="Arial" w:cs="Arial"/>
                <w:spacing w:val="-2"/>
                <w:szCs w:val="20"/>
                <w:lang w:val="en-US"/>
              </w:rPr>
              <w:t>–</w:t>
            </w:r>
            <w:r w:rsidRPr="00D36EE5">
              <w:t>25</w:t>
            </w:r>
          </w:p>
        </w:tc>
        <w:tc>
          <w:tcPr>
            <w:tcW w:w="1015" w:type="pct"/>
            <w:shd w:val="clear" w:color="auto" w:fill="BFBFBF" w:themeFill="background1" w:themeFillShade="BF"/>
            <w:vAlign w:val="center"/>
          </w:tcPr>
          <w:p w14:paraId="2B5CDBCB" w14:textId="77777777" w:rsidR="004D7B74" w:rsidRPr="00D36EE5"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D36EE5">
              <w:t>2025</w:t>
            </w:r>
            <w:r w:rsidRPr="00D36EE5">
              <w:rPr>
                <w:rFonts w:eastAsia="Arial" w:cs="Arial"/>
                <w:spacing w:val="-2"/>
                <w:szCs w:val="20"/>
                <w:lang w:val="en-US"/>
              </w:rPr>
              <w:t>–</w:t>
            </w:r>
            <w:r w:rsidRPr="00D36EE5">
              <w:t>26</w:t>
            </w:r>
          </w:p>
        </w:tc>
        <w:tc>
          <w:tcPr>
            <w:tcW w:w="1015" w:type="pct"/>
            <w:shd w:val="clear" w:color="auto" w:fill="BFBFBF" w:themeFill="background1" w:themeFillShade="BF"/>
            <w:vAlign w:val="center"/>
          </w:tcPr>
          <w:p w14:paraId="2468D2CA" w14:textId="77777777" w:rsidR="004D7B74" w:rsidRPr="00D36EE5"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D36EE5">
              <w:t>2026</w:t>
            </w:r>
            <w:r w:rsidRPr="00D36EE5">
              <w:rPr>
                <w:rFonts w:eastAsia="Arial" w:cs="Arial"/>
                <w:spacing w:val="-2"/>
                <w:szCs w:val="20"/>
                <w:lang w:val="en-US"/>
              </w:rPr>
              <w:t>–</w:t>
            </w:r>
            <w:r w:rsidRPr="00D36EE5">
              <w:t>27</w:t>
            </w:r>
          </w:p>
        </w:tc>
        <w:tc>
          <w:tcPr>
            <w:tcW w:w="1013" w:type="pct"/>
            <w:shd w:val="clear" w:color="auto" w:fill="BFBFBF" w:themeFill="background1" w:themeFillShade="BF"/>
            <w:vAlign w:val="center"/>
          </w:tcPr>
          <w:p w14:paraId="646B5344" w14:textId="77777777" w:rsidR="004D7B74" w:rsidRPr="00D36EE5"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D36EE5">
              <w:t>2027</w:t>
            </w:r>
            <w:r w:rsidRPr="00D36EE5">
              <w:rPr>
                <w:rFonts w:eastAsia="Arial" w:cs="Arial"/>
                <w:spacing w:val="-2"/>
                <w:szCs w:val="20"/>
                <w:lang w:val="en-US"/>
              </w:rPr>
              <w:t>–</w:t>
            </w:r>
            <w:r w:rsidRPr="00D36EE5">
              <w:t>28</w:t>
            </w:r>
          </w:p>
        </w:tc>
      </w:tr>
      <w:tr w:rsidR="004D7B74" w:rsidRPr="008E3CD6" w14:paraId="10C77B9E" w14:textId="77777777" w:rsidTr="008236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62C90DA9" w14:textId="77777777" w:rsidR="004D7B74" w:rsidRPr="009B277D" w:rsidRDefault="004D7B74" w:rsidP="00CA72A8">
            <w:pPr>
              <w:pStyle w:val="TableTextleftaligned"/>
              <w:spacing w:line="192" w:lineRule="auto"/>
              <w:rPr>
                <w:b w:val="0"/>
                <w:bCs/>
              </w:rPr>
            </w:pPr>
          </w:p>
        </w:tc>
        <w:tc>
          <w:tcPr>
            <w:tcW w:w="1014" w:type="pct"/>
          </w:tcPr>
          <w:p w14:paraId="561E064D" w14:textId="77777777" w:rsidR="004D7B74" w:rsidRPr="006B36B4"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rPr>
                <w:highlight w:val="yellow"/>
              </w:rPr>
            </w:pPr>
            <w:r>
              <w:t>≥80%</w:t>
            </w:r>
          </w:p>
        </w:tc>
        <w:tc>
          <w:tcPr>
            <w:tcW w:w="1015" w:type="pct"/>
          </w:tcPr>
          <w:p w14:paraId="58E4A61E" w14:textId="77777777" w:rsidR="004D7B74" w:rsidRPr="006B36B4"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rPr>
                <w:highlight w:val="yellow"/>
              </w:rPr>
            </w:pPr>
            <w:r>
              <w:t>≥80%</w:t>
            </w:r>
          </w:p>
        </w:tc>
        <w:tc>
          <w:tcPr>
            <w:tcW w:w="1015" w:type="pct"/>
          </w:tcPr>
          <w:p w14:paraId="56C5A730" w14:textId="77777777" w:rsidR="004D7B74" w:rsidRPr="006B36B4"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rPr>
                <w:highlight w:val="yellow"/>
              </w:rPr>
            </w:pPr>
            <w:r>
              <w:t>≥80%</w:t>
            </w:r>
          </w:p>
        </w:tc>
        <w:tc>
          <w:tcPr>
            <w:tcW w:w="1013" w:type="pct"/>
          </w:tcPr>
          <w:p w14:paraId="77ABB18E" w14:textId="77777777" w:rsidR="004D7B74" w:rsidRPr="006B36B4"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rPr>
                <w:highlight w:val="yellow"/>
              </w:rPr>
            </w:pPr>
            <w:r>
              <w:t>≥80%</w:t>
            </w:r>
          </w:p>
        </w:tc>
      </w:tr>
    </w:tbl>
    <w:p w14:paraId="13AF6616" w14:textId="77777777" w:rsidR="004D7B74" w:rsidRPr="00380262" w:rsidRDefault="004D7B74" w:rsidP="00380262">
      <w:pPr>
        <w:pStyle w:val="Heading2"/>
      </w:pPr>
      <w:bookmarkStart w:id="162" w:name="_Toc166069802"/>
      <w:bookmarkStart w:id="163" w:name="_Toc171411952"/>
      <w:bookmarkStart w:id="164" w:name="_Toc175293642"/>
      <w:bookmarkStart w:id="165" w:name="_Program_2.4_Private"/>
      <w:bookmarkStart w:id="166" w:name="_Toc175846508"/>
      <w:bookmarkEnd w:id="165"/>
      <w:r w:rsidRPr="00E41D6A">
        <w:t>Program 2.4 Private Health Insurance</w:t>
      </w:r>
      <w:bookmarkEnd w:id="162"/>
      <w:bookmarkEnd w:id="163"/>
      <w:bookmarkEnd w:id="164"/>
      <w:bookmarkEnd w:id="166"/>
    </w:p>
    <w:p w14:paraId="4AEC194E" w14:textId="77777777" w:rsidR="004D7B74" w:rsidRPr="00E41D6A" w:rsidRDefault="004D7B74" w:rsidP="00380262">
      <w:pPr>
        <w:pStyle w:val="Heading3"/>
      </w:pPr>
      <w:bookmarkStart w:id="167" w:name="_Toc171411953"/>
      <w:bookmarkStart w:id="168" w:name="_Toc175293643"/>
      <w:r w:rsidRPr="00E41D6A">
        <w:t>Program Objective</w:t>
      </w:r>
      <w:bookmarkEnd w:id="167"/>
      <w:bookmarkEnd w:id="168"/>
    </w:p>
    <w:p w14:paraId="631A12D1" w14:textId="3C780734" w:rsidR="004D7B74" w:rsidRPr="0095056B" w:rsidRDefault="004D7B74" w:rsidP="00823660">
      <w:pPr>
        <w:rPr>
          <w:rFonts w:cs="Arial"/>
          <w:i/>
          <w:iCs/>
        </w:rPr>
      </w:pPr>
      <w:r w:rsidRPr="00E41D6A">
        <w:rPr>
          <w:rFonts w:cs="Arial"/>
        </w:rPr>
        <w:t>Promote affordable, cost-effective, quality private health insurance (PHI) and choice for consumers.</w:t>
      </w:r>
    </w:p>
    <w:p w14:paraId="1C1AD265" w14:textId="77777777" w:rsidR="00483151" w:rsidRDefault="004D7B74" w:rsidP="00380262">
      <w:pPr>
        <w:pStyle w:val="Keyactivity"/>
      </w:pPr>
      <w:r w:rsidRPr="0095056B">
        <w:rPr>
          <w:b/>
          <w:bCs/>
        </w:rPr>
        <w:t>Key Activity 2.4:</w:t>
      </w:r>
    </w:p>
    <w:p w14:paraId="7A50BEFA" w14:textId="77B5FF94" w:rsidR="004D7B74" w:rsidRDefault="004D7B74" w:rsidP="00380262">
      <w:pPr>
        <w:pStyle w:val="Keyactivity"/>
      </w:pPr>
      <w:r w:rsidRPr="00E41D6A">
        <w:t>Assessment of private health insurer premium change applications.</w:t>
      </w:r>
    </w:p>
    <w:p w14:paraId="06BB81F9" w14:textId="326F619A" w:rsidR="004D7B74" w:rsidRPr="0095056B" w:rsidRDefault="007965F0" w:rsidP="0095056B">
      <w:pPr>
        <w:rPr>
          <w:rFonts w:cs="Arial"/>
          <w:szCs w:val="20"/>
        </w:rPr>
      </w:pPr>
      <w:r w:rsidRPr="007965F0">
        <w:rPr>
          <w:rFonts w:cs="Arial"/>
          <w:b/>
          <w:bCs/>
          <w:szCs w:val="20"/>
        </w:rPr>
        <w:lastRenderedPageBreak/>
        <w:t xml:space="preserve">Key </w:t>
      </w:r>
      <w:r w:rsidR="001C4A15">
        <w:rPr>
          <w:rFonts w:cs="Arial"/>
          <w:b/>
          <w:bCs/>
          <w:szCs w:val="20"/>
        </w:rPr>
        <w:t>a</w:t>
      </w:r>
      <w:r w:rsidRPr="007965F0">
        <w:rPr>
          <w:rFonts w:cs="Arial"/>
          <w:b/>
          <w:bCs/>
          <w:szCs w:val="20"/>
        </w:rPr>
        <w:t>ctivity Rationale:</w:t>
      </w:r>
      <w:r w:rsidRPr="007965F0">
        <w:rPr>
          <w:rFonts w:cs="Arial"/>
          <w:szCs w:val="20"/>
        </w:rPr>
        <w:t xml:space="preserve"> This key activity ensures that the department’s timely assessment of private health insurer premium change applications enables the Minister to effectively discharge his responsibilities under Section 66-10 of the </w:t>
      </w:r>
      <w:r w:rsidRPr="007965F0">
        <w:rPr>
          <w:rFonts w:cs="Arial"/>
          <w:i/>
          <w:iCs/>
          <w:szCs w:val="20"/>
        </w:rPr>
        <w:t>Private Health Insurance Act 2007</w:t>
      </w:r>
      <w:r w:rsidRPr="007965F0">
        <w:rPr>
          <w:rFonts w:cs="Arial"/>
          <w:szCs w:val="20"/>
        </w:rPr>
        <w:t>.</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7B36A126" w14:textId="77777777" w:rsidTr="00823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0D6873FE" w14:textId="77777777" w:rsidR="004D7B74" w:rsidRPr="00823660" w:rsidRDefault="004D7B74" w:rsidP="00823660">
            <w:r w:rsidRPr="00823660">
              <w:t>Measure 2.4A: Percentage of applications to the Minister from private health insurers to change premiums charged under a complying health insurance product that are assessed within approved timeframes.</w:t>
            </w:r>
          </w:p>
        </w:tc>
      </w:tr>
      <w:tr w:rsidR="004D7B74" w:rsidRPr="008E3CD6" w14:paraId="11087DED" w14:textId="77777777" w:rsidTr="00823660">
        <w:tc>
          <w:tcPr>
            <w:cnfStyle w:val="001000000000" w:firstRow="0" w:lastRow="0" w:firstColumn="1" w:lastColumn="0" w:oddVBand="0" w:evenVBand="0" w:oddHBand="0" w:evenHBand="0" w:firstRowFirstColumn="0" w:firstRowLastColumn="0" w:lastRowFirstColumn="0" w:lastRowLastColumn="0"/>
            <w:tcW w:w="943" w:type="pct"/>
          </w:tcPr>
          <w:p w14:paraId="79D132C0"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6994EB01"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C7FA3">
              <w:t>The measure aims to ensure that the process to assess private health insurer premium change applications is well managed. A 100% performance result will support affordable, cost-effective, quality private health insurance (PHI) and choice for consumers.</w:t>
            </w:r>
            <w:r>
              <w:t xml:space="preserve"> </w:t>
            </w:r>
          </w:p>
        </w:tc>
      </w:tr>
      <w:tr w:rsidR="004D7B74" w:rsidRPr="008E3CD6" w14:paraId="65CC2ABF" w14:textId="77777777" w:rsidTr="00823660">
        <w:tc>
          <w:tcPr>
            <w:cnfStyle w:val="001000000000" w:firstRow="0" w:lastRow="0" w:firstColumn="1" w:lastColumn="0" w:oddVBand="0" w:evenVBand="0" w:oddHBand="0" w:evenHBand="0" w:firstRowFirstColumn="0" w:firstRowLastColumn="0" w:lastRowFirstColumn="0" w:lastRowLastColumn="0"/>
            <w:tcW w:w="943" w:type="pct"/>
          </w:tcPr>
          <w:p w14:paraId="0DD3AA8B" w14:textId="77777777" w:rsidR="004D7B74" w:rsidRPr="009B277D" w:rsidRDefault="004D7B74" w:rsidP="00CA72A8">
            <w:pPr>
              <w:pStyle w:val="TableTextleftaligned"/>
              <w:spacing w:line="192" w:lineRule="auto"/>
              <w:rPr>
                <w:b w:val="0"/>
                <w:bCs/>
              </w:rPr>
            </w:pPr>
            <w:r w:rsidRPr="009B277D">
              <w:rPr>
                <w:bCs/>
              </w:rPr>
              <w:t>Measure Type</w:t>
            </w:r>
          </w:p>
        </w:tc>
        <w:tc>
          <w:tcPr>
            <w:tcW w:w="4057" w:type="pct"/>
            <w:gridSpan w:val="4"/>
          </w:tcPr>
          <w:p w14:paraId="0C4247E1"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228FD">
              <w:t>Quantitative / Efficiency</w:t>
            </w:r>
          </w:p>
        </w:tc>
      </w:tr>
      <w:tr w:rsidR="004D7B74" w:rsidRPr="008E3CD6" w14:paraId="7ED9B7BC" w14:textId="77777777" w:rsidTr="00823660">
        <w:tc>
          <w:tcPr>
            <w:cnfStyle w:val="001000000000" w:firstRow="0" w:lastRow="0" w:firstColumn="1" w:lastColumn="0" w:oddVBand="0" w:evenVBand="0" w:oddHBand="0" w:evenHBand="0" w:firstRowFirstColumn="0" w:firstRowLastColumn="0" w:lastRowFirstColumn="0" w:lastRowLastColumn="0"/>
            <w:tcW w:w="943" w:type="pct"/>
          </w:tcPr>
          <w:p w14:paraId="25256FCA" w14:textId="701A4FBC" w:rsidR="004D7B74" w:rsidRPr="003106EF" w:rsidRDefault="004D7B74" w:rsidP="00380262">
            <w:pPr>
              <w:pStyle w:val="TableTextleftaligned"/>
            </w:pPr>
            <w:r w:rsidRPr="009B277D">
              <w:rPr>
                <w:bCs/>
              </w:rPr>
              <w:t>Method</w:t>
            </w:r>
            <w:r w:rsidR="00380262">
              <w:rPr>
                <w:bCs/>
              </w:rPr>
              <w:t xml:space="preserve"> </w:t>
            </w:r>
            <w:r w:rsidRPr="003106EF">
              <w:t>(Data Source and Methodology)</w:t>
            </w:r>
          </w:p>
        </w:tc>
        <w:tc>
          <w:tcPr>
            <w:tcW w:w="4057" w:type="pct"/>
            <w:gridSpan w:val="4"/>
          </w:tcPr>
          <w:p w14:paraId="283E53A7" w14:textId="77777777" w:rsidR="004D7B74" w:rsidRPr="00380262" w:rsidRDefault="004D7B74" w:rsidP="00380262">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380262">
              <w:rPr>
                <w:rStyle w:val="Strong"/>
              </w:rPr>
              <w:t>The method to calculate this measure is:</w:t>
            </w:r>
          </w:p>
          <w:p w14:paraId="7A1BFB24" w14:textId="77777777" w:rsidR="004D7B74" w:rsidRPr="00380262" w:rsidRDefault="004D7B74" w:rsidP="00380262">
            <w:pPr>
              <w:pStyle w:val="TableTextleftaligned"/>
              <w:cnfStyle w:val="000000000000" w:firstRow="0" w:lastRow="0" w:firstColumn="0" w:lastColumn="0" w:oddVBand="0" w:evenVBand="0" w:oddHBand="0" w:evenHBand="0" w:firstRowFirstColumn="0" w:firstRowLastColumn="0" w:lastRowFirstColumn="0" w:lastRowLastColumn="0"/>
            </w:pPr>
            <w:r w:rsidRPr="00380262">
              <w:t xml:space="preserve">The number of applications assessed within approved timeframes/ the number of applications received from private health insurers. </w:t>
            </w:r>
          </w:p>
          <w:p w14:paraId="77FD2C0E" w14:textId="77777777" w:rsidR="004D7B74" w:rsidRPr="00380262" w:rsidRDefault="004D7B74" w:rsidP="00380262">
            <w:pPr>
              <w:pStyle w:val="TableTextleftaligned"/>
              <w:cnfStyle w:val="000000000000" w:firstRow="0" w:lastRow="0" w:firstColumn="0" w:lastColumn="0" w:oddVBand="0" w:evenVBand="0" w:oddHBand="0" w:evenHBand="0" w:firstRowFirstColumn="0" w:firstRowLastColumn="0" w:lastRowFirstColumn="0" w:lastRowLastColumn="0"/>
            </w:pPr>
            <w:r w:rsidRPr="00380262">
              <w:t>Data on the number of applications received from private health insurers through a secure online system in the approved form is tracked internally by the department.</w:t>
            </w:r>
          </w:p>
          <w:p w14:paraId="221757D7" w14:textId="77777777" w:rsidR="004D7B74" w:rsidRPr="00380262" w:rsidRDefault="004D7B74" w:rsidP="00380262">
            <w:pPr>
              <w:pStyle w:val="TableTextleftaligned"/>
              <w:cnfStyle w:val="000000000000" w:firstRow="0" w:lastRow="0" w:firstColumn="0" w:lastColumn="0" w:oddVBand="0" w:evenVBand="0" w:oddHBand="0" w:evenHBand="0" w:firstRowFirstColumn="0" w:firstRowLastColumn="0" w:lastRowFirstColumn="0" w:lastRowLastColumn="0"/>
            </w:pPr>
            <w:r w:rsidRPr="00380262">
              <w:t>The department uses the following definitions when calculating the number of applications assessed within approved timeframes:</w:t>
            </w:r>
          </w:p>
          <w:p w14:paraId="5051114F" w14:textId="77777777" w:rsidR="00380262" w:rsidRDefault="004D7B74" w:rsidP="00380262">
            <w:pPr>
              <w:pStyle w:val="ListBullet2"/>
              <w:cnfStyle w:val="000000000000" w:firstRow="0" w:lastRow="0" w:firstColumn="0" w:lastColumn="0" w:oddVBand="0" w:evenVBand="0" w:oddHBand="0" w:evenHBand="0" w:firstRowFirstColumn="0" w:firstRowLastColumn="0" w:lastRowFirstColumn="0" w:lastRowLastColumn="0"/>
            </w:pPr>
            <w:r w:rsidRPr="00380262">
              <w:t>‘assessed’ means that advice has been provided to the Minister to decide on an insurer’s proposed premium changes.</w:t>
            </w:r>
          </w:p>
          <w:p w14:paraId="0F7461D4" w14:textId="3D3C608F" w:rsidR="004D7B74" w:rsidRPr="00380262" w:rsidRDefault="004D7B74" w:rsidP="00380262">
            <w:pPr>
              <w:pStyle w:val="ListBullet2"/>
              <w:cnfStyle w:val="000000000000" w:firstRow="0" w:lastRow="0" w:firstColumn="0" w:lastColumn="0" w:oddVBand="0" w:evenVBand="0" w:oddHBand="0" w:evenHBand="0" w:firstRowFirstColumn="0" w:firstRowLastColumn="0" w:lastRowFirstColumn="0" w:lastRowLastColumn="0"/>
            </w:pPr>
            <w:r w:rsidRPr="00380262">
              <w:t>‘</w:t>
            </w:r>
            <w:proofErr w:type="gramStart"/>
            <w:r w:rsidRPr="00380262">
              <w:t>approved</w:t>
            </w:r>
            <w:proofErr w:type="gramEnd"/>
            <w:r w:rsidRPr="00380262">
              <w:t xml:space="preserve"> timeframe’ is 60 days prior to the price change on 1 April, plus 2 weeks for the Minister to consider the submission.</w:t>
            </w:r>
          </w:p>
        </w:tc>
      </w:tr>
      <w:tr w:rsidR="007305F2" w:rsidRPr="008E3CD6" w14:paraId="183134FF" w14:textId="77777777" w:rsidTr="00823660">
        <w:tc>
          <w:tcPr>
            <w:cnfStyle w:val="001000000000" w:firstRow="0" w:lastRow="0" w:firstColumn="1" w:lastColumn="0" w:oddVBand="0" w:evenVBand="0" w:oddHBand="0" w:evenHBand="0" w:firstRowFirstColumn="0" w:firstRowLastColumn="0" w:lastRowFirstColumn="0" w:lastRowLastColumn="0"/>
            <w:tcW w:w="943" w:type="pct"/>
          </w:tcPr>
          <w:p w14:paraId="66FCEB94" w14:textId="397FEEAF" w:rsidR="007305F2" w:rsidRPr="009B277D" w:rsidRDefault="007305F2" w:rsidP="00380262">
            <w:pPr>
              <w:pStyle w:val="TableTextleftaligned"/>
              <w:rPr>
                <w:b w:val="0"/>
              </w:rPr>
            </w:pPr>
            <w:r>
              <w:t xml:space="preserve">Linked to 2024–25 </w:t>
            </w:r>
            <w:r w:rsidRPr="00380262">
              <w:t>Portfolio</w:t>
            </w:r>
            <w:r>
              <w:t xml:space="preserve"> Budget Statements</w:t>
            </w:r>
          </w:p>
        </w:tc>
        <w:tc>
          <w:tcPr>
            <w:tcW w:w="4057" w:type="pct"/>
            <w:gridSpan w:val="4"/>
          </w:tcPr>
          <w:p w14:paraId="0FE67C0A" w14:textId="62BCC448" w:rsidR="007305F2" w:rsidRPr="00380262" w:rsidRDefault="007305F2" w:rsidP="00380262">
            <w:pPr>
              <w:pStyle w:val="TableTextleftaligned"/>
              <w:cnfStyle w:val="000000000000" w:firstRow="0" w:lastRow="0" w:firstColumn="0" w:lastColumn="0" w:oddVBand="0" w:evenVBand="0" w:oddHBand="0" w:evenHBand="0" w:firstRowFirstColumn="0" w:firstRowLastColumn="0" w:lastRowFirstColumn="0" w:lastRowLastColumn="0"/>
            </w:pPr>
            <w:r w:rsidRPr="00380262">
              <w:t xml:space="preserve">Program 2.4 </w:t>
            </w:r>
            <w:r w:rsidR="00FF27E1" w:rsidRPr="00380262">
              <w:t>-</w:t>
            </w:r>
            <w:r w:rsidRPr="00380262">
              <w:t xml:space="preserve"> </w:t>
            </w:r>
            <w:r w:rsidR="004D5AB9" w:rsidRPr="00380262">
              <w:t>Private Health Insurance</w:t>
            </w:r>
            <w:r w:rsidRPr="00380262">
              <w:t xml:space="preserve"> – page 8</w:t>
            </w:r>
            <w:r w:rsidR="004D5AB9" w:rsidRPr="00380262">
              <w:t>3</w:t>
            </w:r>
          </w:p>
        </w:tc>
      </w:tr>
      <w:tr w:rsidR="004D7B74" w:rsidRPr="008E3CD6" w14:paraId="67CC5958" w14:textId="77777777" w:rsidTr="00380262">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016AB092" w14:textId="77777777" w:rsidR="004D7B74" w:rsidRPr="009B277D" w:rsidRDefault="004D7B74" w:rsidP="00380262">
            <w:pPr>
              <w:pStyle w:val="TableTextleftaligned"/>
              <w:rPr>
                <w:b w:val="0"/>
              </w:rPr>
            </w:pPr>
            <w:r>
              <w:t xml:space="preserve">Planned </w:t>
            </w:r>
            <w:r w:rsidRPr="00380262">
              <w:t>Performance</w:t>
            </w:r>
            <w:r>
              <w:t xml:space="preserve"> Results</w:t>
            </w:r>
          </w:p>
        </w:tc>
        <w:tc>
          <w:tcPr>
            <w:tcW w:w="1014" w:type="pct"/>
            <w:shd w:val="clear" w:color="auto" w:fill="BFBFBF" w:themeFill="background1" w:themeFillShade="BF"/>
            <w:vAlign w:val="center"/>
          </w:tcPr>
          <w:p w14:paraId="75047B85" w14:textId="77777777" w:rsidR="004D7B74" w:rsidRPr="00823660" w:rsidRDefault="004D7B74" w:rsidP="00823660">
            <w:pPr>
              <w:pStyle w:val="TableTextstrong"/>
              <w:cnfStyle w:val="000000000000" w:firstRow="0" w:lastRow="0" w:firstColumn="0" w:lastColumn="0" w:oddVBand="0" w:evenVBand="0" w:oddHBand="0" w:evenHBand="0" w:firstRowFirstColumn="0" w:firstRowLastColumn="0" w:lastRowFirstColumn="0" w:lastRowLastColumn="0"/>
            </w:pPr>
            <w:r w:rsidRPr="00823660">
              <w:t>2024–25</w:t>
            </w:r>
          </w:p>
        </w:tc>
        <w:tc>
          <w:tcPr>
            <w:tcW w:w="1015" w:type="pct"/>
            <w:shd w:val="clear" w:color="auto" w:fill="BFBFBF" w:themeFill="background1" w:themeFillShade="BF"/>
            <w:vAlign w:val="center"/>
          </w:tcPr>
          <w:p w14:paraId="48039D25" w14:textId="77777777" w:rsidR="004D7B74" w:rsidRPr="00823660" w:rsidRDefault="004D7B74" w:rsidP="00823660">
            <w:pPr>
              <w:pStyle w:val="TableTextstrong"/>
              <w:cnfStyle w:val="000000000000" w:firstRow="0" w:lastRow="0" w:firstColumn="0" w:lastColumn="0" w:oddVBand="0" w:evenVBand="0" w:oddHBand="0" w:evenHBand="0" w:firstRowFirstColumn="0" w:firstRowLastColumn="0" w:lastRowFirstColumn="0" w:lastRowLastColumn="0"/>
            </w:pPr>
            <w:r w:rsidRPr="00823660">
              <w:t>2025–26</w:t>
            </w:r>
          </w:p>
        </w:tc>
        <w:tc>
          <w:tcPr>
            <w:tcW w:w="1015" w:type="pct"/>
            <w:shd w:val="clear" w:color="auto" w:fill="BFBFBF" w:themeFill="background1" w:themeFillShade="BF"/>
            <w:vAlign w:val="center"/>
          </w:tcPr>
          <w:p w14:paraId="4DB0752C" w14:textId="77777777" w:rsidR="004D7B74" w:rsidRPr="00823660" w:rsidRDefault="004D7B74" w:rsidP="00823660">
            <w:pPr>
              <w:pStyle w:val="TableTextstrong"/>
              <w:cnfStyle w:val="000000000000" w:firstRow="0" w:lastRow="0" w:firstColumn="0" w:lastColumn="0" w:oddVBand="0" w:evenVBand="0" w:oddHBand="0" w:evenHBand="0" w:firstRowFirstColumn="0" w:firstRowLastColumn="0" w:lastRowFirstColumn="0" w:lastRowLastColumn="0"/>
            </w:pPr>
            <w:r w:rsidRPr="00823660">
              <w:t>2026–27</w:t>
            </w:r>
          </w:p>
        </w:tc>
        <w:tc>
          <w:tcPr>
            <w:tcW w:w="1013" w:type="pct"/>
            <w:shd w:val="clear" w:color="auto" w:fill="BFBFBF" w:themeFill="background1" w:themeFillShade="BF"/>
            <w:vAlign w:val="center"/>
          </w:tcPr>
          <w:p w14:paraId="058C05EF" w14:textId="77777777" w:rsidR="004D7B74" w:rsidRPr="00823660" w:rsidRDefault="004D7B74" w:rsidP="00823660">
            <w:pPr>
              <w:pStyle w:val="TableTextstrong"/>
              <w:cnfStyle w:val="000000000000" w:firstRow="0" w:lastRow="0" w:firstColumn="0" w:lastColumn="0" w:oddVBand="0" w:evenVBand="0" w:oddHBand="0" w:evenHBand="0" w:firstRowFirstColumn="0" w:firstRowLastColumn="0" w:lastRowFirstColumn="0" w:lastRowLastColumn="0"/>
            </w:pPr>
            <w:r w:rsidRPr="00823660">
              <w:t>2027–28</w:t>
            </w:r>
          </w:p>
        </w:tc>
      </w:tr>
      <w:tr w:rsidR="004D7B74" w:rsidRPr="008E3CD6" w14:paraId="7777751B" w14:textId="77777777" w:rsidTr="008236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258C75AA" w14:textId="77777777" w:rsidR="004D7B74" w:rsidRPr="009B277D" w:rsidRDefault="004D7B74" w:rsidP="00CA72A8">
            <w:pPr>
              <w:pStyle w:val="TableTextleftaligned"/>
              <w:spacing w:line="192" w:lineRule="auto"/>
              <w:rPr>
                <w:b w:val="0"/>
                <w:bCs/>
              </w:rPr>
            </w:pPr>
          </w:p>
        </w:tc>
        <w:tc>
          <w:tcPr>
            <w:tcW w:w="1014" w:type="pct"/>
          </w:tcPr>
          <w:p w14:paraId="188AB56E" w14:textId="77777777" w:rsidR="004D7B74" w:rsidRPr="004228F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4228FD">
              <w:t>100%</w:t>
            </w:r>
          </w:p>
        </w:tc>
        <w:tc>
          <w:tcPr>
            <w:tcW w:w="1015" w:type="pct"/>
          </w:tcPr>
          <w:p w14:paraId="1C5EF90E" w14:textId="77777777" w:rsidR="004D7B74" w:rsidRPr="004228F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4228FD">
              <w:t>100%</w:t>
            </w:r>
          </w:p>
        </w:tc>
        <w:tc>
          <w:tcPr>
            <w:tcW w:w="1015" w:type="pct"/>
          </w:tcPr>
          <w:p w14:paraId="02855B7E" w14:textId="77777777" w:rsidR="004D7B74" w:rsidRPr="004228F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4228FD">
              <w:t>100%</w:t>
            </w:r>
          </w:p>
        </w:tc>
        <w:tc>
          <w:tcPr>
            <w:tcW w:w="1013" w:type="pct"/>
          </w:tcPr>
          <w:p w14:paraId="5113963D" w14:textId="77777777" w:rsidR="004D7B74" w:rsidRPr="004228FD"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4228FD">
              <w:t>100%</w:t>
            </w:r>
          </w:p>
        </w:tc>
      </w:tr>
    </w:tbl>
    <w:p w14:paraId="4769B140" w14:textId="49EA080A" w:rsidR="004D7B74" w:rsidRPr="00380262" w:rsidRDefault="004D7B74" w:rsidP="00380262">
      <w:pPr>
        <w:pStyle w:val="Heading2"/>
      </w:pPr>
      <w:bookmarkStart w:id="169" w:name="_Toc166069804"/>
      <w:bookmarkStart w:id="170" w:name="_Toc171411954"/>
      <w:bookmarkStart w:id="171" w:name="_Toc175293644"/>
      <w:bookmarkStart w:id="172" w:name="_Program_2.5_Dental"/>
      <w:bookmarkStart w:id="173" w:name="_Toc175846509"/>
      <w:bookmarkEnd w:id="172"/>
      <w:r w:rsidRPr="007B0F4A">
        <w:t>Program 2.5 Dental Services</w:t>
      </w:r>
      <w:bookmarkEnd w:id="169"/>
      <w:bookmarkEnd w:id="170"/>
      <w:bookmarkEnd w:id="171"/>
      <w:bookmarkEnd w:id="173"/>
    </w:p>
    <w:p w14:paraId="3CC1BCE4" w14:textId="77777777" w:rsidR="004D7B74" w:rsidRPr="007B0F4A" w:rsidRDefault="004D7B74" w:rsidP="00380262">
      <w:pPr>
        <w:pStyle w:val="Heading3"/>
      </w:pPr>
      <w:bookmarkStart w:id="174" w:name="_Toc171411955"/>
      <w:bookmarkStart w:id="175" w:name="_Toc175293645"/>
      <w:r w:rsidRPr="007B0F4A">
        <w:t>Program Objective</w:t>
      </w:r>
      <w:bookmarkEnd w:id="174"/>
      <w:bookmarkEnd w:id="175"/>
    </w:p>
    <w:p w14:paraId="6F784C18" w14:textId="77777777" w:rsidR="004D7B74" w:rsidRPr="00BB4FE7" w:rsidRDefault="004D7B74" w:rsidP="00BB4FE7">
      <w:r w:rsidRPr="00BB4FE7">
        <w:t>Support eligible children to access essential dental health services through the Child Dental Benefits Schedule (CDBS).</w:t>
      </w:r>
    </w:p>
    <w:p w14:paraId="4D93D814" w14:textId="77777777" w:rsidR="00483151" w:rsidRDefault="004D7B74" w:rsidP="00380262">
      <w:pPr>
        <w:pStyle w:val="Keyactivity"/>
      </w:pPr>
      <w:r w:rsidRPr="00DB198D">
        <w:rPr>
          <w:rStyle w:val="Strong"/>
        </w:rPr>
        <w:t>Key Activity 2.5A</w:t>
      </w:r>
      <w:r w:rsidRPr="00DB198D">
        <w:t>:</w:t>
      </w:r>
    </w:p>
    <w:p w14:paraId="750C29AE" w14:textId="23715342" w:rsidR="004D7B74" w:rsidRPr="00DB198D" w:rsidRDefault="004D7B74" w:rsidP="00380262">
      <w:pPr>
        <w:pStyle w:val="Keyactivity"/>
      </w:pPr>
      <w:r w:rsidRPr="00DB198D">
        <w:t>Working with Services Australia to increase awareness of the CDBS program to support eligible children to access essential dental health services.</w:t>
      </w:r>
    </w:p>
    <w:p w14:paraId="68D873BD" w14:textId="7E3FC0A8" w:rsidR="007B0F4A" w:rsidRPr="007B0F4A" w:rsidRDefault="007B0F4A" w:rsidP="000401AA">
      <w:pPr>
        <w:rPr>
          <w:rFonts w:cs="Arial"/>
          <w:szCs w:val="20"/>
        </w:rPr>
      </w:pPr>
      <w:r w:rsidRPr="007B0F4A">
        <w:rPr>
          <w:rFonts w:cs="Arial"/>
          <w:b/>
          <w:bCs/>
          <w:szCs w:val="20"/>
        </w:rPr>
        <w:t xml:space="preserve">Key </w:t>
      </w:r>
      <w:r w:rsidR="001C4A15">
        <w:rPr>
          <w:rFonts w:cs="Arial"/>
          <w:b/>
          <w:bCs/>
          <w:szCs w:val="20"/>
        </w:rPr>
        <w:t>a</w:t>
      </w:r>
      <w:r w:rsidRPr="007B0F4A">
        <w:rPr>
          <w:rFonts w:cs="Arial"/>
          <w:b/>
          <w:bCs/>
          <w:szCs w:val="20"/>
        </w:rPr>
        <w:t>ctivity rationale:</w:t>
      </w:r>
      <w:r w:rsidRPr="007B0F4A">
        <w:rPr>
          <w:rFonts w:cs="Arial"/>
          <w:szCs w:val="20"/>
        </w:rPr>
        <w:t xml:space="preserve"> The CDBS is jointly administered by the Department of Health and Aged Care and Services Australia. This activity captures the delivery of the program, with measurable quantitative outputs allowing for sound measuring of performance.</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DB198D" w14:paraId="5B6DDFFC" w14:textId="77777777" w:rsidTr="00DB19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56D8EFA1" w14:textId="77777777" w:rsidR="004D7B74" w:rsidRPr="00DB198D" w:rsidRDefault="004D7B74" w:rsidP="00DB198D">
            <w:r w:rsidRPr="00DB198D">
              <w:t xml:space="preserve">Measure 2.5.A: The percentage of eligible children accessing essential dental health services through the Child Dental Benefits Schedule. </w:t>
            </w:r>
          </w:p>
        </w:tc>
      </w:tr>
      <w:tr w:rsidR="004D7B74" w:rsidRPr="008E3CD6" w14:paraId="4931E0BB"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2136A0FD" w14:textId="77777777" w:rsidR="004D7B74" w:rsidRPr="0046299B" w:rsidRDefault="004D7B74" w:rsidP="0046299B">
            <w:pPr>
              <w:pStyle w:val="TableTextleftaligned"/>
            </w:pPr>
            <w:r w:rsidRPr="0046299B">
              <w:t>Rationale</w:t>
            </w:r>
          </w:p>
        </w:tc>
        <w:tc>
          <w:tcPr>
            <w:tcW w:w="4057" w:type="pct"/>
            <w:gridSpan w:val="4"/>
          </w:tcPr>
          <w:p w14:paraId="47CAC69A" w14:textId="6ECEDDA5" w:rsidR="004D7B74"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CC0B3A">
              <w:t>The measure will demonstrate increased utilisation rate of the Child Dental Benefit</w:t>
            </w:r>
            <w:r w:rsidR="001C4A15">
              <w:t>s</w:t>
            </w:r>
            <w:r w:rsidRPr="00CC0B3A">
              <w:t xml:space="preserve"> Sch</w:t>
            </w:r>
            <w:r w:rsidR="00937AE1">
              <w:t xml:space="preserve">edule </w:t>
            </w:r>
            <w:r w:rsidRPr="00CC0B3A">
              <w:t>by eligible children monitored through periodic program reporting between the Department of Health and Aged Care and Services Australia. Success is determined by tracking the number of eligible children accessing the program compared to the total number of children eligible for the program.</w:t>
            </w:r>
          </w:p>
        </w:tc>
      </w:tr>
      <w:tr w:rsidR="004D7B74" w:rsidRPr="008E3CD6" w14:paraId="24333BE9"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19873729" w14:textId="77777777" w:rsidR="004D7B74" w:rsidRPr="0046299B" w:rsidRDefault="004D7B74" w:rsidP="0046299B">
            <w:pPr>
              <w:pStyle w:val="TableTextleftaligned"/>
            </w:pPr>
            <w:r w:rsidRPr="0046299B">
              <w:lastRenderedPageBreak/>
              <w:t>Measure Type</w:t>
            </w:r>
          </w:p>
        </w:tc>
        <w:tc>
          <w:tcPr>
            <w:tcW w:w="4057" w:type="pct"/>
            <w:gridSpan w:val="4"/>
          </w:tcPr>
          <w:p w14:paraId="735BCF79" w14:textId="79705FFA" w:rsidR="004D7B74" w:rsidRPr="003106EF"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3106EF">
              <w:t xml:space="preserve">Quantitative </w:t>
            </w:r>
            <w:r w:rsidR="006F2F3C" w:rsidRPr="003106EF">
              <w:t>/ Effectiveness</w:t>
            </w:r>
          </w:p>
        </w:tc>
      </w:tr>
      <w:tr w:rsidR="004D7B74" w:rsidRPr="008E3CD6" w14:paraId="5ED03B02"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5C8E234C" w14:textId="69DB6A72" w:rsidR="004D7B74" w:rsidRPr="0046299B" w:rsidRDefault="004D7B74" w:rsidP="0046299B">
            <w:pPr>
              <w:pStyle w:val="TableTextleftaligned"/>
            </w:pPr>
            <w:r w:rsidRPr="0046299B">
              <w:t>Method (Data Source and Methodology)</w:t>
            </w:r>
          </w:p>
        </w:tc>
        <w:tc>
          <w:tcPr>
            <w:tcW w:w="4057" w:type="pct"/>
            <w:gridSpan w:val="4"/>
          </w:tcPr>
          <w:p w14:paraId="53ED09A7" w14:textId="4CA05877" w:rsidR="004D7B74" w:rsidRPr="00CC0B3A"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CC0B3A">
              <w:t xml:space="preserve">CDBS Service Data is collected by Services Australia, who jointly administers the program. Utilisation data is updated monthly by Services Australia to the </w:t>
            </w:r>
            <w:r w:rsidR="000B21CA" w:rsidRPr="0046299B">
              <w:t>d</w:t>
            </w:r>
            <w:r w:rsidRPr="0046299B">
              <w:t>epartment's</w:t>
            </w:r>
            <w:r w:rsidRPr="00CC0B3A">
              <w:t xml:space="preserve"> Enterprise Data Warehouse. Eligibility data is sent monthly from Services Australia to the </w:t>
            </w:r>
            <w:r w:rsidR="000B21CA">
              <w:t>d</w:t>
            </w:r>
            <w:r w:rsidRPr="00CC0B3A">
              <w:t xml:space="preserve">epartment in excel format to the </w:t>
            </w:r>
            <w:r w:rsidR="000B21CA">
              <w:t>d</w:t>
            </w:r>
            <w:r w:rsidRPr="00CC0B3A">
              <w:t xml:space="preserve">epartment. </w:t>
            </w:r>
          </w:p>
          <w:p w14:paraId="33FD713A"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CC0B3A">
              <w:t>The Performance Measure is manually calculated by the program area, with a standard operating procedure available. The formula for calculating the program performance measure is:</w:t>
            </w:r>
          </w:p>
          <w:p w14:paraId="020FD11D" w14:textId="60920C80" w:rsidR="007B0F4A" w:rsidRDefault="007B0F4A"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CDBS </w:t>
            </w:r>
            <w:r w:rsidR="002B4D10">
              <w:t>Utilisation</w:t>
            </w:r>
            <w:r>
              <w:t xml:space="preserve"> Rate (%) = </w:t>
            </w:r>
            <w:r w:rsidRPr="002B4D10">
              <w:rPr>
                <w:u w:val="single"/>
              </w:rPr>
              <w:t>patients (date of service)</w:t>
            </w:r>
            <w:r w:rsidR="002B4D10">
              <w:rPr>
                <w:rStyle w:val="FootnoteReference"/>
                <w:u w:val="single"/>
              </w:rPr>
              <w:footnoteReference w:id="48"/>
            </w:r>
            <w:r w:rsidR="002B4D10">
              <w:t xml:space="preserve"> x 100</w:t>
            </w:r>
          </w:p>
          <w:p w14:paraId="1CED833B" w14:textId="5060102F" w:rsidR="004D7B74" w:rsidRPr="002B4D10" w:rsidRDefault="002B4D10" w:rsidP="00823660">
            <w:pPr>
              <w:pStyle w:val="TableTextleftaligned"/>
              <w:cnfStyle w:val="000000000000" w:firstRow="0" w:lastRow="0" w:firstColumn="0" w:lastColumn="0" w:oddVBand="0" w:evenVBand="0" w:oddHBand="0" w:evenHBand="0" w:firstRowFirstColumn="0" w:firstRowLastColumn="0" w:lastRowFirstColumn="0" w:lastRowLastColumn="0"/>
              <w:rPr>
                <w:u w:val="single"/>
              </w:rPr>
            </w:pPr>
            <w:r>
              <w:t>e</w:t>
            </w:r>
            <w:r w:rsidR="00397DF7">
              <w:t>ligible notified chil</w:t>
            </w:r>
            <w:r>
              <w:t>dren</w:t>
            </w:r>
            <w:r>
              <w:rPr>
                <w:rStyle w:val="FootnoteReference"/>
              </w:rPr>
              <w:footnoteReference w:id="49"/>
            </w:r>
          </w:p>
        </w:tc>
      </w:tr>
      <w:tr w:rsidR="00A71FDD" w:rsidRPr="008E3CD6" w14:paraId="1A4EE2BD"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03C1AFEB" w14:textId="6FFA04C4" w:rsidR="00A71FDD" w:rsidRPr="009B277D" w:rsidRDefault="00A71FDD" w:rsidP="0046299B">
            <w:pPr>
              <w:pStyle w:val="TableTextleftaligned"/>
              <w:rPr>
                <w:b w:val="0"/>
              </w:rPr>
            </w:pPr>
            <w:r>
              <w:t>Linked to 2024–25 Portfolio Budget Statements</w:t>
            </w:r>
          </w:p>
        </w:tc>
        <w:tc>
          <w:tcPr>
            <w:tcW w:w="4057" w:type="pct"/>
            <w:gridSpan w:val="4"/>
          </w:tcPr>
          <w:p w14:paraId="38867BF9" w14:textId="183D9143" w:rsidR="00A71FDD" w:rsidRPr="00CC0B3A" w:rsidRDefault="00A71FDD" w:rsidP="0046299B">
            <w:pPr>
              <w:pStyle w:val="TableTextleftaligned"/>
              <w:cnfStyle w:val="000000000000" w:firstRow="0" w:lastRow="0" w:firstColumn="0" w:lastColumn="0" w:oddVBand="0" w:evenVBand="0" w:oddHBand="0" w:evenHBand="0" w:firstRowFirstColumn="0" w:firstRowLastColumn="0" w:lastRowFirstColumn="0" w:lastRowLastColumn="0"/>
            </w:pPr>
            <w:r w:rsidRPr="00E6299A">
              <w:t xml:space="preserve">Program </w:t>
            </w:r>
            <w:r>
              <w:t xml:space="preserve">2.5 </w:t>
            </w:r>
            <w:r w:rsidR="00FF27E1">
              <w:t>-</w:t>
            </w:r>
            <w:r w:rsidRPr="00E6299A">
              <w:t xml:space="preserve"> </w:t>
            </w:r>
            <w:r w:rsidRPr="0046299B">
              <w:t>Dental</w:t>
            </w:r>
            <w:r>
              <w:t xml:space="preserve"> Services </w:t>
            </w:r>
            <w:r w:rsidRPr="00E6299A">
              <w:t xml:space="preserve">– page </w:t>
            </w:r>
            <w:r>
              <w:t>84</w:t>
            </w:r>
          </w:p>
        </w:tc>
      </w:tr>
      <w:tr w:rsidR="004D7B74" w:rsidRPr="008E3CD6" w14:paraId="63EDDB8F" w14:textId="77777777" w:rsidTr="0046299B">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7574ADFD" w14:textId="77777777" w:rsidR="004D7B74" w:rsidRPr="009B277D" w:rsidRDefault="004D7B74" w:rsidP="0046299B">
            <w:pPr>
              <w:pStyle w:val="TableTextleftaligned"/>
              <w:rPr>
                <w:b w:val="0"/>
              </w:rPr>
            </w:pPr>
            <w:r>
              <w:t xml:space="preserve">Planned Performance </w:t>
            </w:r>
            <w:r w:rsidRPr="0046299B">
              <w:t>Results</w:t>
            </w:r>
          </w:p>
        </w:tc>
        <w:tc>
          <w:tcPr>
            <w:tcW w:w="1014" w:type="pct"/>
            <w:shd w:val="clear" w:color="auto" w:fill="BFBFBF" w:themeFill="background1" w:themeFillShade="BF"/>
            <w:vAlign w:val="center"/>
          </w:tcPr>
          <w:p w14:paraId="1843C331" w14:textId="77777777" w:rsidR="004D7B74" w:rsidRPr="007B0F4A"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7B0F4A">
              <w:t>2024</w:t>
            </w:r>
            <w:r w:rsidRPr="007B0F4A">
              <w:rPr>
                <w:rFonts w:eastAsia="Arial" w:cs="Arial"/>
                <w:spacing w:val="-2"/>
                <w:szCs w:val="20"/>
                <w:lang w:val="en-US"/>
              </w:rPr>
              <w:t>–</w:t>
            </w:r>
            <w:r w:rsidRPr="007B0F4A">
              <w:t>25</w:t>
            </w:r>
          </w:p>
        </w:tc>
        <w:tc>
          <w:tcPr>
            <w:tcW w:w="1015" w:type="pct"/>
            <w:shd w:val="clear" w:color="auto" w:fill="BFBFBF" w:themeFill="background1" w:themeFillShade="BF"/>
            <w:vAlign w:val="center"/>
          </w:tcPr>
          <w:p w14:paraId="7AA3E113" w14:textId="77777777" w:rsidR="004D7B74" w:rsidRPr="007B0F4A"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7B0F4A">
              <w:t>2025</w:t>
            </w:r>
            <w:r w:rsidRPr="007B0F4A">
              <w:rPr>
                <w:rFonts w:eastAsia="Arial" w:cs="Arial"/>
                <w:spacing w:val="-2"/>
                <w:szCs w:val="20"/>
                <w:lang w:val="en-US"/>
              </w:rPr>
              <w:t>–</w:t>
            </w:r>
            <w:r w:rsidRPr="007B0F4A">
              <w:t>26</w:t>
            </w:r>
          </w:p>
        </w:tc>
        <w:tc>
          <w:tcPr>
            <w:tcW w:w="1015" w:type="pct"/>
            <w:shd w:val="clear" w:color="auto" w:fill="BFBFBF" w:themeFill="background1" w:themeFillShade="BF"/>
            <w:vAlign w:val="center"/>
          </w:tcPr>
          <w:p w14:paraId="7BFE9188" w14:textId="77777777" w:rsidR="004D7B74" w:rsidRPr="007B0F4A"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7B0F4A">
              <w:t>2026</w:t>
            </w:r>
            <w:r w:rsidRPr="007B0F4A">
              <w:rPr>
                <w:rFonts w:eastAsia="Arial" w:cs="Arial"/>
                <w:spacing w:val="-2"/>
                <w:szCs w:val="20"/>
                <w:lang w:val="en-US"/>
              </w:rPr>
              <w:t>–</w:t>
            </w:r>
            <w:r w:rsidRPr="007B0F4A">
              <w:t>27</w:t>
            </w:r>
          </w:p>
        </w:tc>
        <w:tc>
          <w:tcPr>
            <w:tcW w:w="1013" w:type="pct"/>
            <w:shd w:val="clear" w:color="auto" w:fill="BFBFBF" w:themeFill="background1" w:themeFillShade="BF"/>
            <w:vAlign w:val="center"/>
          </w:tcPr>
          <w:p w14:paraId="70220384" w14:textId="77777777" w:rsidR="004D7B74" w:rsidRPr="007B0F4A" w:rsidRDefault="004D7B74" w:rsidP="00DB198D">
            <w:pPr>
              <w:pStyle w:val="TableTextstrong"/>
              <w:cnfStyle w:val="000000000000" w:firstRow="0" w:lastRow="0" w:firstColumn="0" w:lastColumn="0" w:oddVBand="0" w:evenVBand="0" w:oddHBand="0" w:evenHBand="0" w:firstRowFirstColumn="0" w:firstRowLastColumn="0" w:lastRowFirstColumn="0" w:lastRowLastColumn="0"/>
            </w:pPr>
            <w:r w:rsidRPr="007B0F4A">
              <w:t>2027</w:t>
            </w:r>
            <w:bookmarkStart w:id="176" w:name="_Hlk175318395"/>
            <w:r w:rsidRPr="007B0F4A">
              <w:rPr>
                <w:rFonts w:eastAsia="Arial" w:cs="Arial"/>
                <w:spacing w:val="-2"/>
                <w:szCs w:val="20"/>
                <w:lang w:val="en-US"/>
              </w:rPr>
              <w:t>–</w:t>
            </w:r>
            <w:bookmarkEnd w:id="176"/>
            <w:r w:rsidRPr="007B0F4A">
              <w:t>28</w:t>
            </w:r>
          </w:p>
        </w:tc>
      </w:tr>
      <w:tr w:rsidR="004D7B74" w:rsidRPr="008E3CD6" w14:paraId="3B1B06F1" w14:textId="77777777" w:rsidTr="00DB19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370CD97D" w14:textId="77777777" w:rsidR="004D7B74" w:rsidRPr="009B277D" w:rsidRDefault="004D7B74" w:rsidP="00CA72A8">
            <w:pPr>
              <w:pStyle w:val="TableTextleftaligned"/>
              <w:spacing w:line="192" w:lineRule="auto"/>
              <w:rPr>
                <w:b w:val="0"/>
                <w:bCs/>
              </w:rPr>
            </w:pPr>
          </w:p>
        </w:tc>
        <w:tc>
          <w:tcPr>
            <w:tcW w:w="1014" w:type="pct"/>
          </w:tcPr>
          <w:p w14:paraId="03005067" w14:textId="0DC83F8C" w:rsidR="004D7B74" w:rsidRPr="008E3CD6"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CC0B3A">
              <w:t>38.5</w:t>
            </w:r>
            <w:r w:rsidR="00474E27">
              <w:t>%</w:t>
            </w:r>
            <w:r w:rsidRPr="009620DB">
              <w:rPr>
                <w:rStyle w:val="FootnoteReference"/>
              </w:rPr>
              <w:footnoteReference w:id="50"/>
            </w:r>
            <w:r w:rsidRPr="009620DB">
              <w:rPr>
                <w:rStyle w:val="FootnoteReference"/>
              </w:rPr>
              <w:t xml:space="preserve"> </w:t>
            </w:r>
          </w:p>
        </w:tc>
        <w:tc>
          <w:tcPr>
            <w:tcW w:w="1015" w:type="pct"/>
          </w:tcPr>
          <w:p w14:paraId="3E19378A" w14:textId="563A88F1" w:rsidR="004D7B74" w:rsidRPr="008E3CD6"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CC0B3A">
              <w:t>39.3%</w:t>
            </w:r>
          </w:p>
        </w:tc>
        <w:tc>
          <w:tcPr>
            <w:tcW w:w="1015" w:type="pct"/>
          </w:tcPr>
          <w:p w14:paraId="687484D8" w14:textId="77777777" w:rsidR="004D7B74" w:rsidRPr="008E3CD6"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CC0B3A">
              <w:t>40.1%</w:t>
            </w:r>
          </w:p>
        </w:tc>
        <w:tc>
          <w:tcPr>
            <w:tcW w:w="1013" w:type="pct"/>
          </w:tcPr>
          <w:p w14:paraId="59194FE6" w14:textId="1EA47067" w:rsidR="004D7B74" w:rsidRPr="008E3CD6"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CC0B3A">
              <w:t>41.0%</w:t>
            </w:r>
          </w:p>
        </w:tc>
      </w:tr>
    </w:tbl>
    <w:p w14:paraId="16E623F8" w14:textId="37618C19" w:rsidR="004D7B74" w:rsidRDefault="004D7B74" w:rsidP="00DB198D">
      <w:pPr>
        <w:pStyle w:val="Heading2"/>
      </w:pPr>
      <w:bookmarkStart w:id="177" w:name="_Toc166069806"/>
      <w:bookmarkStart w:id="178" w:name="_Toc171411956"/>
      <w:bookmarkStart w:id="179" w:name="_Toc175293646"/>
      <w:bookmarkStart w:id="180" w:name="_Program_2.6_Health"/>
      <w:bookmarkStart w:id="181" w:name="_Toc175846510"/>
      <w:bookmarkEnd w:id="180"/>
      <w:r w:rsidRPr="00BB01F6">
        <w:t>Program 2.6 Health Benefit Compliance</w:t>
      </w:r>
      <w:bookmarkEnd w:id="177"/>
      <w:bookmarkEnd w:id="178"/>
      <w:bookmarkEnd w:id="179"/>
      <w:bookmarkEnd w:id="181"/>
    </w:p>
    <w:p w14:paraId="1E7BA922" w14:textId="55FBFF55" w:rsidR="00DB198D" w:rsidRPr="00DB198D" w:rsidRDefault="00DB198D" w:rsidP="00DB198D">
      <w:r>
        <w:t xml:space="preserve">Program </w:t>
      </w:r>
      <w:r w:rsidRPr="00DB198D">
        <w:t xml:space="preserve">Objective Support the integrity of health benefit claims through prevention, early identification and treatment of incorrect claiming, inappropriate </w:t>
      </w:r>
      <w:proofErr w:type="gramStart"/>
      <w:r w:rsidRPr="00DB198D">
        <w:t>practice</w:t>
      </w:r>
      <w:proofErr w:type="gramEnd"/>
      <w:r w:rsidRPr="00DB198D">
        <w:t xml:space="preserve"> and fraud.</w:t>
      </w:r>
    </w:p>
    <w:p w14:paraId="1869B937" w14:textId="77777777" w:rsidR="00483151" w:rsidRDefault="00DB198D" w:rsidP="0046299B">
      <w:pPr>
        <w:pStyle w:val="Keyactivity"/>
      </w:pPr>
      <w:r w:rsidRPr="00DB198D">
        <w:rPr>
          <w:rStyle w:val="Strong"/>
        </w:rPr>
        <w:t>Key Activity 2.6</w:t>
      </w:r>
      <w:r w:rsidRPr="00DB198D">
        <w:t>:</w:t>
      </w:r>
    </w:p>
    <w:p w14:paraId="58A422B3" w14:textId="010E3090" w:rsidR="004D7B74" w:rsidRDefault="00DB198D" w:rsidP="0046299B">
      <w:pPr>
        <w:pStyle w:val="Keyactivity"/>
      </w:pPr>
      <w:r w:rsidRPr="00DB198D">
        <w:t>Ensuring that audits and reviews are targeted effectively at providers whose claiming is potentially non-compliant</w:t>
      </w:r>
      <w:r w:rsidR="004D7B74" w:rsidRPr="00BB01F6">
        <w:t>.</w:t>
      </w:r>
      <w:r w:rsidR="00CB25D5" w:rsidRPr="00937AE1">
        <w:rPr>
          <w:rStyle w:val="FootnoteReference"/>
          <w:rFonts w:eastAsia="Arial" w:cs="Arial"/>
          <w:sz w:val="18"/>
          <w:szCs w:val="18"/>
        </w:rPr>
        <w:footnoteReference w:id="51"/>
      </w:r>
    </w:p>
    <w:p w14:paraId="60344427" w14:textId="01DC70FA" w:rsidR="000401AA" w:rsidRPr="00BB01F6" w:rsidRDefault="00BB01F6" w:rsidP="000401AA">
      <w:pPr>
        <w:rPr>
          <w:rFonts w:cs="Arial"/>
          <w:szCs w:val="20"/>
        </w:rPr>
      </w:pPr>
      <w:r w:rsidRPr="00BB01F6">
        <w:rPr>
          <w:rFonts w:cs="Arial"/>
          <w:b/>
          <w:bCs/>
          <w:szCs w:val="20"/>
        </w:rPr>
        <w:t>Key Activity rationale:</w:t>
      </w:r>
      <w:r w:rsidRPr="00BB01F6">
        <w:rPr>
          <w:rFonts w:cs="Arial"/>
          <w:szCs w:val="20"/>
        </w:rPr>
        <w:t xml:space="preserve"> The department has a non-compliance focus: Where health practitioners are compliant, no corrective action is necessary; and where non-compliant claiming and potentially inappropriate practice is found, corrective action is of value.</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64314512" w14:textId="77777777" w:rsidTr="004629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117AC13" w14:textId="55800C36" w:rsidR="004D7B74" w:rsidRPr="00F774C3" w:rsidRDefault="004D7B74" w:rsidP="00823660">
            <w:pPr>
              <w:pStyle w:val="TableTextleftaligned"/>
              <w:rPr>
                <w:b w:val="0"/>
                <w:color w:val="00B050"/>
                <w:sz w:val="22"/>
                <w:szCs w:val="22"/>
              </w:rPr>
            </w:pPr>
            <w:r w:rsidRPr="00F774C3">
              <w:t>Measure 2.6A: Percentage of completed audits, practitioner reviews and investigations that find non-compliance.</w:t>
            </w:r>
            <w:r w:rsidR="00CB25D5" w:rsidRPr="00F774C3">
              <w:rPr>
                <w:rStyle w:val="FootnoteReference"/>
                <w:bCs/>
              </w:rPr>
              <w:footnoteReference w:id="52"/>
            </w:r>
          </w:p>
        </w:tc>
      </w:tr>
      <w:tr w:rsidR="004D7B74" w:rsidRPr="008E3CD6" w14:paraId="3B87EE2B" w14:textId="77777777" w:rsidTr="0046299B">
        <w:tc>
          <w:tcPr>
            <w:cnfStyle w:val="001000000000" w:firstRow="0" w:lastRow="0" w:firstColumn="1" w:lastColumn="0" w:oddVBand="0" w:evenVBand="0" w:oddHBand="0" w:evenHBand="0" w:firstRowFirstColumn="0" w:firstRowLastColumn="0" w:lastRowFirstColumn="0" w:lastRowLastColumn="0"/>
            <w:tcW w:w="943" w:type="pct"/>
          </w:tcPr>
          <w:p w14:paraId="5133B129" w14:textId="77777777" w:rsidR="004D7B74" w:rsidRPr="009B277D" w:rsidRDefault="004D7B74" w:rsidP="00CA72A8">
            <w:pPr>
              <w:pStyle w:val="TableTextleftaligned"/>
              <w:spacing w:line="192" w:lineRule="auto"/>
              <w:rPr>
                <w:b w:val="0"/>
                <w:bCs/>
              </w:rPr>
            </w:pPr>
            <w:r w:rsidRPr="009B277D">
              <w:rPr>
                <w:bCs/>
              </w:rPr>
              <w:t>Rationale</w:t>
            </w:r>
          </w:p>
        </w:tc>
        <w:tc>
          <w:tcPr>
            <w:tcW w:w="4057" w:type="pct"/>
            <w:gridSpan w:val="4"/>
          </w:tcPr>
          <w:p w14:paraId="472041C5"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This measure aims to demonstrate the effectiveness of the department’s targeting of compliance activities.</w:t>
            </w:r>
          </w:p>
        </w:tc>
      </w:tr>
      <w:tr w:rsidR="004D7B74" w:rsidRPr="008E3CD6" w14:paraId="341AE31B" w14:textId="77777777" w:rsidTr="0046299B">
        <w:tc>
          <w:tcPr>
            <w:cnfStyle w:val="001000000000" w:firstRow="0" w:lastRow="0" w:firstColumn="1" w:lastColumn="0" w:oddVBand="0" w:evenVBand="0" w:oddHBand="0" w:evenHBand="0" w:firstRowFirstColumn="0" w:firstRowLastColumn="0" w:lastRowFirstColumn="0" w:lastRowLastColumn="0"/>
            <w:tcW w:w="943" w:type="pct"/>
          </w:tcPr>
          <w:p w14:paraId="68C8CC06" w14:textId="77777777" w:rsidR="004D7B74" w:rsidRPr="009B277D" w:rsidRDefault="004D7B74" w:rsidP="00CA72A8">
            <w:pPr>
              <w:pStyle w:val="TableTextleftaligned"/>
              <w:spacing w:line="192" w:lineRule="auto"/>
              <w:rPr>
                <w:b w:val="0"/>
                <w:bCs/>
              </w:rPr>
            </w:pPr>
            <w:r w:rsidRPr="009B277D">
              <w:rPr>
                <w:bCs/>
              </w:rPr>
              <w:t>Measure Type</w:t>
            </w:r>
          </w:p>
        </w:tc>
        <w:tc>
          <w:tcPr>
            <w:tcW w:w="4057" w:type="pct"/>
            <w:gridSpan w:val="4"/>
          </w:tcPr>
          <w:p w14:paraId="7A47EB4D"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14BEE">
              <w:t>Quantitative / Effectiveness</w:t>
            </w:r>
          </w:p>
        </w:tc>
      </w:tr>
      <w:tr w:rsidR="004D7B74" w:rsidRPr="008E3CD6" w14:paraId="77C452E2" w14:textId="77777777" w:rsidTr="0046299B">
        <w:tc>
          <w:tcPr>
            <w:cnfStyle w:val="001000000000" w:firstRow="0" w:lastRow="0" w:firstColumn="1" w:lastColumn="0" w:oddVBand="0" w:evenVBand="0" w:oddHBand="0" w:evenHBand="0" w:firstRowFirstColumn="0" w:firstRowLastColumn="0" w:lastRowFirstColumn="0" w:lastRowLastColumn="0"/>
            <w:tcW w:w="943" w:type="pct"/>
          </w:tcPr>
          <w:p w14:paraId="126D18CE" w14:textId="370B85A9" w:rsidR="004D7B74" w:rsidRPr="003106EF" w:rsidRDefault="004D7B74" w:rsidP="0046299B">
            <w:pPr>
              <w:pStyle w:val="TableTextleftaligned"/>
            </w:pPr>
            <w:r w:rsidRPr="009B277D">
              <w:rPr>
                <w:bCs/>
              </w:rPr>
              <w:t>Method</w:t>
            </w:r>
            <w:r w:rsidR="0046299B">
              <w:rPr>
                <w:bCs/>
              </w:rPr>
              <w:t xml:space="preserve"> </w:t>
            </w:r>
            <w:r w:rsidRPr="003106EF">
              <w:t>(Data Source and Methodology)</w:t>
            </w:r>
          </w:p>
        </w:tc>
        <w:tc>
          <w:tcPr>
            <w:tcW w:w="4057" w:type="pct"/>
            <w:gridSpan w:val="4"/>
          </w:tcPr>
          <w:p w14:paraId="7E5D64D5"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46299B">
              <w:rPr>
                <w:rStyle w:val="Strong"/>
              </w:rPr>
              <w:t>Data Source:</w:t>
            </w:r>
          </w:p>
          <w:p w14:paraId="5FF242F4" w14:textId="77777777" w:rsidR="004D7B74" w:rsidRPr="004674C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rPr>
                <w:rFonts w:eastAsia="Arial"/>
              </w:rPr>
            </w:pPr>
            <w:r w:rsidRPr="00814BEE">
              <w:lastRenderedPageBreak/>
              <w:t>Administrative data is used to report against this performance measure in the form of completed case records maintained in the department’s Compliance Work Management System (CWMS).</w:t>
            </w:r>
          </w:p>
          <w:p w14:paraId="6BFF62FB" w14:textId="77777777" w:rsidR="004D7B74" w:rsidRPr="00823660"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823660">
              <w:t xml:space="preserve">The specific case types that are used to report against this measure are Audit, Practitioner </w:t>
            </w:r>
            <w:proofErr w:type="gramStart"/>
            <w:r w:rsidRPr="00823660">
              <w:t>Review</w:t>
            </w:r>
            <w:proofErr w:type="gramEnd"/>
            <w:r w:rsidRPr="00823660">
              <w:t xml:space="preserve"> and Investigation cases.</w:t>
            </w:r>
          </w:p>
          <w:p w14:paraId="3F8516F1" w14:textId="77777777" w:rsidR="004D7B74" w:rsidRPr="00823660"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823660">
              <w:t xml:space="preserve">The data inputs for analysis of claims and payment information are from Services Australia which administrates health claims and payments. </w:t>
            </w:r>
          </w:p>
          <w:p w14:paraId="6FCDFAC8"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46299B">
              <w:rPr>
                <w:rStyle w:val="Strong"/>
              </w:rPr>
              <w:t>Methodology:</w:t>
            </w:r>
          </w:p>
          <w:p w14:paraId="4C1AC5B0" w14:textId="77777777" w:rsidR="004D7B74" w:rsidRPr="00823660"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823660">
              <w:t>Key Performance Indicator reporting is automatically generated from the CWMS based on documented business rules.</w:t>
            </w:r>
          </w:p>
          <w:p w14:paraId="3A1ED4AB" w14:textId="77777777" w:rsidR="004D7B74" w:rsidRPr="00823660" w:rsidRDefault="004D7B74" w:rsidP="00823660">
            <w:pPr>
              <w:cnfStyle w:val="000000000000" w:firstRow="0" w:lastRow="0" w:firstColumn="0" w:lastColumn="0" w:oddVBand="0" w:evenVBand="0" w:oddHBand="0" w:evenHBand="0" w:firstRowFirstColumn="0" w:firstRowLastColumn="0" w:lastRowFirstColumn="0" w:lastRowLastColumn="0"/>
            </w:pPr>
            <w:r w:rsidRPr="00823660">
              <w:t>The number of completed and non-compliant cases reported are validated by reviewing outputs against a separate, unique operational report on completed cases.</w:t>
            </w:r>
          </w:p>
          <w:p w14:paraId="4BD174E5"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The rate of non-compliance is determined by the number of non-compliant outcomes divided by the total outcomes (compliant + non-compliant).</w:t>
            </w:r>
          </w:p>
          <w:p w14:paraId="30910441"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 xml:space="preserve">The framework for assessing the degree of achievement (i.e. Met, Substantially Met, Not Met) is set out in the Results Key in the department’s Annual Report. </w:t>
            </w:r>
          </w:p>
          <w:p w14:paraId="465CF8DF" w14:textId="77777777" w:rsidR="004D7B74" w:rsidRPr="00E9522A"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This framework is applied at a performance measure level by calculating the performance result as a percentage of the planned performance and comparing this to the thresholds set out in the Results Key (i.e. Met: ≥98%, Substantially Met: 75%-97.9%, Not Met: ≤75%).</w:t>
            </w:r>
          </w:p>
        </w:tc>
      </w:tr>
      <w:tr w:rsidR="008961AC" w:rsidRPr="008E3CD6" w14:paraId="14CEA370" w14:textId="77777777" w:rsidTr="0046299B">
        <w:tc>
          <w:tcPr>
            <w:cnfStyle w:val="001000000000" w:firstRow="0" w:lastRow="0" w:firstColumn="1" w:lastColumn="0" w:oddVBand="0" w:evenVBand="0" w:oddHBand="0" w:evenHBand="0" w:firstRowFirstColumn="0" w:firstRowLastColumn="0" w:lastRowFirstColumn="0" w:lastRowLastColumn="0"/>
            <w:tcW w:w="943" w:type="pct"/>
          </w:tcPr>
          <w:p w14:paraId="3EE4D0BD" w14:textId="5372660B" w:rsidR="008961AC" w:rsidRPr="009B277D" w:rsidRDefault="008961AC" w:rsidP="0046299B">
            <w:pPr>
              <w:pStyle w:val="TableTextleftaligned"/>
              <w:rPr>
                <w:b w:val="0"/>
              </w:rPr>
            </w:pPr>
            <w:r>
              <w:t>Linked to 2024–25 Portfolio Budget Statements</w:t>
            </w:r>
          </w:p>
        </w:tc>
        <w:tc>
          <w:tcPr>
            <w:tcW w:w="4057" w:type="pct"/>
            <w:gridSpan w:val="4"/>
          </w:tcPr>
          <w:p w14:paraId="6B28BC59" w14:textId="0047C9ED" w:rsidR="008961AC" w:rsidRPr="00814BEE" w:rsidRDefault="008961AC" w:rsidP="0046299B">
            <w:pPr>
              <w:pStyle w:val="TableTextleftaligned"/>
              <w:cnfStyle w:val="000000000000" w:firstRow="0" w:lastRow="0" w:firstColumn="0" w:lastColumn="0" w:oddVBand="0" w:evenVBand="0" w:oddHBand="0" w:evenHBand="0" w:firstRowFirstColumn="0" w:firstRowLastColumn="0" w:lastRowFirstColumn="0" w:lastRowLastColumn="0"/>
              <w:rPr>
                <w:b/>
                <w:bCs/>
              </w:rPr>
            </w:pPr>
            <w:r w:rsidRPr="00E6299A">
              <w:t xml:space="preserve">Program </w:t>
            </w:r>
            <w:r w:rsidRPr="008961AC">
              <w:t>2.</w:t>
            </w:r>
            <w:r>
              <w:t xml:space="preserve">6 </w:t>
            </w:r>
            <w:r w:rsidR="00FF27E1">
              <w:t>-</w:t>
            </w:r>
            <w:r w:rsidRPr="00E6299A">
              <w:t xml:space="preserve"> </w:t>
            </w:r>
            <w:r>
              <w:t>Health Be</w:t>
            </w:r>
            <w:r w:rsidR="00A375A4">
              <w:t xml:space="preserve">nefit Compliance </w:t>
            </w:r>
            <w:r w:rsidRPr="00E6299A">
              <w:t xml:space="preserve">– page </w:t>
            </w:r>
            <w:r w:rsidRPr="008961AC">
              <w:t>8</w:t>
            </w:r>
            <w:r w:rsidR="00A375A4">
              <w:t>5</w:t>
            </w:r>
          </w:p>
        </w:tc>
      </w:tr>
      <w:tr w:rsidR="004D7B74" w:rsidRPr="008E3CD6" w14:paraId="738C3C5C" w14:textId="77777777" w:rsidTr="0046299B">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41AC9A11" w14:textId="77777777" w:rsidR="004D7B74" w:rsidRPr="009B277D" w:rsidRDefault="004D7B74" w:rsidP="00CA72A8">
            <w:pPr>
              <w:pStyle w:val="TableTextleftaligned"/>
              <w:spacing w:line="192" w:lineRule="auto"/>
              <w:rPr>
                <w:b w:val="0"/>
                <w:bCs/>
              </w:rPr>
            </w:pPr>
            <w:r>
              <w:rPr>
                <w:bCs/>
              </w:rPr>
              <w:t>Planned Performance Results</w:t>
            </w:r>
          </w:p>
        </w:tc>
        <w:tc>
          <w:tcPr>
            <w:tcW w:w="1014" w:type="pct"/>
            <w:shd w:val="clear" w:color="auto" w:fill="BFBFBF" w:themeFill="background1" w:themeFillShade="BF"/>
            <w:vAlign w:val="center"/>
          </w:tcPr>
          <w:p w14:paraId="159F62A8" w14:textId="77777777" w:rsidR="004D7B74" w:rsidRPr="00EE3C36"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EE3C36">
              <w:t>2024</w:t>
            </w:r>
            <w:r w:rsidRPr="00EE3C36">
              <w:rPr>
                <w:rFonts w:eastAsia="Arial" w:cs="Arial"/>
                <w:spacing w:val="-2"/>
                <w:szCs w:val="20"/>
                <w:lang w:val="en-US"/>
              </w:rPr>
              <w:t>–</w:t>
            </w:r>
            <w:r w:rsidRPr="00EE3C36">
              <w:t>25</w:t>
            </w:r>
          </w:p>
        </w:tc>
        <w:tc>
          <w:tcPr>
            <w:tcW w:w="1015" w:type="pct"/>
            <w:shd w:val="clear" w:color="auto" w:fill="BFBFBF" w:themeFill="background1" w:themeFillShade="BF"/>
            <w:vAlign w:val="center"/>
          </w:tcPr>
          <w:p w14:paraId="1E9890C3" w14:textId="77777777" w:rsidR="004D7B74" w:rsidRPr="00EE3C36"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EE3C36">
              <w:t>2025</w:t>
            </w:r>
            <w:r w:rsidRPr="00EE3C36">
              <w:rPr>
                <w:rFonts w:eastAsia="Arial" w:cs="Arial"/>
                <w:spacing w:val="-2"/>
                <w:szCs w:val="20"/>
                <w:lang w:val="en-US"/>
              </w:rPr>
              <w:t>–</w:t>
            </w:r>
            <w:r w:rsidRPr="00EE3C36">
              <w:t>26</w:t>
            </w:r>
          </w:p>
        </w:tc>
        <w:tc>
          <w:tcPr>
            <w:tcW w:w="1015" w:type="pct"/>
            <w:shd w:val="clear" w:color="auto" w:fill="BFBFBF" w:themeFill="background1" w:themeFillShade="BF"/>
            <w:vAlign w:val="center"/>
          </w:tcPr>
          <w:p w14:paraId="5DF6587D" w14:textId="77777777" w:rsidR="004D7B74" w:rsidRPr="00EE3C36"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EE3C36">
              <w:t>2026</w:t>
            </w:r>
            <w:r w:rsidRPr="00EE3C36">
              <w:rPr>
                <w:rFonts w:eastAsia="Arial" w:cs="Arial"/>
                <w:spacing w:val="-2"/>
                <w:szCs w:val="20"/>
                <w:lang w:val="en-US"/>
              </w:rPr>
              <w:t>–</w:t>
            </w:r>
            <w:r w:rsidRPr="00EE3C36">
              <w:t>27</w:t>
            </w:r>
          </w:p>
        </w:tc>
        <w:tc>
          <w:tcPr>
            <w:tcW w:w="1013" w:type="pct"/>
            <w:shd w:val="clear" w:color="auto" w:fill="BFBFBF" w:themeFill="background1" w:themeFillShade="BF"/>
            <w:vAlign w:val="center"/>
          </w:tcPr>
          <w:p w14:paraId="4EAD9078" w14:textId="77777777" w:rsidR="004D7B74" w:rsidRPr="00EE3C36"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EE3C36">
              <w:t>2027</w:t>
            </w:r>
            <w:r w:rsidRPr="00EE3C36">
              <w:rPr>
                <w:rFonts w:eastAsia="Arial" w:cs="Arial"/>
                <w:spacing w:val="-2"/>
                <w:szCs w:val="20"/>
                <w:lang w:val="en-US"/>
              </w:rPr>
              <w:t>–</w:t>
            </w:r>
            <w:r w:rsidRPr="00EE3C36">
              <w:t>28</w:t>
            </w:r>
          </w:p>
        </w:tc>
      </w:tr>
      <w:tr w:rsidR="004D7B74" w:rsidRPr="008E3CD6" w14:paraId="34F26322" w14:textId="77777777" w:rsidTr="004629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65F47D6C" w14:textId="77777777" w:rsidR="004D7B74" w:rsidRPr="009B277D" w:rsidRDefault="004D7B74" w:rsidP="00CA72A8">
            <w:pPr>
              <w:pStyle w:val="TableTextleftaligned"/>
              <w:spacing w:line="192" w:lineRule="auto"/>
              <w:rPr>
                <w:b w:val="0"/>
                <w:bCs/>
              </w:rPr>
            </w:pPr>
          </w:p>
        </w:tc>
        <w:tc>
          <w:tcPr>
            <w:tcW w:w="1014" w:type="pct"/>
          </w:tcPr>
          <w:p w14:paraId="6F7C7691" w14:textId="77777777" w:rsidR="004D7B74" w:rsidRPr="00814BEE" w:rsidRDefault="004D7B74" w:rsidP="0046299B">
            <w:pPr>
              <w:pStyle w:val="TableTextleftaligned"/>
              <w:cnfStyle w:val="010000000000" w:firstRow="0" w:lastRow="1" w:firstColumn="0" w:lastColumn="0" w:oddVBand="0" w:evenVBand="0" w:oddHBand="0" w:evenHBand="0" w:firstRowFirstColumn="0" w:firstRowLastColumn="0" w:lastRowFirstColumn="0" w:lastRowLastColumn="0"/>
            </w:pPr>
            <w:r w:rsidRPr="00814BEE">
              <w:t>&gt;80%</w:t>
            </w:r>
          </w:p>
        </w:tc>
        <w:tc>
          <w:tcPr>
            <w:tcW w:w="1015" w:type="pct"/>
          </w:tcPr>
          <w:p w14:paraId="14DD8CD1" w14:textId="77777777" w:rsidR="004D7B74" w:rsidRPr="00814BEE" w:rsidRDefault="004D7B74" w:rsidP="0046299B">
            <w:pPr>
              <w:pStyle w:val="TableTextleftaligned"/>
              <w:cnfStyle w:val="010000000000" w:firstRow="0" w:lastRow="1" w:firstColumn="0" w:lastColumn="0" w:oddVBand="0" w:evenVBand="0" w:oddHBand="0" w:evenHBand="0" w:firstRowFirstColumn="0" w:firstRowLastColumn="0" w:lastRowFirstColumn="0" w:lastRowLastColumn="0"/>
            </w:pPr>
            <w:r w:rsidRPr="00814BEE">
              <w:t>&gt;80%</w:t>
            </w:r>
          </w:p>
        </w:tc>
        <w:tc>
          <w:tcPr>
            <w:tcW w:w="1015" w:type="pct"/>
          </w:tcPr>
          <w:p w14:paraId="126FF662" w14:textId="77777777" w:rsidR="004D7B74" w:rsidRPr="00814BEE" w:rsidRDefault="004D7B74" w:rsidP="0046299B">
            <w:pPr>
              <w:pStyle w:val="TableTextleftaligned"/>
              <w:cnfStyle w:val="010000000000" w:firstRow="0" w:lastRow="1" w:firstColumn="0" w:lastColumn="0" w:oddVBand="0" w:evenVBand="0" w:oddHBand="0" w:evenHBand="0" w:firstRowFirstColumn="0" w:firstRowLastColumn="0" w:lastRowFirstColumn="0" w:lastRowLastColumn="0"/>
            </w:pPr>
            <w:r w:rsidRPr="00814BEE">
              <w:t>&gt;80%</w:t>
            </w:r>
          </w:p>
        </w:tc>
        <w:tc>
          <w:tcPr>
            <w:tcW w:w="1013" w:type="pct"/>
          </w:tcPr>
          <w:p w14:paraId="6C4BD9E0" w14:textId="77777777" w:rsidR="004D7B74" w:rsidRPr="00814BEE" w:rsidRDefault="004D7B74" w:rsidP="0046299B">
            <w:pPr>
              <w:pStyle w:val="TableTextleftaligned"/>
              <w:cnfStyle w:val="010000000000" w:firstRow="0" w:lastRow="1" w:firstColumn="0" w:lastColumn="0" w:oddVBand="0" w:evenVBand="0" w:oddHBand="0" w:evenHBand="0" w:firstRowFirstColumn="0" w:firstRowLastColumn="0" w:lastRowFirstColumn="0" w:lastRowLastColumn="0"/>
            </w:pPr>
            <w:r w:rsidRPr="00814BEE">
              <w:t>&gt;80%</w:t>
            </w:r>
          </w:p>
        </w:tc>
      </w:tr>
    </w:tbl>
    <w:p w14:paraId="79AA33F9" w14:textId="77777777" w:rsidR="004D7B74" w:rsidRPr="0046299B" w:rsidRDefault="004D7B74" w:rsidP="0046299B">
      <w:pPr>
        <w:pStyle w:val="Heading2"/>
      </w:pPr>
      <w:bookmarkStart w:id="182" w:name="_Toc166069808"/>
      <w:bookmarkStart w:id="183" w:name="_Toc171411958"/>
      <w:bookmarkStart w:id="184" w:name="_Toc175293648"/>
      <w:bookmarkStart w:id="185" w:name="_Program_2.7_Assistance"/>
      <w:bookmarkStart w:id="186" w:name="_Toc175846511"/>
      <w:bookmarkEnd w:id="185"/>
      <w:r w:rsidRPr="000C0F76">
        <w:t>Program 2.7 Assistance through Aids and Appliances</w:t>
      </w:r>
      <w:bookmarkEnd w:id="182"/>
      <w:bookmarkEnd w:id="183"/>
      <w:bookmarkEnd w:id="184"/>
      <w:bookmarkEnd w:id="186"/>
    </w:p>
    <w:p w14:paraId="1198DD0F" w14:textId="77777777" w:rsidR="004D7B74" w:rsidRPr="000C0F76" w:rsidRDefault="004D7B74" w:rsidP="00DB198D">
      <w:pPr>
        <w:pStyle w:val="Heading3"/>
      </w:pPr>
      <w:bookmarkStart w:id="187" w:name="_Toc171411959"/>
      <w:bookmarkStart w:id="188" w:name="_Toc175293649"/>
      <w:r w:rsidRPr="000C0F76">
        <w:t>Program Objective</w:t>
      </w:r>
      <w:bookmarkEnd w:id="187"/>
      <w:bookmarkEnd w:id="188"/>
    </w:p>
    <w:p w14:paraId="306536D5" w14:textId="59BF8D9F" w:rsidR="004D7B74" w:rsidRPr="00BB4FE7" w:rsidRDefault="004D7B74" w:rsidP="00BB4FE7">
      <w:r w:rsidRPr="00BB4FE7">
        <w:t>Improve health outcomes for the Australian community through the provision of targeted assistance for aids and appliances.</w:t>
      </w:r>
    </w:p>
    <w:p w14:paraId="1BB4D28D" w14:textId="77777777" w:rsidR="00483151" w:rsidRDefault="004D7B74" w:rsidP="0046299B">
      <w:pPr>
        <w:pStyle w:val="Keyactivity"/>
      </w:pPr>
      <w:r w:rsidRPr="0074609E">
        <w:rPr>
          <w:b/>
          <w:bCs/>
        </w:rPr>
        <w:t>Key Activity 2.7:</w:t>
      </w:r>
    </w:p>
    <w:p w14:paraId="35F54D91" w14:textId="4E75E3E6" w:rsidR="004D7B74" w:rsidRPr="000C0F76" w:rsidRDefault="004D7B74" w:rsidP="0046299B">
      <w:pPr>
        <w:pStyle w:val="Keyactivity"/>
        <w:rPr>
          <w:sz w:val="24"/>
          <w:szCs w:val="24"/>
        </w:rPr>
      </w:pPr>
      <w:r w:rsidRPr="000C0F76">
        <w:t>Deliver the National Diabetes Services Scheme, with the assistance of Diabetes Australia</w:t>
      </w:r>
      <w:r w:rsidRPr="000C0F76">
        <w:rPr>
          <w:sz w:val="24"/>
          <w:szCs w:val="24"/>
        </w:rPr>
        <w:t>.</w:t>
      </w:r>
    </w:p>
    <w:p w14:paraId="2BB6D543" w14:textId="4400DE69" w:rsidR="00EE3C36" w:rsidRPr="00EE3C36" w:rsidRDefault="00EE3C36" w:rsidP="0074609E">
      <w:pPr>
        <w:rPr>
          <w:rFonts w:cs="Arial"/>
          <w:szCs w:val="20"/>
        </w:rPr>
      </w:pPr>
      <w:r w:rsidRPr="00EE3C36">
        <w:rPr>
          <w:rFonts w:cs="Arial"/>
          <w:b/>
          <w:bCs/>
          <w:szCs w:val="20"/>
        </w:rPr>
        <w:t>Key Activity rationale:</w:t>
      </w:r>
      <w:r w:rsidRPr="00EE3C36">
        <w:rPr>
          <w:rFonts w:cs="Arial"/>
          <w:szCs w:val="20"/>
        </w:rPr>
        <w:t xml:space="preserve"> This ensures that people with diabetes are supported to self-manage their condition and delivers improved health outcomes for the Australian community.</w:t>
      </w:r>
    </w:p>
    <w:tbl>
      <w:tblPr>
        <w:tblStyle w:val="TableGridLight"/>
        <w:tblW w:w="5000" w:type="pct"/>
        <w:tblLook w:val="01E0" w:firstRow="1" w:lastRow="1" w:firstColumn="1" w:lastColumn="1" w:noHBand="0" w:noVBand="0"/>
      </w:tblPr>
      <w:tblGrid>
        <w:gridCol w:w="1701"/>
        <w:gridCol w:w="1828"/>
        <w:gridCol w:w="1830"/>
        <w:gridCol w:w="1830"/>
        <w:gridCol w:w="1827"/>
      </w:tblGrid>
      <w:tr w:rsidR="004D7B74" w:rsidRPr="008E3CD6" w14:paraId="3002B5DA" w14:textId="77777777" w:rsidTr="00DB19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77D6118" w14:textId="77777777" w:rsidR="004D7B74" w:rsidRPr="0086224B" w:rsidRDefault="004D7B74" w:rsidP="00823660">
            <w:pPr>
              <w:pStyle w:val="TableTextleftaligned"/>
              <w:rPr>
                <w:b w:val="0"/>
                <w:color w:val="00B050"/>
                <w:sz w:val="22"/>
                <w:szCs w:val="22"/>
              </w:rPr>
            </w:pPr>
            <w:r w:rsidRPr="0086224B">
              <w:t>Measure 2.7A: Number of people accessing subsidised products through the National Diabetes Services Scheme.</w:t>
            </w:r>
            <w:r w:rsidRPr="0086224B">
              <w:rPr>
                <w:rStyle w:val="FootnoteReference"/>
                <w:bCs/>
              </w:rPr>
              <w:footnoteReference w:id="53"/>
            </w:r>
          </w:p>
        </w:tc>
      </w:tr>
      <w:tr w:rsidR="004D7B74" w:rsidRPr="008E3CD6" w14:paraId="5B49B280"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730747C1" w14:textId="77777777" w:rsidR="004D7B74" w:rsidRPr="001C5EF9" w:rsidRDefault="004D7B74" w:rsidP="00CA72A8">
            <w:pPr>
              <w:pStyle w:val="TableTextleftaligned"/>
              <w:spacing w:line="192" w:lineRule="auto"/>
              <w:rPr>
                <w:b w:val="0"/>
                <w:bCs/>
              </w:rPr>
            </w:pPr>
            <w:r w:rsidRPr="001C5EF9">
              <w:rPr>
                <w:bCs/>
              </w:rPr>
              <w:t>Rationale</w:t>
            </w:r>
          </w:p>
        </w:tc>
        <w:tc>
          <w:tcPr>
            <w:tcW w:w="4057" w:type="pct"/>
            <w:gridSpan w:val="4"/>
          </w:tcPr>
          <w:p w14:paraId="7958B5F7"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 xml:space="preserve">This measure reflects that providing access to subsidised products is the central element of this scheme and the single largest cost component of the scheme.  </w:t>
            </w:r>
          </w:p>
        </w:tc>
      </w:tr>
      <w:tr w:rsidR="004D7B74" w:rsidRPr="008E3CD6" w14:paraId="08672448"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3551B663" w14:textId="77777777" w:rsidR="004D7B74" w:rsidRPr="001C5EF9" w:rsidRDefault="004D7B74" w:rsidP="00CA72A8">
            <w:pPr>
              <w:pStyle w:val="TableTextleftaligned"/>
              <w:spacing w:line="192" w:lineRule="auto"/>
              <w:rPr>
                <w:b w:val="0"/>
                <w:bCs/>
              </w:rPr>
            </w:pPr>
            <w:r w:rsidRPr="001C5EF9">
              <w:rPr>
                <w:bCs/>
              </w:rPr>
              <w:t>Measure Type</w:t>
            </w:r>
          </w:p>
        </w:tc>
        <w:tc>
          <w:tcPr>
            <w:tcW w:w="4057" w:type="pct"/>
            <w:gridSpan w:val="4"/>
          </w:tcPr>
          <w:p w14:paraId="1ACEBE4C"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 xml:space="preserve">Quantitative </w:t>
            </w:r>
          </w:p>
        </w:tc>
      </w:tr>
      <w:tr w:rsidR="004D7B74" w:rsidRPr="008E3CD6" w14:paraId="334A8AF4"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0B1556A8" w14:textId="15A25EB8" w:rsidR="004D7B74" w:rsidRPr="003106EF" w:rsidRDefault="004D7B74" w:rsidP="0046299B">
            <w:pPr>
              <w:pStyle w:val="TableTextleftaligned"/>
            </w:pPr>
            <w:r w:rsidRPr="001C5EF9">
              <w:rPr>
                <w:bCs/>
              </w:rPr>
              <w:lastRenderedPageBreak/>
              <w:t>Method</w:t>
            </w:r>
            <w:r w:rsidR="0046299B">
              <w:rPr>
                <w:bCs/>
              </w:rPr>
              <w:t xml:space="preserve"> </w:t>
            </w:r>
            <w:r w:rsidRPr="003106EF">
              <w:t>(Data Source and Methodology)</w:t>
            </w:r>
          </w:p>
        </w:tc>
        <w:tc>
          <w:tcPr>
            <w:tcW w:w="4057" w:type="pct"/>
            <w:gridSpan w:val="4"/>
          </w:tcPr>
          <w:p w14:paraId="4CAA1092"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 xml:space="preserve">The NDSS Central IT System manages NDSS product ordering and supply.  This data is used to identify the number of NDSS registrants who have ordered product in the past year.  </w:t>
            </w:r>
          </w:p>
        </w:tc>
      </w:tr>
      <w:tr w:rsidR="00A375A4" w:rsidRPr="008E3CD6" w14:paraId="03FDC5A7" w14:textId="77777777" w:rsidTr="00DB198D">
        <w:tc>
          <w:tcPr>
            <w:cnfStyle w:val="001000000000" w:firstRow="0" w:lastRow="0" w:firstColumn="1" w:lastColumn="0" w:oddVBand="0" w:evenVBand="0" w:oddHBand="0" w:evenHBand="0" w:firstRowFirstColumn="0" w:firstRowLastColumn="0" w:lastRowFirstColumn="0" w:lastRowLastColumn="0"/>
            <w:tcW w:w="943" w:type="pct"/>
          </w:tcPr>
          <w:p w14:paraId="7628DA9F" w14:textId="21F6E7E4" w:rsidR="00A375A4" w:rsidRPr="001C5EF9" w:rsidRDefault="00A375A4" w:rsidP="0046299B">
            <w:pPr>
              <w:pStyle w:val="TableTextleftaligned"/>
              <w:rPr>
                <w:b w:val="0"/>
              </w:rPr>
            </w:pPr>
            <w:r w:rsidRPr="001C5EF9">
              <w:t>Linked to</w:t>
            </w:r>
            <w:r w:rsidR="0046299B">
              <w:t xml:space="preserve"> </w:t>
            </w:r>
            <w:r w:rsidRPr="001C5EF9">
              <w:t>2024–25 Portfolio Budget Statements</w:t>
            </w:r>
          </w:p>
        </w:tc>
        <w:tc>
          <w:tcPr>
            <w:tcW w:w="4057" w:type="pct"/>
            <w:gridSpan w:val="4"/>
          </w:tcPr>
          <w:p w14:paraId="1858067E" w14:textId="5292A513" w:rsidR="00A375A4" w:rsidRPr="0046299B" w:rsidRDefault="00A375A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 xml:space="preserve">Program 2.7 </w:t>
            </w:r>
            <w:r w:rsidR="00FF27E1" w:rsidRPr="0046299B">
              <w:t>-</w:t>
            </w:r>
            <w:r w:rsidRPr="0046299B">
              <w:t xml:space="preserve"> Assistance through Aids and Appliances – page </w:t>
            </w:r>
            <w:r w:rsidR="00CF0804" w:rsidRPr="0046299B">
              <w:t>86</w:t>
            </w:r>
          </w:p>
        </w:tc>
      </w:tr>
      <w:tr w:rsidR="004D7B74" w:rsidRPr="008E3CD6" w14:paraId="2CEB2860" w14:textId="77777777" w:rsidTr="0046299B">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4DC18B48" w14:textId="77777777" w:rsidR="004D7B74" w:rsidRPr="001C5EF9" w:rsidRDefault="004D7B74" w:rsidP="0046299B">
            <w:pPr>
              <w:pStyle w:val="TableTextleftaligned"/>
              <w:rPr>
                <w:b w:val="0"/>
              </w:rPr>
            </w:pPr>
            <w:r w:rsidRPr="001C5EF9">
              <w:t>Planned Performance Results</w:t>
            </w:r>
          </w:p>
        </w:tc>
        <w:tc>
          <w:tcPr>
            <w:tcW w:w="1014" w:type="pct"/>
            <w:shd w:val="clear" w:color="auto" w:fill="BFBFBF" w:themeFill="background1" w:themeFillShade="BF"/>
            <w:vAlign w:val="center"/>
          </w:tcPr>
          <w:p w14:paraId="15091E6D" w14:textId="77777777" w:rsidR="004D7B74" w:rsidRPr="0046299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46299B">
              <w:t>2024–25</w:t>
            </w:r>
          </w:p>
        </w:tc>
        <w:tc>
          <w:tcPr>
            <w:tcW w:w="1015" w:type="pct"/>
            <w:shd w:val="clear" w:color="auto" w:fill="BFBFBF" w:themeFill="background1" w:themeFillShade="BF"/>
            <w:vAlign w:val="center"/>
          </w:tcPr>
          <w:p w14:paraId="19E10A33" w14:textId="77777777" w:rsidR="004D7B74" w:rsidRPr="0046299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46299B">
              <w:t>2025–26</w:t>
            </w:r>
          </w:p>
        </w:tc>
        <w:tc>
          <w:tcPr>
            <w:tcW w:w="1015" w:type="pct"/>
            <w:shd w:val="clear" w:color="auto" w:fill="BFBFBF" w:themeFill="background1" w:themeFillShade="BF"/>
            <w:vAlign w:val="center"/>
          </w:tcPr>
          <w:p w14:paraId="69510EC2" w14:textId="77777777" w:rsidR="004D7B74" w:rsidRPr="0046299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46299B">
              <w:t>2026–27</w:t>
            </w:r>
          </w:p>
        </w:tc>
        <w:tc>
          <w:tcPr>
            <w:tcW w:w="1013" w:type="pct"/>
            <w:shd w:val="clear" w:color="auto" w:fill="BFBFBF" w:themeFill="background1" w:themeFillShade="BF"/>
            <w:vAlign w:val="center"/>
          </w:tcPr>
          <w:p w14:paraId="65B00636" w14:textId="77777777" w:rsidR="004D7B74" w:rsidRPr="0046299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46299B">
              <w:t>2027–28</w:t>
            </w:r>
          </w:p>
        </w:tc>
      </w:tr>
      <w:tr w:rsidR="004D7B74" w:rsidRPr="008E3CD6" w14:paraId="62C67D0D" w14:textId="77777777" w:rsidTr="00DB19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vMerge/>
          </w:tcPr>
          <w:p w14:paraId="5478ADC9" w14:textId="77777777" w:rsidR="004D7B74" w:rsidRPr="009B277D" w:rsidRDefault="004D7B74" w:rsidP="00CA72A8">
            <w:pPr>
              <w:pStyle w:val="TableTextleftaligned"/>
              <w:spacing w:line="192" w:lineRule="auto"/>
              <w:rPr>
                <w:b w:val="0"/>
                <w:bCs/>
              </w:rPr>
            </w:pPr>
          </w:p>
        </w:tc>
        <w:tc>
          <w:tcPr>
            <w:tcW w:w="1014" w:type="pct"/>
          </w:tcPr>
          <w:p w14:paraId="34AFD9BA" w14:textId="77777777" w:rsidR="004D7B74" w:rsidRPr="003C70F5"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3C70F5">
              <w:t>&gt;750,000</w:t>
            </w:r>
            <w:r>
              <w:rPr>
                <w:rStyle w:val="FootnoteReference"/>
              </w:rPr>
              <w:footnoteReference w:id="54"/>
            </w:r>
          </w:p>
        </w:tc>
        <w:tc>
          <w:tcPr>
            <w:tcW w:w="1015" w:type="pct"/>
          </w:tcPr>
          <w:p w14:paraId="59408903" w14:textId="77777777" w:rsidR="004D7B74" w:rsidRPr="003C70F5"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3C70F5">
              <w:t xml:space="preserve">&gt;750,000 </w:t>
            </w:r>
          </w:p>
        </w:tc>
        <w:tc>
          <w:tcPr>
            <w:tcW w:w="1015" w:type="pct"/>
          </w:tcPr>
          <w:p w14:paraId="1BD52D21" w14:textId="77777777" w:rsidR="004D7B74" w:rsidRPr="003C70F5"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3C70F5">
              <w:t xml:space="preserve">&gt;750,000 </w:t>
            </w:r>
          </w:p>
        </w:tc>
        <w:tc>
          <w:tcPr>
            <w:tcW w:w="1013" w:type="pct"/>
          </w:tcPr>
          <w:p w14:paraId="5C311A30" w14:textId="77777777" w:rsidR="004D7B74" w:rsidRPr="003C70F5" w:rsidRDefault="004D7B74" w:rsidP="00823660">
            <w:pPr>
              <w:pStyle w:val="TableTextleftaligned"/>
              <w:cnfStyle w:val="010000000000" w:firstRow="0" w:lastRow="1" w:firstColumn="0" w:lastColumn="0" w:oddVBand="0" w:evenVBand="0" w:oddHBand="0" w:evenHBand="0" w:firstRowFirstColumn="0" w:firstRowLastColumn="0" w:lastRowFirstColumn="0" w:lastRowLastColumn="0"/>
            </w:pPr>
            <w:r w:rsidRPr="003C70F5">
              <w:t xml:space="preserve">&gt;750,000 </w:t>
            </w:r>
          </w:p>
        </w:tc>
      </w:tr>
    </w:tbl>
    <w:p w14:paraId="65A91947" w14:textId="59FC7C19" w:rsidR="000730D9" w:rsidRPr="00DB198D" w:rsidRDefault="000730D9" w:rsidP="00DB198D">
      <w:bookmarkStart w:id="189" w:name="_Toc166069810"/>
      <w:bookmarkStart w:id="190" w:name="_Toc175293650"/>
      <w:r w:rsidRPr="00DB198D">
        <w:br w:type="page"/>
      </w:r>
    </w:p>
    <w:p w14:paraId="0EA689D6" w14:textId="40B472E9" w:rsidR="004D7B74" w:rsidRPr="000C0F76" w:rsidRDefault="004D7B74" w:rsidP="0046299B">
      <w:pPr>
        <w:pStyle w:val="Heading1"/>
      </w:pPr>
      <w:bookmarkStart w:id="191" w:name="_Hlk175669464"/>
      <w:bookmarkStart w:id="192" w:name="_Toc175846512"/>
      <w:r w:rsidRPr="000C0F76">
        <w:lastRenderedPageBreak/>
        <w:t xml:space="preserve">Outcome 3 Ageing </w:t>
      </w:r>
      <w:r w:rsidRPr="0046299B">
        <w:t>and</w:t>
      </w:r>
      <w:r w:rsidRPr="000C0F76">
        <w:t xml:space="preserve"> Aged Care</w:t>
      </w:r>
      <w:bookmarkEnd w:id="189"/>
      <w:bookmarkEnd w:id="190"/>
      <w:bookmarkEnd w:id="192"/>
    </w:p>
    <w:bookmarkEnd w:id="191"/>
    <w:p w14:paraId="26027CCF" w14:textId="77777777" w:rsidR="004D7B74" w:rsidRPr="0046299B" w:rsidRDefault="004D7B74" w:rsidP="0046299B">
      <w:r w:rsidRPr="0046299B">
        <w:t>Improved wellbeing for older Australians through targeted support, access to appropriate, high-quality care, and related information services.</w:t>
      </w:r>
    </w:p>
    <w:p w14:paraId="3BE65183" w14:textId="5D949282" w:rsidR="005C150F" w:rsidRPr="0046299B" w:rsidRDefault="005C150F" w:rsidP="009B44A6">
      <w:pPr>
        <w:pBdr>
          <w:top w:val="single" w:sz="8" w:space="1" w:color="A5A5A5" w:themeColor="accent3"/>
        </w:pBdr>
        <w:rPr>
          <w:rStyle w:val="Strong"/>
        </w:rPr>
      </w:pPr>
      <w:bookmarkStart w:id="193" w:name="_Toc166069811"/>
      <w:bookmarkStart w:id="194" w:name="_Toc171411961"/>
      <w:bookmarkStart w:id="195" w:name="_Toc175293651"/>
      <w:r w:rsidRPr="0046299B">
        <w:rPr>
          <w:rStyle w:val="Strong"/>
        </w:rPr>
        <w:t>Outcome 3 is delivered through the following programs:</w:t>
      </w:r>
    </w:p>
    <w:p w14:paraId="5969E605" w14:textId="3F3FA768" w:rsidR="005C150F" w:rsidRPr="0046299B" w:rsidRDefault="0046299B" w:rsidP="0046299B">
      <w:hyperlink w:anchor="_Program_3.1_Access" w:history="1">
        <w:r w:rsidRPr="0046299B">
          <w:rPr>
            <w:rStyle w:val="Hyperlink"/>
          </w:rPr>
          <w:t xml:space="preserve">3.1 </w:t>
        </w:r>
        <w:r w:rsidR="005C150F" w:rsidRPr="0046299B">
          <w:rPr>
            <w:rStyle w:val="Hyperlink"/>
          </w:rPr>
          <w:t>Access and Information</w:t>
        </w:r>
      </w:hyperlink>
    </w:p>
    <w:p w14:paraId="15AA0A4A" w14:textId="166C2EF7" w:rsidR="005C150F" w:rsidRPr="0046299B" w:rsidRDefault="0046299B" w:rsidP="0046299B">
      <w:hyperlink w:anchor="_Program_3.2_Aged" w:history="1">
        <w:r w:rsidRPr="0046299B">
          <w:rPr>
            <w:rStyle w:val="Hyperlink"/>
          </w:rPr>
          <w:t xml:space="preserve">3.2 </w:t>
        </w:r>
        <w:r w:rsidR="005C150F" w:rsidRPr="0046299B">
          <w:rPr>
            <w:rStyle w:val="Hyperlink"/>
          </w:rPr>
          <w:t>Aged Care Services</w:t>
        </w:r>
      </w:hyperlink>
    </w:p>
    <w:p w14:paraId="74794244" w14:textId="01ED6B3F" w:rsidR="005C150F" w:rsidRPr="0046299B" w:rsidRDefault="0046299B" w:rsidP="009B44A6">
      <w:pPr>
        <w:pBdr>
          <w:bottom w:val="single" w:sz="8" w:space="1" w:color="A5A5A5" w:themeColor="accent3"/>
        </w:pBdr>
      </w:pPr>
      <w:hyperlink w:anchor="_Program_3.3_Aged" w:history="1">
        <w:r w:rsidRPr="0046299B">
          <w:rPr>
            <w:rStyle w:val="Hyperlink"/>
          </w:rPr>
          <w:t xml:space="preserve">3.3 </w:t>
        </w:r>
        <w:r w:rsidR="005C150F" w:rsidRPr="0046299B">
          <w:rPr>
            <w:rStyle w:val="Hyperlink"/>
          </w:rPr>
          <w:t>Aged Care Quality</w:t>
        </w:r>
      </w:hyperlink>
    </w:p>
    <w:p w14:paraId="05AC771D" w14:textId="77777777" w:rsidR="00E761CE" w:rsidRPr="00DB198D" w:rsidRDefault="00E761CE" w:rsidP="00DB198D">
      <w:r w:rsidRPr="00BB4FE7">
        <w:br w:type="page"/>
      </w:r>
    </w:p>
    <w:p w14:paraId="487ACF2A" w14:textId="212E9D0B" w:rsidR="004D7B74" w:rsidRPr="000C0F76" w:rsidRDefault="004D7B74" w:rsidP="005C150F">
      <w:pPr>
        <w:pStyle w:val="Heading2"/>
        <w:spacing w:before="0"/>
        <w:rPr>
          <w:rFonts w:cs="Arial"/>
        </w:rPr>
      </w:pPr>
      <w:bookmarkStart w:id="196" w:name="_Program_3.1_Access"/>
      <w:bookmarkStart w:id="197" w:name="_Toc175846513"/>
      <w:bookmarkEnd w:id="196"/>
      <w:r w:rsidRPr="000C0F76">
        <w:rPr>
          <w:rFonts w:cs="Arial"/>
        </w:rPr>
        <w:lastRenderedPageBreak/>
        <w:t>Program 3.1 Access and Information</w:t>
      </w:r>
      <w:bookmarkEnd w:id="193"/>
      <w:bookmarkEnd w:id="194"/>
      <w:bookmarkEnd w:id="195"/>
      <w:bookmarkEnd w:id="197"/>
    </w:p>
    <w:p w14:paraId="4E019A66" w14:textId="54CC5144" w:rsidR="004D7B74" w:rsidRPr="000C0F76" w:rsidRDefault="004D7B74" w:rsidP="0046299B">
      <w:pPr>
        <w:pStyle w:val="Heading3"/>
      </w:pPr>
      <w:bookmarkStart w:id="198" w:name="_Toc166069812"/>
      <w:bookmarkStart w:id="199" w:name="_Toc171411962"/>
      <w:bookmarkStart w:id="200" w:name="_Toc175293652"/>
      <w:r w:rsidRPr="000C0F76">
        <w:t>Program Objective</w:t>
      </w:r>
      <w:bookmarkEnd w:id="198"/>
      <w:bookmarkEnd w:id="199"/>
      <w:bookmarkEnd w:id="200"/>
    </w:p>
    <w:p w14:paraId="2E8D175E" w14:textId="77777777" w:rsidR="004D7B74" w:rsidRPr="00BB4FE7" w:rsidRDefault="004D7B74" w:rsidP="00823660">
      <w:r w:rsidRPr="00BB4FE7">
        <w:t xml:space="preserve">My Aged Care provides older people and their support networks with reliable and trusted information about aged care services. It provides timely and appropriate assessments aligned to needs and goals, appropriate </w:t>
      </w:r>
      <w:proofErr w:type="gramStart"/>
      <w:r w:rsidRPr="00BB4FE7">
        <w:t>referrals</w:t>
      </w:r>
      <w:proofErr w:type="gramEnd"/>
      <w:r w:rsidRPr="00BB4FE7">
        <w:t xml:space="preserve"> </w:t>
      </w:r>
      <w:r w:rsidRPr="00823660">
        <w:t>and</w:t>
      </w:r>
      <w:r w:rsidRPr="00BB4FE7">
        <w:t xml:space="preserve"> equitable access to aged care services. Navigation services support vulnerable people who are not able to access aged care without this help. </w:t>
      </w:r>
    </w:p>
    <w:p w14:paraId="3A82324A" w14:textId="77777777" w:rsidR="009B44A6" w:rsidRDefault="004D7B74" w:rsidP="009B44A6">
      <w:pPr>
        <w:pStyle w:val="Keyactivity"/>
        <w:rPr>
          <w:b/>
          <w:bCs/>
        </w:rPr>
      </w:pPr>
      <w:r w:rsidRPr="000C0F76">
        <w:rPr>
          <w:b/>
          <w:bCs/>
        </w:rPr>
        <w:t>Key Activity 3.1A</w:t>
      </w:r>
      <w:r w:rsidR="009969B6">
        <w:rPr>
          <w:b/>
          <w:bCs/>
        </w:rPr>
        <w:t xml:space="preserve"> and B</w:t>
      </w:r>
      <w:r w:rsidRPr="000C0F76">
        <w:rPr>
          <w:b/>
          <w:bCs/>
        </w:rPr>
        <w:t>:</w:t>
      </w:r>
    </w:p>
    <w:p w14:paraId="75C64298" w14:textId="1E8DA1BB" w:rsidR="004D7B74" w:rsidRDefault="004D7B74" w:rsidP="009B44A6">
      <w:pPr>
        <w:pStyle w:val="Keyactivity"/>
      </w:pPr>
      <w:r w:rsidRPr="000C0F76">
        <w:t xml:space="preserve">Facilitate access to aged care services. </w:t>
      </w:r>
    </w:p>
    <w:p w14:paraId="2CCD1844" w14:textId="63D0E772" w:rsidR="000C0F76" w:rsidRPr="009969B6" w:rsidRDefault="000C0F76" w:rsidP="003F0109">
      <w:pPr>
        <w:rPr>
          <w:rFonts w:cs="Arial"/>
          <w:szCs w:val="20"/>
        </w:rPr>
      </w:pPr>
      <w:r w:rsidRPr="009969B6">
        <w:rPr>
          <w:rFonts w:cs="Arial"/>
          <w:b/>
          <w:bCs/>
          <w:szCs w:val="20"/>
        </w:rPr>
        <w:t>Key Activity rationale:</w:t>
      </w:r>
      <w:r w:rsidRPr="009969B6">
        <w:rPr>
          <w:rFonts w:cs="Arial"/>
          <w:szCs w:val="20"/>
        </w:rPr>
        <w:t xml:space="preserve"> </w:t>
      </w:r>
      <w:r w:rsidR="009969B6" w:rsidRPr="009969B6">
        <w:rPr>
          <w:rFonts w:cs="Arial"/>
          <w:szCs w:val="20"/>
        </w:rPr>
        <w:t>This is the key activity relates to the program objective of facilitating older people and their support networks to have access to aged care services through My Aged Care.</w:t>
      </w:r>
    </w:p>
    <w:tbl>
      <w:tblPr>
        <w:tblStyle w:val="TableGridLight"/>
        <w:tblW w:w="0" w:type="auto"/>
        <w:tblLook w:val="06A0" w:firstRow="1" w:lastRow="0" w:firstColumn="1" w:lastColumn="0" w:noHBand="1" w:noVBand="1"/>
      </w:tblPr>
      <w:tblGrid>
        <w:gridCol w:w="1646"/>
        <w:gridCol w:w="1690"/>
        <w:gridCol w:w="1690"/>
        <w:gridCol w:w="1592"/>
        <w:gridCol w:w="403"/>
        <w:gridCol w:w="403"/>
        <w:gridCol w:w="1592"/>
      </w:tblGrid>
      <w:tr w:rsidR="004D7B74" w:rsidRPr="008E3CD6" w14:paraId="13D2881D" w14:textId="77777777" w:rsidTr="00483151">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0" w:type="auto"/>
            <w:gridSpan w:val="7"/>
          </w:tcPr>
          <w:p w14:paraId="1BB1ECB4" w14:textId="77777777" w:rsidR="004D7B74" w:rsidRPr="00823660" w:rsidRDefault="004D7B74" w:rsidP="00823660">
            <w:r w:rsidRPr="00823660">
              <w:t xml:space="preserve">Measure 3.1A: Older people and their support networks have access to reliable and trusted information through My Aged Care. </w:t>
            </w:r>
          </w:p>
        </w:tc>
      </w:tr>
      <w:tr w:rsidR="004D7B74" w:rsidRPr="008E3CD6" w14:paraId="517F5C7D" w14:textId="77777777" w:rsidTr="00483151">
        <w:tc>
          <w:tcPr>
            <w:cnfStyle w:val="001000000000" w:firstRow="0" w:lastRow="0" w:firstColumn="1" w:lastColumn="0" w:oddVBand="0" w:evenVBand="0" w:oddHBand="0" w:evenHBand="0" w:firstRowFirstColumn="0" w:firstRowLastColumn="0" w:lastRowFirstColumn="0" w:lastRowLastColumn="0"/>
            <w:tcW w:w="0" w:type="auto"/>
          </w:tcPr>
          <w:p w14:paraId="0EBC8865" w14:textId="77777777" w:rsidR="004D7B74" w:rsidRPr="009B277D" w:rsidRDefault="004D7B74" w:rsidP="00CA72A8">
            <w:pPr>
              <w:pStyle w:val="TableTextleftaligned"/>
              <w:spacing w:line="192" w:lineRule="auto"/>
              <w:rPr>
                <w:b w:val="0"/>
                <w:bCs/>
              </w:rPr>
            </w:pPr>
            <w:r w:rsidRPr="009B277D">
              <w:rPr>
                <w:bCs/>
              </w:rPr>
              <w:t>Rationale</w:t>
            </w:r>
          </w:p>
        </w:tc>
        <w:tc>
          <w:tcPr>
            <w:tcW w:w="0" w:type="auto"/>
            <w:gridSpan w:val="6"/>
          </w:tcPr>
          <w:p w14:paraId="71C94595" w14:textId="5CE7315C" w:rsidR="004D7B74" w:rsidRPr="0082366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23660">
              <w:t xml:space="preserve">The measure enables the department to assess the effectiveness of its activities in contributing to older people having access to </w:t>
            </w:r>
            <w:r w:rsidR="00207784" w:rsidRPr="00823660">
              <w:t xml:space="preserve">easy to understand, </w:t>
            </w:r>
            <w:r w:rsidRPr="00823660">
              <w:t>reliable and trusted information through the My Aged Care contact centre and website</w:t>
            </w:r>
            <w:r w:rsidRPr="00823660">
              <w:footnoteReference w:id="55"/>
            </w:r>
            <w:r w:rsidRPr="00823660">
              <w:t>. The performance result, based on surveyed customer satisfaction levels, allows the department (and the public) to determine whether its services meet the needs of these customers and are therefore effective. It also assists in determining the realisation of benefits from the investment in the website and contact centre and inform continuous improvement opportunities. Achieving the performance result demonstrates that the department’s activities are providing reliable and trusted information</w:t>
            </w:r>
            <w:r w:rsidR="00207784" w:rsidRPr="00823660">
              <w:t xml:space="preserve"> that is easy to understand.</w:t>
            </w:r>
          </w:p>
        </w:tc>
      </w:tr>
      <w:tr w:rsidR="004D7B74" w:rsidRPr="008E3CD6" w14:paraId="5EFD1039" w14:textId="77777777" w:rsidTr="00483151">
        <w:tc>
          <w:tcPr>
            <w:cnfStyle w:val="001000000000" w:firstRow="0" w:lastRow="0" w:firstColumn="1" w:lastColumn="0" w:oddVBand="0" w:evenVBand="0" w:oddHBand="0" w:evenHBand="0" w:firstRowFirstColumn="0" w:firstRowLastColumn="0" w:lastRowFirstColumn="0" w:lastRowLastColumn="0"/>
            <w:tcW w:w="0" w:type="auto"/>
          </w:tcPr>
          <w:p w14:paraId="1E0C0EE3" w14:textId="77777777" w:rsidR="004D7B74" w:rsidRPr="009B277D" w:rsidRDefault="004D7B74" w:rsidP="00CA72A8">
            <w:pPr>
              <w:pStyle w:val="TableTextleftaligned"/>
              <w:spacing w:line="192" w:lineRule="auto"/>
              <w:rPr>
                <w:b w:val="0"/>
                <w:bCs/>
              </w:rPr>
            </w:pPr>
            <w:r w:rsidRPr="009B277D">
              <w:rPr>
                <w:bCs/>
              </w:rPr>
              <w:t>Measure Type</w:t>
            </w:r>
          </w:p>
        </w:tc>
        <w:tc>
          <w:tcPr>
            <w:tcW w:w="0" w:type="auto"/>
            <w:gridSpan w:val="6"/>
          </w:tcPr>
          <w:p w14:paraId="4FA3EE62" w14:textId="77777777" w:rsidR="004D7B74" w:rsidRPr="00C4031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C40310">
              <w:t>Quantitative / Effectiveness</w:t>
            </w:r>
          </w:p>
        </w:tc>
      </w:tr>
      <w:tr w:rsidR="004D7B74" w:rsidRPr="008E3CD6" w14:paraId="1DB3EDA6" w14:textId="77777777" w:rsidTr="00483151">
        <w:tc>
          <w:tcPr>
            <w:cnfStyle w:val="001000000000" w:firstRow="0" w:lastRow="0" w:firstColumn="1" w:lastColumn="0" w:oddVBand="0" w:evenVBand="0" w:oddHBand="0" w:evenHBand="0" w:firstRowFirstColumn="0" w:firstRowLastColumn="0" w:lastRowFirstColumn="0" w:lastRowLastColumn="0"/>
            <w:tcW w:w="0" w:type="auto"/>
          </w:tcPr>
          <w:p w14:paraId="7AFB311A" w14:textId="02FE1AE2" w:rsidR="004D7B74" w:rsidRPr="009B277D" w:rsidRDefault="004D7B74" w:rsidP="00483151">
            <w:pPr>
              <w:pStyle w:val="TableTextleftaligned"/>
              <w:rPr>
                <w:b w:val="0"/>
                <w:bCs/>
              </w:rPr>
            </w:pPr>
            <w:r w:rsidRPr="009B277D">
              <w:rPr>
                <w:bCs/>
              </w:rPr>
              <w:t>Method</w:t>
            </w:r>
            <w:r>
              <w:rPr>
                <w:bCs/>
              </w:rPr>
              <w:t xml:space="preserve"> </w:t>
            </w:r>
            <w:r w:rsidRPr="002B335E">
              <w:t>(</w:t>
            </w:r>
            <w:r w:rsidRPr="003106EF">
              <w:t>Data Source and Methodology)</w:t>
            </w:r>
          </w:p>
        </w:tc>
        <w:tc>
          <w:tcPr>
            <w:tcW w:w="0" w:type="auto"/>
            <w:gridSpan w:val="6"/>
          </w:tcPr>
          <w:p w14:paraId="1197AE3B" w14:textId="77777777" w:rsidR="004D7B74" w:rsidRPr="0046299B"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46299B">
              <w:rPr>
                <w:rStyle w:val="Strong"/>
              </w:rPr>
              <w:t>My Aged Care website:</w:t>
            </w:r>
          </w:p>
          <w:p w14:paraId="0303C39C" w14:textId="77777777" w:rsidR="004D7B74" w:rsidRPr="00C4031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C40310">
              <w:t xml:space="preserve">The data source for this measure is responses from users of the My Aged Care website to a voluntary onsite survey. Satisfaction is determined by an aggregate score from multiple questions which measure key indicators of website satisfaction, including helpfulness, usefulness, </w:t>
            </w:r>
            <w:proofErr w:type="gramStart"/>
            <w:r w:rsidRPr="00C40310">
              <w:t>clarity</w:t>
            </w:r>
            <w:proofErr w:type="gramEnd"/>
            <w:r w:rsidRPr="00C40310">
              <w:t xml:space="preserve"> and ease of use. The data is verified to ensure its reliability. </w:t>
            </w:r>
          </w:p>
          <w:p w14:paraId="75F0ECE1" w14:textId="77777777" w:rsidR="004D7B74" w:rsidRPr="0046299B"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46299B">
              <w:rPr>
                <w:rStyle w:val="Strong"/>
              </w:rPr>
              <w:t xml:space="preserve">My Aged Care contact centre: </w:t>
            </w:r>
          </w:p>
          <w:p w14:paraId="74B34D93" w14:textId="259613D2" w:rsidR="004D7B74" w:rsidRPr="0082366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C40310">
              <w:t>The data source for this measure is customer satisfaction survey responses from a random and representative sample of My Aged Care Contact Centre users. The survey is conducted through an independent market research company. Data is verified to ensure the accuracy of both customer details and their choice to participate in the survey. ‘Satisfied’ callers to the contact centre are those who give the contact centre a score of 6 to 10 on a scale of zero to 10 in response to the survey.</w:t>
            </w:r>
          </w:p>
        </w:tc>
      </w:tr>
      <w:tr w:rsidR="00FF27E1" w:rsidRPr="008E3CD6" w14:paraId="299DC952" w14:textId="77777777" w:rsidTr="00483151">
        <w:tc>
          <w:tcPr>
            <w:cnfStyle w:val="001000000000" w:firstRow="0" w:lastRow="0" w:firstColumn="1" w:lastColumn="0" w:oddVBand="0" w:evenVBand="0" w:oddHBand="0" w:evenHBand="0" w:firstRowFirstColumn="0" w:firstRowLastColumn="0" w:lastRowFirstColumn="0" w:lastRowLastColumn="0"/>
            <w:tcW w:w="0" w:type="auto"/>
          </w:tcPr>
          <w:p w14:paraId="09CE52B8" w14:textId="46E7C691" w:rsidR="00FF27E1" w:rsidRPr="009B277D" w:rsidRDefault="00FF27E1" w:rsidP="00483151">
            <w:pPr>
              <w:pStyle w:val="TableTextleftaligned"/>
              <w:rPr>
                <w:b w:val="0"/>
              </w:rPr>
            </w:pPr>
            <w:r>
              <w:t>Linked to</w:t>
            </w:r>
            <w:r w:rsidR="00483151">
              <w:t xml:space="preserve"> </w:t>
            </w:r>
            <w:r>
              <w:t>2024–25 Portfolio Budget Statements</w:t>
            </w:r>
          </w:p>
        </w:tc>
        <w:tc>
          <w:tcPr>
            <w:tcW w:w="0" w:type="auto"/>
            <w:gridSpan w:val="6"/>
          </w:tcPr>
          <w:p w14:paraId="4B48241A" w14:textId="4C3ABB76" w:rsidR="00FF27E1" w:rsidRPr="00C40310" w:rsidRDefault="00FF27E1" w:rsidP="00823660">
            <w:pPr>
              <w:pStyle w:val="TableTextleftaligned"/>
              <w:cnfStyle w:val="000000000000" w:firstRow="0" w:lastRow="0" w:firstColumn="0" w:lastColumn="0" w:oddVBand="0" w:evenVBand="0" w:oddHBand="0" w:evenHBand="0" w:firstRowFirstColumn="0" w:firstRowLastColumn="0" w:lastRowFirstColumn="0" w:lastRowLastColumn="0"/>
            </w:pPr>
            <w:r w:rsidRPr="00E6299A">
              <w:t xml:space="preserve">Program </w:t>
            </w:r>
            <w:r>
              <w:t xml:space="preserve">3.1 </w:t>
            </w:r>
            <w:r w:rsidR="00D60D69">
              <w:t>-</w:t>
            </w:r>
            <w:r w:rsidRPr="00E6299A">
              <w:t xml:space="preserve"> </w:t>
            </w:r>
            <w:r w:rsidR="0002644A">
              <w:t xml:space="preserve">Access and Information </w:t>
            </w:r>
            <w:r w:rsidRPr="00E6299A">
              <w:t xml:space="preserve">– page </w:t>
            </w:r>
            <w:r w:rsidR="0002644A">
              <w:t>93</w:t>
            </w:r>
          </w:p>
        </w:tc>
      </w:tr>
      <w:tr w:rsidR="00483151" w:rsidRPr="008E3CD6" w14:paraId="14B6A61F" w14:textId="77777777" w:rsidTr="00483151">
        <w:trPr>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AB0CCDA" w14:textId="77777777" w:rsidR="004D7B74" w:rsidRPr="0046299B" w:rsidRDefault="004D7B74" w:rsidP="00483151">
            <w:pPr>
              <w:pStyle w:val="TableTextleftaligned"/>
            </w:pPr>
            <w:r w:rsidRPr="0046299B">
              <w:t xml:space="preserve">Planned </w:t>
            </w:r>
            <w:r w:rsidRPr="00483151">
              <w:t>Performance</w:t>
            </w:r>
            <w:r w:rsidRPr="0046299B">
              <w:t xml:space="preserve"> Results</w:t>
            </w:r>
          </w:p>
        </w:tc>
        <w:tc>
          <w:tcPr>
            <w:tcW w:w="0" w:type="auto"/>
            <w:shd w:val="clear" w:color="auto" w:fill="BFBFBF" w:themeFill="background1" w:themeFillShade="BF"/>
            <w:vAlign w:val="center"/>
          </w:tcPr>
          <w:p w14:paraId="0BAF8EFB" w14:textId="77777777" w:rsidR="004D7B74" w:rsidRPr="0046299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46299B">
              <w:t>2024–25</w:t>
            </w:r>
          </w:p>
        </w:tc>
        <w:tc>
          <w:tcPr>
            <w:tcW w:w="0" w:type="auto"/>
            <w:shd w:val="clear" w:color="auto" w:fill="BFBFBF" w:themeFill="background1" w:themeFillShade="BF"/>
            <w:vAlign w:val="center"/>
          </w:tcPr>
          <w:p w14:paraId="690CE71B" w14:textId="77777777" w:rsidR="004D7B74" w:rsidRPr="0046299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46299B">
              <w:t>2025–26</w:t>
            </w:r>
          </w:p>
        </w:tc>
        <w:tc>
          <w:tcPr>
            <w:tcW w:w="0" w:type="auto"/>
            <w:gridSpan w:val="2"/>
            <w:shd w:val="clear" w:color="auto" w:fill="BFBFBF" w:themeFill="background1" w:themeFillShade="BF"/>
            <w:vAlign w:val="center"/>
          </w:tcPr>
          <w:p w14:paraId="2F0AF24B" w14:textId="77777777" w:rsidR="004D7B74" w:rsidRPr="0046299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46299B">
              <w:t>2026–27</w:t>
            </w:r>
          </w:p>
        </w:tc>
        <w:tc>
          <w:tcPr>
            <w:tcW w:w="0" w:type="auto"/>
            <w:gridSpan w:val="2"/>
            <w:shd w:val="clear" w:color="auto" w:fill="BFBFBF" w:themeFill="background1" w:themeFillShade="BF"/>
            <w:vAlign w:val="center"/>
          </w:tcPr>
          <w:p w14:paraId="51FDE7E9" w14:textId="77777777" w:rsidR="004D7B74" w:rsidRPr="0046299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46299B">
              <w:t>2027–28</w:t>
            </w:r>
          </w:p>
        </w:tc>
      </w:tr>
      <w:tr w:rsidR="00483151" w:rsidRPr="008E3CD6" w14:paraId="01085C8B" w14:textId="77777777" w:rsidTr="00483151">
        <w:tc>
          <w:tcPr>
            <w:cnfStyle w:val="001000000000" w:firstRow="0" w:lastRow="0" w:firstColumn="1" w:lastColumn="0" w:oddVBand="0" w:evenVBand="0" w:oddHBand="0" w:evenHBand="0" w:firstRowFirstColumn="0" w:firstRowLastColumn="0" w:lastRowFirstColumn="0" w:lastRowLastColumn="0"/>
            <w:tcW w:w="0" w:type="auto"/>
            <w:vMerge/>
          </w:tcPr>
          <w:p w14:paraId="3E0FA9E3" w14:textId="77777777" w:rsidR="004D7B74" w:rsidRPr="009B277D" w:rsidRDefault="004D7B74" w:rsidP="00CA72A8">
            <w:pPr>
              <w:pStyle w:val="TableTextleftaligned"/>
              <w:spacing w:line="192" w:lineRule="auto"/>
              <w:rPr>
                <w:b w:val="0"/>
                <w:bCs/>
              </w:rPr>
            </w:pPr>
          </w:p>
        </w:tc>
        <w:tc>
          <w:tcPr>
            <w:tcW w:w="0" w:type="auto"/>
          </w:tcPr>
          <w:p w14:paraId="79F52CE6" w14:textId="1DA6A892" w:rsidR="004D7B74" w:rsidRPr="00823660" w:rsidRDefault="00483151" w:rsidP="00823660">
            <w:pPr>
              <w:cnfStyle w:val="000000000000" w:firstRow="0" w:lastRow="0" w:firstColumn="0" w:lastColumn="0" w:oddVBand="0" w:evenVBand="0" w:oddHBand="0" w:evenHBand="0" w:firstRowFirstColumn="0" w:firstRowLastColumn="0" w:lastRowFirstColumn="0" w:lastRowLastColumn="0"/>
            </w:pPr>
            <w:r>
              <w:t xml:space="preserve">a. </w:t>
            </w:r>
            <w:r w:rsidR="004D7B74" w:rsidRPr="00823660">
              <w:t xml:space="preserve">The percentage of surveyed users who are satisfied with the service </w:t>
            </w:r>
            <w:r w:rsidR="004D7B74" w:rsidRPr="00823660">
              <w:lastRenderedPageBreak/>
              <w:t>provided by the My Aged Care website ≥65%.</w:t>
            </w:r>
          </w:p>
          <w:p w14:paraId="4DC85FAD" w14:textId="30EBDC11" w:rsidR="004D7B74" w:rsidRPr="00823660" w:rsidRDefault="00483151" w:rsidP="00823660">
            <w:pPr>
              <w:cnfStyle w:val="000000000000" w:firstRow="0" w:lastRow="0" w:firstColumn="0" w:lastColumn="0" w:oddVBand="0" w:evenVBand="0" w:oddHBand="0" w:evenHBand="0" w:firstRowFirstColumn="0" w:firstRowLastColumn="0" w:lastRowFirstColumn="0" w:lastRowLastColumn="0"/>
            </w:pPr>
            <w:r>
              <w:t xml:space="preserve">b. </w:t>
            </w:r>
            <w:r w:rsidR="004D7B74" w:rsidRPr="00823660">
              <w:t>The percentage of surveyed users who are satisfied with the service provided by the My Aged Care Contact Centre &gt;95%</w:t>
            </w:r>
          </w:p>
        </w:tc>
        <w:tc>
          <w:tcPr>
            <w:tcW w:w="0" w:type="auto"/>
          </w:tcPr>
          <w:p w14:paraId="1B0B4DE3" w14:textId="012ED339" w:rsidR="004D7B74" w:rsidRPr="00823660" w:rsidRDefault="00483151" w:rsidP="00823660">
            <w:pPr>
              <w:cnfStyle w:val="000000000000" w:firstRow="0" w:lastRow="0" w:firstColumn="0" w:lastColumn="0" w:oddVBand="0" w:evenVBand="0" w:oddHBand="0" w:evenHBand="0" w:firstRowFirstColumn="0" w:firstRowLastColumn="0" w:lastRowFirstColumn="0" w:lastRowLastColumn="0"/>
            </w:pPr>
            <w:r>
              <w:lastRenderedPageBreak/>
              <w:t xml:space="preserve">a. </w:t>
            </w:r>
            <w:r w:rsidR="004D7B74" w:rsidRPr="00823660">
              <w:t xml:space="preserve">The percentage of surveyed users who are satisfied with the service </w:t>
            </w:r>
            <w:r w:rsidR="004D7B74" w:rsidRPr="00823660">
              <w:lastRenderedPageBreak/>
              <w:t>provided by the My Aged Care website ≥65%.</w:t>
            </w:r>
          </w:p>
          <w:p w14:paraId="1BB7AF5F" w14:textId="63665250" w:rsidR="004D7B74" w:rsidRPr="00823660" w:rsidRDefault="00483151" w:rsidP="00823660">
            <w:pPr>
              <w:cnfStyle w:val="000000000000" w:firstRow="0" w:lastRow="0" w:firstColumn="0" w:lastColumn="0" w:oddVBand="0" w:evenVBand="0" w:oddHBand="0" w:evenHBand="0" w:firstRowFirstColumn="0" w:firstRowLastColumn="0" w:lastRowFirstColumn="0" w:lastRowLastColumn="0"/>
            </w:pPr>
            <w:r>
              <w:t xml:space="preserve">b. </w:t>
            </w:r>
            <w:r w:rsidR="004D7B74" w:rsidRPr="00823660">
              <w:t>The percentage of surveyed users who are satisfied with the service provided by the My Aged Care Contact Centre &gt;95%</w:t>
            </w:r>
          </w:p>
        </w:tc>
        <w:tc>
          <w:tcPr>
            <w:tcW w:w="0" w:type="auto"/>
            <w:gridSpan w:val="2"/>
          </w:tcPr>
          <w:p w14:paraId="70CF81F0" w14:textId="7C69D5BF" w:rsidR="004D7B74" w:rsidRPr="00823660" w:rsidRDefault="00483151" w:rsidP="00823660">
            <w:pPr>
              <w:cnfStyle w:val="000000000000" w:firstRow="0" w:lastRow="0" w:firstColumn="0" w:lastColumn="0" w:oddVBand="0" w:evenVBand="0" w:oddHBand="0" w:evenHBand="0" w:firstRowFirstColumn="0" w:firstRowLastColumn="0" w:lastRowFirstColumn="0" w:lastRowLastColumn="0"/>
            </w:pPr>
            <w:r>
              <w:lastRenderedPageBreak/>
              <w:t xml:space="preserve">a. </w:t>
            </w:r>
            <w:r w:rsidR="004D7B74" w:rsidRPr="00823660">
              <w:t xml:space="preserve">The percentage of surveyed users who are satisfied with the service provided by the My </w:t>
            </w:r>
            <w:r w:rsidR="004D7B74" w:rsidRPr="00823660">
              <w:lastRenderedPageBreak/>
              <w:t>Aged Care website ≥65%.</w:t>
            </w:r>
          </w:p>
          <w:p w14:paraId="63B8B764" w14:textId="3BD68CFF" w:rsidR="004D7B74" w:rsidRPr="00823660" w:rsidRDefault="00483151" w:rsidP="00823660">
            <w:pPr>
              <w:cnfStyle w:val="000000000000" w:firstRow="0" w:lastRow="0" w:firstColumn="0" w:lastColumn="0" w:oddVBand="0" w:evenVBand="0" w:oddHBand="0" w:evenHBand="0" w:firstRowFirstColumn="0" w:firstRowLastColumn="0" w:lastRowFirstColumn="0" w:lastRowLastColumn="0"/>
            </w:pPr>
            <w:r>
              <w:t xml:space="preserve">b. </w:t>
            </w:r>
            <w:r w:rsidR="004D7B74" w:rsidRPr="00823660">
              <w:t>The percentage of surveyed users who are satisfied with the service provided by the My Aged Care Contact Centre &gt;95%</w:t>
            </w:r>
          </w:p>
        </w:tc>
        <w:tc>
          <w:tcPr>
            <w:tcW w:w="0" w:type="auto"/>
            <w:gridSpan w:val="2"/>
          </w:tcPr>
          <w:p w14:paraId="4060640D" w14:textId="0339E864" w:rsidR="004D7B74" w:rsidRPr="00823660" w:rsidRDefault="00483151" w:rsidP="00823660">
            <w:pPr>
              <w:cnfStyle w:val="000000000000" w:firstRow="0" w:lastRow="0" w:firstColumn="0" w:lastColumn="0" w:oddVBand="0" w:evenVBand="0" w:oddHBand="0" w:evenHBand="0" w:firstRowFirstColumn="0" w:firstRowLastColumn="0" w:lastRowFirstColumn="0" w:lastRowLastColumn="0"/>
            </w:pPr>
            <w:r>
              <w:lastRenderedPageBreak/>
              <w:t xml:space="preserve">a. </w:t>
            </w:r>
            <w:r w:rsidR="004D7B74" w:rsidRPr="00823660">
              <w:t xml:space="preserve">The percentage of surveyed users who are satisfied with the service provided by the My </w:t>
            </w:r>
            <w:r w:rsidR="004D7B74" w:rsidRPr="00823660">
              <w:lastRenderedPageBreak/>
              <w:t>Aged Care website ≥65%.</w:t>
            </w:r>
          </w:p>
          <w:p w14:paraId="70C64314" w14:textId="41B68676" w:rsidR="004D7B74" w:rsidRPr="00E877C1" w:rsidRDefault="00483151" w:rsidP="00EA0A9A">
            <w:pPr>
              <w:cnfStyle w:val="000000000000" w:firstRow="0" w:lastRow="0" w:firstColumn="0" w:lastColumn="0" w:oddVBand="0" w:evenVBand="0" w:oddHBand="0" w:evenHBand="0" w:firstRowFirstColumn="0" w:firstRowLastColumn="0" w:lastRowFirstColumn="0" w:lastRowLastColumn="0"/>
            </w:pPr>
            <w:r>
              <w:t>b</w:t>
            </w:r>
            <w:r>
              <w:t xml:space="preserve">. </w:t>
            </w:r>
            <w:r w:rsidR="004D7B74" w:rsidRPr="00823660">
              <w:t>The percentage of surveyed users who are satisfied with the service provided by the My Aged Care Contact Centre &gt;95%</w:t>
            </w:r>
          </w:p>
        </w:tc>
      </w:tr>
      <w:tr w:rsidR="004D7B74" w:rsidRPr="008E3CD6" w14:paraId="7F9496CA" w14:textId="77777777" w:rsidTr="00483151">
        <w:tc>
          <w:tcPr>
            <w:cnfStyle w:val="001000000000" w:firstRow="0" w:lastRow="0" w:firstColumn="1" w:lastColumn="0" w:oddVBand="0" w:evenVBand="0" w:oddHBand="0" w:evenHBand="0" w:firstRowFirstColumn="0" w:firstRowLastColumn="0" w:lastRowFirstColumn="0" w:lastRowLastColumn="0"/>
            <w:tcW w:w="0" w:type="auto"/>
            <w:gridSpan w:val="7"/>
          </w:tcPr>
          <w:p w14:paraId="38891FC5" w14:textId="76176882" w:rsidR="004D7B74" w:rsidRPr="009969B6" w:rsidRDefault="004D7B74" w:rsidP="00823660">
            <w:pPr>
              <w:pStyle w:val="TableTextleftaligned"/>
              <w:rPr>
                <w:b w:val="0"/>
                <w:sz w:val="22"/>
                <w:szCs w:val="22"/>
              </w:rPr>
            </w:pPr>
            <w:r>
              <w:rPr>
                <w:i/>
                <w:iCs/>
                <w:sz w:val="24"/>
                <w:szCs w:val="24"/>
                <w:highlight w:val="yellow"/>
              </w:rPr>
              <w:br w:type="page"/>
            </w:r>
            <w:r w:rsidRPr="009969B6">
              <w:t>Measure 3.1B: Older people are assessed for service need.</w:t>
            </w:r>
          </w:p>
        </w:tc>
      </w:tr>
      <w:tr w:rsidR="004D7B74" w:rsidRPr="008E3CD6" w14:paraId="2F7BF814" w14:textId="77777777" w:rsidTr="00483151">
        <w:trPr>
          <w:trHeight w:val="920"/>
        </w:trPr>
        <w:tc>
          <w:tcPr>
            <w:cnfStyle w:val="001000000000" w:firstRow="0" w:lastRow="0" w:firstColumn="1" w:lastColumn="0" w:oddVBand="0" w:evenVBand="0" w:oddHBand="0" w:evenHBand="0" w:firstRowFirstColumn="0" w:firstRowLastColumn="0" w:lastRowFirstColumn="0" w:lastRowLastColumn="0"/>
            <w:tcW w:w="0" w:type="auto"/>
          </w:tcPr>
          <w:p w14:paraId="0269B581" w14:textId="77777777" w:rsidR="004D7B74" w:rsidRPr="0046299B" w:rsidRDefault="004D7B74" w:rsidP="0046299B">
            <w:pPr>
              <w:pStyle w:val="TableTextleftaligned"/>
            </w:pPr>
            <w:r w:rsidRPr="0046299B">
              <w:t>Rationale</w:t>
            </w:r>
          </w:p>
        </w:tc>
        <w:tc>
          <w:tcPr>
            <w:tcW w:w="0" w:type="auto"/>
            <w:gridSpan w:val="6"/>
          </w:tcPr>
          <w:p w14:paraId="2C64BB8E"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 xml:space="preserve">This measure relates directly to one of the outcomes that the department key activities is trying to achieve, that is, that older people who are the most vulnerable are assessed in an efficient time scale to then access the Aged Care system. </w:t>
            </w:r>
          </w:p>
        </w:tc>
      </w:tr>
      <w:tr w:rsidR="004D7B74" w:rsidRPr="008E3CD6" w14:paraId="64D4E043" w14:textId="77777777" w:rsidTr="00483151">
        <w:tc>
          <w:tcPr>
            <w:cnfStyle w:val="001000000000" w:firstRow="0" w:lastRow="0" w:firstColumn="1" w:lastColumn="0" w:oddVBand="0" w:evenVBand="0" w:oddHBand="0" w:evenHBand="0" w:firstRowFirstColumn="0" w:firstRowLastColumn="0" w:lastRowFirstColumn="0" w:lastRowLastColumn="0"/>
            <w:tcW w:w="0" w:type="auto"/>
          </w:tcPr>
          <w:p w14:paraId="41E8D84E" w14:textId="77777777" w:rsidR="004D7B74" w:rsidRPr="0046299B" w:rsidRDefault="004D7B74" w:rsidP="0046299B">
            <w:pPr>
              <w:pStyle w:val="TableTextleftaligned"/>
            </w:pPr>
            <w:r w:rsidRPr="0046299B">
              <w:t>Measure Type</w:t>
            </w:r>
          </w:p>
        </w:tc>
        <w:tc>
          <w:tcPr>
            <w:tcW w:w="0" w:type="auto"/>
            <w:gridSpan w:val="6"/>
          </w:tcPr>
          <w:p w14:paraId="1CBEF54A"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Quantitative / Output (proxy for efficiency)</w:t>
            </w:r>
          </w:p>
        </w:tc>
      </w:tr>
      <w:tr w:rsidR="004D7B74" w:rsidRPr="008E3CD6" w14:paraId="023BCC95" w14:textId="77777777" w:rsidTr="00483151">
        <w:tc>
          <w:tcPr>
            <w:cnfStyle w:val="001000000000" w:firstRow="0" w:lastRow="0" w:firstColumn="1" w:lastColumn="0" w:oddVBand="0" w:evenVBand="0" w:oddHBand="0" w:evenHBand="0" w:firstRowFirstColumn="0" w:firstRowLastColumn="0" w:lastRowFirstColumn="0" w:lastRowLastColumn="0"/>
            <w:tcW w:w="0" w:type="auto"/>
          </w:tcPr>
          <w:p w14:paraId="4F6C8B9A" w14:textId="2ECE6DFC" w:rsidR="004D7B74" w:rsidRPr="0046299B" w:rsidRDefault="004D7B74" w:rsidP="0046299B">
            <w:pPr>
              <w:pStyle w:val="TableTextleftaligned"/>
            </w:pPr>
            <w:r w:rsidRPr="0046299B">
              <w:t>Method</w:t>
            </w:r>
            <w:r w:rsidR="00EA0A9A" w:rsidRPr="0046299B">
              <w:t xml:space="preserve"> </w:t>
            </w:r>
            <w:r w:rsidRPr="0046299B">
              <w:t>(Data Source and Methodology)</w:t>
            </w:r>
          </w:p>
        </w:tc>
        <w:tc>
          <w:tcPr>
            <w:tcW w:w="0" w:type="auto"/>
            <w:gridSpan w:val="6"/>
          </w:tcPr>
          <w:p w14:paraId="12347CF9" w14:textId="77777777" w:rsidR="004D7B74" w:rsidRPr="002F2C36"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2F2C36">
              <w:t xml:space="preserve">The </w:t>
            </w:r>
            <w:r w:rsidRPr="00AD15BE">
              <w:rPr>
                <w:b/>
                <w:bCs/>
              </w:rPr>
              <w:t>data source</w:t>
            </w:r>
            <w:r w:rsidRPr="002F2C36">
              <w:t xml:space="preserve"> for the 3.1B performance measure is the My Aged Care system. The system collects and manages the data entered by the assessors who conduct </w:t>
            </w:r>
            <w:r w:rsidRPr="0046299B">
              <w:t>home</w:t>
            </w:r>
            <w:r w:rsidRPr="002F2C36">
              <w:t xml:space="preserve"> support and comprehensive assessments for older people seeking aged care services.</w:t>
            </w:r>
          </w:p>
          <w:p w14:paraId="02AB10C3" w14:textId="77777777" w:rsidR="004D7B74" w:rsidRPr="002F2C36" w:rsidRDefault="004D7B74" w:rsidP="00EA0A9A">
            <w:pPr>
              <w:pStyle w:val="TableTextleftaligned"/>
              <w:cnfStyle w:val="000000000000" w:firstRow="0" w:lastRow="0" w:firstColumn="0" w:lastColumn="0" w:oddVBand="0" w:evenVBand="0" w:oddHBand="0" w:evenHBand="0" w:firstRowFirstColumn="0" w:firstRowLastColumn="0" w:lastRowFirstColumn="0" w:lastRowLastColumn="0"/>
            </w:pPr>
            <w:r w:rsidRPr="002F2C36">
              <w:t xml:space="preserve">The data is extracted and processed by the </w:t>
            </w:r>
            <w:r>
              <w:t>d</w:t>
            </w:r>
            <w:r w:rsidRPr="002F2C36">
              <w:t>epartment from the Aged Care Data Warehouse and populating reports using SAS</w:t>
            </w:r>
            <w:r>
              <w:t xml:space="preserve"> Enterprise</w:t>
            </w:r>
            <w:r w:rsidRPr="002F2C36">
              <w:t xml:space="preserve"> and Qlik platforms. The data is refreshed and updated on a regular basis and is subject to quality assurance checks.</w:t>
            </w:r>
          </w:p>
          <w:p w14:paraId="77AEB412" w14:textId="77777777" w:rsidR="004D7B74" w:rsidRPr="002F2C36" w:rsidRDefault="004D7B74" w:rsidP="00EA0A9A">
            <w:pPr>
              <w:pStyle w:val="TableTextleftaligned"/>
              <w:cnfStyle w:val="000000000000" w:firstRow="0" w:lastRow="0" w:firstColumn="0" w:lastColumn="0" w:oddVBand="0" w:evenVBand="0" w:oddHBand="0" w:evenHBand="0" w:firstRowFirstColumn="0" w:firstRowLastColumn="0" w:lastRowFirstColumn="0" w:lastRowLastColumn="0"/>
            </w:pPr>
            <w:r w:rsidRPr="002F2C36">
              <w:t xml:space="preserve">The </w:t>
            </w:r>
            <w:r w:rsidRPr="000250E1">
              <w:rPr>
                <w:b/>
                <w:bCs/>
              </w:rPr>
              <w:t>measure</w:t>
            </w:r>
            <w:r w:rsidRPr="002F2C36">
              <w:t xml:space="preserve"> is calculated as the percentage of assessments completed within the allocated priority timeframes, based on the referral acceptance date and the assessment completion date. </w:t>
            </w:r>
          </w:p>
          <w:p w14:paraId="043F0F54" w14:textId="4365D702" w:rsidR="004D7B74" w:rsidRDefault="005C150F" w:rsidP="00EA0A9A">
            <w:pPr>
              <w:pStyle w:val="TableTextleftaligned"/>
              <w:cnfStyle w:val="000000000000" w:firstRow="0" w:lastRow="0" w:firstColumn="0" w:lastColumn="0" w:oddVBand="0" w:evenVBand="0" w:oddHBand="0" w:evenHBand="0" w:firstRowFirstColumn="0" w:firstRowLastColumn="0" w:lastRowFirstColumn="0" w:lastRowLastColumn="0"/>
            </w:pPr>
            <w:r>
              <w:rPr>
                <w:b/>
                <w:bCs/>
              </w:rPr>
              <w:t>M</w:t>
            </w:r>
            <w:r w:rsidR="004D7B74" w:rsidRPr="009969B6">
              <w:rPr>
                <w:b/>
                <w:bCs/>
              </w:rPr>
              <w:t>ethodology</w:t>
            </w:r>
            <w:r w:rsidR="004D7B74" w:rsidRPr="002F2C36">
              <w:t xml:space="preserve"> </w:t>
            </w:r>
            <w:r>
              <w:t xml:space="preserve">for the measure </w:t>
            </w:r>
            <w:r w:rsidR="004D7B74" w:rsidRPr="002F2C36">
              <w:t>is contained in the build scripts for the SAS and Qlik reports and follows the contractual agreements with the assessment organisations.</w:t>
            </w:r>
          </w:p>
        </w:tc>
      </w:tr>
      <w:tr w:rsidR="0002644A" w:rsidRPr="008E3CD6" w14:paraId="41C6FFBE" w14:textId="77777777" w:rsidTr="00483151">
        <w:tc>
          <w:tcPr>
            <w:cnfStyle w:val="001000000000" w:firstRow="0" w:lastRow="0" w:firstColumn="1" w:lastColumn="0" w:oddVBand="0" w:evenVBand="0" w:oddHBand="0" w:evenHBand="0" w:firstRowFirstColumn="0" w:firstRowLastColumn="0" w:lastRowFirstColumn="0" w:lastRowLastColumn="0"/>
            <w:tcW w:w="0" w:type="auto"/>
          </w:tcPr>
          <w:p w14:paraId="259728C7" w14:textId="3BC02141" w:rsidR="0002644A" w:rsidRPr="009B277D" w:rsidRDefault="0002644A" w:rsidP="0046299B">
            <w:pPr>
              <w:pStyle w:val="TableTextleftaligned"/>
              <w:rPr>
                <w:b w:val="0"/>
                <w:bCs/>
              </w:rPr>
            </w:pPr>
            <w:r>
              <w:rPr>
                <w:bCs/>
              </w:rPr>
              <w:t>Linked to 2024–25 Portfolio Budget Statements</w:t>
            </w:r>
          </w:p>
        </w:tc>
        <w:tc>
          <w:tcPr>
            <w:tcW w:w="0" w:type="auto"/>
            <w:gridSpan w:val="6"/>
          </w:tcPr>
          <w:p w14:paraId="330429DE" w14:textId="3C5D8166" w:rsidR="0002644A" w:rsidRPr="002F2C36" w:rsidRDefault="0002644A" w:rsidP="00EA0A9A">
            <w:pPr>
              <w:pStyle w:val="TableTextleftaligned"/>
              <w:cnfStyle w:val="000000000000" w:firstRow="0" w:lastRow="0" w:firstColumn="0" w:lastColumn="0" w:oddVBand="0" w:evenVBand="0" w:oddHBand="0" w:evenHBand="0" w:firstRowFirstColumn="0" w:firstRowLastColumn="0" w:lastRowFirstColumn="0" w:lastRowLastColumn="0"/>
            </w:pPr>
            <w:r w:rsidRPr="00E6299A">
              <w:t xml:space="preserve">Program </w:t>
            </w:r>
            <w:r w:rsidRPr="0002644A">
              <w:t>3.1</w:t>
            </w:r>
            <w:r>
              <w:t xml:space="preserve"> </w:t>
            </w:r>
            <w:r w:rsidR="00D60D69">
              <w:t>-</w:t>
            </w:r>
            <w:r w:rsidRPr="00E6299A">
              <w:t xml:space="preserve"> </w:t>
            </w:r>
            <w:r w:rsidRPr="0002644A">
              <w:t xml:space="preserve">Access and Information </w:t>
            </w:r>
            <w:r w:rsidRPr="00E6299A">
              <w:t xml:space="preserve">– page </w:t>
            </w:r>
            <w:r w:rsidRPr="0002644A">
              <w:t>9</w:t>
            </w:r>
            <w:r w:rsidR="00D60D69">
              <w:t>4</w:t>
            </w:r>
          </w:p>
        </w:tc>
      </w:tr>
      <w:tr w:rsidR="00483151" w:rsidRPr="008E3CD6" w14:paraId="7A8D2B6C" w14:textId="77777777" w:rsidTr="00483151">
        <w:tc>
          <w:tcPr>
            <w:cnfStyle w:val="001000000000" w:firstRow="0" w:lastRow="0" w:firstColumn="1" w:lastColumn="0" w:oddVBand="0" w:evenVBand="0" w:oddHBand="0" w:evenHBand="0" w:firstRowFirstColumn="0" w:firstRowLastColumn="0" w:lastRowFirstColumn="0" w:lastRowLastColumn="0"/>
            <w:tcW w:w="0" w:type="auto"/>
            <w:vMerge w:val="restart"/>
          </w:tcPr>
          <w:p w14:paraId="4B24130C" w14:textId="77777777" w:rsidR="004D7B74" w:rsidRPr="0046299B" w:rsidRDefault="004D7B74" w:rsidP="0046299B">
            <w:pPr>
              <w:pStyle w:val="TableTextleftaligned"/>
            </w:pPr>
            <w:r w:rsidRPr="0046299B">
              <w:t>Planned Performance Results</w:t>
            </w:r>
          </w:p>
        </w:tc>
        <w:tc>
          <w:tcPr>
            <w:tcW w:w="0" w:type="auto"/>
            <w:gridSpan w:val="2"/>
            <w:shd w:val="clear" w:color="auto" w:fill="BFBFBF" w:themeFill="background1" w:themeFillShade="BF"/>
            <w:vAlign w:val="center"/>
          </w:tcPr>
          <w:p w14:paraId="41FB7F90" w14:textId="77777777" w:rsidR="004D7B74" w:rsidRPr="0046299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46299B">
              <w:t>2024–25</w:t>
            </w:r>
          </w:p>
        </w:tc>
        <w:tc>
          <w:tcPr>
            <w:tcW w:w="0" w:type="auto"/>
            <w:shd w:val="clear" w:color="auto" w:fill="BFBFBF" w:themeFill="background1" w:themeFillShade="BF"/>
            <w:vAlign w:val="center"/>
          </w:tcPr>
          <w:p w14:paraId="68599DBD" w14:textId="77777777" w:rsidR="004D7B74" w:rsidRPr="009969B6" w:rsidRDefault="004D7B74" w:rsidP="00EA0A9A">
            <w:pPr>
              <w:pStyle w:val="TableTextstrong"/>
              <w:cnfStyle w:val="000000000000" w:firstRow="0" w:lastRow="0" w:firstColumn="0" w:lastColumn="0" w:oddVBand="0" w:evenVBand="0" w:oddHBand="0" w:evenHBand="0" w:firstRowFirstColumn="0" w:firstRowLastColumn="0" w:lastRowFirstColumn="0" w:lastRowLastColumn="0"/>
            </w:pPr>
            <w:r w:rsidRPr="009969B6">
              <w:t>2025–26</w:t>
            </w:r>
          </w:p>
        </w:tc>
        <w:tc>
          <w:tcPr>
            <w:tcW w:w="0" w:type="auto"/>
            <w:gridSpan w:val="2"/>
            <w:shd w:val="clear" w:color="auto" w:fill="BFBFBF" w:themeFill="background1" w:themeFillShade="BF"/>
            <w:vAlign w:val="center"/>
          </w:tcPr>
          <w:p w14:paraId="5105411D" w14:textId="77777777" w:rsidR="004D7B74" w:rsidRPr="009969B6" w:rsidRDefault="004D7B74" w:rsidP="00EA0A9A">
            <w:pPr>
              <w:pStyle w:val="TableTextstrong"/>
              <w:cnfStyle w:val="000000000000" w:firstRow="0" w:lastRow="0" w:firstColumn="0" w:lastColumn="0" w:oddVBand="0" w:evenVBand="0" w:oddHBand="0" w:evenHBand="0" w:firstRowFirstColumn="0" w:firstRowLastColumn="0" w:lastRowFirstColumn="0" w:lastRowLastColumn="0"/>
            </w:pPr>
            <w:r w:rsidRPr="009969B6">
              <w:t>2026–27</w:t>
            </w:r>
          </w:p>
        </w:tc>
        <w:tc>
          <w:tcPr>
            <w:tcW w:w="0" w:type="auto"/>
            <w:shd w:val="clear" w:color="auto" w:fill="BFBFBF" w:themeFill="background1" w:themeFillShade="BF"/>
            <w:vAlign w:val="center"/>
          </w:tcPr>
          <w:p w14:paraId="519FCD20" w14:textId="77777777" w:rsidR="004D7B74" w:rsidRPr="009969B6" w:rsidRDefault="004D7B74" w:rsidP="00EA0A9A">
            <w:pPr>
              <w:pStyle w:val="TableTextstrong"/>
              <w:cnfStyle w:val="000000000000" w:firstRow="0" w:lastRow="0" w:firstColumn="0" w:lastColumn="0" w:oddVBand="0" w:evenVBand="0" w:oddHBand="0" w:evenHBand="0" w:firstRowFirstColumn="0" w:firstRowLastColumn="0" w:lastRowFirstColumn="0" w:lastRowLastColumn="0"/>
            </w:pPr>
            <w:r w:rsidRPr="009969B6">
              <w:t>2027–28</w:t>
            </w:r>
          </w:p>
        </w:tc>
      </w:tr>
      <w:tr w:rsidR="004D7B74" w:rsidRPr="008E3CD6" w14:paraId="77F1647B" w14:textId="77777777" w:rsidTr="00483151">
        <w:trPr>
          <w:trHeight w:val="2201"/>
        </w:trPr>
        <w:tc>
          <w:tcPr>
            <w:cnfStyle w:val="001000000000" w:firstRow="0" w:lastRow="0" w:firstColumn="1" w:lastColumn="0" w:oddVBand="0" w:evenVBand="0" w:oddHBand="0" w:evenHBand="0" w:firstRowFirstColumn="0" w:firstRowLastColumn="0" w:lastRowFirstColumn="0" w:lastRowLastColumn="0"/>
            <w:tcW w:w="0" w:type="auto"/>
            <w:vMerge/>
          </w:tcPr>
          <w:p w14:paraId="14C7D688" w14:textId="77777777" w:rsidR="004D7B74" w:rsidRPr="0046299B" w:rsidRDefault="004D7B74" w:rsidP="0046299B"/>
        </w:tc>
        <w:tc>
          <w:tcPr>
            <w:tcW w:w="0" w:type="auto"/>
            <w:gridSpan w:val="2"/>
          </w:tcPr>
          <w:p w14:paraId="517DE277" w14:textId="151B68A0" w:rsidR="004D7B74" w:rsidRPr="0046299B" w:rsidRDefault="00483151" w:rsidP="0046299B">
            <w:pPr>
              <w:cnfStyle w:val="000000000000" w:firstRow="0" w:lastRow="0" w:firstColumn="0" w:lastColumn="0" w:oddVBand="0" w:evenVBand="0" w:oddHBand="0" w:evenHBand="0" w:firstRowFirstColumn="0" w:firstRowLastColumn="0" w:lastRowFirstColumn="0" w:lastRowLastColumn="0"/>
            </w:pPr>
            <w:r>
              <w:t>a</w:t>
            </w:r>
            <w:r>
              <w:t xml:space="preserve">. </w:t>
            </w:r>
            <w:r w:rsidR="004D7B74" w:rsidRPr="0046299B">
              <w:t>Home Support assessments completed within the allocated priority timeframes (</w:t>
            </w:r>
            <w:r w:rsidR="004D7B74" w:rsidRPr="0046299B">
              <w:sym w:font="Symbol" w:char="F0B3"/>
            </w:r>
            <w:r w:rsidR="004D7B74" w:rsidRPr="0046299B">
              <w:t xml:space="preserve"> 90%):</w:t>
            </w:r>
          </w:p>
          <w:p w14:paraId="6565DEDF" w14:textId="77777777" w:rsidR="004D7B74" w:rsidRPr="00483151" w:rsidRDefault="004D7B74" w:rsidP="00483151">
            <w:pPr>
              <w:pStyle w:val="ListNumber4"/>
              <w:cnfStyle w:val="000000000000" w:firstRow="0" w:lastRow="0" w:firstColumn="0" w:lastColumn="0" w:oddVBand="0" w:evenVBand="0" w:oddHBand="0" w:evenHBand="0" w:firstRowFirstColumn="0" w:firstRowLastColumn="0" w:lastRowFirstColumn="0" w:lastRowLastColumn="0"/>
            </w:pPr>
            <w:r w:rsidRPr="00483151">
              <w:t xml:space="preserve">High priority: 10 calendar days </w:t>
            </w:r>
          </w:p>
          <w:p w14:paraId="3E7DFE86" w14:textId="77777777" w:rsidR="00483151" w:rsidRDefault="004D7B74" w:rsidP="00483151">
            <w:pPr>
              <w:pStyle w:val="ListNumber4"/>
              <w:cnfStyle w:val="000000000000" w:firstRow="0" w:lastRow="0" w:firstColumn="0" w:lastColumn="0" w:oddVBand="0" w:evenVBand="0" w:oddHBand="0" w:evenHBand="0" w:firstRowFirstColumn="0" w:firstRowLastColumn="0" w:lastRowFirstColumn="0" w:lastRowLastColumn="0"/>
            </w:pPr>
            <w:r w:rsidRPr="00483151">
              <w:t>Medium</w:t>
            </w:r>
            <w:r w:rsidRPr="0046299B">
              <w:t xml:space="preserve"> priority: 14 calendar days</w:t>
            </w:r>
          </w:p>
          <w:p w14:paraId="50AA1430" w14:textId="43D787B5" w:rsidR="004D7B74" w:rsidRPr="00483151" w:rsidRDefault="004D7B74" w:rsidP="00483151">
            <w:pPr>
              <w:pStyle w:val="ListNumber4"/>
              <w:cnfStyle w:val="000000000000" w:firstRow="0" w:lastRow="0" w:firstColumn="0" w:lastColumn="0" w:oddVBand="0" w:evenVBand="0" w:oddHBand="0" w:evenHBand="0" w:firstRowFirstColumn="0" w:firstRowLastColumn="0" w:lastRowFirstColumn="0" w:lastRowLastColumn="0"/>
            </w:pPr>
            <w:r w:rsidRPr="00483151">
              <w:t>Low priority: 21 calendar days</w:t>
            </w:r>
          </w:p>
          <w:p w14:paraId="27D563F5" w14:textId="1A2AB2D7" w:rsidR="004D7B74" w:rsidRPr="0046299B" w:rsidRDefault="00483151" w:rsidP="00483151">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46299B">
              <w:t>Comprehensive Community-based assessments completed within the allocated priority timeframes (</w:t>
            </w:r>
            <w:r w:rsidR="004D7B74" w:rsidRPr="0046299B">
              <w:sym w:font="Symbol" w:char="F0B3"/>
            </w:r>
            <w:r w:rsidR="004D7B74" w:rsidRPr="0046299B">
              <w:t xml:space="preserve"> 90%):</w:t>
            </w:r>
          </w:p>
          <w:p w14:paraId="76EA5C91" w14:textId="77777777" w:rsidR="00483151" w:rsidRDefault="004D7B74" w:rsidP="00483151">
            <w:pPr>
              <w:pStyle w:val="ListNumber4"/>
              <w:numPr>
                <w:ilvl w:val="0"/>
                <w:numId w:val="224"/>
              </w:numPr>
              <w:ind w:left="641" w:hanging="357"/>
              <w:cnfStyle w:val="000000000000" w:firstRow="0" w:lastRow="0" w:firstColumn="0" w:lastColumn="0" w:oddVBand="0" w:evenVBand="0" w:oddHBand="0" w:evenHBand="0" w:firstRowFirstColumn="0" w:firstRowLastColumn="0" w:lastRowFirstColumn="0" w:lastRowLastColumn="0"/>
            </w:pPr>
            <w:r w:rsidRPr="00483151">
              <w:t>High priority: 10 calendar days</w:t>
            </w:r>
          </w:p>
          <w:p w14:paraId="38082953" w14:textId="77777777" w:rsidR="00483151" w:rsidRDefault="004D7B74" w:rsidP="00483151">
            <w:pPr>
              <w:pStyle w:val="ListNumber4"/>
              <w:numPr>
                <w:ilvl w:val="0"/>
                <w:numId w:val="224"/>
              </w:numPr>
              <w:ind w:left="641" w:hanging="357"/>
              <w:cnfStyle w:val="000000000000" w:firstRow="0" w:lastRow="0" w:firstColumn="0" w:lastColumn="0" w:oddVBand="0" w:evenVBand="0" w:oddHBand="0" w:evenHBand="0" w:firstRowFirstColumn="0" w:firstRowLastColumn="0" w:lastRowFirstColumn="0" w:lastRowLastColumn="0"/>
            </w:pPr>
            <w:r w:rsidRPr="00483151">
              <w:lastRenderedPageBreak/>
              <w:t>Medium priority: 20 calendar days</w:t>
            </w:r>
          </w:p>
          <w:p w14:paraId="7D12B7F2" w14:textId="5C515A75" w:rsidR="004D7B74" w:rsidRPr="00483151" w:rsidRDefault="004D7B74" w:rsidP="00483151">
            <w:pPr>
              <w:pStyle w:val="ListNumber4"/>
              <w:numPr>
                <w:ilvl w:val="0"/>
                <w:numId w:val="224"/>
              </w:numPr>
              <w:ind w:left="641" w:hanging="357"/>
              <w:cnfStyle w:val="000000000000" w:firstRow="0" w:lastRow="0" w:firstColumn="0" w:lastColumn="0" w:oddVBand="0" w:evenVBand="0" w:oddHBand="0" w:evenHBand="0" w:firstRowFirstColumn="0" w:firstRowLastColumn="0" w:lastRowFirstColumn="0" w:lastRowLastColumn="0"/>
            </w:pPr>
            <w:r w:rsidRPr="00483151">
              <w:t>Low priority: 40 calendar days</w:t>
            </w:r>
          </w:p>
          <w:p w14:paraId="3E3A1A18" w14:textId="77777777" w:rsidR="00483151" w:rsidRDefault="00483151" w:rsidP="00483151">
            <w:pPr>
              <w:pStyle w:val="TableTextleftaligned"/>
              <w:cnfStyle w:val="000000000000" w:firstRow="0" w:lastRow="0" w:firstColumn="0" w:lastColumn="0" w:oddVBand="0" w:evenVBand="0" w:oddHBand="0" w:evenHBand="0" w:firstRowFirstColumn="0" w:firstRowLastColumn="0" w:lastRowFirstColumn="0" w:lastRowLastColumn="0"/>
            </w:pPr>
            <w:r>
              <w:t>c</w:t>
            </w:r>
            <w:r>
              <w:t xml:space="preserve">. </w:t>
            </w:r>
            <w:r w:rsidR="004D7B74" w:rsidRPr="0046299B">
              <w:t>Comprehensive Hospital-based assessments completed within the allocated priority timeframes (</w:t>
            </w:r>
            <w:r w:rsidR="004D7B74" w:rsidRPr="0046299B">
              <w:sym w:font="Symbol" w:char="F0B3"/>
            </w:r>
            <w:r w:rsidR="004D7B74" w:rsidRPr="0046299B">
              <w:t xml:space="preserve"> 90%): </w:t>
            </w:r>
          </w:p>
          <w:p w14:paraId="6D2C9437" w14:textId="77777777" w:rsidR="00483151" w:rsidRDefault="004D7B74" w:rsidP="00483151">
            <w:pPr>
              <w:pStyle w:val="ListNumber4"/>
              <w:numPr>
                <w:ilvl w:val="0"/>
                <w:numId w:val="225"/>
              </w:numPr>
              <w:ind w:left="641" w:hanging="357"/>
              <w:cnfStyle w:val="000000000000" w:firstRow="0" w:lastRow="0" w:firstColumn="0" w:lastColumn="0" w:oddVBand="0" w:evenVBand="0" w:oddHBand="0" w:evenHBand="0" w:firstRowFirstColumn="0" w:firstRowLastColumn="0" w:lastRowFirstColumn="0" w:lastRowLastColumn="0"/>
            </w:pPr>
            <w:r w:rsidRPr="00483151">
              <w:t>High priority: 5 calendar days</w:t>
            </w:r>
          </w:p>
          <w:p w14:paraId="7534A5A8" w14:textId="77777777" w:rsidR="00483151" w:rsidRDefault="004D7B74" w:rsidP="00483151">
            <w:pPr>
              <w:pStyle w:val="ListNumber4"/>
              <w:numPr>
                <w:ilvl w:val="0"/>
                <w:numId w:val="225"/>
              </w:numPr>
              <w:ind w:left="641" w:hanging="357"/>
              <w:cnfStyle w:val="000000000000" w:firstRow="0" w:lastRow="0" w:firstColumn="0" w:lastColumn="0" w:oddVBand="0" w:evenVBand="0" w:oddHBand="0" w:evenHBand="0" w:firstRowFirstColumn="0" w:firstRowLastColumn="0" w:lastRowFirstColumn="0" w:lastRowLastColumn="0"/>
            </w:pPr>
            <w:r w:rsidRPr="00483151">
              <w:t>Medium priority: 10 calendar days</w:t>
            </w:r>
          </w:p>
          <w:p w14:paraId="6638987A" w14:textId="29E5EFFE" w:rsidR="004D7B74" w:rsidRPr="00483151" w:rsidRDefault="004D7B74" w:rsidP="00483151">
            <w:pPr>
              <w:pStyle w:val="ListNumber4"/>
              <w:numPr>
                <w:ilvl w:val="0"/>
                <w:numId w:val="225"/>
              </w:numPr>
              <w:ind w:left="641" w:hanging="357"/>
              <w:cnfStyle w:val="000000000000" w:firstRow="0" w:lastRow="0" w:firstColumn="0" w:lastColumn="0" w:oddVBand="0" w:evenVBand="0" w:oddHBand="0" w:evenHBand="0" w:firstRowFirstColumn="0" w:firstRowLastColumn="0" w:lastRowFirstColumn="0" w:lastRowLastColumn="0"/>
            </w:pPr>
            <w:r w:rsidRPr="00483151">
              <w:t>Low priority: 15 calendar days</w:t>
            </w:r>
          </w:p>
        </w:tc>
        <w:tc>
          <w:tcPr>
            <w:tcW w:w="0" w:type="auto"/>
          </w:tcPr>
          <w:p w14:paraId="243E7CEE" w14:textId="77777777" w:rsidR="004D7B74" w:rsidRPr="00483151" w:rsidRDefault="004D7B74" w:rsidP="00483151">
            <w:pPr>
              <w:pStyle w:val="TableTextleftaligned"/>
              <w:cnfStyle w:val="000000000000" w:firstRow="0" w:lastRow="0" w:firstColumn="0" w:lastColumn="0" w:oddVBand="0" w:evenVBand="0" w:oddHBand="0" w:evenHBand="0" w:firstRowFirstColumn="0" w:firstRowLastColumn="0" w:lastRowFirstColumn="0" w:lastRowLastColumn="0"/>
            </w:pPr>
            <w:r w:rsidRPr="00483151">
              <w:lastRenderedPageBreak/>
              <w:t>As per 2024–25</w:t>
            </w:r>
          </w:p>
        </w:tc>
        <w:tc>
          <w:tcPr>
            <w:tcW w:w="0" w:type="auto"/>
            <w:gridSpan w:val="2"/>
          </w:tcPr>
          <w:p w14:paraId="0C4B6C90" w14:textId="77777777" w:rsidR="004D7B74" w:rsidRPr="00483151" w:rsidRDefault="004D7B74" w:rsidP="00483151">
            <w:pPr>
              <w:pStyle w:val="TableTextleftaligned"/>
              <w:cnfStyle w:val="000000000000" w:firstRow="0" w:lastRow="0" w:firstColumn="0" w:lastColumn="0" w:oddVBand="0" w:evenVBand="0" w:oddHBand="0" w:evenHBand="0" w:firstRowFirstColumn="0" w:firstRowLastColumn="0" w:lastRowFirstColumn="0" w:lastRowLastColumn="0"/>
            </w:pPr>
            <w:r w:rsidRPr="00483151">
              <w:t>As per 2025–26</w:t>
            </w:r>
          </w:p>
        </w:tc>
        <w:tc>
          <w:tcPr>
            <w:tcW w:w="0" w:type="auto"/>
          </w:tcPr>
          <w:p w14:paraId="44908955" w14:textId="77777777" w:rsidR="004D7B74" w:rsidRPr="00483151" w:rsidRDefault="004D7B74" w:rsidP="00483151">
            <w:pPr>
              <w:pStyle w:val="TableTextleftaligned"/>
              <w:cnfStyle w:val="000000000000" w:firstRow="0" w:lastRow="0" w:firstColumn="0" w:lastColumn="0" w:oddVBand="0" w:evenVBand="0" w:oddHBand="0" w:evenHBand="0" w:firstRowFirstColumn="0" w:firstRowLastColumn="0" w:lastRowFirstColumn="0" w:lastRowLastColumn="0"/>
            </w:pPr>
            <w:r w:rsidRPr="00483151">
              <w:t>As per 2026–27</w:t>
            </w:r>
          </w:p>
        </w:tc>
      </w:tr>
    </w:tbl>
    <w:p w14:paraId="1F82CDA1" w14:textId="77777777" w:rsidR="004D7B74" w:rsidRPr="0046299B" w:rsidRDefault="004D7B74" w:rsidP="0046299B">
      <w:pPr>
        <w:pStyle w:val="Heading2"/>
      </w:pPr>
      <w:bookmarkStart w:id="201" w:name="_Toc166069813"/>
      <w:bookmarkStart w:id="202" w:name="_Toc171411963"/>
      <w:bookmarkStart w:id="203" w:name="_Toc175293653"/>
      <w:bookmarkStart w:id="204" w:name="_Program_3.2_Aged"/>
      <w:bookmarkStart w:id="205" w:name="_Toc175846514"/>
      <w:bookmarkEnd w:id="204"/>
      <w:r w:rsidRPr="000250E1">
        <w:t>Program 3.2 Aged Care Services</w:t>
      </w:r>
      <w:bookmarkEnd w:id="201"/>
      <w:bookmarkEnd w:id="202"/>
      <w:bookmarkEnd w:id="203"/>
      <w:bookmarkEnd w:id="205"/>
    </w:p>
    <w:p w14:paraId="78174DCA" w14:textId="77777777" w:rsidR="004D7B74" w:rsidRPr="000250E1" w:rsidRDefault="004D7B74" w:rsidP="0046299B">
      <w:pPr>
        <w:pStyle w:val="Heading3"/>
      </w:pPr>
      <w:bookmarkStart w:id="206" w:name="_Toc166069814"/>
      <w:bookmarkStart w:id="207" w:name="_Toc171411964"/>
      <w:bookmarkStart w:id="208" w:name="_Toc175293654"/>
      <w:r w:rsidRPr="000250E1">
        <w:t>Program Objective</w:t>
      </w:r>
      <w:bookmarkEnd w:id="206"/>
      <w:bookmarkEnd w:id="207"/>
      <w:bookmarkEnd w:id="208"/>
    </w:p>
    <w:p w14:paraId="311026FC" w14:textId="77777777" w:rsidR="004D7B74" w:rsidRPr="00BB4FE7" w:rsidRDefault="004D7B74" w:rsidP="00BB4FE7">
      <w:r w:rsidRPr="00BB4FE7">
        <w:t xml:space="preserve">Provide a range of flexible aged care programs for older people who require assistance including support at home, residential </w:t>
      </w:r>
      <w:proofErr w:type="gramStart"/>
      <w:r w:rsidRPr="00BB4FE7">
        <w:t>care</w:t>
      </w:r>
      <w:proofErr w:type="gramEnd"/>
      <w:r w:rsidRPr="00BB4FE7">
        <w:t xml:space="preserve"> and respite care for those who need it. Provide individualised aged care services that are aligned to needs and goals and help older people live meaningful lives and sustain connections with community. </w:t>
      </w:r>
    </w:p>
    <w:p w14:paraId="068F65A6" w14:textId="77777777" w:rsidR="00483151" w:rsidRDefault="004D7B74" w:rsidP="0046299B">
      <w:pPr>
        <w:pStyle w:val="Keyactivity"/>
      </w:pPr>
      <w:r w:rsidRPr="002A42FD">
        <w:rPr>
          <w:rStyle w:val="Strong"/>
        </w:rPr>
        <w:t>Key Activity 3.2A</w:t>
      </w:r>
      <w:r w:rsidR="00AB31EB" w:rsidRPr="002A42FD">
        <w:rPr>
          <w:rStyle w:val="Strong"/>
        </w:rPr>
        <w:t>, B</w:t>
      </w:r>
      <w:r w:rsidR="003F0109" w:rsidRPr="002A42FD">
        <w:rPr>
          <w:rStyle w:val="Strong"/>
        </w:rPr>
        <w:t>,</w:t>
      </w:r>
      <w:r w:rsidR="00AB31EB" w:rsidRPr="002A42FD">
        <w:rPr>
          <w:rStyle w:val="Strong"/>
        </w:rPr>
        <w:t xml:space="preserve"> C</w:t>
      </w:r>
      <w:r w:rsidR="003F0109" w:rsidRPr="002A42FD">
        <w:rPr>
          <w:rStyle w:val="Strong"/>
        </w:rPr>
        <w:t xml:space="preserve"> and D</w:t>
      </w:r>
      <w:r w:rsidRPr="000250E1">
        <w:rPr>
          <w:b/>
          <w:bCs/>
        </w:rPr>
        <w:t>:</w:t>
      </w:r>
    </w:p>
    <w:p w14:paraId="53B45AE7" w14:textId="2166F9F1" w:rsidR="004D7B74" w:rsidRPr="0046299B" w:rsidRDefault="004D7B74" w:rsidP="0046299B">
      <w:pPr>
        <w:pStyle w:val="Keyactivity"/>
      </w:pPr>
      <w:r w:rsidRPr="000250E1">
        <w:t>Support older people to live active, self-determined and meaningful lives.</w:t>
      </w:r>
      <w:r w:rsidRPr="000250E1">
        <w:rPr>
          <w:sz w:val="24"/>
          <w:szCs w:val="24"/>
        </w:rPr>
        <w:t xml:space="preserve"> </w:t>
      </w:r>
    </w:p>
    <w:p w14:paraId="49102317" w14:textId="79A7DAB9" w:rsidR="004D7B74" w:rsidRPr="00B87779" w:rsidRDefault="00D53B45" w:rsidP="00B87779">
      <w:pPr>
        <w:rPr>
          <w:rFonts w:cs="Arial"/>
          <w:szCs w:val="20"/>
        </w:rPr>
      </w:pPr>
      <w:r w:rsidRPr="002A42FD">
        <w:rPr>
          <w:rStyle w:val="Strong"/>
        </w:rPr>
        <w:t>Key Activity rationale:</w:t>
      </w:r>
      <w:r w:rsidRPr="00D53B45">
        <w:rPr>
          <w:rFonts w:cs="Arial"/>
          <w:b/>
          <w:bCs/>
          <w:szCs w:val="20"/>
        </w:rPr>
        <w:t xml:space="preserve"> </w:t>
      </w:r>
      <w:r w:rsidRPr="00D53B45">
        <w:rPr>
          <w:rFonts w:cs="Arial"/>
          <w:szCs w:val="20"/>
        </w:rPr>
        <w:t>This key activity aims to improve support services for older people.</w:t>
      </w:r>
    </w:p>
    <w:tbl>
      <w:tblPr>
        <w:tblStyle w:val="TableGridLight"/>
        <w:tblW w:w="5000" w:type="pct"/>
        <w:tblLook w:val="06A0" w:firstRow="1" w:lastRow="0" w:firstColumn="1" w:lastColumn="0" w:noHBand="1" w:noVBand="1"/>
      </w:tblPr>
      <w:tblGrid>
        <w:gridCol w:w="1701"/>
        <w:gridCol w:w="1828"/>
        <w:gridCol w:w="1830"/>
        <w:gridCol w:w="1830"/>
        <w:gridCol w:w="1827"/>
      </w:tblGrid>
      <w:tr w:rsidR="004D7B74" w:rsidRPr="008E3CD6" w14:paraId="584BD2EF" w14:textId="77777777" w:rsidTr="00483151">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A8943D" w14:textId="632840FD" w:rsidR="004D7B74" w:rsidRPr="00823660" w:rsidRDefault="004D7B74" w:rsidP="00823660">
            <w:pPr>
              <w:pStyle w:val="TableTextleftaligned"/>
              <w:rPr>
                <w:rFonts w:asciiTheme="minorHAnsi" w:eastAsia="Times New Roman" w:hAnsiTheme="minorHAnsi" w:cstheme="minorHAnsi"/>
                <w:b w:val="0"/>
                <w:szCs w:val="20"/>
              </w:rPr>
            </w:pPr>
            <w:r w:rsidRPr="00B87779">
              <w:t xml:space="preserve">Measure 3.2A: Older Australians are treated with respect and dignity in receiving aged care services. </w:t>
            </w:r>
          </w:p>
        </w:tc>
      </w:tr>
      <w:tr w:rsidR="004D7B74" w:rsidRPr="008E3CD6" w14:paraId="728409C0" w14:textId="77777777" w:rsidTr="00483151">
        <w:tc>
          <w:tcPr>
            <w:cnfStyle w:val="001000000000" w:firstRow="0" w:lastRow="0" w:firstColumn="1" w:lastColumn="0" w:oddVBand="0" w:evenVBand="0" w:oddHBand="0" w:evenHBand="0" w:firstRowFirstColumn="0" w:firstRowLastColumn="0" w:lastRowFirstColumn="0" w:lastRowLastColumn="0"/>
            <w:tcW w:w="943" w:type="pct"/>
          </w:tcPr>
          <w:p w14:paraId="6FE7EE71" w14:textId="77777777" w:rsidR="004D7B74" w:rsidRPr="0046299B" w:rsidRDefault="004D7B74" w:rsidP="0046299B">
            <w:pPr>
              <w:pStyle w:val="TableTextleftaligned"/>
            </w:pPr>
            <w:r w:rsidRPr="0046299B">
              <w:t>Rationale</w:t>
            </w:r>
          </w:p>
        </w:tc>
        <w:tc>
          <w:tcPr>
            <w:tcW w:w="4057" w:type="pct"/>
            <w:gridSpan w:val="4"/>
          </w:tcPr>
          <w:p w14:paraId="2FB35A2A"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This measure relates directly to the key activity that is, that older people are treated with respect and dignity. The measure will initially enable the monitoring of the effectiveness of residential aged care services only, with home care services to be added in future years as new initiatives are rolled out in Home Care</w:t>
            </w:r>
            <w:r w:rsidRPr="0046299B" w:rsidDel="00392FC5">
              <w:t>.</w:t>
            </w:r>
          </w:p>
          <w:p w14:paraId="4B3CB1F6" w14:textId="17E48889"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 xml:space="preserve">The performance result measures older peoples’ experiences of residential aged care homes and captures their perspectives on whether they are being cared for with respect and dignity. Success will be measured by maintaining and steadily improving the average residents’ experience survey score, as the sector matures in line with aged care reforms. </w:t>
            </w:r>
          </w:p>
        </w:tc>
      </w:tr>
      <w:tr w:rsidR="004D7B74" w:rsidRPr="008E3CD6" w14:paraId="1DC8E7A4" w14:textId="77777777" w:rsidTr="00483151">
        <w:tc>
          <w:tcPr>
            <w:cnfStyle w:val="001000000000" w:firstRow="0" w:lastRow="0" w:firstColumn="1" w:lastColumn="0" w:oddVBand="0" w:evenVBand="0" w:oddHBand="0" w:evenHBand="0" w:firstRowFirstColumn="0" w:firstRowLastColumn="0" w:lastRowFirstColumn="0" w:lastRowLastColumn="0"/>
            <w:tcW w:w="943" w:type="pct"/>
          </w:tcPr>
          <w:p w14:paraId="4E76ED5B" w14:textId="77777777" w:rsidR="004D7B74" w:rsidRPr="0046299B" w:rsidRDefault="004D7B74" w:rsidP="0046299B">
            <w:pPr>
              <w:pStyle w:val="TableTextleftaligned"/>
            </w:pPr>
            <w:r w:rsidRPr="0046299B">
              <w:t>Measure Type</w:t>
            </w:r>
          </w:p>
        </w:tc>
        <w:tc>
          <w:tcPr>
            <w:tcW w:w="4057" w:type="pct"/>
            <w:gridSpan w:val="4"/>
          </w:tcPr>
          <w:p w14:paraId="437C9765" w14:textId="77777777" w:rsidR="004D7B74" w:rsidRPr="0046299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Qualitative / Effectiveness</w:t>
            </w:r>
          </w:p>
        </w:tc>
      </w:tr>
      <w:tr w:rsidR="004D7B74" w:rsidRPr="008E3CD6" w14:paraId="1BF59193" w14:textId="77777777" w:rsidTr="00483151">
        <w:tc>
          <w:tcPr>
            <w:cnfStyle w:val="001000000000" w:firstRow="0" w:lastRow="0" w:firstColumn="1" w:lastColumn="0" w:oddVBand="0" w:evenVBand="0" w:oddHBand="0" w:evenHBand="0" w:firstRowFirstColumn="0" w:firstRowLastColumn="0" w:lastRowFirstColumn="0" w:lastRowLastColumn="0"/>
            <w:tcW w:w="943" w:type="pct"/>
          </w:tcPr>
          <w:p w14:paraId="1DAB0CDB" w14:textId="2C8771DF" w:rsidR="004D7B74" w:rsidRPr="009B277D" w:rsidRDefault="004D7B74" w:rsidP="0046299B">
            <w:pPr>
              <w:pStyle w:val="TableTextleftaligned"/>
              <w:rPr>
                <w:b w:val="0"/>
                <w:bCs/>
              </w:rPr>
            </w:pPr>
            <w:r w:rsidRPr="009B277D">
              <w:rPr>
                <w:bCs/>
              </w:rPr>
              <w:t>Method</w:t>
            </w:r>
            <w:r w:rsidR="00823660">
              <w:rPr>
                <w:bCs/>
              </w:rPr>
              <w:t xml:space="preserve"> </w:t>
            </w:r>
            <w:r w:rsidRPr="002B335E">
              <w:t>(</w:t>
            </w:r>
            <w:r w:rsidRPr="003106EF">
              <w:t>Data Source and Methodology)</w:t>
            </w:r>
          </w:p>
        </w:tc>
        <w:tc>
          <w:tcPr>
            <w:tcW w:w="4057" w:type="pct"/>
            <w:gridSpan w:val="4"/>
          </w:tcPr>
          <w:p w14:paraId="4618DD10" w14:textId="5E844107" w:rsidR="004D7B74" w:rsidRPr="00116543" w:rsidRDefault="00474E27" w:rsidP="00483151">
            <w:pPr>
              <w:pStyle w:val="TableTextleftaligned"/>
              <w:cnfStyle w:val="000000000000" w:firstRow="0" w:lastRow="0" w:firstColumn="0" w:lastColumn="0" w:oddVBand="0" w:evenVBand="0" w:oddHBand="0" w:evenHBand="0" w:firstRowFirstColumn="0" w:firstRowLastColumn="0" w:lastRowFirstColumn="0" w:lastRowLastColumn="0"/>
            </w:pPr>
            <w:r>
              <w:rPr>
                <w:b/>
                <w:bCs/>
              </w:rPr>
              <w:t>D</w:t>
            </w:r>
            <w:r w:rsidR="004D7B74" w:rsidRPr="00B87779">
              <w:rPr>
                <w:b/>
                <w:bCs/>
              </w:rPr>
              <w:t>ata source</w:t>
            </w:r>
            <w:r w:rsidR="004D7B74" w:rsidRPr="00116543">
              <w:t xml:space="preserve"> for the </w:t>
            </w:r>
            <w:r w:rsidR="004D7B74" w:rsidRPr="00823660">
              <w:t>measure 3.2A is survey results from aged care residents responding to the Residents’ Experience Surveys (RES), which is an annual survey conducted by an independent third-party organisation, using a randomisation methodology to select and interview at least 10% of residents in</w:t>
            </w:r>
            <w:r w:rsidR="004D7B74" w:rsidRPr="00116543">
              <w:t xml:space="preserve"> each participating home, with an overall sample of around 20% of older people living in residential aged care homes across Australia.</w:t>
            </w:r>
          </w:p>
          <w:p w14:paraId="7BA3F5BB" w14:textId="77777777" w:rsidR="004D7B74" w:rsidRDefault="004D7B74" w:rsidP="00823660">
            <w:pPr>
              <w:pStyle w:val="ListBullet3"/>
              <w:cnfStyle w:val="000000000000" w:firstRow="0" w:lastRow="0" w:firstColumn="0" w:lastColumn="0" w:oddVBand="0" w:evenVBand="0" w:oddHBand="0" w:evenHBand="0" w:firstRowFirstColumn="0" w:firstRowLastColumn="0" w:lastRowFirstColumn="0" w:lastRowLastColumn="0"/>
            </w:pPr>
            <w:r w:rsidRPr="00116543">
              <w:t>The data quality and reliability are assured by</w:t>
            </w:r>
            <w:r>
              <w:t>:</w:t>
            </w:r>
            <w:r w:rsidRPr="00116543">
              <w:t xml:space="preserve"> </w:t>
            </w:r>
          </w:p>
          <w:p w14:paraId="5C170E07" w14:textId="77777777" w:rsidR="004D7B74" w:rsidRDefault="004D7B74" w:rsidP="00823660">
            <w:pPr>
              <w:pStyle w:val="ListBullet3"/>
              <w:cnfStyle w:val="000000000000" w:firstRow="0" w:lastRow="0" w:firstColumn="0" w:lastColumn="0" w:oddVBand="0" w:evenVBand="0" w:oddHBand="0" w:evenHBand="0" w:firstRowFirstColumn="0" w:firstRowLastColumn="0" w:lastRowFirstColumn="0" w:lastRowLastColumn="0"/>
            </w:pPr>
            <w:r w:rsidRPr="00E8144F">
              <w:t>the survey design, the quality and assurance checks by the vendor and the department</w:t>
            </w:r>
          </w:p>
          <w:p w14:paraId="7B820F8F" w14:textId="77777777" w:rsidR="004D7B74" w:rsidRDefault="004D7B74" w:rsidP="00823660">
            <w:pPr>
              <w:pStyle w:val="ListBullet3"/>
              <w:cnfStyle w:val="000000000000" w:firstRow="0" w:lastRow="0" w:firstColumn="0" w:lastColumn="0" w:oddVBand="0" w:evenVBand="0" w:oddHBand="0" w:evenHBand="0" w:firstRowFirstColumn="0" w:firstRowLastColumn="0" w:lastRowFirstColumn="0" w:lastRowLastColumn="0"/>
            </w:pPr>
            <w:r w:rsidRPr="00E8144F">
              <w:t xml:space="preserve">the external assurance feedback from the department's external assurance provider </w:t>
            </w:r>
          </w:p>
          <w:p w14:paraId="43BFF3FB" w14:textId="6F5F18E1" w:rsidR="004D7B74" w:rsidRPr="00116543" w:rsidRDefault="004D7B74" w:rsidP="00823660">
            <w:pPr>
              <w:pStyle w:val="ListBullet3"/>
              <w:cnfStyle w:val="000000000000" w:firstRow="0" w:lastRow="0" w:firstColumn="0" w:lastColumn="0" w:oddVBand="0" w:evenVBand="0" w:oddHBand="0" w:evenHBand="0" w:firstRowFirstColumn="0" w:firstRowLastColumn="0" w:lastRowFirstColumn="0" w:lastRowLastColumn="0"/>
            </w:pPr>
            <w:r w:rsidRPr="00E8144F">
              <w:t>the planned performance justification and targets.</w:t>
            </w:r>
          </w:p>
          <w:p w14:paraId="2CA2FAF4" w14:textId="36974130" w:rsidR="004D7B74" w:rsidRPr="00116543" w:rsidRDefault="004D7B74" w:rsidP="00483151">
            <w:pPr>
              <w:pStyle w:val="TableTextleftaligned"/>
              <w:cnfStyle w:val="000000000000" w:firstRow="0" w:lastRow="0" w:firstColumn="0" w:lastColumn="0" w:oddVBand="0" w:evenVBand="0" w:oddHBand="0" w:evenHBand="0" w:firstRowFirstColumn="0" w:firstRowLastColumn="0" w:lastRowFirstColumn="0" w:lastRowLastColumn="0"/>
            </w:pPr>
            <w:r w:rsidRPr="00116543">
              <w:lastRenderedPageBreak/>
              <w:t>As part of the quality assurance process, the vendor and the department</w:t>
            </w:r>
            <w:r w:rsidRPr="00116543" w:rsidDel="00F67A18">
              <w:t xml:space="preserve"> </w:t>
            </w:r>
            <w:r w:rsidRPr="00116543">
              <w:t xml:space="preserve">review the raw data, the survey results, and the calculation methodology. The data is also assured by the data assurance </w:t>
            </w:r>
            <w:r w:rsidRPr="00483151">
              <w:t>record</w:t>
            </w:r>
            <w:r w:rsidRPr="00116543">
              <w:t xml:space="preserve"> for performance measure 3.2A, which documents the data type, source, items, acquisition, extraction, processing, frequency, storage, risks, and governance.</w:t>
            </w:r>
          </w:p>
          <w:p w14:paraId="31802419" w14:textId="63AC9864" w:rsidR="004D7B74" w:rsidRPr="00823660" w:rsidRDefault="005C150F" w:rsidP="00483151">
            <w:pPr>
              <w:pStyle w:val="TableTextleftaligned"/>
              <w:cnfStyle w:val="000000000000" w:firstRow="0" w:lastRow="0" w:firstColumn="0" w:lastColumn="0" w:oddVBand="0" w:evenVBand="0" w:oddHBand="0" w:evenHBand="0" w:firstRowFirstColumn="0" w:firstRowLastColumn="0" w:lastRowFirstColumn="0" w:lastRowLastColumn="0"/>
            </w:pPr>
            <w:r w:rsidRPr="005C150F">
              <w:rPr>
                <w:b/>
                <w:bCs/>
              </w:rPr>
              <w:t>Methodology</w:t>
            </w:r>
            <w:r>
              <w:t xml:space="preserve"> for t</w:t>
            </w:r>
            <w:r w:rsidR="004D7B74" w:rsidRPr="00116543">
              <w:t xml:space="preserve">he measure is calculated by averaging the RES scores (the 12 Likert scale questions in the survey) of all participating residential aged care homes and converting the average to a percentage. The performance measure is justified by the alignment with the program </w:t>
            </w:r>
            <w:r w:rsidR="004D7B74" w:rsidRPr="00483151">
              <w:t>objective</w:t>
            </w:r>
            <w:r w:rsidR="004D7B74" w:rsidRPr="00116543">
              <w:t xml:space="preserve"> of ensuring respect, </w:t>
            </w:r>
            <w:proofErr w:type="gramStart"/>
            <w:r w:rsidR="004D7B74" w:rsidRPr="00116543">
              <w:t>care</w:t>
            </w:r>
            <w:proofErr w:type="gramEnd"/>
            <w:r w:rsidR="004D7B74" w:rsidRPr="00116543">
              <w:t xml:space="preserve"> and </w:t>
            </w:r>
            <w:r w:rsidR="004D7B74" w:rsidRPr="0046299B">
              <w:t>dignity</w:t>
            </w:r>
            <w:r w:rsidR="004D7B74" w:rsidRPr="00116543">
              <w:t xml:space="preserve"> in delivering aged care services, and the planned performance targets are based on the baseline data and the expected improvement over time.</w:t>
            </w:r>
          </w:p>
        </w:tc>
      </w:tr>
      <w:tr w:rsidR="00D60D69" w:rsidRPr="008E3CD6" w14:paraId="0A92C3AD" w14:textId="77777777" w:rsidTr="00483151">
        <w:tc>
          <w:tcPr>
            <w:cnfStyle w:val="001000000000" w:firstRow="0" w:lastRow="0" w:firstColumn="1" w:lastColumn="0" w:oddVBand="0" w:evenVBand="0" w:oddHBand="0" w:evenHBand="0" w:firstRowFirstColumn="0" w:firstRowLastColumn="0" w:lastRowFirstColumn="0" w:lastRowLastColumn="0"/>
            <w:tcW w:w="943" w:type="pct"/>
          </w:tcPr>
          <w:p w14:paraId="18B1DA27" w14:textId="441C5F50" w:rsidR="00D60D69" w:rsidRPr="009B277D" w:rsidRDefault="00D60D69" w:rsidP="0046299B">
            <w:pPr>
              <w:pStyle w:val="TableTextleftaligned"/>
              <w:rPr>
                <w:b w:val="0"/>
              </w:rPr>
            </w:pPr>
            <w:r>
              <w:t>Linked to 2024–25 Portfolio Budget Statements</w:t>
            </w:r>
          </w:p>
        </w:tc>
        <w:tc>
          <w:tcPr>
            <w:tcW w:w="4057" w:type="pct"/>
            <w:gridSpan w:val="4"/>
          </w:tcPr>
          <w:p w14:paraId="7A0AC775" w14:textId="2F7A03AC" w:rsidR="00D60D69" w:rsidRPr="00EA0A9A" w:rsidRDefault="00D60D69" w:rsidP="00EA0A9A">
            <w:pPr>
              <w:pStyle w:val="TableTextleftaligned"/>
              <w:cnfStyle w:val="000000000000" w:firstRow="0" w:lastRow="0" w:firstColumn="0" w:lastColumn="0" w:oddVBand="0" w:evenVBand="0" w:oddHBand="0" w:evenHBand="0" w:firstRowFirstColumn="0" w:firstRowLastColumn="0" w:lastRowFirstColumn="0" w:lastRowLastColumn="0"/>
            </w:pPr>
            <w:r w:rsidRPr="00EA0A9A">
              <w:t>Program 3.2 - Aged Care Services – page 95</w:t>
            </w:r>
          </w:p>
        </w:tc>
      </w:tr>
      <w:tr w:rsidR="004D7B74" w:rsidRPr="008E3CD6" w14:paraId="6D56B2EA" w14:textId="77777777" w:rsidTr="00483151">
        <w:trPr>
          <w:trHeight w:val="34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36DE7A9C" w14:textId="77777777" w:rsidR="004D7B74" w:rsidRPr="0046299B" w:rsidRDefault="004D7B74" w:rsidP="0046299B">
            <w:pPr>
              <w:pStyle w:val="TableTextleftaligned"/>
            </w:pPr>
            <w:r>
              <w:t>Planned Performance Results</w:t>
            </w:r>
          </w:p>
        </w:tc>
        <w:tc>
          <w:tcPr>
            <w:tcW w:w="1014" w:type="pct"/>
            <w:shd w:val="clear" w:color="auto" w:fill="BFBFBF" w:themeFill="background1" w:themeFillShade="BF"/>
            <w:vAlign w:val="center"/>
          </w:tcPr>
          <w:p w14:paraId="10129415" w14:textId="77777777" w:rsidR="004D7B74" w:rsidRPr="00BD63D8" w:rsidRDefault="004D7B74" w:rsidP="00EA0A9A">
            <w:pPr>
              <w:pStyle w:val="TableTextstrong"/>
              <w:cnfStyle w:val="000000000000" w:firstRow="0" w:lastRow="0" w:firstColumn="0" w:lastColumn="0" w:oddVBand="0" w:evenVBand="0" w:oddHBand="0" w:evenHBand="0" w:firstRowFirstColumn="0" w:firstRowLastColumn="0" w:lastRowFirstColumn="0" w:lastRowLastColumn="0"/>
            </w:pPr>
            <w:r w:rsidRPr="00BD63D8">
              <w:t>2024–25</w:t>
            </w:r>
            <w:r w:rsidRPr="00BD63D8">
              <w:rPr>
                <w:rStyle w:val="FootnoteReference"/>
                <w:bCs/>
              </w:rPr>
              <w:footnoteReference w:id="56"/>
            </w:r>
          </w:p>
        </w:tc>
        <w:tc>
          <w:tcPr>
            <w:tcW w:w="1015" w:type="pct"/>
            <w:shd w:val="clear" w:color="auto" w:fill="BFBFBF" w:themeFill="background1" w:themeFillShade="BF"/>
            <w:vAlign w:val="center"/>
          </w:tcPr>
          <w:p w14:paraId="33C7A233" w14:textId="77777777" w:rsidR="004D7B74" w:rsidRPr="00BD63D8" w:rsidRDefault="004D7B74" w:rsidP="00EA0A9A">
            <w:pPr>
              <w:pStyle w:val="TableTextstrong"/>
              <w:cnfStyle w:val="000000000000" w:firstRow="0" w:lastRow="0" w:firstColumn="0" w:lastColumn="0" w:oddVBand="0" w:evenVBand="0" w:oddHBand="0" w:evenHBand="0" w:firstRowFirstColumn="0" w:firstRowLastColumn="0" w:lastRowFirstColumn="0" w:lastRowLastColumn="0"/>
            </w:pPr>
            <w:r w:rsidRPr="00BD63D8">
              <w:t>2025–26</w:t>
            </w:r>
          </w:p>
        </w:tc>
        <w:tc>
          <w:tcPr>
            <w:tcW w:w="1015" w:type="pct"/>
            <w:shd w:val="clear" w:color="auto" w:fill="BFBFBF" w:themeFill="background1" w:themeFillShade="BF"/>
            <w:vAlign w:val="center"/>
          </w:tcPr>
          <w:p w14:paraId="0CA65DB1" w14:textId="77777777" w:rsidR="004D7B74" w:rsidRPr="00BD63D8" w:rsidRDefault="004D7B74" w:rsidP="00EA0A9A">
            <w:pPr>
              <w:pStyle w:val="TableTextstrong"/>
              <w:cnfStyle w:val="000000000000" w:firstRow="0" w:lastRow="0" w:firstColumn="0" w:lastColumn="0" w:oddVBand="0" w:evenVBand="0" w:oddHBand="0" w:evenHBand="0" w:firstRowFirstColumn="0" w:firstRowLastColumn="0" w:lastRowFirstColumn="0" w:lastRowLastColumn="0"/>
            </w:pPr>
            <w:r w:rsidRPr="00BD63D8">
              <w:t>2026–27</w:t>
            </w:r>
          </w:p>
        </w:tc>
        <w:tc>
          <w:tcPr>
            <w:tcW w:w="1013" w:type="pct"/>
            <w:shd w:val="clear" w:color="auto" w:fill="BFBFBF" w:themeFill="background1" w:themeFillShade="BF"/>
            <w:vAlign w:val="center"/>
          </w:tcPr>
          <w:p w14:paraId="6564F6A3" w14:textId="77777777" w:rsidR="004D7B74" w:rsidRPr="00BD63D8" w:rsidRDefault="004D7B74" w:rsidP="00EA0A9A">
            <w:pPr>
              <w:pStyle w:val="TableTextstrong"/>
              <w:cnfStyle w:val="000000000000" w:firstRow="0" w:lastRow="0" w:firstColumn="0" w:lastColumn="0" w:oddVBand="0" w:evenVBand="0" w:oddHBand="0" w:evenHBand="0" w:firstRowFirstColumn="0" w:firstRowLastColumn="0" w:lastRowFirstColumn="0" w:lastRowLastColumn="0"/>
            </w:pPr>
            <w:r w:rsidRPr="00BD63D8">
              <w:t>2027–28</w:t>
            </w:r>
          </w:p>
        </w:tc>
      </w:tr>
      <w:tr w:rsidR="004D7B74" w:rsidRPr="008E3CD6" w14:paraId="5AB5433C" w14:textId="77777777" w:rsidTr="00483151">
        <w:tc>
          <w:tcPr>
            <w:cnfStyle w:val="001000000000" w:firstRow="0" w:lastRow="0" w:firstColumn="1" w:lastColumn="0" w:oddVBand="0" w:evenVBand="0" w:oddHBand="0" w:evenHBand="0" w:firstRowFirstColumn="0" w:firstRowLastColumn="0" w:lastRowFirstColumn="0" w:lastRowLastColumn="0"/>
            <w:tcW w:w="943" w:type="pct"/>
            <w:vMerge/>
          </w:tcPr>
          <w:p w14:paraId="321AA3D5" w14:textId="77777777" w:rsidR="004D7B74" w:rsidRPr="009B277D" w:rsidRDefault="004D7B74" w:rsidP="00CA72A8">
            <w:pPr>
              <w:pStyle w:val="TableTextleftaligned"/>
              <w:spacing w:line="192" w:lineRule="auto"/>
              <w:rPr>
                <w:b w:val="0"/>
                <w:bCs/>
              </w:rPr>
            </w:pPr>
          </w:p>
        </w:tc>
        <w:tc>
          <w:tcPr>
            <w:tcW w:w="1014" w:type="pct"/>
          </w:tcPr>
          <w:p w14:paraId="3E843A42" w14:textId="7E4F303D" w:rsidR="004D7B74" w:rsidRPr="00865F8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65F89">
              <w:t xml:space="preserve">Maintain or increase the average Residents’ Experience Survey (RES) Score of 84% for residential aged care homes. </w:t>
            </w:r>
          </w:p>
        </w:tc>
        <w:tc>
          <w:tcPr>
            <w:tcW w:w="1015" w:type="pct"/>
          </w:tcPr>
          <w:p w14:paraId="71BBBE48" w14:textId="77777777" w:rsidR="004D7B74" w:rsidRPr="00865F8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65F89">
              <w:t>Increase the average Residents’ Experience Survey (RES) Score for residential aged care homes by at least one percentage point from 2024</w:t>
            </w:r>
            <w:r w:rsidRPr="00C72013">
              <w:t>–</w:t>
            </w:r>
            <w:r w:rsidRPr="00865F89">
              <w:t>25.</w:t>
            </w:r>
          </w:p>
        </w:tc>
        <w:tc>
          <w:tcPr>
            <w:tcW w:w="1015" w:type="pct"/>
          </w:tcPr>
          <w:p w14:paraId="4A7FB4DC" w14:textId="77777777" w:rsidR="004D7B74" w:rsidRPr="00865F8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65F89">
              <w:t>Increase the average Residents’ Experience Survey (RES) Score for residential aged care homes by at least one percentage point from 2025</w:t>
            </w:r>
            <w:r w:rsidRPr="00C72013">
              <w:t>–</w:t>
            </w:r>
            <w:r w:rsidRPr="00865F89">
              <w:t>26.</w:t>
            </w:r>
          </w:p>
        </w:tc>
        <w:tc>
          <w:tcPr>
            <w:tcW w:w="1013" w:type="pct"/>
          </w:tcPr>
          <w:p w14:paraId="204A3A8F" w14:textId="77777777" w:rsidR="004D7B74" w:rsidRPr="00865F8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865F89">
              <w:t xml:space="preserve">Increase the average Residents’ Experience Survey (RES) Score for residential aged care homes by at least </w:t>
            </w:r>
            <w:r>
              <w:t>o</w:t>
            </w:r>
            <w:r w:rsidRPr="00865F89">
              <w:t>ne percentage point from 2026</w:t>
            </w:r>
            <w:r w:rsidRPr="00C72013">
              <w:t>–</w:t>
            </w:r>
            <w:r w:rsidRPr="00865F89">
              <w:t>27.</w:t>
            </w:r>
          </w:p>
        </w:tc>
      </w:tr>
    </w:tbl>
    <w:p w14:paraId="76E132FB" w14:textId="77777777" w:rsidR="004D7B74" w:rsidRPr="0046299B" w:rsidRDefault="004D7B74" w:rsidP="0046299B"/>
    <w:tbl>
      <w:tblPr>
        <w:tblStyle w:val="TableGridLight"/>
        <w:tblW w:w="5000" w:type="pct"/>
        <w:tblLook w:val="01E0" w:firstRow="1" w:lastRow="1" w:firstColumn="1" w:lastColumn="1" w:noHBand="0" w:noVBand="0"/>
      </w:tblPr>
      <w:tblGrid>
        <w:gridCol w:w="1718"/>
        <w:gridCol w:w="1998"/>
        <w:gridCol w:w="1863"/>
        <w:gridCol w:w="2005"/>
        <w:gridCol w:w="1432"/>
      </w:tblGrid>
      <w:tr w:rsidR="004D7B74" w:rsidRPr="008E3CD6" w14:paraId="3F178F1F" w14:textId="77777777" w:rsidTr="00823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86DAD63" w14:textId="77777777" w:rsidR="004D7B74" w:rsidRPr="00AB31EB" w:rsidRDefault="004D7B74" w:rsidP="00823660">
            <w:pPr>
              <w:pStyle w:val="TableTextleftaligned"/>
              <w:rPr>
                <w:b w:val="0"/>
              </w:rPr>
            </w:pPr>
            <w:r w:rsidRPr="00AB31EB">
              <w:t xml:space="preserve">Measure 3.2B: Older people receive residential care services that contributes to their quality of life. </w:t>
            </w:r>
          </w:p>
          <w:p w14:paraId="62A17F83" w14:textId="77777777" w:rsidR="004D7B74" w:rsidRPr="00823660" w:rsidRDefault="004D7B74" w:rsidP="00823660">
            <w:r w:rsidRPr="00823660">
              <w:t>Establish measurement baseline for ‘Quality of Life’ indicator.</w:t>
            </w:r>
          </w:p>
          <w:p w14:paraId="68A5A88B" w14:textId="77777777" w:rsidR="004D7B74" w:rsidRPr="00823660" w:rsidRDefault="004D7B74" w:rsidP="00823660">
            <w:r w:rsidRPr="00823660">
              <w:t>Maintain a sector-wide average of 200 minutes of care per resident per day, including 40 minutes of direct care by a registered nurse (RN) per day.</w:t>
            </w:r>
          </w:p>
          <w:p w14:paraId="4708FE7B" w14:textId="102ECCF5" w:rsidR="004D7B74" w:rsidRPr="00823660" w:rsidRDefault="004D7B74" w:rsidP="00823660">
            <w:pPr>
              <w:rPr>
                <w:lang w:eastAsia="en-AU"/>
              </w:rPr>
            </w:pPr>
            <w:r w:rsidRPr="00823660">
              <w:t xml:space="preserve">All non-exempt residential aged care facilities of approved providers have at least one RN on-site and on duty 24 hours a day, 7 days a week. </w:t>
            </w:r>
          </w:p>
        </w:tc>
      </w:tr>
      <w:tr w:rsidR="004D7B74" w:rsidRPr="008E3CD6" w14:paraId="622678DC" w14:textId="77777777" w:rsidTr="00823660">
        <w:tc>
          <w:tcPr>
            <w:cnfStyle w:val="001000000000" w:firstRow="0" w:lastRow="0" w:firstColumn="1" w:lastColumn="0" w:oddVBand="0" w:evenVBand="0" w:oddHBand="0" w:evenHBand="0" w:firstRowFirstColumn="0" w:firstRowLastColumn="0" w:lastRowFirstColumn="0" w:lastRowLastColumn="0"/>
            <w:tcW w:w="953" w:type="pct"/>
          </w:tcPr>
          <w:p w14:paraId="05DA7B52" w14:textId="77777777" w:rsidR="004D7B74" w:rsidRPr="00AB31EB" w:rsidRDefault="004D7B74" w:rsidP="00CA72A8">
            <w:pPr>
              <w:pStyle w:val="TableTextleftaligned"/>
              <w:spacing w:line="192" w:lineRule="auto"/>
              <w:rPr>
                <w:b w:val="0"/>
                <w:bCs/>
              </w:rPr>
            </w:pPr>
            <w:r w:rsidRPr="00AB31EB">
              <w:rPr>
                <w:bCs/>
              </w:rPr>
              <w:t>Rationale</w:t>
            </w:r>
          </w:p>
        </w:tc>
        <w:tc>
          <w:tcPr>
            <w:tcW w:w="4047" w:type="pct"/>
            <w:gridSpan w:val="4"/>
          </w:tcPr>
          <w:p w14:paraId="53D035D7" w14:textId="3939F005" w:rsidR="004D7B74" w:rsidRPr="00253E7B"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253E7B">
              <w:t>This key activity and performance measure relates to residential aged care quality and is a key element of the Aged Care Reform following the Royal Commission into Aged Care Quality and Safety.</w:t>
            </w:r>
            <w:r w:rsidR="00CB4BBC">
              <w:rPr>
                <w:rStyle w:val="FootnoteReference"/>
                <w:rFonts w:ascii="Malgun Gothic" w:hAnsi="Malgun Gothic"/>
                <w:sz w:val="18"/>
              </w:rPr>
              <w:footnoteReference w:id="57"/>
            </w:r>
            <w:r w:rsidRPr="00253E7B">
              <w:t xml:space="preserve"> </w:t>
            </w:r>
          </w:p>
          <w:p w14:paraId="3B1B6650" w14:textId="39E249E7" w:rsidR="004D7B74" w:rsidRPr="00253E7B"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253E7B">
              <w:t>The Royal Commission found that there was a strong link between staffing levels, particularly nursing staffing levels, and aged care residents receiving quality care that meets their personal and clinical care needs. High quality care supports a high quality of life. This is why 3.2B(b) and (c) form a key component of this measure.</w:t>
            </w:r>
          </w:p>
          <w:p w14:paraId="5D5D5F86" w14:textId="6DE9B56F" w:rsidR="004D7B74" w:rsidRPr="00BB4FE7"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253E7B">
              <w:t xml:space="preserve">The Planned Performance Result (PPR) is one of three that when collectively achieved, demonstrate achievement of the measure. The PPR enables the </w:t>
            </w:r>
            <w:r>
              <w:lastRenderedPageBreak/>
              <w:t>d</w:t>
            </w:r>
            <w:r w:rsidRPr="00253E7B">
              <w:t xml:space="preserve">epartment to report performance against the measure of quality of life in residential aged care facilities. </w:t>
            </w:r>
          </w:p>
        </w:tc>
      </w:tr>
      <w:tr w:rsidR="004D7B74" w:rsidRPr="008E3CD6" w14:paraId="0922BFDC" w14:textId="77777777" w:rsidTr="00823660">
        <w:tc>
          <w:tcPr>
            <w:cnfStyle w:val="001000000000" w:firstRow="0" w:lastRow="0" w:firstColumn="1" w:lastColumn="0" w:oddVBand="0" w:evenVBand="0" w:oddHBand="0" w:evenHBand="0" w:firstRowFirstColumn="0" w:firstRowLastColumn="0" w:lastRowFirstColumn="0" w:lastRowLastColumn="0"/>
            <w:tcW w:w="953" w:type="pct"/>
          </w:tcPr>
          <w:p w14:paraId="78F78050" w14:textId="77777777" w:rsidR="004D7B74" w:rsidRPr="0046299B" w:rsidRDefault="004D7B74" w:rsidP="0046299B">
            <w:pPr>
              <w:pStyle w:val="TableTextleftaligned"/>
            </w:pPr>
            <w:r w:rsidRPr="00AB31EB">
              <w:lastRenderedPageBreak/>
              <w:t>Measure Type</w:t>
            </w:r>
          </w:p>
        </w:tc>
        <w:tc>
          <w:tcPr>
            <w:tcW w:w="4047" w:type="pct"/>
            <w:gridSpan w:val="4"/>
          </w:tcPr>
          <w:p w14:paraId="067908CD" w14:textId="77777777" w:rsidR="006F2F3C" w:rsidRPr="005C150F" w:rsidRDefault="004D7B74" w:rsidP="00BB4FE7">
            <w:pPr>
              <w:cnfStyle w:val="000000000000" w:firstRow="0" w:lastRow="0" w:firstColumn="0" w:lastColumn="0" w:oddVBand="0" w:evenVBand="0" w:oddHBand="0" w:evenHBand="0" w:firstRowFirstColumn="0" w:firstRowLastColumn="0" w:lastRowFirstColumn="0" w:lastRowLastColumn="0"/>
            </w:pPr>
            <w:r w:rsidRPr="00511C09">
              <w:t xml:space="preserve">a. </w:t>
            </w:r>
            <w:r>
              <w:t>Q</w:t>
            </w:r>
            <w:r w:rsidRPr="005C150F">
              <w:t>ualitative</w:t>
            </w:r>
            <w:r w:rsidR="006F2F3C" w:rsidRPr="005C150F">
              <w:t xml:space="preserve"> / Effectiveness</w:t>
            </w:r>
          </w:p>
          <w:p w14:paraId="2E18D150" w14:textId="6364343A" w:rsidR="004D7B74" w:rsidRPr="00442939" w:rsidRDefault="004D7B74" w:rsidP="00BB4FE7">
            <w:pPr>
              <w:cnfStyle w:val="000000000000" w:firstRow="0" w:lastRow="0" w:firstColumn="0" w:lastColumn="0" w:oddVBand="0" w:evenVBand="0" w:oddHBand="0" w:evenHBand="0" w:firstRowFirstColumn="0" w:firstRowLastColumn="0" w:lastRowFirstColumn="0" w:lastRowLastColumn="0"/>
            </w:pPr>
            <w:r w:rsidRPr="00442939">
              <w:t>b</w:t>
            </w:r>
            <w:r w:rsidR="00647903">
              <w:t xml:space="preserve"> </w:t>
            </w:r>
            <w:r w:rsidR="00647903" w:rsidRPr="00647903">
              <w:t>and c</w:t>
            </w:r>
            <w:r w:rsidRPr="00442939">
              <w:t xml:space="preserve">. Quantitative </w:t>
            </w:r>
            <w:r>
              <w:t>/ Output</w:t>
            </w:r>
          </w:p>
        </w:tc>
      </w:tr>
      <w:tr w:rsidR="004D7B74" w:rsidRPr="008E3CD6" w14:paraId="6C0A3047" w14:textId="77777777" w:rsidTr="00823660">
        <w:tc>
          <w:tcPr>
            <w:cnfStyle w:val="001000000000" w:firstRow="0" w:lastRow="0" w:firstColumn="1" w:lastColumn="0" w:oddVBand="0" w:evenVBand="0" w:oddHBand="0" w:evenHBand="0" w:firstRowFirstColumn="0" w:firstRowLastColumn="0" w:lastRowFirstColumn="0" w:lastRowLastColumn="0"/>
            <w:tcW w:w="953" w:type="pct"/>
          </w:tcPr>
          <w:p w14:paraId="16409227" w14:textId="4642F07E" w:rsidR="004D7B74" w:rsidRPr="00AB31EB" w:rsidRDefault="004D7B74" w:rsidP="0046299B">
            <w:pPr>
              <w:pStyle w:val="TableTextleftaligned"/>
              <w:rPr>
                <w:b w:val="0"/>
                <w:bCs/>
              </w:rPr>
            </w:pPr>
            <w:r w:rsidRPr="00AB31EB">
              <w:rPr>
                <w:bCs/>
              </w:rPr>
              <w:t>Method</w:t>
            </w:r>
            <w:r w:rsidR="0046299B">
              <w:rPr>
                <w:bCs/>
              </w:rPr>
              <w:t xml:space="preserve"> </w:t>
            </w:r>
            <w:r w:rsidRPr="00AB31EB">
              <w:t>(</w:t>
            </w:r>
            <w:r w:rsidRPr="003106EF">
              <w:t>Data Source and Methodology)</w:t>
            </w:r>
          </w:p>
        </w:tc>
        <w:tc>
          <w:tcPr>
            <w:tcW w:w="4047" w:type="pct"/>
            <w:gridSpan w:val="4"/>
          </w:tcPr>
          <w:p w14:paraId="46339C2A" w14:textId="77777777" w:rsidR="004D7B74" w:rsidRPr="00442939"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42939">
              <w:t xml:space="preserve">The </w:t>
            </w:r>
            <w:r w:rsidRPr="00AB31EB">
              <w:rPr>
                <w:b/>
                <w:bCs/>
              </w:rPr>
              <w:t>data source</w:t>
            </w:r>
            <w:r w:rsidRPr="00442939">
              <w:t xml:space="preserve"> </w:t>
            </w:r>
            <w:r w:rsidRPr="00946213">
              <w:rPr>
                <w:b/>
                <w:bCs/>
              </w:rPr>
              <w:t>for measure 3.2B(a)</w:t>
            </w:r>
            <w:r w:rsidRPr="00442939">
              <w:t xml:space="preserve"> is the National Aged Care Mandatory Quality Indicator Program (QI Program), which requires approved providers of residential aged care to submit quarterly quality indicator data, including for quality of life. The QOL-ACC tool is the quality-of-life assessment tool used for the purposes of the QI Program. </w:t>
            </w:r>
          </w:p>
          <w:p w14:paraId="62D8D8E9" w14:textId="4AC80A1F" w:rsidR="004D7B74" w:rsidRPr="00442939"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42939">
              <w:t>The quality-of-life quality indicator results are calculated based on the number of care recipients who report ‘excellent and good’ categories across three completion modes (self-completion, interviewer facilitated completion</w:t>
            </w:r>
            <w:r>
              <w:rPr>
                <w:rStyle w:val="FootnoteReference"/>
                <w:rFonts w:ascii="Malgun Gothic" w:hAnsi="Malgun Gothic"/>
                <w:sz w:val="18"/>
              </w:rPr>
              <w:footnoteReference w:id="58"/>
            </w:r>
            <w:r w:rsidRPr="00442939">
              <w:t xml:space="preserve"> or proxy-completion).</w:t>
            </w:r>
            <w:r w:rsidR="005C150F">
              <w:rPr>
                <w:rStyle w:val="FootnoteReference"/>
                <w:rFonts w:ascii="Malgun Gothic" w:hAnsi="Malgun Gothic"/>
                <w:sz w:val="18"/>
              </w:rPr>
              <w:footnoteReference w:id="59"/>
            </w:r>
            <w:r w:rsidRPr="00442939">
              <w:t xml:space="preserve"> The baseline for the indicator will be established in the 2045</w:t>
            </w:r>
            <w:r w:rsidRPr="00C72013">
              <w:t>–</w:t>
            </w:r>
            <w:r w:rsidRPr="00442939">
              <w:t>25 reporting period and used to set targets for future years.</w:t>
            </w:r>
          </w:p>
          <w:p w14:paraId="71700E81" w14:textId="77777777" w:rsidR="004D7B74" w:rsidRPr="00442939"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42939">
              <w:t xml:space="preserve">The data is reported quarterly by residential aged care providers through the Quality Indicators App within the Government Provider Management System (GPMS). The data is then stored in the Aged Care Data Warehouse and transferred to the </w:t>
            </w:r>
            <w:r>
              <w:t>Australian Institute of Health and Welfare (</w:t>
            </w:r>
            <w:r w:rsidRPr="00442939">
              <w:t>AIHW</w:t>
            </w:r>
            <w:r>
              <w:t>)</w:t>
            </w:r>
            <w:r w:rsidRPr="00442939">
              <w:t xml:space="preserve"> via </w:t>
            </w:r>
            <w:proofErr w:type="spellStart"/>
            <w:r w:rsidRPr="00442939">
              <w:t>Defigo</w:t>
            </w:r>
            <w:proofErr w:type="spellEnd"/>
            <w:r w:rsidRPr="00442939">
              <w:t xml:space="preserve"> for analysis and publication.</w:t>
            </w:r>
          </w:p>
          <w:p w14:paraId="7F3902DE" w14:textId="662973AE" w:rsidR="004D7B74" w:rsidRPr="00442939"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42939">
              <w:t xml:space="preserve">The data quality is </w:t>
            </w:r>
            <w:r>
              <w:t xml:space="preserve">assessed </w:t>
            </w:r>
            <w:r w:rsidRPr="00442939">
              <w:t xml:space="preserve">through quality assurance checks, in-built data validations in GPMS and through the AIHW </w:t>
            </w:r>
            <w:r>
              <w:t xml:space="preserve">for </w:t>
            </w:r>
            <w:r w:rsidRPr="00442939">
              <w:t>data validation. The data governance is guided by the National Aged Care Data Strategy,</w:t>
            </w:r>
            <w:r w:rsidR="005C150F">
              <w:rPr>
                <w:rStyle w:val="FootnoteReference"/>
                <w:rFonts w:ascii="Malgun Gothic" w:hAnsi="Malgun Gothic"/>
                <w:sz w:val="18"/>
              </w:rPr>
              <w:footnoteReference w:id="60"/>
            </w:r>
            <w:r w:rsidRPr="00442939">
              <w:t xml:space="preserve"> the </w:t>
            </w:r>
            <w:r w:rsidRPr="005B5E75">
              <w:rPr>
                <w:i/>
                <w:iCs/>
              </w:rPr>
              <w:t>Aged Care Act 1997</w:t>
            </w:r>
            <w:r w:rsidRPr="00442939">
              <w:t>, and the QI Program Manual.</w:t>
            </w:r>
          </w:p>
          <w:p w14:paraId="51F77B71" w14:textId="77777777" w:rsidR="004D7B74" w:rsidRPr="0044293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42939">
              <w:t xml:space="preserve">The </w:t>
            </w:r>
            <w:r w:rsidRPr="00AB31EB">
              <w:rPr>
                <w:b/>
                <w:bCs/>
              </w:rPr>
              <w:t>data source</w:t>
            </w:r>
            <w:r w:rsidRPr="00442939">
              <w:t xml:space="preserve"> </w:t>
            </w:r>
            <w:r w:rsidRPr="00946213">
              <w:rPr>
                <w:b/>
                <w:bCs/>
              </w:rPr>
              <w:t xml:space="preserve">for measure 3.2B(b) </w:t>
            </w:r>
            <w:r w:rsidRPr="00442939">
              <w:t xml:space="preserve">is the Quarterly Financial Report (QFR), which requires approved providers of residential aged care to submit quarterly financial and care </w:t>
            </w:r>
            <w:r w:rsidRPr="0046299B">
              <w:t xml:space="preserve">time data in respect of each of their services. Specifically, the direct care hours of registered nurses, enrolled </w:t>
            </w:r>
            <w:proofErr w:type="gramStart"/>
            <w:r w:rsidRPr="0046299B">
              <w:t>nurses</w:t>
            </w:r>
            <w:proofErr w:type="gramEnd"/>
            <w:r w:rsidRPr="0046299B">
              <w:t xml:space="preserve"> and personal care workers/assistants as well as the occupied bed day data are used in the calculation of this measure. This reporting is completed through the QFR app within GPMS. Data validation checks are performed on this data prior to acceptance. In addition, the</w:t>
            </w:r>
            <w:r>
              <w:t xml:space="preserve"> department performs detailed assurance checks on a sample of this reporting each year through the care time reporting assessment program.</w:t>
            </w:r>
          </w:p>
          <w:p w14:paraId="36761B83" w14:textId="77777777" w:rsidR="004D7B74" w:rsidRPr="00C1631B"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442939">
              <w:t xml:space="preserve">The </w:t>
            </w:r>
            <w:r w:rsidRPr="00AB31EB">
              <w:rPr>
                <w:b/>
                <w:bCs/>
              </w:rPr>
              <w:t>data source</w:t>
            </w:r>
            <w:r w:rsidRPr="00442939">
              <w:t xml:space="preserve"> </w:t>
            </w:r>
            <w:r w:rsidRPr="00946213">
              <w:rPr>
                <w:b/>
                <w:bCs/>
              </w:rPr>
              <w:t>for measure 3.2B(c)</w:t>
            </w:r>
            <w:r w:rsidRPr="00442939">
              <w:t xml:space="preserve"> is 24/7 registered nurse reporting where all approved providers report all times, when a registered nurse was not onsite and on duty for each of their residential aged care facilities. This reporting is completed monthly through the registered nurse application on GPMS. While providers are </w:t>
            </w:r>
            <w:r w:rsidRPr="0046299B">
              <w:t>required</w:t>
            </w:r>
            <w:r w:rsidRPr="00442939">
              <w:t xml:space="preserve"> to report in respect of their exempt facilities, exempt facilities are excluded from the calculation of the performance measure. The 24/7 RN reporting is not validated prior to acceptance but like the </w:t>
            </w:r>
            <w:r w:rsidRPr="00E149A5">
              <w:rPr>
                <w:b/>
                <w:bCs/>
              </w:rPr>
              <w:t>data for measure 3.2B(b)</w:t>
            </w:r>
            <w:r w:rsidRPr="00442939">
              <w:t xml:space="preserve"> a sample of the reporting is checked through the care time reporting assessment program.</w:t>
            </w:r>
          </w:p>
        </w:tc>
      </w:tr>
      <w:tr w:rsidR="00D60D69" w:rsidRPr="008E3CD6" w14:paraId="4ED6BBD0" w14:textId="77777777" w:rsidTr="00823660">
        <w:tc>
          <w:tcPr>
            <w:cnfStyle w:val="001000000000" w:firstRow="0" w:lastRow="0" w:firstColumn="1" w:lastColumn="0" w:oddVBand="0" w:evenVBand="0" w:oddHBand="0" w:evenHBand="0" w:firstRowFirstColumn="0" w:firstRowLastColumn="0" w:lastRowFirstColumn="0" w:lastRowLastColumn="0"/>
            <w:tcW w:w="953" w:type="pct"/>
          </w:tcPr>
          <w:p w14:paraId="43D6DD08" w14:textId="5F9F8EB7" w:rsidR="00D60D69" w:rsidRPr="009B277D" w:rsidRDefault="00D60D69" w:rsidP="0046299B">
            <w:pPr>
              <w:pStyle w:val="TableTextleftaligned"/>
              <w:spacing w:line="192" w:lineRule="auto"/>
              <w:rPr>
                <w:b w:val="0"/>
                <w:bCs/>
              </w:rPr>
            </w:pPr>
            <w:r>
              <w:rPr>
                <w:bCs/>
              </w:rPr>
              <w:lastRenderedPageBreak/>
              <w:t>Linked to 2024–25 Portfolio Budget Statements</w:t>
            </w:r>
          </w:p>
        </w:tc>
        <w:tc>
          <w:tcPr>
            <w:tcW w:w="4047" w:type="pct"/>
            <w:gridSpan w:val="4"/>
          </w:tcPr>
          <w:p w14:paraId="24EA62A3" w14:textId="5CA3FF4B" w:rsidR="00D60D69" w:rsidRPr="00442939" w:rsidRDefault="00D60D69" w:rsidP="0046299B">
            <w:pPr>
              <w:pStyle w:val="TableTextleftaligned"/>
              <w:cnfStyle w:val="000000000000" w:firstRow="0" w:lastRow="0" w:firstColumn="0" w:lastColumn="0" w:oddVBand="0" w:evenVBand="0" w:oddHBand="0" w:evenHBand="0" w:firstRowFirstColumn="0" w:firstRowLastColumn="0" w:lastRowFirstColumn="0" w:lastRowLastColumn="0"/>
            </w:pPr>
            <w:r w:rsidRPr="00E6299A">
              <w:t xml:space="preserve">Program </w:t>
            </w:r>
            <w:r w:rsidRPr="00D60D69">
              <w:t>3.2</w:t>
            </w:r>
            <w:r>
              <w:t xml:space="preserve"> -</w:t>
            </w:r>
            <w:r w:rsidRPr="00E6299A">
              <w:t xml:space="preserve"> </w:t>
            </w:r>
            <w:r>
              <w:t>Aged Care Services</w:t>
            </w:r>
            <w:r w:rsidRPr="00D60D69">
              <w:t xml:space="preserve"> </w:t>
            </w:r>
            <w:r w:rsidRPr="00E6299A">
              <w:t xml:space="preserve">– page </w:t>
            </w:r>
            <w:r w:rsidRPr="00D60D69">
              <w:t>9</w:t>
            </w:r>
            <w:r w:rsidR="003B0C64">
              <w:t>6</w:t>
            </w:r>
          </w:p>
        </w:tc>
      </w:tr>
      <w:tr w:rsidR="003B3C91" w:rsidRPr="008E3CD6" w14:paraId="23CD6E53" w14:textId="77777777" w:rsidTr="0046299B">
        <w:trPr>
          <w:trHeight w:val="340"/>
        </w:trPr>
        <w:tc>
          <w:tcPr>
            <w:cnfStyle w:val="001000000000" w:firstRow="0" w:lastRow="0" w:firstColumn="1" w:lastColumn="0" w:oddVBand="0" w:evenVBand="0" w:oddHBand="0" w:evenHBand="0" w:firstRowFirstColumn="0" w:firstRowLastColumn="0" w:lastRowFirstColumn="0" w:lastRowLastColumn="0"/>
            <w:tcW w:w="953" w:type="pct"/>
            <w:vMerge w:val="restart"/>
          </w:tcPr>
          <w:p w14:paraId="5DEAFCC4" w14:textId="77777777" w:rsidR="004D7B74" w:rsidRPr="009B277D" w:rsidRDefault="004D7B74" w:rsidP="00CA72A8">
            <w:pPr>
              <w:pStyle w:val="TableTextleftaligned"/>
              <w:spacing w:line="192" w:lineRule="auto"/>
              <w:rPr>
                <w:b w:val="0"/>
                <w:bCs/>
              </w:rPr>
            </w:pPr>
            <w:r>
              <w:rPr>
                <w:bCs/>
              </w:rPr>
              <w:t>Planned Performance Results</w:t>
            </w:r>
          </w:p>
        </w:tc>
        <w:tc>
          <w:tcPr>
            <w:tcW w:w="1108" w:type="pct"/>
            <w:shd w:val="clear" w:color="auto" w:fill="BFBFBF" w:themeFill="background1" w:themeFillShade="BF"/>
            <w:vAlign w:val="center"/>
          </w:tcPr>
          <w:p w14:paraId="1AEFD77A" w14:textId="77777777" w:rsidR="004D7B74" w:rsidRPr="00AB31E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AB31EB">
              <w:t>2024–25</w:t>
            </w:r>
          </w:p>
        </w:tc>
        <w:tc>
          <w:tcPr>
            <w:tcW w:w="1033" w:type="pct"/>
            <w:shd w:val="clear" w:color="auto" w:fill="BFBFBF" w:themeFill="background1" w:themeFillShade="BF"/>
            <w:vAlign w:val="center"/>
          </w:tcPr>
          <w:p w14:paraId="7E2A28DA" w14:textId="77777777" w:rsidR="004D7B74" w:rsidRPr="00AB31E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AB31EB">
              <w:t>2025</w:t>
            </w:r>
            <w:bookmarkStart w:id="209" w:name="_Hlk175319927"/>
            <w:r w:rsidRPr="00AB31EB">
              <w:t>–</w:t>
            </w:r>
            <w:bookmarkEnd w:id="209"/>
            <w:r w:rsidRPr="00AB31EB">
              <w:t>26</w:t>
            </w:r>
          </w:p>
        </w:tc>
        <w:tc>
          <w:tcPr>
            <w:tcW w:w="1112" w:type="pct"/>
            <w:shd w:val="clear" w:color="auto" w:fill="BFBFBF" w:themeFill="background1" w:themeFillShade="BF"/>
            <w:vAlign w:val="center"/>
          </w:tcPr>
          <w:p w14:paraId="326E229D" w14:textId="77777777" w:rsidR="004D7B74" w:rsidRPr="00AB31E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AB31EB">
              <w:t>2026–27</w:t>
            </w:r>
          </w:p>
        </w:tc>
        <w:tc>
          <w:tcPr>
            <w:tcW w:w="794" w:type="pct"/>
            <w:shd w:val="clear" w:color="auto" w:fill="BFBFBF" w:themeFill="background1" w:themeFillShade="BF"/>
            <w:vAlign w:val="center"/>
          </w:tcPr>
          <w:p w14:paraId="4632BEC5" w14:textId="77777777" w:rsidR="004D7B74" w:rsidRPr="00AB31E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AB31EB">
              <w:t>2027–28</w:t>
            </w:r>
          </w:p>
        </w:tc>
      </w:tr>
      <w:tr w:rsidR="003B3C91" w:rsidRPr="008E3CD6" w14:paraId="52F98186" w14:textId="77777777" w:rsidTr="009B44A6">
        <w:tc>
          <w:tcPr>
            <w:cnfStyle w:val="001000000000" w:firstRow="0" w:lastRow="0" w:firstColumn="1" w:lastColumn="0" w:oddVBand="0" w:evenVBand="0" w:oddHBand="0" w:evenHBand="0" w:firstRowFirstColumn="0" w:firstRowLastColumn="0" w:lastRowFirstColumn="0" w:lastRowLastColumn="0"/>
            <w:tcW w:w="953" w:type="pct"/>
            <w:vMerge/>
          </w:tcPr>
          <w:p w14:paraId="1B0E2911" w14:textId="77777777" w:rsidR="004D7B74" w:rsidRPr="009B277D" w:rsidRDefault="004D7B74" w:rsidP="00CA72A8">
            <w:pPr>
              <w:pStyle w:val="TableTextleftaligned"/>
              <w:spacing w:line="192" w:lineRule="auto"/>
              <w:rPr>
                <w:b w:val="0"/>
                <w:bCs/>
              </w:rPr>
            </w:pPr>
          </w:p>
        </w:tc>
        <w:tc>
          <w:tcPr>
            <w:tcW w:w="1108" w:type="pct"/>
          </w:tcPr>
          <w:p w14:paraId="094A2C86" w14:textId="3BAAC70F" w:rsidR="004D7B74" w:rsidRPr="0044293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42939">
              <w:t>a. Establish measurement baseline for ‘Quality of Life’ indicator.</w:t>
            </w:r>
            <w:r w:rsidR="00BC62F3">
              <w:rPr>
                <w:rStyle w:val="FootnoteReference"/>
              </w:rPr>
              <w:footnoteReference w:id="61"/>
            </w:r>
          </w:p>
        </w:tc>
        <w:tc>
          <w:tcPr>
            <w:tcW w:w="1033" w:type="pct"/>
          </w:tcPr>
          <w:p w14:paraId="7D9ABEC2" w14:textId="77777777" w:rsidR="004D7B74" w:rsidRPr="0044293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42939">
              <w:t>a. Maintain or increase percentage of care recipients who completed the QOL_ACC and who report ‘good’ or ‘excellent’ quality of life in residential care (QIs)</w:t>
            </w:r>
            <w:r>
              <w:rPr>
                <w:rStyle w:val="FootnoteReference"/>
              </w:rPr>
              <w:footnoteReference w:id="62"/>
            </w:r>
          </w:p>
        </w:tc>
        <w:tc>
          <w:tcPr>
            <w:tcW w:w="1112" w:type="pct"/>
          </w:tcPr>
          <w:p w14:paraId="34950D84" w14:textId="77777777" w:rsidR="004D7B74" w:rsidRPr="00442939"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42939">
              <w:t>a. Maintain or increase percentage of care recipients who completed the QOL_ACC and who report ‘good’ or ‘excellent’ quality of life in residential care (QIs)</w:t>
            </w:r>
          </w:p>
        </w:tc>
        <w:tc>
          <w:tcPr>
            <w:tcW w:w="794" w:type="pct"/>
          </w:tcPr>
          <w:p w14:paraId="5534504D" w14:textId="77777777" w:rsidR="004D7B74" w:rsidRPr="00442939" w:rsidRDefault="004D7B74" w:rsidP="009B44A6">
            <w:pPr>
              <w:pStyle w:val="TableTextleftaligned"/>
              <w:cnfStyle w:val="000000000000" w:firstRow="0" w:lastRow="0" w:firstColumn="0" w:lastColumn="0" w:oddVBand="0" w:evenVBand="0" w:oddHBand="0" w:evenHBand="0" w:firstRowFirstColumn="0" w:firstRowLastColumn="0" w:lastRowFirstColumn="0" w:lastRowLastColumn="0"/>
            </w:pPr>
            <w:r w:rsidRPr="00442939">
              <w:t>a. Maintain or increase percentage of care recipients who completed the QOL_ACC and who report ‘good’ or ‘excellent’ quality of life in residential care (QIs)</w:t>
            </w:r>
          </w:p>
        </w:tc>
      </w:tr>
      <w:tr w:rsidR="003B3C91" w:rsidRPr="008E3CD6" w14:paraId="49741DB7" w14:textId="77777777" w:rsidTr="009B44A6">
        <w:tc>
          <w:tcPr>
            <w:cnfStyle w:val="001000000000" w:firstRow="0" w:lastRow="0" w:firstColumn="1" w:lastColumn="0" w:oddVBand="0" w:evenVBand="0" w:oddHBand="0" w:evenHBand="0" w:firstRowFirstColumn="0" w:firstRowLastColumn="0" w:lastRowFirstColumn="0" w:lastRowLastColumn="0"/>
            <w:tcW w:w="953" w:type="pct"/>
            <w:vMerge/>
          </w:tcPr>
          <w:p w14:paraId="48EACC91" w14:textId="77777777" w:rsidR="004D7B74" w:rsidRPr="009B277D" w:rsidRDefault="004D7B74" w:rsidP="00CA72A8">
            <w:pPr>
              <w:pStyle w:val="TableTextleftaligned"/>
              <w:spacing w:line="192" w:lineRule="auto"/>
              <w:rPr>
                <w:b w:val="0"/>
                <w:bCs/>
              </w:rPr>
            </w:pPr>
          </w:p>
        </w:tc>
        <w:tc>
          <w:tcPr>
            <w:tcW w:w="1108" w:type="pct"/>
          </w:tcPr>
          <w:p w14:paraId="72B6BD2D" w14:textId="77777777" w:rsidR="004D7B74" w:rsidRPr="00442939" w:rsidRDefault="004D7B74" w:rsidP="009B44A6">
            <w:pPr>
              <w:pStyle w:val="TableTextleftaligned"/>
              <w:cnfStyle w:val="000000000000" w:firstRow="0" w:lastRow="0" w:firstColumn="0" w:lastColumn="0" w:oddVBand="0" w:evenVBand="0" w:oddHBand="0" w:evenHBand="0" w:firstRowFirstColumn="0" w:firstRowLastColumn="0" w:lastRowFirstColumn="0" w:lastRowLastColumn="0"/>
            </w:pPr>
            <w:r w:rsidRPr="00442939">
              <w:t>b. Maintain a sector-wide average of 200 minutes of care per resident per day, including 40 minutes of direct care by a registered nurse per day.</w:t>
            </w:r>
          </w:p>
        </w:tc>
        <w:tc>
          <w:tcPr>
            <w:tcW w:w="1033" w:type="pct"/>
          </w:tcPr>
          <w:p w14:paraId="678453C4" w14:textId="77777777" w:rsidR="004D7B74" w:rsidRPr="00442939" w:rsidRDefault="004D7B74" w:rsidP="009B44A6">
            <w:pPr>
              <w:pStyle w:val="TableTextleftaligned"/>
              <w:cnfStyle w:val="000000000000" w:firstRow="0" w:lastRow="0" w:firstColumn="0" w:lastColumn="0" w:oddVBand="0" w:evenVBand="0" w:oddHBand="0" w:evenHBand="0" w:firstRowFirstColumn="0" w:firstRowLastColumn="0" w:lastRowFirstColumn="0" w:lastRowLastColumn="0"/>
            </w:pPr>
            <w:r w:rsidRPr="00442939">
              <w:t>b. Maintain a sector-wide average of 215 minutes per resident per day, including 44 minutes of direct care by a registered nurse per day.</w:t>
            </w:r>
          </w:p>
        </w:tc>
        <w:tc>
          <w:tcPr>
            <w:tcW w:w="1112" w:type="pct"/>
          </w:tcPr>
          <w:p w14:paraId="5A8E801C" w14:textId="77777777" w:rsidR="004D7B74" w:rsidRPr="00442939" w:rsidRDefault="004D7B74" w:rsidP="009B44A6">
            <w:pPr>
              <w:pStyle w:val="TableTextleftaligned"/>
              <w:cnfStyle w:val="000000000000" w:firstRow="0" w:lastRow="0" w:firstColumn="0" w:lastColumn="0" w:oddVBand="0" w:evenVBand="0" w:oddHBand="0" w:evenHBand="0" w:firstRowFirstColumn="0" w:firstRowLastColumn="0" w:lastRowFirstColumn="0" w:lastRowLastColumn="0"/>
            </w:pPr>
            <w:r w:rsidRPr="00442939">
              <w:t>b. Maintain a sector-wide average of 215 minutes per resident per day, including 44 minutes of direct care by a registered nurse per day.</w:t>
            </w:r>
          </w:p>
        </w:tc>
        <w:tc>
          <w:tcPr>
            <w:tcW w:w="794" w:type="pct"/>
          </w:tcPr>
          <w:p w14:paraId="27D5A051" w14:textId="77777777" w:rsidR="004D7B74" w:rsidRPr="00442939" w:rsidRDefault="004D7B74" w:rsidP="009B44A6">
            <w:pPr>
              <w:pStyle w:val="TableTextleftaligned"/>
              <w:cnfStyle w:val="000000000000" w:firstRow="0" w:lastRow="0" w:firstColumn="0" w:lastColumn="0" w:oddVBand="0" w:evenVBand="0" w:oddHBand="0" w:evenHBand="0" w:firstRowFirstColumn="0" w:firstRowLastColumn="0" w:lastRowFirstColumn="0" w:lastRowLastColumn="0"/>
            </w:pPr>
            <w:r w:rsidRPr="00442939">
              <w:t>b. Maintain a sector-wide average of 215 minutes per resident per day, including 44 minutes of direct care by a registered nurse per day.</w:t>
            </w:r>
          </w:p>
        </w:tc>
      </w:tr>
      <w:tr w:rsidR="003B3C91" w:rsidRPr="008E3CD6" w14:paraId="534E7898" w14:textId="77777777" w:rsidTr="009B44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pct"/>
            <w:vMerge/>
          </w:tcPr>
          <w:p w14:paraId="06A4CA9A" w14:textId="77777777" w:rsidR="004D7B74" w:rsidRPr="009B277D" w:rsidRDefault="004D7B74" w:rsidP="00CA72A8">
            <w:pPr>
              <w:pStyle w:val="TableTextleftaligned"/>
              <w:spacing w:line="192" w:lineRule="auto"/>
              <w:rPr>
                <w:b w:val="0"/>
                <w:bCs/>
              </w:rPr>
            </w:pPr>
          </w:p>
        </w:tc>
        <w:tc>
          <w:tcPr>
            <w:tcW w:w="1108" w:type="pct"/>
          </w:tcPr>
          <w:p w14:paraId="7AFD369B" w14:textId="77777777" w:rsidR="004D7B74" w:rsidRPr="00442939" w:rsidRDefault="004D7B74" w:rsidP="009B44A6">
            <w:pPr>
              <w:pStyle w:val="TableTextleftaligned"/>
              <w:jc w:val="left"/>
              <w:cnfStyle w:val="010000000000" w:firstRow="0" w:lastRow="1" w:firstColumn="0" w:lastColumn="0" w:oddVBand="0" w:evenVBand="0" w:oddHBand="0" w:evenHBand="0" w:firstRowFirstColumn="0" w:firstRowLastColumn="0" w:lastRowFirstColumn="0" w:lastRowLastColumn="0"/>
            </w:pPr>
            <w:r w:rsidRPr="00442939">
              <w:t xml:space="preserve">c. All non-exempt residential aged care facilities of approved providers have at least one registered nurse on-site and on duty 24 hours a day, 7 days a week. </w:t>
            </w:r>
          </w:p>
        </w:tc>
        <w:tc>
          <w:tcPr>
            <w:tcW w:w="1033" w:type="pct"/>
          </w:tcPr>
          <w:p w14:paraId="5F24CF25" w14:textId="77777777" w:rsidR="004D7B74" w:rsidRPr="00442939" w:rsidRDefault="004D7B74" w:rsidP="009B44A6">
            <w:pPr>
              <w:pStyle w:val="TableTextleftaligned"/>
              <w:jc w:val="left"/>
              <w:cnfStyle w:val="010000000000" w:firstRow="0" w:lastRow="1" w:firstColumn="0" w:lastColumn="0" w:oddVBand="0" w:evenVBand="0" w:oddHBand="0" w:evenHBand="0" w:firstRowFirstColumn="0" w:firstRowLastColumn="0" w:lastRowFirstColumn="0" w:lastRowLastColumn="0"/>
            </w:pPr>
            <w:r w:rsidRPr="00442939">
              <w:t>c. All non-exempt residential aged care facilities of approved providers have at least one registered nurse on-site and on duty 24 hours a day, 7 days a week.</w:t>
            </w:r>
          </w:p>
        </w:tc>
        <w:tc>
          <w:tcPr>
            <w:tcW w:w="1112" w:type="pct"/>
          </w:tcPr>
          <w:p w14:paraId="222B9B94" w14:textId="77777777" w:rsidR="004D7B74" w:rsidRPr="00442939" w:rsidRDefault="004D7B74" w:rsidP="009B44A6">
            <w:pPr>
              <w:pStyle w:val="TableTextleftaligned"/>
              <w:jc w:val="left"/>
              <w:cnfStyle w:val="010000000000" w:firstRow="0" w:lastRow="1" w:firstColumn="0" w:lastColumn="0" w:oddVBand="0" w:evenVBand="0" w:oddHBand="0" w:evenHBand="0" w:firstRowFirstColumn="0" w:firstRowLastColumn="0" w:lastRowFirstColumn="0" w:lastRowLastColumn="0"/>
            </w:pPr>
            <w:r w:rsidRPr="00442939">
              <w:t>c. All residential aged care facilities of approved providers have at least one registered nurse</w:t>
            </w:r>
            <w:r>
              <w:t xml:space="preserve"> </w:t>
            </w:r>
            <w:r w:rsidRPr="00442939">
              <w:t>on-site and on duty 24 hours a day, 7 days a week.</w:t>
            </w:r>
          </w:p>
        </w:tc>
        <w:tc>
          <w:tcPr>
            <w:tcW w:w="794" w:type="pct"/>
          </w:tcPr>
          <w:p w14:paraId="7DFC4E22" w14:textId="77777777" w:rsidR="004D7B74" w:rsidRPr="00442939" w:rsidRDefault="004D7B74" w:rsidP="009B44A6">
            <w:pPr>
              <w:pStyle w:val="TableTextleftaligned"/>
              <w:jc w:val="left"/>
              <w:cnfStyle w:val="010000000000" w:firstRow="0" w:lastRow="1" w:firstColumn="0" w:lastColumn="0" w:oddVBand="0" w:evenVBand="0" w:oddHBand="0" w:evenHBand="0" w:firstRowFirstColumn="0" w:firstRowLastColumn="0" w:lastRowFirstColumn="0" w:lastRowLastColumn="0"/>
            </w:pPr>
            <w:r w:rsidRPr="00442939">
              <w:t xml:space="preserve">c. All residential aged care facilities of approved providers have at least one registered nurse on-site and on duty 24 hours a </w:t>
            </w:r>
            <w:r w:rsidRPr="00442939">
              <w:lastRenderedPageBreak/>
              <w:t>day, 7 days a week.</w:t>
            </w:r>
          </w:p>
        </w:tc>
      </w:tr>
    </w:tbl>
    <w:p w14:paraId="04753E02" w14:textId="77777777" w:rsidR="004D7B74" w:rsidRPr="0046299B" w:rsidRDefault="004D7B74" w:rsidP="0046299B">
      <w:pPr>
        <w:rPr>
          <w:highlight w:val="lightGray"/>
        </w:rPr>
      </w:pPr>
    </w:p>
    <w:tbl>
      <w:tblPr>
        <w:tblStyle w:val="TableGridLight"/>
        <w:tblW w:w="5000" w:type="pct"/>
        <w:tblLook w:val="01E0" w:firstRow="1" w:lastRow="1" w:firstColumn="1" w:lastColumn="1" w:noHBand="0" w:noVBand="0"/>
      </w:tblPr>
      <w:tblGrid>
        <w:gridCol w:w="1563"/>
        <w:gridCol w:w="1495"/>
        <w:gridCol w:w="2247"/>
        <w:gridCol w:w="1882"/>
        <w:gridCol w:w="1829"/>
      </w:tblGrid>
      <w:tr w:rsidR="004D7B74" w:rsidRPr="008E3CD6" w14:paraId="55580BB7" w14:textId="77777777" w:rsidTr="00823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614BE47" w14:textId="77777777" w:rsidR="004D7B74" w:rsidRPr="00823660" w:rsidRDefault="004D7B74" w:rsidP="00823660">
            <w:r w:rsidRPr="00823660">
              <w:t xml:space="preserve">Measure 3.2C: </w:t>
            </w:r>
          </w:p>
          <w:p w14:paraId="34D4734C" w14:textId="77777777" w:rsidR="004D7B74" w:rsidRPr="00823660" w:rsidRDefault="004D7B74" w:rsidP="00823660">
            <w:r w:rsidRPr="00823660">
              <w:t xml:space="preserve">Older people with diverse backgrounds and life experiences or who live in rural and remote areas can receive culturally safe and equitable aged care services where they live. </w:t>
            </w:r>
          </w:p>
        </w:tc>
      </w:tr>
      <w:tr w:rsidR="004D7B74" w:rsidRPr="008E3CD6" w14:paraId="2B05E165" w14:textId="77777777" w:rsidTr="00823660">
        <w:tc>
          <w:tcPr>
            <w:cnfStyle w:val="001000000000" w:firstRow="0" w:lastRow="0" w:firstColumn="1" w:lastColumn="0" w:oddVBand="0" w:evenVBand="0" w:oddHBand="0" w:evenHBand="0" w:firstRowFirstColumn="0" w:firstRowLastColumn="0" w:lastRowFirstColumn="0" w:lastRowLastColumn="0"/>
            <w:tcW w:w="883" w:type="pct"/>
          </w:tcPr>
          <w:p w14:paraId="2DC654E8" w14:textId="77777777" w:rsidR="004D7B74" w:rsidRPr="0046299B" w:rsidRDefault="004D7B74" w:rsidP="0046299B">
            <w:pPr>
              <w:pStyle w:val="TableTextleftaligned"/>
            </w:pPr>
            <w:r w:rsidRPr="0046299B">
              <w:t>Rationale</w:t>
            </w:r>
          </w:p>
        </w:tc>
        <w:tc>
          <w:tcPr>
            <w:tcW w:w="4117" w:type="pct"/>
            <w:gridSpan w:val="4"/>
          </w:tcPr>
          <w:p w14:paraId="2CB41190"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F7734D">
              <w:t>Th</w:t>
            </w:r>
            <w:r>
              <w:t>is</w:t>
            </w:r>
            <w:r w:rsidRPr="00F7734D">
              <w:t xml:space="preserve"> measure </w:t>
            </w:r>
            <w:r>
              <w:t xml:space="preserve">aims to ensure older people </w:t>
            </w:r>
            <w:r w:rsidRPr="00F7734D">
              <w:t xml:space="preserve">can access </w:t>
            </w:r>
            <w:r>
              <w:t>quality and safe Commonwealth funded aged care services when needed regardless of where they live. We also seek to embed c</w:t>
            </w:r>
            <w:r w:rsidRPr="00AB1A0C">
              <w:t xml:space="preserve">ulturally safe, </w:t>
            </w:r>
            <w:r w:rsidRPr="00914321">
              <w:t>trauma-aware,</w:t>
            </w:r>
            <w:r w:rsidRPr="00AB1A0C">
              <w:t xml:space="preserve"> </w:t>
            </w:r>
            <w:r w:rsidRPr="00914321">
              <w:t>and</w:t>
            </w:r>
            <w:r w:rsidRPr="00AB1A0C">
              <w:t xml:space="preserve"> </w:t>
            </w:r>
            <w:r w:rsidRPr="00914321">
              <w:t>healing-informed</w:t>
            </w:r>
            <w:r w:rsidRPr="00AB1A0C">
              <w:t xml:space="preserve"> </w:t>
            </w:r>
            <w:r w:rsidRPr="00914321">
              <w:t>care</w:t>
            </w:r>
            <w:r w:rsidRPr="00AB1A0C">
              <w:t xml:space="preserve"> </w:t>
            </w:r>
            <w:r>
              <w:t>across</w:t>
            </w:r>
            <w:r w:rsidRPr="00AB1A0C">
              <w:t xml:space="preserve"> </w:t>
            </w:r>
            <w:r w:rsidRPr="00914321">
              <w:t>all</w:t>
            </w:r>
            <w:r w:rsidRPr="00AB1A0C">
              <w:t xml:space="preserve"> Commonwealth aged care programs</w:t>
            </w:r>
            <w:r>
              <w:t xml:space="preserve">, which will improve </w:t>
            </w:r>
            <w:r w:rsidRPr="00AB1A0C">
              <w:t>access for older First Nations Australians</w:t>
            </w:r>
            <w:r>
              <w:t xml:space="preserve"> to Commonwealth funded aged care services.</w:t>
            </w:r>
          </w:p>
          <w:p w14:paraId="49CBD060" w14:textId="77777777" w:rsidR="004D7B74" w:rsidRPr="003A1357"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Success will be measured by demonstrating continuous improvements to </w:t>
            </w:r>
            <w:r w:rsidRPr="00AB1A0C">
              <w:t xml:space="preserve">the </w:t>
            </w:r>
            <w:r>
              <w:t>Commonwealth aged care system, i</w:t>
            </w:r>
            <w:r w:rsidRPr="00914321">
              <w:t>ncreasing</w:t>
            </w:r>
            <w:r w:rsidRPr="00AB1A0C">
              <w:t xml:space="preserve"> </w:t>
            </w:r>
            <w:r w:rsidRPr="00914321">
              <w:t>the</w:t>
            </w:r>
            <w:r w:rsidRPr="00AB1A0C">
              <w:t xml:space="preserve"> </w:t>
            </w:r>
            <w:r w:rsidRPr="00914321">
              <w:t>number</w:t>
            </w:r>
            <w:r w:rsidRPr="00AB1A0C">
              <w:t xml:space="preserve"> </w:t>
            </w:r>
            <w:r w:rsidRPr="00914321">
              <w:t>of</w:t>
            </w:r>
            <w:r w:rsidRPr="00AB1A0C">
              <w:t xml:space="preserve"> </w:t>
            </w:r>
            <w:r w:rsidRPr="00914321">
              <w:t>First</w:t>
            </w:r>
            <w:r w:rsidRPr="00AB1A0C">
              <w:t xml:space="preserve"> </w:t>
            </w:r>
            <w:r w:rsidRPr="00914321">
              <w:t xml:space="preserve">Nations </w:t>
            </w:r>
            <w:r w:rsidRPr="00AB1A0C">
              <w:t>community-controlled organisations capable of delivering aged car</w:t>
            </w:r>
            <w:r>
              <w:t>e, and ensuring improved access to</w:t>
            </w:r>
            <w:r w:rsidRPr="00933661">
              <w:t xml:space="preserve"> </w:t>
            </w:r>
            <w:r>
              <w:t xml:space="preserve">quality and safe </w:t>
            </w:r>
            <w:r w:rsidRPr="00933661">
              <w:t>aged care services</w:t>
            </w:r>
            <w:r>
              <w:t xml:space="preserve">, including in rural and remote areas of Australia where the availability of services can be more limited. </w:t>
            </w:r>
          </w:p>
        </w:tc>
      </w:tr>
      <w:tr w:rsidR="004D7B74" w:rsidRPr="008E3CD6" w14:paraId="1254AB24" w14:textId="77777777" w:rsidTr="00823660">
        <w:tc>
          <w:tcPr>
            <w:cnfStyle w:val="001000000000" w:firstRow="0" w:lastRow="0" w:firstColumn="1" w:lastColumn="0" w:oddVBand="0" w:evenVBand="0" w:oddHBand="0" w:evenHBand="0" w:firstRowFirstColumn="0" w:firstRowLastColumn="0" w:lastRowFirstColumn="0" w:lastRowLastColumn="0"/>
            <w:tcW w:w="883" w:type="pct"/>
          </w:tcPr>
          <w:p w14:paraId="1BA4B676" w14:textId="77777777" w:rsidR="004D7B74" w:rsidRPr="0046299B" w:rsidRDefault="004D7B74" w:rsidP="0046299B">
            <w:pPr>
              <w:pStyle w:val="TableTextleftaligned"/>
            </w:pPr>
            <w:r w:rsidRPr="0046299B">
              <w:t>Measure Type</w:t>
            </w:r>
          </w:p>
        </w:tc>
        <w:tc>
          <w:tcPr>
            <w:tcW w:w="4117" w:type="pct"/>
            <w:gridSpan w:val="4"/>
          </w:tcPr>
          <w:p w14:paraId="18F88D62" w14:textId="77777777" w:rsidR="004D7B74" w:rsidRPr="00CB70B2"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E564B9">
              <w:t>Qualitative / Output</w:t>
            </w:r>
          </w:p>
        </w:tc>
      </w:tr>
      <w:tr w:rsidR="004D7B74" w:rsidRPr="008E3CD6" w14:paraId="5E95653E" w14:textId="77777777" w:rsidTr="00823660">
        <w:tc>
          <w:tcPr>
            <w:cnfStyle w:val="001000000000" w:firstRow="0" w:lastRow="0" w:firstColumn="1" w:lastColumn="0" w:oddVBand="0" w:evenVBand="0" w:oddHBand="0" w:evenHBand="0" w:firstRowFirstColumn="0" w:firstRowLastColumn="0" w:lastRowFirstColumn="0" w:lastRowLastColumn="0"/>
            <w:tcW w:w="883" w:type="pct"/>
          </w:tcPr>
          <w:p w14:paraId="1DB3009A" w14:textId="3D382450" w:rsidR="004D7B74" w:rsidRPr="0046299B" w:rsidRDefault="004D7B74" w:rsidP="0046299B">
            <w:pPr>
              <w:pStyle w:val="TableTextleftaligned"/>
            </w:pPr>
            <w:r w:rsidRPr="0046299B">
              <w:t>Method</w:t>
            </w:r>
            <w:r w:rsidR="0046299B" w:rsidRPr="0046299B">
              <w:t xml:space="preserve"> </w:t>
            </w:r>
            <w:r w:rsidRPr="0046299B">
              <w:t>(Data Source and Methodology)</w:t>
            </w:r>
          </w:p>
        </w:tc>
        <w:tc>
          <w:tcPr>
            <w:tcW w:w="4117" w:type="pct"/>
            <w:gridSpan w:val="4"/>
          </w:tcPr>
          <w:p w14:paraId="772AE0BE" w14:textId="2371E9DA" w:rsidR="004D7B74" w:rsidRPr="00AB1A0C" w:rsidRDefault="005C150F" w:rsidP="0046299B">
            <w:pPr>
              <w:pStyle w:val="TableTextleftaligned"/>
              <w:cnfStyle w:val="000000000000" w:firstRow="0" w:lastRow="0" w:firstColumn="0" w:lastColumn="0" w:oddVBand="0" w:evenVBand="0" w:oddHBand="0" w:evenHBand="0" w:firstRowFirstColumn="0" w:firstRowLastColumn="0" w:lastRowFirstColumn="0" w:lastRowLastColumn="0"/>
            </w:pPr>
            <w:r>
              <w:rPr>
                <w:b/>
                <w:bCs/>
              </w:rPr>
              <w:t>D</w:t>
            </w:r>
            <w:r w:rsidR="004D7B74" w:rsidRPr="00F027D7">
              <w:rPr>
                <w:b/>
                <w:bCs/>
              </w:rPr>
              <w:t>ata source</w:t>
            </w:r>
            <w:r w:rsidR="004D7B74" w:rsidRPr="00874B60">
              <w:t xml:space="preserve"> is the </w:t>
            </w:r>
            <w:r w:rsidR="004D7B74">
              <w:t>d</w:t>
            </w:r>
            <w:r w:rsidR="004D7B74" w:rsidRPr="00874B60">
              <w:t xml:space="preserve">epartment's internal administrative data, which records the number and proportion of older people who </w:t>
            </w:r>
            <w:r w:rsidR="004D7B74">
              <w:t>access</w:t>
            </w:r>
            <w:r w:rsidR="004D7B74" w:rsidRPr="00874B60">
              <w:t xml:space="preserve"> aged care services</w:t>
            </w:r>
            <w:r w:rsidR="004D7B74" w:rsidRPr="00AB1A0C">
              <w:t xml:space="preserve"> </w:t>
            </w:r>
            <w:r w:rsidR="004D7B74" w:rsidRPr="00874B60">
              <w:t xml:space="preserve">and identify as First Nations </w:t>
            </w:r>
            <w:proofErr w:type="gramStart"/>
            <w:r w:rsidR="004D7B74" w:rsidRPr="00874B60">
              <w:t>peoples</w:t>
            </w:r>
            <w:r w:rsidR="004D7B74" w:rsidRPr="00AB1A0C">
              <w:t>,</w:t>
            </w:r>
            <w:r w:rsidR="004D7B74" w:rsidRPr="00874B60">
              <w:t xml:space="preserve"> or</w:t>
            </w:r>
            <w:proofErr w:type="gramEnd"/>
            <w:r w:rsidR="004D7B74" w:rsidRPr="00874B60">
              <w:t xml:space="preserve"> live in rural and remote areas.</w:t>
            </w:r>
            <w:r w:rsidR="004D7B74">
              <w:t xml:space="preserve"> This data </w:t>
            </w:r>
            <w:r w:rsidR="004D7B74" w:rsidRPr="00874B60">
              <w:t xml:space="preserve">is verifiable by the </w:t>
            </w:r>
            <w:r w:rsidR="004D7B74">
              <w:t>d</w:t>
            </w:r>
            <w:r w:rsidR="004D7B74" w:rsidRPr="00874B60">
              <w:t xml:space="preserve">epartment's data governance framework, which ensures that the data is reliable, accurate, valid, and consistent. </w:t>
            </w:r>
            <w:r w:rsidR="004D7B74">
              <w:t>It is</w:t>
            </w:r>
            <w:r w:rsidR="004D7B74" w:rsidRPr="00874B60">
              <w:t xml:space="preserve"> also verifiable by the external assurance feedback from the </w:t>
            </w:r>
            <w:r w:rsidR="004D7B74" w:rsidRPr="00AB1A0C">
              <w:t>D</w:t>
            </w:r>
            <w:r w:rsidR="004D7B74" w:rsidRPr="00874B60">
              <w:t xml:space="preserve">epartment's external assurance provider, who reviews the draft performance reports and provides feedback to the </w:t>
            </w:r>
            <w:r w:rsidR="004D7B74" w:rsidRPr="00AB1A0C">
              <w:t>D</w:t>
            </w:r>
            <w:r w:rsidR="004D7B74" w:rsidRPr="00874B60">
              <w:t>epartment.</w:t>
            </w:r>
            <w:r w:rsidR="004D7B74" w:rsidRPr="00AB1A0C">
              <w:t xml:space="preserve"> </w:t>
            </w:r>
          </w:p>
          <w:p w14:paraId="7A31ABB6" w14:textId="145C717D" w:rsidR="004D7B74" w:rsidRPr="00C96FA4" w:rsidRDefault="00F027D7" w:rsidP="0046299B">
            <w:pPr>
              <w:pStyle w:val="TableTextleftaligned"/>
              <w:cnfStyle w:val="000000000000" w:firstRow="0" w:lastRow="0" w:firstColumn="0" w:lastColumn="0" w:oddVBand="0" w:evenVBand="0" w:oddHBand="0" w:evenHBand="0" w:firstRowFirstColumn="0" w:firstRowLastColumn="0" w:lastRowFirstColumn="0" w:lastRowLastColumn="0"/>
            </w:pPr>
            <w:r w:rsidRPr="00F027D7">
              <w:rPr>
                <w:b/>
                <w:bCs/>
              </w:rPr>
              <w:t xml:space="preserve">Methodology </w:t>
            </w:r>
            <w:r>
              <w:t>for t</w:t>
            </w:r>
            <w:r w:rsidR="004D7B74" w:rsidRPr="00874B60">
              <w:t>h</w:t>
            </w:r>
            <w:r w:rsidR="004D7B74">
              <w:t>e</w:t>
            </w:r>
            <w:r w:rsidR="004D7B74" w:rsidRPr="00874B60">
              <w:t xml:space="preserve"> measure is calculated by dividing the number of older people</w:t>
            </w:r>
            <w:r w:rsidR="004D7B74">
              <w:t>,</w:t>
            </w:r>
            <w:r w:rsidR="004D7B74" w:rsidRPr="00874B60">
              <w:t xml:space="preserve"> who </w:t>
            </w:r>
            <w:r w:rsidR="004D7B74">
              <w:t>access</w:t>
            </w:r>
            <w:r w:rsidR="004D7B74" w:rsidRPr="00874B60">
              <w:t xml:space="preserve"> aged care services and </w:t>
            </w:r>
            <w:r w:rsidR="004D7B74">
              <w:t xml:space="preserve">either </w:t>
            </w:r>
            <w:r w:rsidR="004D7B74" w:rsidRPr="00874B60">
              <w:t>identify as First Nations peoples or live in rural and remote areas</w:t>
            </w:r>
            <w:r w:rsidR="004D7B74">
              <w:t>,</w:t>
            </w:r>
            <w:r w:rsidR="004D7B74" w:rsidRPr="00874B60">
              <w:t xml:space="preserve"> by the estimated population of older people </w:t>
            </w:r>
            <w:r w:rsidR="004D7B74" w:rsidRPr="00AB1A0C">
              <w:t xml:space="preserve">who </w:t>
            </w:r>
            <w:r w:rsidR="004D7B74">
              <w:t>access</w:t>
            </w:r>
            <w:r w:rsidR="004D7B74" w:rsidRPr="00AB1A0C">
              <w:t xml:space="preserve"> aged care services and</w:t>
            </w:r>
            <w:r w:rsidR="004D7B74" w:rsidRPr="00874B60">
              <w:t xml:space="preserve"> multiplying by 100 to get the percentage. The performance measure is justified by the alignment with the program objective of providing culturally safe and equitable aged care services for older people with diverse backgrounds and life experiences. The planned performance targets are based on the population estimates and the expected growth of service provision.</w:t>
            </w:r>
          </w:p>
        </w:tc>
      </w:tr>
      <w:tr w:rsidR="003B0C64" w:rsidRPr="008E3CD6" w14:paraId="7EC28ACE" w14:textId="77777777" w:rsidTr="00823660">
        <w:tc>
          <w:tcPr>
            <w:cnfStyle w:val="001000000000" w:firstRow="0" w:lastRow="0" w:firstColumn="1" w:lastColumn="0" w:oddVBand="0" w:evenVBand="0" w:oddHBand="0" w:evenHBand="0" w:firstRowFirstColumn="0" w:firstRowLastColumn="0" w:lastRowFirstColumn="0" w:lastRowLastColumn="0"/>
            <w:tcW w:w="883" w:type="pct"/>
          </w:tcPr>
          <w:p w14:paraId="2F5A9383" w14:textId="2DD5E8A8" w:rsidR="003B0C64" w:rsidRPr="0046299B" w:rsidRDefault="003B0C64" w:rsidP="0046299B">
            <w:pPr>
              <w:pStyle w:val="TableTextleftaligned"/>
            </w:pPr>
            <w:r w:rsidRPr="0046299B">
              <w:t>Linked to 2024–25 Portfolio Budget Statements</w:t>
            </w:r>
          </w:p>
        </w:tc>
        <w:tc>
          <w:tcPr>
            <w:tcW w:w="4117" w:type="pct"/>
            <w:gridSpan w:val="4"/>
          </w:tcPr>
          <w:p w14:paraId="40D9CE0C" w14:textId="0B85B45C" w:rsidR="003B0C64" w:rsidRPr="00874B60" w:rsidRDefault="003B0C64" w:rsidP="003B0C64">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theme="minorHAnsi"/>
                <w:sz w:val="18"/>
                <w:szCs w:val="18"/>
              </w:rPr>
            </w:pPr>
            <w:r w:rsidRPr="00E6299A">
              <w:rPr>
                <w:rFonts w:ascii="Malgun Gothic" w:eastAsia="Malgun Gothic" w:hAnsi="Malgun Gothic"/>
                <w:sz w:val="18"/>
                <w:szCs w:val="18"/>
              </w:rPr>
              <w:t xml:space="preserve">Program </w:t>
            </w:r>
            <w:r w:rsidRPr="00D60D69">
              <w:rPr>
                <w:rFonts w:ascii="Malgun Gothic" w:eastAsia="Malgun Gothic" w:hAnsi="Malgun Gothic"/>
                <w:sz w:val="18"/>
                <w:szCs w:val="18"/>
              </w:rPr>
              <w:t>3.2</w:t>
            </w:r>
            <w:r>
              <w:rPr>
                <w:rFonts w:ascii="Malgun Gothic" w:eastAsia="Malgun Gothic" w:hAnsi="Malgun Gothic"/>
                <w:sz w:val="18"/>
                <w:szCs w:val="18"/>
              </w:rPr>
              <w:t xml:space="preserve"> -</w:t>
            </w:r>
            <w:r w:rsidRPr="00E6299A">
              <w:rPr>
                <w:rFonts w:ascii="Malgun Gothic" w:eastAsia="Malgun Gothic" w:hAnsi="Malgun Gothic"/>
                <w:sz w:val="18"/>
                <w:szCs w:val="18"/>
              </w:rPr>
              <w:t xml:space="preserve"> </w:t>
            </w:r>
            <w:r>
              <w:rPr>
                <w:rFonts w:ascii="Malgun Gothic" w:eastAsia="Malgun Gothic" w:hAnsi="Malgun Gothic"/>
                <w:sz w:val="18"/>
                <w:szCs w:val="18"/>
              </w:rPr>
              <w:t>Aged Care Services</w:t>
            </w:r>
            <w:r w:rsidRPr="00D60D69">
              <w:rPr>
                <w:rFonts w:ascii="Malgun Gothic" w:eastAsia="Malgun Gothic" w:hAnsi="Malgun Gothic"/>
                <w:sz w:val="18"/>
                <w:szCs w:val="18"/>
              </w:rPr>
              <w:t xml:space="preserve"> </w:t>
            </w:r>
            <w:r w:rsidRPr="00E6299A">
              <w:rPr>
                <w:rFonts w:ascii="Malgun Gothic" w:eastAsia="Malgun Gothic" w:hAnsi="Malgun Gothic"/>
                <w:sz w:val="18"/>
                <w:szCs w:val="18"/>
              </w:rPr>
              <w:t xml:space="preserve">– page </w:t>
            </w:r>
            <w:r>
              <w:rPr>
                <w:rFonts w:ascii="Malgun Gothic" w:eastAsia="Malgun Gothic" w:hAnsi="Malgun Gothic"/>
                <w:sz w:val="18"/>
                <w:szCs w:val="18"/>
              </w:rPr>
              <w:t>97</w:t>
            </w:r>
          </w:p>
        </w:tc>
      </w:tr>
      <w:tr w:rsidR="003B3C91" w:rsidRPr="008E3CD6" w14:paraId="5C0E52FC" w14:textId="77777777" w:rsidTr="009B44A6">
        <w:trPr>
          <w:trHeight w:val="340"/>
        </w:trPr>
        <w:tc>
          <w:tcPr>
            <w:cnfStyle w:val="001000000000" w:firstRow="0" w:lastRow="0" w:firstColumn="1" w:lastColumn="0" w:oddVBand="0" w:evenVBand="0" w:oddHBand="0" w:evenHBand="0" w:firstRowFirstColumn="0" w:firstRowLastColumn="0" w:lastRowFirstColumn="0" w:lastRowLastColumn="0"/>
            <w:tcW w:w="883" w:type="pct"/>
            <w:vMerge w:val="restart"/>
          </w:tcPr>
          <w:p w14:paraId="2459ECBE" w14:textId="77777777" w:rsidR="004D7B74" w:rsidRPr="0046299B" w:rsidRDefault="004D7B74" w:rsidP="0046299B">
            <w:pPr>
              <w:pStyle w:val="TableTextleftaligned"/>
            </w:pPr>
            <w:r w:rsidRPr="0046299B">
              <w:t>Planned Performance Results</w:t>
            </w:r>
          </w:p>
        </w:tc>
        <w:tc>
          <w:tcPr>
            <w:tcW w:w="765" w:type="pct"/>
            <w:shd w:val="clear" w:color="auto" w:fill="BFBFBF" w:themeFill="background1" w:themeFillShade="BF"/>
            <w:vAlign w:val="center"/>
          </w:tcPr>
          <w:p w14:paraId="28DBFA1C" w14:textId="77777777" w:rsidR="004D7B74" w:rsidRPr="00AB31E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AB31EB">
              <w:t>2024–25</w:t>
            </w:r>
          </w:p>
        </w:tc>
        <w:tc>
          <w:tcPr>
            <w:tcW w:w="1262" w:type="pct"/>
            <w:shd w:val="clear" w:color="auto" w:fill="BFBFBF" w:themeFill="background1" w:themeFillShade="BF"/>
            <w:vAlign w:val="center"/>
          </w:tcPr>
          <w:p w14:paraId="1A16C9C8" w14:textId="77777777" w:rsidR="004D7B74" w:rsidRPr="00AB31E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AB31EB">
              <w:t>2025–26</w:t>
            </w:r>
          </w:p>
        </w:tc>
        <w:tc>
          <w:tcPr>
            <w:tcW w:w="1060" w:type="pct"/>
            <w:shd w:val="clear" w:color="auto" w:fill="BFBFBF" w:themeFill="background1" w:themeFillShade="BF"/>
            <w:vAlign w:val="center"/>
          </w:tcPr>
          <w:p w14:paraId="7747CDAD" w14:textId="77777777" w:rsidR="004D7B74" w:rsidRPr="00AB31E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AB31EB">
              <w:t>2026–27</w:t>
            </w:r>
          </w:p>
        </w:tc>
        <w:tc>
          <w:tcPr>
            <w:tcW w:w="1030" w:type="pct"/>
            <w:shd w:val="clear" w:color="auto" w:fill="BFBFBF" w:themeFill="background1" w:themeFillShade="BF"/>
            <w:vAlign w:val="center"/>
          </w:tcPr>
          <w:p w14:paraId="18AA65C1" w14:textId="77777777" w:rsidR="004D7B74" w:rsidRPr="00AB31EB"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AB31EB">
              <w:t>2027–28</w:t>
            </w:r>
          </w:p>
        </w:tc>
      </w:tr>
      <w:tr w:rsidR="003B3C91" w:rsidRPr="008E3CD6" w14:paraId="5FBE9BEF" w14:textId="77777777" w:rsidTr="009B44A6">
        <w:trPr>
          <w:trHeight w:val="563"/>
        </w:trPr>
        <w:tc>
          <w:tcPr>
            <w:cnfStyle w:val="001000000000" w:firstRow="0" w:lastRow="0" w:firstColumn="1" w:lastColumn="0" w:oddVBand="0" w:evenVBand="0" w:oddHBand="0" w:evenHBand="0" w:firstRowFirstColumn="0" w:firstRowLastColumn="0" w:lastRowFirstColumn="0" w:lastRowLastColumn="0"/>
            <w:tcW w:w="883" w:type="pct"/>
            <w:vMerge/>
          </w:tcPr>
          <w:p w14:paraId="2C927E64" w14:textId="77777777" w:rsidR="004D7B74" w:rsidRPr="009B277D" w:rsidRDefault="004D7B74" w:rsidP="00CA72A8">
            <w:pPr>
              <w:pStyle w:val="TableTextleftaligned"/>
              <w:spacing w:line="192" w:lineRule="auto"/>
              <w:rPr>
                <w:b w:val="0"/>
                <w:bCs/>
              </w:rPr>
            </w:pPr>
          </w:p>
        </w:tc>
        <w:tc>
          <w:tcPr>
            <w:tcW w:w="765" w:type="pct"/>
          </w:tcPr>
          <w:p w14:paraId="0B078AF0" w14:textId="36E9DC1B" w:rsidR="004D7B74" w:rsidRPr="007B3ECA" w:rsidRDefault="009B44A6"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proofErr w:type="gramStart"/>
            <w:r w:rsidR="004D7B74" w:rsidRPr="007B3ECA">
              <w:t>Older</w:t>
            </w:r>
            <w:proofErr w:type="gramEnd"/>
            <w:r w:rsidR="004D7B74" w:rsidRPr="007B3ECA">
              <w:t xml:space="preserve"> people who are (self-identified as) First Nations peoples are receiving </w:t>
            </w:r>
            <w:r w:rsidR="004D7B74" w:rsidRPr="007B3ECA">
              <w:lastRenderedPageBreak/>
              <w:t>aged care services at rates comparable with their representation in Australian population estimates: Target 3.5%.</w:t>
            </w:r>
          </w:p>
        </w:tc>
        <w:tc>
          <w:tcPr>
            <w:tcW w:w="1262" w:type="pct"/>
          </w:tcPr>
          <w:p w14:paraId="3B69CD0A" w14:textId="22390594" w:rsidR="004D7B74" w:rsidRPr="007B3ECA" w:rsidRDefault="009B44A6" w:rsidP="00823660">
            <w:pPr>
              <w:pStyle w:val="TableTextleftaligned"/>
              <w:cnfStyle w:val="000000000000" w:firstRow="0" w:lastRow="0" w:firstColumn="0" w:lastColumn="0" w:oddVBand="0" w:evenVBand="0" w:oddHBand="0" w:evenHBand="0" w:firstRowFirstColumn="0" w:firstRowLastColumn="0" w:lastRowFirstColumn="0" w:lastRowLastColumn="0"/>
            </w:pPr>
            <w:r>
              <w:lastRenderedPageBreak/>
              <w:t xml:space="preserve">a. </w:t>
            </w:r>
            <w:proofErr w:type="gramStart"/>
            <w:r w:rsidR="004D7B74" w:rsidRPr="007B3ECA">
              <w:t>Older</w:t>
            </w:r>
            <w:proofErr w:type="gramEnd"/>
            <w:r w:rsidR="004D7B74" w:rsidRPr="007B3ECA">
              <w:t xml:space="preserve"> people who are (self-identified as) First Nations peoples are receiving aged care services at rates comparable with their representation in </w:t>
            </w:r>
            <w:r w:rsidR="004D7B74" w:rsidRPr="007B3ECA">
              <w:lastRenderedPageBreak/>
              <w:t>Australian population estimates: Target 3.5%.</w:t>
            </w:r>
          </w:p>
        </w:tc>
        <w:tc>
          <w:tcPr>
            <w:tcW w:w="1060" w:type="pct"/>
          </w:tcPr>
          <w:p w14:paraId="64EBC6C8" w14:textId="0097C008" w:rsidR="004D7B74" w:rsidRPr="007B3ECA" w:rsidRDefault="009B44A6" w:rsidP="00823660">
            <w:pPr>
              <w:pStyle w:val="TableTextleftaligned"/>
              <w:cnfStyle w:val="000000000000" w:firstRow="0" w:lastRow="0" w:firstColumn="0" w:lastColumn="0" w:oddVBand="0" w:evenVBand="0" w:oddHBand="0" w:evenHBand="0" w:firstRowFirstColumn="0" w:firstRowLastColumn="0" w:lastRowFirstColumn="0" w:lastRowLastColumn="0"/>
            </w:pPr>
            <w:r>
              <w:lastRenderedPageBreak/>
              <w:t xml:space="preserve">a. </w:t>
            </w:r>
            <w:proofErr w:type="gramStart"/>
            <w:r w:rsidR="004D7B74" w:rsidRPr="007B3ECA">
              <w:t>Older</w:t>
            </w:r>
            <w:proofErr w:type="gramEnd"/>
            <w:r w:rsidR="004D7B74" w:rsidRPr="007B3ECA">
              <w:t xml:space="preserve"> people who are (self-identified as) First Nations peoples are receiving aged care services at rates comparable </w:t>
            </w:r>
            <w:r w:rsidR="004D7B74" w:rsidRPr="007B3ECA">
              <w:lastRenderedPageBreak/>
              <w:t>with their representation in Australian population estimates: Target 3.5%.</w:t>
            </w:r>
          </w:p>
        </w:tc>
        <w:tc>
          <w:tcPr>
            <w:tcW w:w="1030" w:type="pct"/>
          </w:tcPr>
          <w:p w14:paraId="4435D1CE" w14:textId="58AEAE66" w:rsidR="004D7B74" w:rsidRPr="007B3ECA" w:rsidRDefault="009B44A6" w:rsidP="00823660">
            <w:pPr>
              <w:pStyle w:val="TableTextleftaligned"/>
              <w:cnfStyle w:val="000000000000" w:firstRow="0" w:lastRow="0" w:firstColumn="0" w:lastColumn="0" w:oddVBand="0" w:evenVBand="0" w:oddHBand="0" w:evenHBand="0" w:firstRowFirstColumn="0" w:firstRowLastColumn="0" w:lastRowFirstColumn="0" w:lastRowLastColumn="0"/>
            </w:pPr>
            <w:r>
              <w:lastRenderedPageBreak/>
              <w:t xml:space="preserve">a. </w:t>
            </w:r>
            <w:proofErr w:type="gramStart"/>
            <w:r w:rsidR="004D7B74" w:rsidRPr="007B3ECA">
              <w:t>Older</w:t>
            </w:r>
            <w:proofErr w:type="gramEnd"/>
            <w:r w:rsidR="004D7B74" w:rsidRPr="007B3ECA">
              <w:t xml:space="preserve"> people who are (self-identified as) First Nations peoples are receiving aged care services at rates </w:t>
            </w:r>
            <w:r w:rsidR="004D7B74" w:rsidRPr="007B3ECA">
              <w:lastRenderedPageBreak/>
              <w:t>comparable with their representation in Australian population estimates: Target 3.5%.</w:t>
            </w:r>
          </w:p>
        </w:tc>
      </w:tr>
      <w:tr w:rsidR="003B3C91" w:rsidRPr="008E3CD6" w14:paraId="5A65320F" w14:textId="77777777" w:rsidTr="009B44A6">
        <w:trPr>
          <w:cnfStyle w:val="010000000000" w:firstRow="0" w:lastRow="1"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883" w:type="pct"/>
            <w:vMerge/>
          </w:tcPr>
          <w:p w14:paraId="2E710055" w14:textId="77777777" w:rsidR="004D7B74" w:rsidRPr="009B277D" w:rsidRDefault="004D7B74" w:rsidP="00CA72A8">
            <w:pPr>
              <w:pStyle w:val="TableTextleftaligned"/>
              <w:spacing w:line="192" w:lineRule="auto"/>
              <w:rPr>
                <w:b w:val="0"/>
                <w:bCs/>
              </w:rPr>
            </w:pPr>
          </w:p>
        </w:tc>
        <w:tc>
          <w:tcPr>
            <w:tcW w:w="765" w:type="pct"/>
          </w:tcPr>
          <w:p w14:paraId="402694EC" w14:textId="1EEA83A2" w:rsidR="004D7B74" w:rsidRPr="00CC4363" w:rsidRDefault="009B44A6" w:rsidP="009B44A6">
            <w:pPr>
              <w:pStyle w:val="TableTextleftaligned"/>
              <w:jc w:val="left"/>
              <w:cnfStyle w:val="010000000000" w:firstRow="0" w:lastRow="1" w:firstColumn="0" w:lastColumn="0" w:oddVBand="0" w:evenVBand="0" w:oddHBand="0" w:evenHBand="0" w:firstRowFirstColumn="0" w:firstRowLastColumn="0" w:lastRowFirstColumn="0" w:lastRowLastColumn="0"/>
            </w:pPr>
            <w:r>
              <w:t>b</w:t>
            </w:r>
            <w:r>
              <w:t xml:space="preserve">. </w:t>
            </w:r>
            <w:proofErr w:type="gramStart"/>
            <w:r w:rsidR="004D7B74" w:rsidRPr="00CC4363">
              <w:t>Older</w:t>
            </w:r>
            <w:proofErr w:type="gramEnd"/>
            <w:r w:rsidR="004D7B74" w:rsidRPr="00CC4363">
              <w:t xml:space="preserve"> people in rural and remote areas are receiving aged care services at rates comparable with their representation in Australian population estimates: Target 11.2%</w:t>
            </w:r>
          </w:p>
        </w:tc>
        <w:tc>
          <w:tcPr>
            <w:tcW w:w="1262" w:type="pct"/>
          </w:tcPr>
          <w:p w14:paraId="232BE59F" w14:textId="1B0888DE" w:rsidR="004D7B74" w:rsidRPr="008048A3" w:rsidRDefault="009B44A6" w:rsidP="009B44A6">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proofErr w:type="gramStart"/>
            <w:r w:rsidR="004D7B74" w:rsidRPr="00CC4363">
              <w:t>Older</w:t>
            </w:r>
            <w:proofErr w:type="gramEnd"/>
            <w:r w:rsidR="004D7B74" w:rsidRPr="00CC4363">
              <w:t xml:space="preserve"> people in rural and remote areas are receiving aged care services at rates comparable with their representation in Australian population estimates: Target 11.2%</w:t>
            </w:r>
          </w:p>
        </w:tc>
        <w:tc>
          <w:tcPr>
            <w:tcW w:w="1060" w:type="pct"/>
          </w:tcPr>
          <w:p w14:paraId="6614CDF7" w14:textId="31777CD3" w:rsidR="004D7B74" w:rsidRPr="008048A3" w:rsidRDefault="009B44A6" w:rsidP="009B44A6">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proofErr w:type="gramStart"/>
            <w:r w:rsidR="004D7B74" w:rsidRPr="008048A3">
              <w:t>Older</w:t>
            </w:r>
            <w:proofErr w:type="gramEnd"/>
            <w:r w:rsidR="004D7B74" w:rsidRPr="008048A3">
              <w:t xml:space="preserve"> people in rural and remote areas are receiving aged care services at rates comparable with their representation in Australian population estimates: Target 11.2%</w:t>
            </w:r>
          </w:p>
        </w:tc>
        <w:tc>
          <w:tcPr>
            <w:tcW w:w="1030" w:type="pct"/>
          </w:tcPr>
          <w:p w14:paraId="472E6854" w14:textId="4FFC6BC4" w:rsidR="004D7B74" w:rsidRPr="008048A3" w:rsidRDefault="009B44A6" w:rsidP="009B44A6">
            <w:pPr>
              <w:pStyle w:val="TableTextleftaligned"/>
              <w:jc w:val="left"/>
              <w:cnfStyle w:val="010000000000" w:firstRow="0" w:lastRow="1" w:firstColumn="0" w:lastColumn="0" w:oddVBand="0" w:evenVBand="0" w:oddHBand="0" w:evenHBand="0" w:firstRowFirstColumn="0" w:firstRowLastColumn="0" w:lastRowFirstColumn="0" w:lastRowLastColumn="0"/>
            </w:pPr>
            <w:r>
              <w:t xml:space="preserve">b. </w:t>
            </w:r>
            <w:proofErr w:type="gramStart"/>
            <w:r w:rsidR="004D7B74" w:rsidRPr="008048A3">
              <w:t>Older</w:t>
            </w:r>
            <w:proofErr w:type="gramEnd"/>
            <w:r w:rsidR="004D7B74" w:rsidRPr="008048A3">
              <w:t xml:space="preserve"> people in rural and remote areas are receiving aged care services at rates comparable with their representation in Australian population estimates: Target 11.2%</w:t>
            </w:r>
          </w:p>
        </w:tc>
      </w:tr>
    </w:tbl>
    <w:p w14:paraId="773E5797" w14:textId="77777777" w:rsidR="004D7B74" w:rsidRDefault="004D7B74" w:rsidP="004D7B74"/>
    <w:tbl>
      <w:tblPr>
        <w:tblStyle w:val="TableGridLight"/>
        <w:tblW w:w="4953" w:type="pct"/>
        <w:tblLook w:val="06A0" w:firstRow="1" w:lastRow="0" w:firstColumn="1" w:lastColumn="0" w:noHBand="1" w:noVBand="1"/>
      </w:tblPr>
      <w:tblGrid>
        <w:gridCol w:w="1527"/>
        <w:gridCol w:w="1932"/>
        <w:gridCol w:w="1933"/>
        <w:gridCol w:w="1933"/>
        <w:gridCol w:w="1606"/>
      </w:tblGrid>
      <w:tr w:rsidR="004D7B74" w:rsidRPr="005A22BA" w14:paraId="71AC5D1C" w14:textId="77777777" w:rsidTr="009B44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AC022DE" w14:textId="77777777" w:rsidR="004D7B74" w:rsidRPr="00F027D7" w:rsidRDefault="004D7B74" w:rsidP="00823660">
            <w:pPr>
              <w:pStyle w:val="TableTextleftaligned"/>
              <w:rPr>
                <w:b w:val="0"/>
              </w:rPr>
            </w:pPr>
            <w:r w:rsidRPr="00F027D7">
              <w:t xml:space="preserve">Measure 3.2D: </w:t>
            </w:r>
          </w:p>
          <w:p w14:paraId="78066AFF" w14:textId="77777777" w:rsidR="004D7B74" w:rsidRPr="00F027D7" w:rsidRDefault="004D7B74" w:rsidP="00823660">
            <w:pPr>
              <w:pStyle w:val="TableTextleftaligned"/>
              <w:rPr>
                <w:b w:val="0"/>
              </w:rPr>
            </w:pPr>
            <w:r w:rsidRPr="00F027D7">
              <w:t>Older people receive care and support at home that contributes to quality of life.</w:t>
            </w:r>
          </w:p>
          <w:p w14:paraId="2943BC5D" w14:textId="77777777" w:rsidR="004D7B74" w:rsidRPr="00F027D7" w:rsidRDefault="004D7B74" w:rsidP="00823660">
            <w:pPr>
              <w:pStyle w:val="TableTextleftaligned"/>
              <w:rPr>
                <w:b w:val="0"/>
              </w:rPr>
            </w:pPr>
            <w:r w:rsidRPr="00F027D7">
              <w:t>a. Number of allocated Home Care Packages.</w:t>
            </w:r>
          </w:p>
          <w:p w14:paraId="15D3994A" w14:textId="40152466" w:rsidR="004D7B74" w:rsidRPr="00823660" w:rsidRDefault="004D7B74" w:rsidP="00823660">
            <w:pPr>
              <w:pStyle w:val="TableTextleftaligned"/>
              <w:rPr>
                <w:b w:val="0"/>
                <w:sz w:val="22"/>
                <w:szCs w:val="22"/>
              </w:rPr>
            </w:pPr>
            <w:r w:rsidRPr="00F027D7">
              <w:t xml:space="preserve">b. Number of clients that accessed Commonwealth Home Support Program services. </w:t>
            </w:r>
          </w:p>
        </w:tc>
      </w:tr>
      <w:tr w:rsidR="004D7B74" w14:paraId="3EED9264" w14:textId="77777777" w:rsidTr="009B44A6">
        <w:tc>
          <w:tcPr>
            <w:cnfStyle w:val="001000000000" w:firstRow="0" w:lastRow="0" w:firstColumn="1" w:lastColumn="0" w:oddVBand="0" w:evenVBand="0" w:oddHBand="0" w:evenHBand="0" w:firstRowFirstColumn="0" w:firstRowLastColumn="0" w:lastRowFirstColumn="0" w:lastRowLastColumn="0"/>
            <w:tcW w:w="855" w:type="pct"/>
          </w:tcPr>
          <w:p w14:paraId="7C7CE1F8" w14:textId="77777777" w:rsidR="004D7B74" w:rsidRPr="009B277D" w:rsidRDefault="004D7B74" w:rsidP="00CA72A8">
            <w:pPr>
              <w:pStyle w:val="TableTextleftaligned"/>
              <w:spacing w:line="192" w:lineRule="auto"/>
              <w:rPr>
                <w:b w:val="0"/>
                <w:bCs/>
              </w:rPr>
            </w:pPr>
            <w:r w:rsidRPr="009B277D">
              <w:rPr>
                <w:bCs/>
              </w:rPr>
              <w:t>Rationale</w:t>
            </w:r>
          </w:p>
        </w:tc>
        <w:tc>
          <w:tcPr>
            <w:tcW w:w="4145" w:type="pct"/>
            <w:gridSpan w:val="4"/>
          </w:tcPr>
          <w:p w14:paraId="5DF5EF63" w14:textId="77777777" w:rsidR="004D7B74" w:rsidRPr="00DA55BD"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DA55BD">
              <w:t>This measure</w:t>
            </w:r>
            <w:r>
              <w:t xml:space="preserve"> aims to ensure care and support that older people receive at home contributes to an improved quality of life. </w:t>
            </w:r>
            <w:r w:rsidRPr="00DA55BD">
              <w:t>Success will be measured by the number of clients accessing the program nationally</w:t>
            </w:r>
          </w:p>
        </w:tc>
      </w:tr>
      <w:tr w:rsidR="004D7B74" w:rsidRPr="000F7579" w14:paraId="44CCE3CD" w14:textId="77777777" w:rsidTr="009B44A6">
        <w:tc>
          <w:tcPr>
            <w:cnfStyle w:val="001000000000" w:firstRow="0" w:lastRow="0" w:firstColumn="1" w:lastColumn="0" w:oddVBand="0" w:evenVBand="0" w:oddHBand="0" w:evenHBand="0" w:firstRowFirstColumn="0" w:firstRowLastColumn="0" w:lastRowFirstColumn="0" w:lastRowLastColumn="0"/>
            <w:tcW w:w="855" w:type="pct"/>
          </w:tcPr>
          <w:p w14:paraId="3B15CF9C" w14:textId="77777777" w:rsidR="004D7B74" w:rsidRPr="009B277D" w:rsidRDefault="004D7B74" w:rsidP="00CA72A8">
            <w:pPr>
              <w:pStyle w:val="TableTextleftaligned"/>
              <w:spacing w:line="192" w:lineRule="auto"/>
              <w:rPr>
                <w:b w:val="0"/>
                <w:bCs/>
              </w:rPr>
            </w:pPr>
            <w:r w:rsidRPr="009B277D">
              <w:rPr>
                <w:bCs/>
              </w:rPr>
              <w:t>Measure Type</w:t>
            </w:r>
          </w:p>
        </w:tc>
        <w:tc>
          <w:tcPr>
            <w:tcW w:w="4145" w:type="pct"/>
            <w:gridSpan w:val="4"/>
          </w:tcPr>
          <w:p w14:paraId="4ECA5FE0" w14:textId="77777777" w:rsidR="004D7B74" w:rsidRPr="00DA55BD"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0"/>
              </w:rPr>
            </w:pPr>
            <w:r w:rsidRPr="0080350F">
              <w:t>Quantitative</w:t>
            </w:r>
            <w:r>
              <w:t xml:space="preserve"> </w:t>
            </w:r>
            <w:r w:rsidRPr="0080350F">
              <w:t xml:space="preserve">/ </w:t>
            </w:r>
            <w:r w:rsidRPr="0046299B">
              <w:t>Output</w:t>
            </w:r>
          </w:p>
        </w:tc>
      </w:tr>
      <w:tr w:rsidR="004D7B74" w14:paraId="4E7B7D66" w14:textId="77777777" w:rsidTr="009B44A6">
        <w:tc>
          <w:tcPr>
            <w:cnfStyle w:val="001000000000" w:firstRow="0" w:lastRow="0" w:firstColumn="1" w:lastColumn="0" w:oddVBand="0" w:evenVBand="0" w:oddHBand="0" w:evenHBand="0" w:firstRowFirstColumn="0" w:firstRowLastColumn="0" w:lastRowFirstColumn="0" w:lastRowLastColumn="0"/>
            <w:tcW w:w="855" w:type="pct"/>
          </w:tcPr>
          <w:p w14:paraId="1467B242" w14:textId="5CC419DA" w:rsidR="004D7B74" w:rsidRPr="009B277D" w:rsidRDefault="004D7B74" w:rsidP="0046299B">
            <w:pPr>
              <w:pStyle w:val="TableTextleftaligned"/>
              <w:rPr>
                <w:b w:val="0"/>
                <w:bCs/>
              </w:rPr>
            </w:pPr>
            <w:r w:rsidRPr="009B277D">
              <w:rPr>
                <w:bCs/>
              </w:rPr>
              <w:t>Method</w:t>
            </w:r>
            <w:r w:rsidR="0046299B">
              <w:rPr>
                <w:bCs/>
              </w:rPr>
              <w:t xml:space="preserve"> </w:t>
            </w:r>
            <w:r w:rsidRPr="002B335E">
              <w:t>(</w:t>
            </w:r>
            <w:r w:rsidRPr="003106EF">
              <w:t>Data Source and Methodology)</w:t>
            </w:r>
          </w:p>
        </w:tc>
        <w:tc>
          <w:tcPr>
            <w:tcW w:w="4145" w:type="pct"/>
            <w:gridSpan w:val="4"/>
          </w:tcPr>
          <w:p w14:paraId="30861150" w14:textId="0663DCAA" w:rsidR="004D7B74" w:rsidRPr="0023717B" w:rsidRDefault="00934900" w:rsidP="00823660">
            <w:pPr>
              <w:pStyle w:val="TableTextleftaligned"/>
              <w:cnfStyle w:val="000000000000" w:firstRow="0" w:lastRow="0" w:firstColumn="0" w:lastColumn="0" w:oddVBand="0" w:evenVBand="0" w:oddHBand="0" w:evenHBand="0" w:firstRowFirstColumn="0" w:firstRowLastColumn="0" w:lastRowFirstColumn="0" w:lastRowLastColumn="0"/>
            </w:pPr>
            <w:r w:rsidRPr="00934900">
              <w:rPr>
                <w:b/>
                <w:bCs/>
              </w:rPr>
              <w:t xml:space="preserve">Data </w:t>
            </w:r>
            <w:r w:rsidR="004D7B74" w:rsidRPr="00934900">
              <w:rPr>
                <w:b/>
                <w:bCs/>
              </w:rPr>
              <w:t>source</w:t>
            </w:r>
            <w:r w:rsidR="004D7B74" w:rsidRPr="0023717B">
              <w:t xml:space="preserve"> is the </w:t>
            </w:r>
            <w:r w:rsidR="004D7B74">
              <w:t>department’s</w:t>
            </w:r>
            <w:r w:rsidR="004D7B74" w:rsidRPr="0023717B">
              <w:t xml:space="preserve"> internal administrative data, which records the number of allocated Home Care Packages and the number of clients who accessed Commonwealth Home Support Program services.</w:t>
            </w:r>
          </w:p>
          <w:p w14:paraId="59C3FADB" w14:textId="67CF64B5" w:rsidR="004D7B74" w:rsidRPr="00DA55BD" w:rsidRDefault="00934900" w:rsidP="00823660">
            <w:pPr>
              <w:pStyle w:val="TableTextleftaligned"/>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242424"/>
                <w:sz w:val="21"/>
                <w:szCs w:val="21"/>
                <w:bdr w:val="none" w:sz="0" w:space="0" w:color="auto" w:frame="1"/>
              </w:rPr>
            </w:pPr>
            <w:r w:rsidRPr="00934900">
              <w:rPr>
                <w:b/>
                <w:bCs/>
              </w:rPr>
              <w:t xml:space="preserve">Methodology </w:t>
            </w:r>
            <w:r>
              <w:t>for t</w:t>
            </w:r>
            <w:r w:rsidR="004D7B74" w:rsidRPr="0023717B">
              <w:t xml:space="preserve">he measure is calculated by counting the number of allocated </w:t>
            </w:r>
            <w:r w:rsidR="004D7B74">
              <w:t>h</w:t>
            </w:r>
            <w:r w:rsidR="004D7B74" w:rsidRPr="0023717B">
              <w:t xml:space="preserve">ome </w:t>
            </w:r>
            <w:r w:rsidR="004D7B74">
              <w:t>c</w:t>
            </w:r>
            <w:r w:rsidR="004D7B74" w:rsidRPr="0023717B">
              <w:t xml:space="preserve">are </w:t>
            </w:r>
            <w:r w:rsidR="004D7B74">
              <w:t>p</w:t>
            </w:r>
            <w:r w:rsidR="004D7B74" w:rsidRPr="0023717B">
              <w:t>ackages and the number of clients who accessed Commonwealth Home Support Program services in a given financial year. The performance measure is justified by the alignment with the program objective of supporting older people to receive care and support at home that contributes to their quality of life. The planned performance targets are to be confirmed based on the demand and supply of home care services.</w:t>
            </w:r>
          </w:p>
        </w:tc>
      </w:tr>
      <w:tr w:rsidR="003B0C64" w14:paraId="75F7AE26" w14:textId="77777777" w:rsidTr="009B44A6">
        <w:tc>
          <w:tcPr>
            <w:cnfStyle w:val="001000000000" w:firstRow="0" w:lastRow="0" w:firstColumn="1" w:lastColumn="0" w:oddVBand="0" w:evenVBand="0" w:oddHBand="0" w:evenHBand="0" w:firstRowFirstColumn="0" w:firstRowLastColumn="0" w:lastRowFirstColumn="0" w:lastRowLastColumn="0"/>
            <w:tcW w:w="855" w:type="pct"/>
          </w:tcPr>
          <w:p w14:paraId="6F54820E" w14:textId="73779890" w:rsidR="003B0C64" w:rsidRPr="0046299B" w:rsidRDefault="003B0C64" w:rsidP="0046299B">
            <w:pPr>
              <w:pStyle w:val="TableTextleftaligned"/>
            </w:pPr>
            <w:r w:rsidRPr="0046299B">
              <w:t>Linked to 2024–25 Portfolio Budget Statements</w:t>
            </w:r>
          </w:p>
        </w:tc>
        <w:tc>
          <w:tcPr>
            <w:tcW w:w="4145" w:type="pct"/>
            <w:gridSpan w:val="4"/>
          </w:tcPr>
          <w:p w14:paraId="180E419C" w14:textId="54FE9937" w:rsidR="003B0C64" w:rsidRPr="0046299B" w:rsidRDefault="003B0C64" w:rsidP="0046299B">
            <w:pPr>
              <w:pStyle w:val="TableTextleftaligned"/>
              <w:cnfStyle w:val="000000000000" w:firstRow="0" w:lastRow="0" w:firstColumn="0" w:lastColumn="0" w:oddVBand="0" w:evenVBand="0" w:oddHBand="0" w:evenHBand="0" w:firstRowFirstColumn="0" w:firstRowLastColumn="0" w:lastRowFirstColumn="0" w:lastRowLastColumn="0"/>
            </w:pPr>
            <w:r w:rsidRPr="0046299B">
              <w:t>Program 3.2 - Aged Care Services – page 98</w:t>
            </w:r>
          </w:p>
        </w:tc>
      </w:tr>
      <w:tr w:rsidR="003B3C91" w:rsidRPr="00F027D7" w14:paraId="1D0F7769" w14:textId="77777777" w:rsidTr="009B44A6">
        <w:trPr>
          <w:trHeight w:val="340"/>
        </w:trPr>
        <w:tc>
          <w:tcPr>
            <w:cnfStyle w:val="001000000000" w:firstRow="0" w:lastRow="0" w:firstColumn="1" w:lastColumn="0" w:oddVBand="0" w:evenVBand="0" w:oddHBand="0" w:evenHBand="0" w:firstRowFirstColumn="0" w:firstRowLastColumn="0" w:lastRowFirstColumn="0" w:lastRowLastColumn="0"/>
            <w:tcW w:w="855" w:type="pct"/>
            <w:vMerge w:val="restart"/>
          </w:tcPr>
          <w:p w14:paraId="728683B9" w14:textId="77777777" w:rsidR="004D7B74" w:rsidRPr="009B277D" w:rsidRDefault="004D7B74" w:rsidP="0046299B">
            <w:pPr>
              <w:pStyle w:val="TableTextleftaligned"/>
              <w:rPr>
                <w:b w:val="0"/>
              </w:rPr>
            </w:pPr>
            <w:r>
              <w:t xml:space="preserve">Planned </w:t>
            </w:r>
            <w:r w:rsidRPr="0046299B">
              <w:t>Performance</w:t>
            </w:r>
            <w:r>
              <w:t xml:space="preserve"> Results</w:t>
            </w:r>
          </w:p>
        </w:tc>
        <w:tc>
          <w:tcPr>
            <w:tcW w:w="1082" w:type="pct"/>
            <w:shd w:val="clear" w:color="auto" w:fill="BFBFBF" w:themeFill="background1" w:themeFillShade="BF"/>
            <w:vAlign w:val="center"/>
          </w:tcPr>
          <w:p w14:paraId="2D784FF6" w14:textId="77777777" w:rsidR="004D7B74" w:rsidRPr="00F027D7"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F027D7">
              <w:t>2024–25</w:t>
            </w:r>
          </w:p>
        </w:tc>
        <w:tc>
          <w:tcPr>
            <w:tcW w:w="1082" w:type="pct"/>
            <w:shd w:val="clear" w:color="auto" w:fill="BFBFBF" w:themeFill="background1" w:themeFillShade="BF"/>
            <w:vAlign w:val="center"/>
          </w:tcPr>
          <w:p w14:paraId="7BA05EAA" w14:textId="77777777" w:rsidR="004D7B74" w:rsidRPr="00F027D7"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F027D7">
              <w:t>2025–26</w:t>
            </w:r>
          </w:p>
        </w:tc>
        <w:tc>
          <w:tcPr>
            <w:tcW w:w="1082" w:type="pct"/>
            <w:shd w:val="clear" w:color="auto" w:fill="BFBFBF" w:themeFill="background1" w:themeFillShade="BF"/>
            <w:vAlign w:val="center"/>
          </w:tcPr>
          <w:p w14:paraId="525C98D7" w14:textId="77777777" w:rsidR="004D7B74" w:rsidRPr="00F027D7"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F027D7">
              <w:t>2026–27</w:t>
            </w:r>
          </w:p>
        </w:tc>
        <w:tc>
          <w:tcPr>
            <w:tcW w:w="899" w:type="pct"/>
            <w:shd w:val="clear" w:color="auto" w:fill="BFBFBF" w:themeFill="background1" w:themeFillShade="BF"/>
            <w:vAlign w:val="center"/>
          </w:tcPr>
          <w:p w14:paraId="45605E53" w14:textId="77777777" w:rsidR="004D7B74" w:rsidRPr="00F027D7" w:rsidRDefault="004D7B74" w:rsidP="0046299B">
            <w:pPr>
              <w:pStyle w:val="TableTextstrong"/>
              <w:cnfStyle w:val="000000000000" w:firstRow="0" w:lastRow="0" w:firstColumn="0" w:lastColumn="0" w:oddVBand="0" w:evenVBand="0" w:oddHBand="0" w:evenHBand="0" w:firstRowFirstColumn="0" w:firstRowLastColumn="0" w:lastRowFirstColumn="0" w:lastRowLastColumn="0"/>
            </w:pPr>
            <w:r w:rsidRPr="00F027D7">
              <w:t>2027–28</w:t>
            </w:r>
          </w:p>
        </w:tc>
      </w:tr>
      <w:tr w:rsidR="003B3C91" w:rsidRPr="00C70352" w14:paraId="3D556729" w14:textId="77777777" w:rsidTr="009B44A6">
        <w:trPr>
          <w:trHeight w:val="677"/>
        </w:trPr>
        <w:tc>
          <w:tcPr>
            <w:cnfStyle w:val="001000000000" w:firstRow="0" w:lastRow="0" w:firstColumn="1" w:lastColumn="0" w:oddVBand="0" w:evenVBand="0" w:oddHBand="0" w:evenHBand="0" w:firstRowFirstColumn="0" w:firstRowLastColumn="0" w:lastRowFirstColumn="0" w:lastRowLastColumn="0"/>
            <w:tcW w:w="855" w:type="pct"/>
            <w:vMerge/>
          </w:tcPr>
          <w:p w14:paraId="7564C824" w14:textId="77777777" w:rsidR="004D7B74" w:rsidRPr="009B277D" w:rsidRDefault="004D7B74" w:rsidP="00CA72A8">
            <w:pPr>
              <w:pStyle w:val="TableTextleftaligned"/>
              <w:spacing w:line="192" w:lineRule="auto"/>
              <w:rPr>
                <w:b w:val="0"/>
                <w:bCs/>
              </w:rPr>
            </w:pPr>
          </w:p>
        </w:tc>
        <w:tc>
          <w:tcPr>
            <w:tcW w:w="1082" w:type="pct"/>
          </w:tcPr>
          <w:p w14:paraId="365EF47B" w14:textId="6E8287F1" w:rsidR="004D7B74" w:rsidRPr="00DC456C" w:rsidRDefault="009B44A6" w:rsidP="00823660">
            <w:pPr>
              <w:pStyle w:val="TableTextleftaligned"/>
              <w:cnfStyle w:val="000000000000" w:firstRow="0" w:lastRow="0" w:firstColumn="0" w:lastColumn="0" w:oddVBand="0" w:evenVBand="0" w:oddHBand="0" w:evenHBand="0" w:firstRowFirstColumn="0" w:firstRowLastColumn="0" w:lastRowFirstColumn="0" w:lastRowLastColumn="0"/>
            </w:pPr>
            <w:r>
              <w:t>a</w:t>
            </w:r>
            <w:r>
              <w:t xml:space="preserve">. </w:t>
            </w:r>
            <w:r w:rsidR="004D7B74" w:rsidRPr="00DC456C">
              <w:t>Number of allocated Home Care Packages (Target 299,700)</w:t>
            </w:r>
          </w:p>
        </w:tc>
        <w:tc>
          <w:tcPr>
            <w:tcW w:w="1082" w:type="pct"/>
          </w:tcPr>
          <w:p w14:paraId="73D5DFA2" w14:textId="480271F0" w:rsidR="004D7B74" w:rsidRPr="00DC456C" w:rsidRDefault="009B44A6"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DC456C">
              <w:t>Number of allocated Home Care Packages (Target N/A)</w:t>
            </w:r>
            <w:r w:rsidR="00A454A6" w:rsidRPr="003D3501">
              <w:rPr>
                <w:vertAlign w:val="superscript"/>
              </w:rPr>
              <w:footnoteReference w:id="63"/>
            </w:r>
          </w:p>
        </w:tc>
        <w:tc>
          <w:tcPr>
            <w:tcW w:w="1082" w:type="pct"/>
          </w:tcPr>
          <w:p w14:paraId="6EF13898" w14:textId="20D9E17A" w:rsidR="004D7B74" w:rsidRPr="00DC456C" w:rsidRDefault="009B44A6"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DC456C">
              <w:t>Number of allocated Home Care Packages (Target N/A)</w:t>
            </w:r>
          </w:p>
        </w:tc>
        <w:tc>
          <w:tcPr>
            <w:tcW w:w="899" w:type="pct"/>
          </w:tcPr>
          <w:p w14:paraId="37150B0B" w14:textId="61ABBE44" w:rsidR="004D7B74" w:rsidRPr="00DC456C" w:rsidRDefault="009B44A6"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DC456C">
              <w:t>Number of allocated Home Care Packages (Target N/A)</w:t>
            </w:r>
          </w:p>
        </w:tc>
      </w:tr>
      <w:tr w:rsidR="003B3C91" w:rsidRPr="00C70352" w14:paraId="1FCB1A56" w14:textId="77777777" w:rsidTr="009B44A6">
        <w:trPr>
          <w:trHeight w:val="563"/>
        </w:trPr>
        <w:tc>
          <w:tcPr>
            <w:cnfStyle w:val="001000000000" w:firstRow="0" w:lastRow="0" w:firstColumn="1" w:lastColumn="0" w:oddVBand="0" w:evenVBand="0" w:oddHBand="0" w:evenHBand="0" w:firstRowFirstColumn="0" w:firstRowLastColumn="0" w:lastRowFirstColumn="0" w:lastRowLastColumn="0"/>
            <w:tcW w:w="855" w:type="pct"/>
            <w:vMerge/>
          </w:tcPr>
          <w:p w14:paraId="10635249" w14:textId="77777777" w:rsidR="004D7B74" w:rsidRPr="009B277D" w:rsidRDefault="004D7B74" w:rsidP="00CA72A8">
            <w:pPr>
              <w:pStyle w:val="TableTextleftaligned"/>
              <w:spacing w:line="192" w:lineRule="auto"/>
              <w:rPr>
                <w:b w:val="0"/>
                <w:bCs/>
              </w:rPr>
            </w:pPr>
          </w:p>
        </w:tc>
        <w:tc>
          <w:tcPr>
            <w:tcW w:w="1082" w:type="pct"/>
          </w:tcPr>
          <w:p w14:paraId="4D586B72" w14:textId="50F1CD66" w:rsidR="004D7B74" w:rsidRPr="00DC456C" w:rsidRDefault="009B44A6" w:rsidP="009B44A6">
            <w:pPr>
              <w:pStyle w:val="TableTextleftaligned"/>
              <w:cnfStyle w:val="000000000000" w:firstRow="0" w:lastRow="0" w:firstColumn="0" w:lastColumn="0" w:oddVBand="0" w:evenVBand="0" w:oddHBand="0" w:evenHBand="0" w:firstRowFirstColumn="0" w:firstRowLastColumn="0" w:lastRowFirstColumn="0" w:lastRowLastColumn="0"/>
            </w:pPr>
            <w:r w:rsidRPr="009B44A6">
              <w:t xml:space="preserve">b. </w:t>
            </w:r>
            <w:r w:rsidR="004D7B74" w:rsidRPr="00DC456C">
              <w:t>Number of clients that accessed Commonwealth Home Support Program services (Target 840,000)</w:t>
            </w:r>
          </w:p>
        </w:tc>
        <w:tc>
          <w:tcPr>
            <w:tcW w:w="1082" w:type="pct"/>
          </w:tcPr>
          <w:p w14:paraId="541EE5B4" w14:textId="67619B38" w:rsidR="004D7B74" w:rsidRPr="00DC456C" w:rsidRDefault="009B44A6" w:rsidP="009B44A6">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DC456C">
              <w:t>Number of clients that accessed Commonwealth Home Support Program services (Target 860,000)</w:t>
            </w:r>
          </w:p>
        </w:tc>
        <w:tc>
          <w:tcPr>
            <w:tcW w:w="1082" w:type="pct"/>
          </w:tcPr>
          <w:p w14:paraId="405F1CCE" w14:textId="58F1C7BF" w:rsidR="004D7B74" w:rsidRPr="00DC456C" w:rsidRDefault="009B44A6" w:rsidP="009B44A6">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DC456C">
              <w:t>Number of clients that accessed Commonwealth Home Support Program services (Target 860,0000)</w:t>
            </w:r>
          </w:p>
        </w:tc>
        <w:tc>
          <w:tcPr>
            <w:tcW w:w="899" w:type="pct"/>
          </w:tcPr>
          <w:p w14:paraId="1BE0F2B0" w14:textId="2E49FB89" w:rsidR="004D7B74" w:rsidRPr="00DC456C" w:rsidRDefault="009B44A6" w:rsidP="009B44A6">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DC456C">
              <w:t>Number of clients that accessed Commonwealth Home Support Program services (Target 860,000)</w:t>
            </w:r>
          </w:p>
        </w:tc>
      </w:tr>
    </w:tbl>
    <w:p w14:paraId="5A8DECF0" w14:textId="4AE59CC6" w:rsidR="004D7B74" w:rsidRPr="00A454A6" w:rsidRDefault="004D7B74" w:rsidP="0046299B">
      <w:pPr>
        <w:pStyle w:val="Heading2"/>
      </w:pPr>
      <w:bookmarkStart w:id="210" w:name="_Toc166069815"/>
      <w:bookmarkStart w:id="211" w:name="_Toc171411965"/>
      <w:bookmarkStart w:id="212" w:name="_Toc175293655"/>
      <w:bookmarkStart w:id="213" w:name="_Program_3.3_Aged"/>
      <w:bookmarkStart w:id="214" w:name="_Toc175846515"/>
      <w:bookmarkEnd w:id="213"/>
      <w:r w:rsidRPr="00A454A6">
        <w:t>Program 3.3 Aged Care Quality</w:t>
      </w:r>
      <w:bookmarkEnd w:id="210"/>
      <w:bookmarkEnd w:id="211"/>
      <w:bookmarkEnd w:id="212"/>
      <w:bookmarkEnd w:id="214"/>
    </w:p>
    <w:p w14:paraId="11C794AC" w14:textId="77777777" w:rsidR="004D7B74" w:rsidRPr="00823660" w:rsidRDefault="004D7B74" w:rsidP="0046299B">
      <w:pPr>
        <w:pStyle w:val="Heading3"/>
      </w:pPr>
      <w:bookmarkStart w:id="215" w:name="_Toc166069816"/>
      <w:bookmarkStart w:id="216" w:name="_Toc171411966"/>
      <w:bookmarkStart w:id="217" w:name="_Toc175293656"/>
      <w:r w:rsidRPr="00823660">
        <w:t>Program Objective</w:t>
      </w:r>
      <w:bookmarkEnd w:id="215"/>
      <w:bookmarkEnd w:id="216"/>
      <w:bookmarkEnd w:id="217"/>
    </w:p>
    <w:p w14:paraId="309F4A06" w14:textId="77777777" w:rsidR="004D7B74" w:rsidRPr="00823660" w:rsidRDefault="004D7B74" w:rsidP="00823660">
      <w:bookmarkStart w:id="218" w:name="_Toc171340483"/>
      <w:bookmarkStart w:id="219" w:name="_Toc171411967"/>
      <w:bookmarkStart w:id="220" w:name="_Toc175293657"/>
      <w:r w:rsidRPr="00823660">
        <w:t>Older people receive safe and high-quality services which are free from discrimination, mistreatment and neglect through regulatory activities, collaboration with the aged care sector. Provide support to the aged care sector through targeted awareness raising and capacity building activities to ensure standards of care are upheld.</w:t>
      </w:r>
      <w:bookmarkEnd w:id="218"/>
      <w:bookmarkEnd w:id="219"/>
      <w:bookmarkEnd w:id="220"/>
      <w:r w:rsidRPr="00823660">
        <w:t xml:space="preserve"> </w:t>
      </w:r>
    </w:p>
    <w:p w14:paraId="5A0278FD" w14:textId="77777777" w:rsidR="009B44A6" w:rsidRDefault="004D7B74" w:rsidP="0046299B">
      <w:pPr>
        <w:pStyle w:val="Keyactivity"/>
      </w:pPr>
      <w:r w:rsidRPr="002A42FD">
        <w:rPr>
          <w:rStyle w:val="Strong"/>
        </w:rPr>
        <w:t>Key Activity 3.3A</w:t>
      </w:r>
      <w:r w:rsidRPr="002A42FD">
        <w:t>:</w:t>
      </w:r>
    </w:p>
    <w:p w14:paraId="69E7A337" w14:textId="1856EE59" w:rsidR="004D7B74" w:rsidRPr="002A42FD" w:rsidRDefault="004D7B74" w:rsidP="0046299B">
      <w:pPr>
        <w:pStyle w:val="Keyactivity"/>
      </w:pPr>
      <w:r w:rsidRPr="002A42FD">
        <w:t xml:space="preserve">Enable safe and high-quality aged care. </w:t>
      </w:r>
    </w:p>
    <w:p w14:paraId="2A3977B6" w14:textId="5621DA55" w:rsidR="00A454A6" w:rsidRPr="009A431E" w:rsidRDefault="00A454A6" w:rsidP="00BB4FE7">
      <w:pPr>
        <w:rPr>
          <w:rFonts w:cs="Arial"/>
          <w:szCs w:val="20"/>
        </w:rPr>
      </w:pPr>
      <w:r w:rsidRPr="00BB4FE7">
        <w:rPr>
          <w:rStyle w:val="Strong"/>
        </w:rPr>
        <w:t xml:space="preserve">Key </w:t>
      </w:r>
      <w:r w:rsidR="00934900" w:rsidRPr="00BB4FE7">
        <w:rPr>
          <w:rStyle w:val="Strong"/>
        </w:rPr>
        <w:t>a</w:t>
      </w:r>
      <w:r w:rsidRPr="00BB4FE7">
        <w:rPr>
          <w:rStyle w:val="Strong"/>
        </w:rPr>
        <w:t>ctivity rationale</w:t>
      </w:r>
      <w:r w:rsidRPr="00BB4FE7">
        <w:t>:</w:t>
      </w:r>
      <w:r w:rsidRPr="009A431E">
        <w:rPr>
          <w:rFonts w:cs="Arial"/>
          <w:szCs w:val="20"/>
        </w:rPr>
        <w:t xml:space="preserve"> The </w:t>
      </w:r>
      <w:r w:rsidRPr="00BB4FE7">
        <w:t>key</w:t>
      </w:r>
      <w:r w:rsidRPr="009A431E">
        <w:rPr>
          <w:rFonts w:cs="Arial"/>
          <w:szCs w:val="20"/>
        </w:rPr>
        <w:t xml:space="preserve"> activity aims to ensure the aged care workforce is both available and appropriately skilled to deliver safe and quality care to </w:t>
      </w:r>
      <w:r w:rsidR="00934900">
        <w:rPr>
          <w:rFonts w:cs="Arial"/>
          <w:szCs w:val="20"/>
        </w:rPr>
        <w:t>o</w:t>
      </w:r>
      <w:r w:rsidRPr="009A431E">
        <w:rPr>
          <w:rFonts w:cs="Arial"/>
          <w:szCs w:val="20"/>
        </w:rPr>
        <w:t>lder Australians.</w:t>
      </w:r>
    </w:p>
    <w:tbl>
      <w:tblPr>
        <w:tblStyle w:val="TableGridLight"/>
        <w:tblW w:w="5004" w:type="pct"/>
        <w:tblLook w:val="01E0" w:firstRow="1" w:lastRow="1" w:firstColumn="1" w:lastColumn="1" w:noHBand="0" w:noVBand="0"/>
      </w:tblPr>
      <w:tblGrid>
        <w:gridCol w:w="1707"/>
        <w:gridCol w:w="1830"/>
        <w:gridCol w:w="1830"/>
        <w:gridCol w:w="1830"/>
        <w:gridCol w:w="1826"/>
      </w:tblGrid>
      <w:tr w:rsidR="004D7B74" w:rsidRPr="008E3CD6" w14:paraId="14473D7C" w14:textId="77777777" w:rsidTr="00E332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DCFED8D" w14:textId="77777777" w:rsidR="004D7B74" w:rsidRPr="009A431E" w:rsidRDefault="004D7B74" w:rsidP="00823660">
            <w:pPr>
              <w:pStyle w:val="TableTextleftaligned"/>
              <w:rPr>
                <w:b w:val="0"/>
              </w:rPr>
            </w:pPr>
            <w:r w:rsidRPr="009A431E">
              <w:t xml:space="preserve">Measure 3.3A: </w:t>
            </w:r>
          </w:p>
          <w:p w14:paraId="5CD93807" w14:textId="77777777" w:rsidR="004D7B74" w:rsidRPr="00E56100" w:rsidRDefault="004D7B74" w:rsidP="00823660">
            <w:pPr>
              <w:pStyle w:val="TableTextleftaligned"/>
              <w:rPr>
                <w:rFonts w:asciiTheme="minorHAnsi" w:eastAsia="Times New Roman" w:hAnsiTheme="minorHAnsi" w:cstheme="minorHAnsi"/>
                <w:szCs w:val="20"/>
              </w:rPr>
            </w:pPr>
            <w:r w:rsidRPr="009A431E">
              <w:t>Aged care workforce is available and appropriately skilled to deliver safe and high-quality care to older people.</w:t>
            </w:r>
            <w:r w:rsidRPr="009A431E" w:rsidDel="00191996">
              <w:t xml:space="preserve"> </w:t>
            </w:r>
          </w:p>
        </w:tc>
      </w:tr>
      <w:tr w:rsidR="004D7B74" w:rsidRPr="008E3CD6" w14:paraId="58F18ADA" w14:textId="77777777" w:rsidTr="00E332B9">
        <w:tc>
          <w:tcPr>
            <w:cnfStyle w:val="001000000000" w:firstRow="0" w:lastRow="0" w:firstColumn="1" w:lastColumn="0" w:oddVBand="0" w:evenVBand="0" w:oddHBand="0" w:evenHBand="0" w:firstRowFirstColumn="0" w:firstRowLastColumn="0" w:lastRowFirstColumn="0" w:lastRowLastColumn="0"/>
            <w:tcW w:w="946" w:type="pct"/>
          </w:tcPr>
          <w:p w14:paraId="0C0E88D4" w14:textId="77777777" w:rsidR="004D7B74" w:rsidRPr="009B277D" w:rsidRDefault="004D7B74" w:rsidP="00CA72A8">
            <w:pPr>
              <w:pStyle w:val="TableTextleftaligned"/>
              <w:spacing w:line="192" w:lineRule="auto"/>
              <w:rPr>
                <w:b w:val="0"/>
                <w:bCs/>
              </w:rPr>
            </w:pPr>
            <w:r w:rsidRPr="009B277D">
              <w:rPr>
                <w:bCs/>
              </w:rPr>
              <w:t>Rationale</w:t>
            </w:r>
          </w:p>
        </w:tc>
        <w:tc>
          <w:tcPr>
            <w:tcW w:w="4054" w:type="pct"/>
            <w:gridSpan w:val="4"/>
          </w:tcPr>
          <w:p w14:paraId="24A3EB22" w14:textId="77777777" w:rsidR="004D7B74"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037428">
              <w:t xml:space="preserve">This measure relates directly to one of the outcomes that the </w:t>
            </w:r>
            <w:r>
              <w:t>department’s</w:t>
            </w:r>
            <w:r w:rsidRPr="00037428">
              <w:t xml:space="preserve"> key activities is trying to achieve, that is, that </w:t>
            </w:r>
            <w:r>
              <w:t>o</w:t>
            </w:r>
            <w:r w:rsidRPr="00037428">
              <w:t xml:space="preserve">lder </w:t>
            </w:r>
            <w:r>
              <w:t>people</w:t>
            </w:r>
            <w:r w:rsidRPr="00037428">
              <w:t xml:space="preserve"> have their individual care and support needs met by an</w:t>
            </w:r>
            <w:r>
              <w:t xml:space="preserve"> available and</w:t>
            </w:r>
            <w:r w:rsidRPr="00037428">
              <w:t xml:space="preserve"> appropriately skilled workforce. </w:t>
            </w:r>
          </w:p>
          <w:p w14:paraId="3F804115" w14:textId="77777777" w:rsidR="004D7B74" w:rsidRPr="00037428"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ED2722">
              <w:t>These activities are integral to the Government’s agenda to continue to attract and retain the aged care workforce</w:t>
            </w:r>
            <w:r>
              <w:t xml:space="preserve"> needed to</w:t>
            </w:r>
            <w:r w:rsidRPr="00ED2722">
              <w:t xml:space="preserve"> implement Government commitments to increase</w:t>
            </w:r>
            <w:r>
              <w:t xml:space="preserve"> quality of</w:t>
            </w:r>
            <w:r w:rsidRPr="00ED2722">
              <w:t xml:space="preserve"> care for aged care residents through Care Minutes and 24/7 Registered Nurses responsibility in Residential Aged Care.</w:t>
            </w:r>
          </w:p>
          <w:p w14:paraId="364D9247" w14:textId="77777777" w:rsidR="004D7B74" w:rsidRPr="000029D6" w:rsidRDefault="004D7B74" w:rsidP="0046299B">
            <w:pPr>
              <w:pStyle w:val="TableTextleftaligned"/>
              <w:cnfStyle w:val="000000000000" w:firstRow="0" w:lastRow="0" w:firstColumn="0" w:lastColumn="0" w:oddVBand="0" w:evenVBand="0" w:oddHBand="0" w:evenHBand="0" w:firstRowFirstColumn="0" w:firstRowLastColumn="0" w:lastRowFirstColumn="0" w:lastRowLastColumn="0"/>
            </w:pPr>
            <w:r w:rsidRPr="00037428">
              <w:t xml:space="preserve">Ensuring the Aged Care workforce is available and appropriately skilled allows the sector to deliver safe and high-quality care to older </w:t>
            </w:r>
            <w:r>
              <w:t>people.</w:t>
            </w:r>
          </w:p>
        </w:tc>
      </w:tr>
      <w:tr w:rsidR="004D7B74" w:rsidRPr="008E3CD6" w14:paraId="3532EA7C" w14:textId="77777777" w:rsidTr="00E332B9">
        <w:tc>
          <w:tcPr>
            <w:cnfStyle w:val="001000000000" w:firstRow="0" w:lastRow="0" w:firstColumn="1" w:lastColumn="0" w:oddVBand="0" w:evenVBand="0" w:oddHBand="0" w:evenHBand="0" w:firstRowFirstColumn="0" w:firstRowLastColumn="0" w:lastRowFirstColumn="0" w:lastRowLastColumn="0"/>
            <w:tcW w:w="946" w:type="pct"/>
          </w:tcPr>
          <w:p w14:paraId="4568BDF6" w14:textId="77777777" w:rsidR="004D7B74" w:rsidRPr="009B277D" w:rsidRDefault="004D7B74" w:rsidP="00CA72A8">
            <w:pPr>
              <w:pStyle w:val="TableTextleftaligned"/>
              <w:spacing w:line="192" w:lineRule="auto"/>
              <w:rPr>
                <w:b w:val="0"/>
                <w:bCs/>
              </w:rPr>
            </w:pPr>
            <w:r w:rsidRPr="009B277D">
              <w:rPr>
                <w:bCs/>
              </w:rPr>
              <w:t>Measure Type</w:t>
            </w:r>
          </w:p>
        </w:tc>
        <w:tc>
          <w:tcPr>
            <w:tcW w:w="4054" w:type="pct"/>
            <w:gridSpan w:val="4"/>
          </w:tcPr>
          <w:p w14:paraId="5E4C6E5E"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BB539E">
              <w:t>Quantitative</w:t>
            </w:r>
            <w:r>
              <w:t xml:space="preserve"> / </w:t>
            </w:r>
            <w:r w:rsidRPr="00BB539E">
              <w:t>Output</w:t>
            </w:r>
            <w:r>
              <w:rPr>
                <w:rStyle w:val="FootnoteReference"/>
              </w:rPr>
              <w:footnoteReference w:id="64"/>
            </w:r>
          </w:p>
        </w:tc>
      </w:tr>
      <w:tr w:rsidR="004D7B74" w:rsidRPr="008E3CD6" w14:paraId="67E5E330" w14:textId="77777777" w:rsidTr="00E332B9">
        <w:tc>
          <w:tcPr>
            <w:cnfStyle w:val="001000000000" w:firstRow="0" w:lastRow="0" w:firstColumn="1" w:lastColumn="0" w:oddVBand="0" w:evenVBand="0" w:oddHBand="0" w:evenHBand="0" w:firstRowFirstColumn="0" w:firstRowLastColumn="0" w:lastRowFirstColumn="0" w:lastRowLastColumn="0"/>
            <w:tcW w:w="946" w:type="pct"/>
          </w:tcPr>
          <w:p w14:paraId="0FDABAF6" w14:textId="3642714B" w:rsidR="004D7B74" w:rsidRPr="009B277D" w:rsidRDefault="004D7B74" w:rsidP="0046299B">
            <w:pPr>
              <w:pStyle w:val="TableTextleftaligned"/>
              <w:rPr>
                <w:b w:val="0"/>
                <w:bCs/>
              </w:rPr>
            </w:pPr>
            <w:r w:rsidRPr="009B277D">
              <w:rPr>
                <w:bCs/>
              </w:rPr>
              <w:t>Method</w:t>
            </w:r>
            <w:r w:rsidR="0046299B">
              <w:rPr>
                <w:bCs/>
              </w:rPr>
              <w:t xml:space="preserve"> </w:t>
            </w:r>
            <w:r w:rsidRPr="002B335E">
              <w:t>(</w:t>
            </w:r>
            <w:r w:rsidRPr="003106EF">
              <w:t>Data Source and Methodology)</w:t>
            </w:r>
          </w:p>
        </w:tc>
        <w:tc>
          <w:tcPr>
            <w:tcW w:w="4054" w:type="pct"/>
            <w:gridSpan w:val="4"/>
          </w:tcPr>
          <w:p w14:paraId="55432DC8" w14:textId="0734EA61"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6299B">
              <w:rPr>
                <w:rStyle w:val="Strong"/>
              </w:rPr>
              <w:t>Measure a.</w:t>
            </w:r>
            <w:r>
              <w:t xml:space="preserve"> </w:t>
            </w:r>
            <w:r w:rsidRPr="00700EE0">
              <w:t xml:space="preserve">Workforce </w:t>
            </w:r>
            <w:proofErr w:type="gramStart"/>
            <w:r w:rsidRPr="00700EE0">
              <w:t>turnover</w:t>
            </w:r>
            <w:proofErr w:type="gramEnd"/>
          </w:p>
          <w:p w14:paraId="0D403743"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t>Calculation methodology for staff turnover is derived from:</w:t>
            </w:r>
          </w:p>
          <w:p w14:paraId="7394C480"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lastRenderedPageBreak/>
              <w:t xml:space="preserve">Numbers of directly employed staff in first fortnightly pay period in March 2023, minus number of new directly employed workers who commenced at the facility since 1 March 2022, plus </w:t>
            </w:r>
            <w:r>
              <w:t>n</w:t>
            </w:r>
            <w:r w:rsidRPr="00700EE0">
              <w:t>umber of directly employed workers who have left the facility since 1 March 2022</w:t>
            </w:r>
            <w:r>
              <w:t>.</w:t>
            </w:r>
          </w:p>
          <w:p w14:paraId="0DE37D11" w14:textId="76B6221C"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6299B">
              <w:rPr>
                <w:rStyle w:val="Strong"/>
              </w:rPr>
              <w:t>Measure b.</w:t>
            </w:r>
            <w:r>
              <w:t xml:space="preserve"> </w:t>
            </w:r>
            <w:r w:rsidRPr="00700EE0">
              <w:t xml:space="preserve">Workforce </w:t>
            </w:r>
            <w:proofErr w:type="gramStart"/>
            <w:r w:rsidRPr="00700EE0">
              <w:t>qualification</w:t>
            </w:r>
            <w:proofErr w:type="gramEnd"/>
          </w:p>
          <w:p w14:paraId="6B41BF0E"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t xml:space="preserve">Workforce qualifications is directly sourced from the Aged Care Workforce Provider Survey (input to output) with no calculations undertaken to produce these estimates. </w:t>
            </w:r>
          </w:p>
          <w:p w14:paraId="69BBF060" w14:textId="4447870E"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6299B">
              <w:rPr>
                <w:rStyle w:val="Strong"/>
              </w:rPr>
              <w:t>Measure c.</w:t>
            </w:r>
            <w:r>
              <w:t xml:space="preserve"> </w:t>
            </w:r>
            <w:r w:rsidRPr="00700EE0">
              <w:t xml:space="preserve">Worker </w:t>
            </w:r>
            <w:proofErr w:type="gramStart"/>
            <w:r w:rsidRPr="00700EE0">
              <w:t>satisfaction</w:t>
            </w:r>
            <w:proofErr w:type="gramEnd"/>
            <w:r w:rsidRPr="00700EE0">
              <w:t xml:space="preserve"> </w:t>
            </w:r>
          </w:p>
          <w:p w14:paraId="6A018B5C"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t xml:space="preserve">Workforce satisfaction will be directly sourced from the Aged Care Worker Survey (input to output) with no calculations undertaken to produce these data. </w:t>
            </w:r>
          </w:p>
          <w:p w14:paraId="584C2542"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t xml:space="preserve">The survey captures 12 measures of worker satisfaction and includes overall job satisfaction, satisfaction with level of support from employer, and satisfaction with training and promotional opportunities.  </w:t>
            </w:r>
          </w:p>
          <w:p w14:paraId="6F93C717"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rPr>
                <w:b/>
              </w:rPr>
              <w:t>Data source:</w:t>
            </w:r>
            <w:r w:rsidRPr="00700EE0">
              <w:t xml:space="preserve"> Aged Care Workforce Provider Survey 2023 - providers responding to the Aged Care Provider Workforce Survey</w:t>
            </w:r>
          </w:p>
          <w:p w14:paraId="1349C31B"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rPr>
                <w:b/>
              </w:rPr>
              <w:t>Data type:</w:t>
            </w:r>
            <w:r w:rsidRPr="00700EE0">
              <w:t xml:space="preserve"> Survey responses weighted to the population</w:t>
            </w:r>
            <w:r>
              <w:t>.</w:t>
            </w:r>
          </w:p>
          <w:p w14:paraId="04BB70EF" w14:textId="77777777" w:rsidR="004D7B74" w:rsidRPr="0046299B"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46299B">
              <w:rPr>
                <w:rStyle w:val="Strong"/>
              </w:rPr>
              <w:t>Data acquisition:</w:t>
            </w:r>
          </w:p>
          <w:p w14:paraId="25E8404A" w14:textId="77777777" w:rsidR="004D7B74" w:rsidRPr="000029D6"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0029D6">
              <w:t>Contact data for providers is extracted from the Aging and Aged Care Data Warehouse (ACDW) and given to the Social Research Centre (SRC) at Australian National University (ANU).</w:t>
            </w:r>
          </w:p>
          <w:p w14:paraId="7A37A4D5" w14:textId="77777777" w:rsidR="004D7B74" w:rsidRPr="00AE5175"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AE5175">
              <w:t>Data extraction and processing</w:t>
            </w:r>
          </w:p>
          <w:p w14:paraId="43BB898C" w14:textId="77777777" w:rsidR="004D7B74" w:rsidRPr="000029D6"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0029D6">
              <w:t>The raw data in Excel format is extracted from the Health Data Portal by Aged Care Workforce Branch and stored in the ACDW.</w:t>
            </w:r>
          </w:p>
          <w:p w14:paraId="54FCBD52"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t>Internal quality assurance</w:t>
            </w:r>
          </w:p>
          <w:p w14:paraId="7EF7CC7A"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t>During the analysis process the data undergoes assurance cross checks by</w:t>
            </w:r>
            <w:r>
              <w:t xml:space="preserve"> the</w:t>
            </w:r>
            <w:r w:rsidRPr="00700EE0">
              <w:t xml:space="preserve"> A</w:t>
            </w:r>
            <w:r>
              <w:t xml:space="preserve">ustralian Institute of </w:t>
            </w:r>
            <w:r w:rsidRPr="00700EE0">
              <w:t>H</w:t>
            </w:r>
            <w:r>
              <w:t xml:space="preserve">ealth and </w:t>
            </w:r>
            <w:r w:rsidRPr="00700EE0">
              <w:t>W</w:t>
            </w:r>
            <w:r>
              <w:t>elfare (AIHW)</w:t>
            </w:r>
            <w:r w:rsidRPr="00700EE0">
              <w:t xml:space="preserve"> and the </w:t>
            </w:r>
            <w:r>
              <w:t>department</w:t>
            </w:r>
            <w:r w:rsidRPr="00700EE0">
              <w:t>. The process is documented in the Data Quality Statement.</w:t>
            </w:r>
          </w:p>
          <w:p w14:paraId="6D094080"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t xml:space="preserve">Data extraction and methodology – workforce satisfaction: </w:t>
            </w:r>
          </w:p>
          <w:p w14:paraId="6B55768C" w14:textId="77777777"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rPr>
                <w:b/>
                <w:bCs/>
              </w:rPr>
              <w:t>Data source:</w:t>
            </w:r>
            <w:r w:rsidRPr="00700EE0">
              <w:t xml:space="preserve"> Aged Care Worker Survey 2024 – opt in survey of all direct care aged care workers.  </w:t>
            </w:r>
          </w:p>
          <w:p w14:paraId="6A512797" w14:textId="2F4B08DB" w:rsidR="004D7B74" w:rsidRPr="00700EE0"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rPr>
                <w:b/>
              </w:rPr>
              <w:t>Data type:</w:t>
            </w:r>
            <w:r w:rsidRPr="00700EE0">
              <w:t xml:space="preserve"> Survey responses only (not weighted to the target population)</w:t>
            </w:r>
            <w:r w:rsidR="00C90C6F">
              <w:t>.</w:t>
            </w:r>
          </w:p>
          <w:p w14:paraId="3898049A" w14:textId="77777777" w:rsidR="004D7B74" w:rsidRPr="0046299B"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rPr>
                <w:rStyle w:val="Strong"/>
              </w:rPr>
            </w:pPr>
            <w:r w:rsidRPr="0046299B">
              <w:rPr>
                <w:rStyle w:val="Strong"/>
              </w:rPr>
              <w:t>Data acquisition:</w:t>
            </w:r>
          </w:p>
          <w:p w14:paraId="3AF5648F" w14:textId="77777777" w:rsidR="004D7B74" w:rsidRPr="000029D6"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t xml:space="preserve">Advertised the survey on the </w:t>
            </w:r>
            <w:r>
              <w:t>d</w:t>
            </w:r>
            <w:r w:rsidRPr="00700EE0">
              <w:t>epartment</w:t>
            </w:r>
            <w:r>
              <w:t>’</w:t>
            </w:r>
            <w:r w:rsidRPr="00700EE0">
              <w:t>s social media pages and sector newsletters. These advertisements had a survey QR and direct weblink included</w:t>
            </w:r>
            <w:r>
              <w:t>.</w:t>
            </w:r>
            <w:r w:rsidRPr="00700EE0">
              <w:t xml:space="preserve"> Forms Administration</w:t>
            </w:r>
            <w:r>
              <w:t xml:space="preserve"> Pty Ltd</w:t>
            </w:r>
            <w:r w:rsidRPr="00700EE0">
              <w:t xml:space="preserve"> were procured to email aged care providers the survey and to encourage providers to forward the survey onto their staff to complete.  </w:t>
            </w:r>
          </w:p>
          <w:p w14:paraId="1BD406A6" w14:textId="77777777" w:rsidR="004D7B74" w:rsidRPr="000029D6"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700EE0">
              <w:t>Internal quality assurance</w:t>
            </w:r>
          </w:p>
          <w:p w14:paraId="300FC42E" w14:textId="77777777" w:rsidR="004D7B74" w:rsidRPr="000029D6"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The department’s</w:t>
            </w:r>
            <w:r w:rsidRPr="00700EE0">
              <w:t xml:space="preserve"> quality assurance include</w:t>
            </w:r>
            <w:r>
              <w:t>s</w:t>
            </w:r>
            <w:r w:rsidRPr="00700EE0">
              <w:t xml:space="preserve"> checks for missing data or duplicate data, logic check of data in related variables, data outlier checks</w:t>
            </w:r>
            <w:r>
              <w:t xml:space="preserve"> and recoding of qualitative responses to quantitative responses</w:t>
            </w:r>
            <w:r w:rsidRPr="00700EE0">
              <w:t xml:space="preserve">. </w:t>
            </w:r>
          </w:p>
        </w:tc>
      </w:tr>
      <w:tr w:rsidR="003B0C64" w:rsidRPr="008E3CD6" w14:paraId="7E145A4A" w14:textId="77777777" w:rsidTr="00E332B9">
        <w:tc>
          <w:tcPr>
            <w:cnfStyle w:val="001000000000" w:firstRow="0" w:lastRow="0" w:firstColumn="1" w:lastColumn="0" w:oddVBand="0" w:evenVBand="0" w:oddHBand="0" w:evenHBand="0" w:firstRowFirstColumn="0" w:firstRowLastColumn="0" w:lastRowFirstColumn="0" w:lastRowLastColumn="0"/>
            <w:tcW w:w="946" w:type="pct"/>
          </w:tcPr>
          <w:p w14:paraId="75243ADD" w14:textId="77777777" w:rsidR="003B0C64" w:rsidRDefault="003B0C64" w:rsidP="003B0C64">
            <w:pPr>
              <w:pStyle w:val="TableTextleftaligned"/>
              <w:spacing w:line="192" w:lineRule="auto"/>
              <w:rPr>
                <w:b w:val="0"/>
                <w:bCs/>
              </w:rPr>
            </w:pPr>
            <w:r>
              <w:rPr>
                <w:bCs/>
              </w:rPr>
              <w:t xml:space="preserve">Linked to </w:t>
            </w:r>
          </w:p>
          <w:p w14:paraId="3EE3F51F" w14:textId="0828B60E" w:rsidR="003B0C64" w:rsidRPr="009B277D" w:rsidRDefault="003B0C64" w:rsidP="003B0C64">
            <w:pPr>
              <w:pStyle w:val="TableTextleftaligned"/>
              <w:spacing w:line="192" w:lineRule="auto"/>
              <w:rPr>
                <w:b w:val="0"/>
                <w:bCs/>
              </w:rPr>
            </w:pPr>
            <w:r>
              <w:rPr>
                <w:bCs/>
              </w:rPr>
              <w:t>2024–25 Portfolio Budget Statements</w:t>
            </w:r>
          </w:p>
        </w:tc>
        <w:tc>
          <w:tcPr>
            <w:tcW w:w="4054" w:type="pct"/>
            <w:gridSpan w:val="4"/>
          </w:tcPr>
          <w:p w14:paraId="4A3F6BB8" w14:textId="7F5154E5" w:rsidR="003B0C64" w:rsidRDefault="003B0C64" w:rsidP="00823660">
            <w:pPr>
              <w:pStyle w:val="TableTextleftaligned"/>
              <w:cnfStyle w:val="000000000000" w:firstRow="0" w:lastRow="0" w:firstColumn="0" w:lastColumn="0" w:oddVBand="0" w:evenVBand="0" w:oddHBand="0" w:evenHBand="0" w:firstRowFirstColumn="0" w:firstRowLastColumn="0" w:lastRowFirstColumn="0" w:lastRowLastColumn="0"/>
              <w:rPr>
                <w:b/>
                <w:bCs/>
              </w:rPr>
            </w:pPr>
            <w:r w:rsidRPr="00E6299A">
              <w:t xml:space="preserve">Program </w:t>
            </w:r>
            <w:r w:rsidRPr="00D60D69">
              <w:t>3.</w:t>
            </w:r>
            <w:r>
              <w:t>3 -</w:t>
            </w:r>
            <w:r w:rsidRPr="00E6299A">
              <w:t xml:space="preserve"> </w:t>
            </w:r>
            <w:r>
              <w:t>Aged Care Quality</w:t>
            </w:r>
            <w:r w:rsidRPr="00D60D69">
              <w:t xml:space="preserve"> </w:t>
            </w:r>
            <w:r w:rsidRPr="00E6299A">
              <w:t xml:space="preserve">– page </w:t>
            </w:r>
            <w:r w:rsidRPr="00D60D69">
              <w:t>9</w:t>
            </w:r>
            <w:r>
              <w:t>9</w:t>
            </w:r>
          </w:p>
        </w:tc>
      </w:tr>
      <w:tr w:rsidR="008A37D4" w:rsidRPr="008E3CD6" w14:paraId="04B62F7F" w14:textId="77777777" w:rsidTr="008A37D4">
        <w:trPr>
          <w:trHeight w:val="340"/>
        </w:trPr>
        <w:tc>
          <w:tcPr>
            <w:cnfStyle w:val="001000000000" w:firstRow="0" w:lastRow="0" w:firstColumn="1" w:lastColumn="0" w:oddVBand="0" w:evenVBand="0" w:oddHBand="0" w:evenHBand="0" w:firstRowFirstColumn="0" w:firstRowLastColumn="0" w:lastRowFirstColumn="0" w:lastRowLastColumn="0"/>
            <w:tcW w:w="946" w:type="pct"/>
          </w:tcPr>
          <w:p w14:paraId="3CFF48E3" w14:textId="042191C4" w:rsidR="008A37D4" w:rsidRDefault="008A37D4" w:rsidP="008A37D4">
            <w:pPr>
              <w:pStyle w:val="TableTextleftaligned"/>
              <w:spacing w:line="192" w:lineRule="auto"/>
              <w:rPr>
                <w:b w:val="0"/>
                <w:bCs/>
              </w:rPr>
            </w:pPr>
            <w:r w:rsidRPr="0046299B">
              <w:rPr>
                <w:b w:val="0"/>
                <w:bCs/>
              </w:rPr>
              <w:lastRenderedPageBreak/>
              <w:t>Planned Performance Results</w:t>
            </w:r>
          </w:p>
        </w:tc>
        <w:tc>
          <w:tcPr>
            <w:tcW w:w="1014" w:type="pct"/>
            <w:shd w:val="clear" w:color="auto" w:fill="BFBFBF" w:themeFill="background1" w:themeFillShade="BF"/>
            <w:vAlign w:val="center"/>
          </w:tcPr>
          <w:p w14:paraId="43E88D0B" w14:textId="74D76B6C" w:rsidR="008A37D4" w:rsidRPr="00E6299A" w:rsidRDefault="008A37D4" w:rsidP="008A37D4">
            <w:pPr>
              <w:pStyle w:val="TableTextstrong"/>
              <w:cnfStyle w:val="000000000000" w:firstRow="0" w:lastRow="0" w:firstColumn="0" w:lastColumn="0" w:oddVBand="0" w:evenVBand="0" w:oddHBand="0" w:evenHBand="0" w:firstRowFirstColumn="0" w:firstRowLastColumn="0" w:lastRowFirstColumn="0" w:lastRowLastColumn="0"/>
            </w:pPr>
            <w:r w:rsidRPr="00C41D34">
              <w:t>2024–25</w:t>
            </w:r>
          </w:p>
        </w:tc>
        <w:tc>
          <w:tcPr>
            <w:tcW w:w="1014" w:type="pct"/>
            <w:shd w:val="clear" w:color="auto" w:fill="BFBFBF" w:themeFill="background1" w:themeFillShade="BF"/>
            <w:vAlign w:val="center"/>
          </w:tcPr>
          <w:p w14:paraId="4B77AEB8" w14:textId="17A3731E" w:rsidR="008A37D4" w:rsidRPr="00E6299A" w:rsidRDefault="008A37D4" w:rsidP="008A37D4">
            <w:pPr>
              <w:pStyle w:val="TableTextstrong"/>
              <w:cnfStyle w:val="000000000000" w:firstRow="0" w:lastRow="0" w:firstColumn="0" w:lastColumn="0" w:oddVBand="0" w:evenVBand="0" w:oddHBand="0" w:evenHBand="0" w:firstRowFirstColumn="0" w:firstRowLastColumn="0" w:lastRowFirstColumn="0" w:lastRowLastColumn="0"/>
            </w:pPr>
            <w:r w:rsidRPr="00C41D34">
              <w:t>2025–26</w:t>
            </w:r>
          </w:p>
        </w:tc>
        <w:tc>
          <w:tcPr>
            <w:tcW w:w="1014" w:type="pct"/>
            <w:shd w:val="clear" w:color="auto" w:fill="BFBFBF" w:themeFill="background1" w:themeFillShade="BF"/>
            <w:vAlign w:val="center"/>
          </w:tcPr>
          <w:p w14:paraId="4976ACDF" w14:textId="74840057" w:rsidR="008A37D4" w:rsidRPr="00E6299A" w:rsidRDefault="008A37D4" w:rsidP="008A37D4">
            <w:pPr>
              <w:pStyle w:val="TableTextstrong"/>
              <w:cnfStyle w:val="000000000000" w:firstRow="0" w:lastRow="0" w:firstColumn="0" w:lastColumn="0" w:oddVBand="0" w:evenVBand="0" w:oddHBand="0" w:evenHBand="0" w:firstRowFirstColumn="0" w:firstRowLastColumn="0" w:lastRowFirstColumn="0" w:lastRowLastColumn="0"/>
            </w:pPr>
            <w:r w:rsidRPr="00C41D34">
              <w:t>2026–27</w:t>
            </w:r>
          </w:p>
        </w:tc>
        <w:tc>
          <w:tcPr>
            <w:tcW w:w="1012" w:type="pct"/>
            <w:shd w:val="clear" w:color="auto" w:fill="BFBFBF" w:themeFill="background1" w:themeFillShade="BF"/>
            <w:vAlign w:val="center"/>
          </w:tcPr>
          <w:p w14:paraId="289C069B" w14:textId="070DFD86" w:rsidR="008A37D4" w:rsidRPr="00E6299A" w:rsidRDefault="008A37D4" w:rsidP="008A37D4">
            <w:pPr>
              <w:pStyle w:val="TableTextstrong"/>
              <w:cnfStyle w:val="000000000000" w:firstRow="0" w:lastRow="0" w:firstColumn="0" w:lastColumn="0" w:oddVBand="0" w:evenVBand="0" w:oddHBand="0" w:evenHBand="0" w:firstRowFirstColumn="0" w:firstRowLastColumn="0" w:lastRowFirstColumn="0" w:lastRowLastColumn="0"/>
            </w:pPr>
            <w:r w:rsidRPr="00C41D34">
              <w:t>2027–28</w:t>
            </w:r>
          </w:p>
        </w:tc>
      </w:tr>
      <w:tr w:rsidR="008A37D4" w:rsidRPr="008E3CD6" w14:paraId="4F0771BA" w14:textId="77777777" w:rsidTr="008A37D4">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6" w:type="pct"/>
            <w:shd w:val="clear" w:color="auto" w:fill="auto"/>
          </w:tcPr>
          <w:p w14:paraId="3119CCC4" w14:textId="77777777" w:rsidR="008A37D4" w:rsidRPr="008A37D4" w:rsidRDefault="008A37D4" w:rsidP="008A37D4">
            <w:pPr>
              <w:pStyle w:val="TableTextleftaligned"/>
            </w:pPr>
          </w:p>
        </w:tc>
        <w:tc>
          <w:tcPr>
            <w:tcW w:w="1014" w:type="pct"/>
            <w:shd w:val="clear" w:color="auto" w:fill="auto"/>
            <w:vAlign w:val="center"/>
          </w:tcPr>
          <w:p w14:paraId="0ABD54AD" w14:textId="77777777"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rPr>
                <w:rFonts w:ascii="Arial" w:hAnsi="Arial"/>
              </w:rPr>
            </w:pPr>
            <w:r w:rsidRPr="008A37D4">
              <w:rPr>
                <w:rFonts w:ascii="Arial" w:hAnsi="Arial"/>
              </w:rPr>
              <w:t>Establish baseline for staff turnover through the biennial Provider Workforce Survey</w:t>
            </w:r>
          </w:p>
          <w:p w14:paraId="1C662C6B" w14:textId="77777777"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rPr>
                <w:rFonts w:ascii="Arial" w:hAnsi="Arial"/>
              </w:rPr>
            </w:pPr>
            <w:r w:rsidRPr="008A37D4">
              <w:rPr>
                <w:rFonts w:ascii="Arial" w:hAnsi="Arial"/>
              </w:rPr>
              <w:t>Establish baseline for worker qualification through the biennial Provider Workforce Survey</w:t>
            </w:r>
          </w:p>
          <w:p w14:paraId="45D14023" w14:textId="16C2C7DC"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pPr>
            <w:r w:rsidRPr="008A37D4">
              <w:t>Establish baseline for worker satisfaction through the biennial Aged Care Worker Survey</w:t>
            </w:r>
          </w:p>
        </w:tc>
        <w:tc>
          <w:tcPr>
            <w:tcW w:w="1014" w:type="pct"/>
            <w:shd w:val="clear" w:color="auto" w:fill="auto"/>
            <w:vAlign w:val="center"/>
          </w:tcPr>
          <w:p w14:paraId="1E50EC99" w14:textId="77777777"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rPr>
                <w:rFonts w:ascii="Arial" w:hAnsi="Arial"/>
              </w:rPr>
            </w:pPr>
            <w:r w:rsidRPr="008A37D4">
              <w:rPr>
                <w:rFonts w:ascii="Arial" w:hAnsi="Arial"/>
              </w:rPr>
              <w:t>Target to be set (dependent on baseline developed in 2024–25</w:t>
            </w:r>
            <w:proofErr w:type="gramStart"/>
            <w:r w:rsidRPr="008A37D4">
              <w:rPr>
                <w:rFonts w:ascii="Arial" w:hAnsi="Arial"/>
              </w:rPr>
              <w:t>)  for</w:t>
            </w:r>
            <w:proofErr w:type="gramEnd"/>
            <w:r w:rsidRPr="008A37D4">
              <w:rPr>
                <w:rFonts w:ascii="Arial" w:hAnsi="Arial"/>
              </w:rPr>
              <w:t xml:space="preserve"> staff turnover through the biennial Provider Workforce Survey</w:t>
            </w:r>
          </w:p>
          <w:p w14:paraId="219179AF" w14:textId="77777777"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rPr>
                <w:rFonts w:ascii="Arial" w:hAnsi="Arial"/>
              </w:rPr>
            </w:pPr>
            <w:r w:rsidRPr="008A37D4">
              <w:rPr>
                <w:rFonts w:ascii="Arial" w:hAnsi="Arial"/>
              </w:rPr>
              <w:t>Target to be set (dependent on baseline developed in 2024–25) for worker qualification through the biennial Provider Workforce Survey</w:t>
            </w:r>
          </w:p>
          <w:p w14:paraId="07965CC1" w14:textId="64F5E8B7"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pPr>
            <w:r w:rsidRPr="008A37D4">
              <w:t>Target to be set (dependent on baseline developed in 2024–25) for worker satisfaction through the biennial Aged Care Worker Survey</w:t>
            </w:r>
          </w:p>
        </w:tc>
        <w:tc>
          <w:tcPr>
            <w:tcW w:w="1014" w:type="pct"/>
            <w:shd w:val="clear" w:color="auto" w:fill="auto"/>
            <w:vAlign w:val="center"/>
          </w:tcPr>
          <w:p w14:paraId="74B7386C" w14:textId="77777777"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rPr>
                <w:rFonts w:ascii="Arial" w:hAnsi="Arial"/>
              </w:rPr>
            </w:pPr>
            <w:r w:rsidRPr="008A37D4">
              <w:rPr>
                <w:rFonts w:ascii="Arial" w:hAnsi="Arial"/>
              </w:rPr>
              <w:t>Target to be set (dependent on baseline developed in 2024–25) for staff turnover through the biennial Provider Workforce Survey</w:t>
            </w:r>
          </w:p>
          <w:p w14:paraId="33FC7FDF" w14:textId="77777777"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rPr>
                <w:rFonts w:ascii="Arial" w:hAnsi="Arial"/>
              </w:rPr>
            </w:pPr>
            <w:r w:rsidRPr="008A37D4">
              <w:rPr>
                <w:rFonts w:ascii="Arial" w:hAnsi="Arial"/>
              </w:rPr>
              <w:t>Target to be set (dependent on baseline developed in 2024–25) for worker qualification through the biennial Provider Workforce Survey</w:t>
            </w:r>
          </w:p>
          <w:p w14:paraId="2E710A04" w14:textId="78C25291"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pPr>
            <w:r w:rsidRPr="008A37D4">
              <w:t>Target to be set (dependent on baseline developed in 2024–25) for worker satisfaction through the biennial Aged Care Worker Survey</w:t>
            </w:r>
          </w:p>
        </w:tc>
        <w:tc>
          <w:tcPr>
            <w:tcW w:w="1012" w:type="pct"/>
            <w:shd w:val="clear" w:color="auto" w:fill="auto"/>
            <w:vAlign w:val="center"/>
          </w:tcPr>
          <w:p w14:paraId="0881DA12" w14:textId="77777777"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rPr>
                <w:rFonts w:ascii="Arial" w:hAnsi="Arial"/>
              </w:rPr>
            </w:pPr>
            <w:r w:rsidRPr="008A37D4">
              <w:rPr>
                <w:rFonts w:ascii="Arial" w:hAnsi="Arial"/>
              </w:rPr>
              <w:t>Target to be set (dependent on baseline developed in 2024–25) for staff turnover through the biennial Provider Workforce Survey</w:t>
            </w:r>
          </w:p>
          <w:p w14:paraId="78979A7C" w14:textId="77777777"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rPr>
                <w:rFonts w:ascii="Arial" w:hAnsi="Arial"/>
              </w:rPr>
            </w:pPr>
            <w:r w:rsidRPr="008A37D4">
              <w:rPr>
                <w:rFonts w:ascii="Arial" w:hAnsi="Arial"/>
              </w:rPr>
              <w:t>Target to be set (dependent on baseline developed in 2024–25) for worker qualification through the biennial Provider Workforce Survey</w:t>
            </w:r>
          </w:p>
          <w:p w14:paraId="419A143E" w14:textId="6B0E7EDB" w:rsidR="008A37D4" w:rsidRPr="008A37D4" w:rsidRDefault="008A37D4" w:rsidP="008A37D4">
            <w:pPr>
              <w:pStyle w:val="TableTextleftaligned"/>
              <w:cnfStyle w:val="010000000000" w:firstRow="0" w:lastRow="1" w:firstColumn="0" w:lastColumn="0" w:oddVBand="0" w:evenVBand="0" w:oddHBand="0" w:evenHBand="0" w:firstRowFirstColumn="0" w:firstRowLastColumn="0" w:lastRowFirstColumn="0" w:lastRowLastColumn="0"/>
            </w:pPr>
            <w:r w:rsidRPr="008A37D4">
              <w:t>Target to be set (dependent on baseline developed in 2024–25) for worker satisfaction through the biennial Aged Care Worker Survey</w:t>
            </w:r>
          </w:p>
        </w:tc>
      </w:tr>
    </w:tbl>
    <w:p w14:paraId="10535F66" w14:textId="0BC74F81" w:rsidR="008F63F5" w:rsidRPr="00BB4FE7" w:rsidRDefault="008F63F5" w:rsidP="008A37D4">
      <w:bookmarkStart w:id="221" w:name="_Toc175293658"/>
      <w:r w:rsidRPr="00BB4FE7">
        <w:br w:type="page"/>
      </w:r>
    </w:p>
    <w:p w14:paraId="40D2C10B" w14:textId="77777777" w:rsidR="00823660" w:rsidRPr="00823660" w:rsidRDefault="00823660" w:rsidP="00823660">
      <w:pPr>
        <w:pStyle w:val="Heading1"/>
      </w:pPr>
      <w:bookmarkStart w:id="222" w:name="_Toc175846516"/>
      <w:r w:rsidRPr="00823660">
        <w:lastRenderedPageBreak/>
        <w:t>Outcome 4 Sport and Physical Activity</w:t>
      </w:r>
      <w:bookmarkEnd w:id="222"/>
    </w:p>
    <w:p w14:paraId="2719213B" w14:textId="77777777" w:rsidR="004D7B74" w:rsidRPr="009B44A6" w:rsidRDefault="004D7B74" w:rsidP="009B44A6">
      <w:bookmarkStart w:id="223" w:name="_Toc166069818"/>
      <w:bookmarkStart w:id="224" w:name="_Toc171340485"/>
      <w:bookmarkStart w:id="225" w:name="_Toc171411969"/>
      <w:bookmarkStart w:id="226" w:name="_Toc175293659"/>
      <w:bookmarkEnd w:id="221"/>
      <w:r w:rsidRPr="00823660">
        <w:t>Improved opportunities for community participation in sport and physical activity, excellence in high-performance athletes, protecting the integrity of sport, delivery of sports related funding including for sport infrastructure, sport policy development, coordination of Commonwealth involvement in major sporting events and international cooperation on sport issues.</w:t>
      </w:r>
      <w:bookmarkEnd w:id="223"/>
      <w:bookmarkEnd w:id="224"/>
      <w:bookmarkEnd w:id="225"/>
      <w:bookmarkEnd w:id="226"/>
    </w:p>
    <w:p w14:paraId="4196DDCB" w14:textId="76FA6999" w:rsidR="001D1D69" w:rsidRPr="009B44A6" w:rsidRDefault="001D1D69" w:rsidP="009B44A6">
      <w:pPr>
        <w:pBdr>
          <w:top w:val="single" w:sz="8" w:space="1" w:color="A5A5A5" w:themeColor="accent3"/>
        </w:pBdr>
        <w:rPr>
          <w:rStyle w:val="Strong"/>
        </w:rPr>
      </w:pPr>
      <w:bookmarkStart w:id="227" w:name="_Toc166069819"/>
      <w:r w:rsidRPr="009B44A6">
        <w:rPr>
          <w:rStyle w:val="Strong"/>
        </w:rPr>
        <w:t>Outcome 4 is delivered through the following program:</w:t>
      </w:r>
    </w:p>
    <w:p w14:paraId="7556F85E" w14:textId="09707D53" w:rsidR="001D1D69" w:rsidRDefault="003654F0" w:rsidP="009B44A6">
      <w:pPr>
        <w:pBdr>
          <w:bottom w:val="single" w:sz="8" w:space="1" w:color="A5A5A5" w:themeColor="accent3"/>
        </w:pBdr>
      </w:pPr>
      <w:hyperlink w:anchor="_Program_4.1_Sport" w:history="1">
        <w:r w:rsidRPr="003654F0">
          <w:rPr>
            <w:rStyle w:val="Hyperlink"/>
          </w:rPr>
          <w:t xml:space="preserve">4.1 </w:t>
        </w:r>
        <w:r w:rsidR="001D1D69" w:rsidRPr="003654F0">
          <w:rPr>
            <w:rStyle w:val="Hyperlink"/>
          </w:rPr>
          <w:t>Sport and Physical Activity</w:t>
        </w:r>
      </w:hyperlink>
    </w:p>
    <w:p w14:paraId="3E43105C" w14:textId="3BF2C9B5" w:rsidR="009B44A6" w:rsidRDefault="009B44A6">
      <w:r>
        <w:br w:type="page"/>
      </w:r>
    </w:p>
    <w:p w14:paraId="41D4CEB4" w14:textId="615EE532" w:rsidR="004D7B74" w:rsidRPr="004706A4" w:rsidRDefault="004D7B74" w:rsidP="00E47DF6">
      <w:pPr>
        <w:pStyle w:val="Heading2"/>
        <w:rPr>
          <w:b w:val="0"/>
          <w:bCs w:val="0"/>
          <w:szCs w:val="24"/>
        </w:rPr>
      </w:pPr>
      <w:bookmarkStart w:id="228" w:name="_Toc171411970"/>
      <w:bookmarkStart w:id="229" w:name="_Toc175293660"/>
      <w:bookmarkStart w:id="230" w:name="_Toc175846517"/>
      <w:bookmarkStart w:id="231" w:name="_Program_4.1_Sport"/>
      <w:bookmarkEnd w:id="231"/>
      <w:r w:rsidRPr="004706A4">
        <w:lastRenderedPageBreak/>
        <w:t>Program 4.1 Sport and Physical Activity</w:t>
      </w:r>
      <w:bookmarkEnd w:id="227"/>
      <w:bookmarkEnd w:id="228"/>
      <w:bookmarkEnd w:id="229"/>
      <w:bookmarkEnd w:id="230"/>
      <w:r w:rsidRPr="004706A4">
        <w:t xml:space="preserve"> </w:t>
      </w:r>
      <w:bookmarkStart w:id="232" w:name="_Toc166069820"/>
    </w:p>
    <w:p w14:paraId="1C0AB765" w14:textId="46EFCD7A" w:rsidR="004D7B74" w:rsidRPr="004706A4" w:rsidRDefault="004D7B74" w:rsidP="00E47DF6">
      <w:pPr>
        <w:pStyle w:val="Heading3"/>
      </w:pPr>
      <w:bookmarkStart w:id="233" w:name="_Toc171411971"/>
      <w:bookmarkStart w:id="234" w:name="_Toc175293661"/>
      <w:r w:rsidRPr="004706A4">
        <w:t>Program Objective</w:t>
      </w:r>
      <w:bookmarkEnd w:id="232"/>
      <w:bookmarkEnd w:id="233"/>
      <w:bookmarkEnd w:id="234"/>
    </w:p>
    <w:p w14:paraId="622A55A9" w14:textId="77777777" w:rsidR="004D7B74" w:rsidRPr="00BB4FE7" w:rsidRDefault="004D7B74" w:rsidP="00BB4FE7">
      <w:r w:rsidRPr="00BB4FE7">
        <w:t>Increase participation in sport and physical activity by all Australians and foster excellence in Australia’s high-performance athletes. Further Australia’s national interests by supporting the Australian sport sector, showcasing Australia as a premier host of major international sporting events, and developing sport policy and programs.</w:t>
      </w:r>
    </w:p>
    <w:p w14:paraId="44601880" w14:textId="77777777" w:rsidR="009B44A6" w:rsidRDefault="004D7B74" w:rsidP="00E47DF6">
      <w:pPr>
        <w:pStyle w:val="Keyactivity"/>
        <w:rPr>
          <w:b/>
          <w:bCs/>
        </w:rPr>
      </w:pPr>
      <w:r w:rsidRPr="00E47DF6">
        <w:rPr>
          <w:rStyle w:val="Strong"/>
        </w:rPr>
        <w:t>Key Activity 4.1A:</w:t>
      </w:r>
    </w:p>
    <w:p w14:paraId="6590D813" w14:textId="5C730A54" w:rsidR="004D7B74" w:rsidRPr="00E47DF6" w:rsidRDefault="004D7B74" w:rsidP="00E47DF6">
      <w:pPr>
        <w:pStyle w:val="Keyactivity"/>
      </w:pPr>
      <w:r w:rsidRPr="004706A4">
        <w:t>Developing and implementing sport policies, programs, and initiatives which enable participation in sport and physical activity in collaboration with Commonwealth sport entities and the broader sport sector.</w:t>
      </w:r>
      <w:r w:rsidR="004706A4" w:rsidRPr="004706A4">
        <w:rPr>
          <w:rStyle w:val="FootnoteReference"/>
          <w:rFonts w:cs="Arial"/>
        </w:rPr>
        <w:t xml:space="preserve"> </w:t>
      </w:r>
      <w:r w:rsidR="004706A4" w:rsidRPr="001D1D69">
        <w:rPr>
          <w:rStyle w:val="FootnoteReference"/>
          <w:rFonts w:cs="Arial"/>
          <w:sz w:val="18"/>
          <w:szCs w:val="18"/>
        </w:rPr>
        <w:footnoteReference w:id="65"/>
      </w:r>
    </w:p>
    <w:p w14:paraId="1DBD8211" w14:textId="23C955EB" w:rsidR="004706A4" w:rsidRPr="004706A4" w:rsidRDefault="004706A4" w:rsidP="004706A4">
      <w:pPr>
        <w:rPr>
          <w:rFonts w:cs="Arial"/>
          <w:szCs w:val="20"/>
        </w:rPr>
      </w:pPr>
      <w:r w:rsidRPr="00E47DF6">
        <w:rPr>
          <w:rStyle w:val="Strong"/>
        </w:rPr>
        <w:t xml:space="preserve">Key </w:t>
      </w:r>
      <w:r w:rsidR="00471235" w:rsidRPr="00E47DF6">
        <w:rPr>
          <w:rStyle w:val="Strong"/>
        </w:rPr>
        <w:t>a</w:t>
      </w:r>
      <w:r w:rsidRPr="00E47DF6">
        <w:rPr>
          <w:rStyle w:val="Strong"/>
        </w:rPr>
        <w:t>ctivity rationale:</w:t>
      </w:r>
      <w:r w:rsidRPr="004706A4">
        <w:rPr>
          <w:rFonts w:cs="Arial"/>
          <w:szCs w:val="20"/>
        </w:rPr>
        <w:t xml:space="preserve"> This activity aims to align priorities, resources, and effort across the Australian sport sector, create greater awareness of the benefits from participation in sport and physical activity, improve access and reduce barriers by promoting safe and inclusive sporting environments.</w:t>
      </w:r>
    </w:p>
    <w:tbl>
      <w:tblPr>
        <w:tblStyle w:val="TableGridLight"/>
        <w:tblW w:w="5000" w:type="pct"/>
        <w:tblLook w:val="06A0" w:firstRow="1" w:lastRow="0" w:firstColumn="1" w:lastColumn="0" w:noHBand="1" w:noVBand="1"/>
      </w:tblPr>
      <w:tblGrid>
        <w:gridCol w:w="1656"/>
        <w:gridCol w:w="1735"/>
        <w:gridCol w:w="1875"/>
        <w:gridCol w:w="1875"/>
        <w:gridCol w:w="1875"/>
      </w:tblGrid>
      <w:tr w:rsidR="004D7B74" w:rsidRPr="00823660" w14:paraId="05FBB745" w14:textId="77777777" w:rsidTr="003708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C1BFA36" w14:textId="77777777" w:rsidR="004D7B74" w:rsidRPr="00823660" w:rsidRDefault="004D7B74" w:rsidP="00823660">
            <w:r w:rsidRPr="00823660">
              <w:t xml:space="preserve">Measure 4.1A: Participation in weekly sport and physical activity as measured through: </w:t>
            </w:r>
          </w:p>
          <w:p w14:paraId="085ADE82" w14:textId="77777777" w:rsidR="004D7B74" w:rsidRPr="00823660" w:rsidRDefault="004D7B74" w:rsidP="00823660">
            <w:r w:rsidRPr="00823660">
              <w:t xml:space="preserve">Percentage of Australian children aged zero to 14 years participating in organised sport and/or physical activity outside of school hours at least once per week. </w:t>
            </w:r>
          </w:p>
          <w:p w14:paraId="2116E27E" w14:textId="77777777" w:rsidR="004D7B74" w:rsidRPr="00823660" w:rsidRDefault="004D7B74" w:rsidP="00823660">
            <w:r w:rsidRPr="00823660">
              <w:t xml:space="preserve">Percentage of Australians aged 15 years and over participating in sport and/or physical activity at least once per week. </w:t>
            </w:r>
          </w:p>
        </w:tc>
      </w:tr>
      <w:tr w:rsidR="004D7B74" w:rsidRPr="008E3CD6" w14:paraId="67A72D8B" w14:textId="77777777" w:rsidTr="00370843">
        <w:tc>
          <w:tcPr>
            <w:cnfStyle w:val="001000000000" w:firstRow="0" w:lastRow="0" w:firstColumn="1" w:lastColumn="0" w:oddVBand="0" w:evenVBand="0" w:oddHBand="0" w:evenHBand="0" w:firstRowFirstColumn="0" w:firstRowLastColumn="0" w:lastRowFirstColumn="0" w:lastRowLastColumn="0"/>
            <w:tcW w:w="918" w:type="pct"/>
          </w:tcPr>
          <w:p w14:paraId="24B28E16" w14:textId="77777777" w:rsidR="004D7B74" w:rsidRPr="00E47DF6" w:rsidRDefault="004D7B74" w:rsidP="00E47DF6">
            <w:pPr>
              <w:pStyle w:val="TableTextleftaligned"/>
            </w:pPr>
            <w:r w:rsidRPr="00E47DF6">
              <w:t>Rationale</w:t>
            </w:r>
          </w:p>
        </w:tc>
        <w:tc>
          <w:tcPr>
            <w:tcW w:w="4082" w:type="pct"/>
            <w:gridSpan w:val="4"/>
          </w:tcPr>
          <w:p w14:paraId="7101A86C"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This measure indicates the effectiveness of the department’s work on policies, programs, and initiatives to support regular participation in sport and physical activity. </w:t>
            </w:r>
          </w:p>
        </w:tc>
      </w:tr>
      <w:tr w:rsidR="004D7B74" w:rsidRPr="008E3CD6" w14:paraId="2BFDDFEA" w14:textId="77777777" w:rsidTr="00370843">
        <w:tc>
          <w:tcPr>
            <w:cnfStyle w:val="001000000000" w:firstRow="0" w:lastRow="0" w:firstColumn="1" w:lastColumn="0" w:oddVBand="0" w:evenVBand="0" w:oddHBand="0" w:evenHBand="0" w:firstRowFirstColumn="0" w:firstRowLastColumn="0" w:lastRowFirstColumn="0" w:lastRowLastColumn="0"/>
            <w:tcW w:w="918" w:type="pct"/>
          </w:tcPr>
          <w:p w14:paraId="138B2682" w14:textId="77777777" w:rsidR="004D7B74" w:rsidRPr="00E47DF6" w:rsidRDefault="004D7B74" w:rsidP="00E47DF6">
            <w:pPr>
              <w:pStyle w:val="TableTextleftaligned"/>
            </w:pPr>
            <w:r w:rsidRPr="00E47DF6">
              <w:t>Measure Type</w:t>
            </w:r>
          </w:p>
        </w:tc>
        <w:tc>
          <w:tcPr>
            <w:tcW w:w="4082" w:type="pct"/>
            <w:gridSpan w:val="4"/>
          </w:tcPr>
          <w:p w14:paraId="5C510A1D"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Quantitative / Effectiveness</w:t>
            </w:r>
          </w:p>
        </w:tc>
      </w:tr>
      <w:tr w:rsidR="004D7B74" w:rsidRPr="008E3CD6" w14:paraId="63C2E00C" w14:textId="77777777" w:rsidTr="00370843">
        <w:tc>
          <w:tcPr>
            <w:cnfStyle w:val="001000000000" w:firstRow="0" w:lastRow="0" w:firstColumn="1" w:lastColumn="0" w:oddVBand="0" w:evenVBand="0" w:oddHBand="0" w:evenHBand="0" w:firstRowFirstColumn="0" w:firstRowLastColumn="0" w:lastRowFirstColumn="0" w:lastRowLastColumn="0"/>
            <w:tcW w:w="918" w:type="pct"/>
          </w:tcPr>
          <w:p w14:paraId="6FE6DF69" w14:textId="47A3F7EF" w:rsidR="004D7B74" w:rsidRPr="00E47DF6" w:rsidRDefault="004D7B74" w:rsidP="00E47DF6">
            <w:pPr>
              <w:pStyle w:val="TableTextleftaligned"/>
            </w:pPr>
            <w:r w:rsidRPr="00E47DF6">
              <w:t xml:space="preserve">Method (Data Source and Methodology) </w:t>
            </w:r>
          </w:p>
        </w:tc>
        <w:tc>
          <w:tcPr>
            <w:tcW w:w="4082" w:type="pct"/>
            <w:gridSpan w:val="4"/>
          </w:tcPr>
          <w:p w14:paraId="0715A0B4" w14:textId="2F446039" w:rsidR="004D7B74" w:rsidRPr="00885B72"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4706A4">
              <w:rPr>
                <w:b/>
                <w:bCs/>
              </w:rPr>
              <w:t>Data for measure a. and measure b.</w:t>
            </w:r>
            <w:r w:rsidRPr="00885B72">
              <w:t xml:space="preserve"> is derived from the Australian Sports Commission’s </w:t>
            </w:r>
            <w:proofErr w:type="spellStart"/>
            <w:r w:rsidRPr="00885B72">
              <w:t>AusPlay</w:t>
            </w:r>
            <w:proofErr w:type="spellEnd"/>
            <w:r w:rsidRPr="00885B72">
              <w:t xml:space="preserve"> survey results.</w:t>
            </w:r>
            <w:r w:rsidR="001D1D69" w:rsidRPr="00885B72">
              <w:rPr>
                <w:rStyle w:val="FootnoteReference"/>
              </w:rPr>
              <w:footnoteReference w:id="66"/>
            </w:r>
            <w:r w:rsidRPr="00885B72">
              <w:t xml:space="preserve"> </w:t>
            </w:r>
            <w:proofErr w:type="spellStart"/>
            <w:r w:rsidRPr="00885B72">
              <w:t>AusPlay</w:t>
            </w:r>
            <w:proofErr w:type="spellEnd"/>
            <w:r w:rsidRPr="00885B72">
              <w:t xml:space="preserve"> provides data on participation rates across organised sport and physical activity. This performance measure is reported on a calendar year basis to align with the release of the </w:t>
            </w:r>
            <w:proofErr w:type="spellStart"/>
            <w:r w:rsidRPr="00885B72">
              <w:t>AusPlay</w:t>
            </w:r>
            <w:proofErr w:type="spellEnd"/>
            <w:r w:rsidRPr="00885B72">
              <w:t xml:space="preserve"> data. </w:t>
            </w:r>
          </w:p>
        </w:tc>
      </w:tr>
      <w:tr w:rsidR="004D7B74" w:rsidRPr="008E3CD6" w14:paraId="7DFF9EA5" w14:textId="77777777" w:rsidTr="00370843">
        <w:tc>
          <w:tcPr>
            <w:cnfStyle w:val="001000000000" w:firstRow="0" w:lastRow="0" w:firstColumn="1" w:lastColumn="0" w:oddVBand="0" w:evenVBand="0" w:oddHBand="0" w:evenHBand="0" w:firstRowFirstColumn="0" w:firstRowLastColumn="0" w:lastRowFirstColumn="0" w:lastRowLastColumn="0"/>
            <w:tcW w:w="918" w:type="pct"/>
          </w:tcPr>
          <w:p w14:paraId="0CDA2556" w14:textId="786B6A28" w:rsidR="004D7B74" w:rsidRPr="00E47DF6" w:rsidRDefault="004A6EE9" w:rsidP="00E47DF6">
            <w:pPr>
              <w:pStyle w:val="TableTextleftaligned"/>
            </w:pPr>
            <w:r w:rsidRPr="00E47DF6">
              <w:t>Linked to 2024–25 Portfolio Budget Statements</w:t>
            </w:r>
          </w:p>
        </w:tc>
        <w:tc>
          <w:tcPr>
            <w:tcW w:w="4082" w:type="pct"/>
            <w:gridSpan w:val="4"/>
          </w:tcPr>
          <w:p w14:paraId="27D6FEF4" w14:textId="4AB082D4" w:rsidR="004D7B74" w:rsidRPr="00885B72" w:rsidRDefault="00C25A92" w:rsidP="00823660">
            <w:pPr>
              <w:pStyle w:val="TableTextleftaligned"/>
              <w:cnfStyle w:val="000000000000" w:firstRow="0" w:lastRow="0" w:firstColumn="0" w:lastColumn="0" w:oddVBand="0" w:evenVBand="0" w:oddHBand="0" w:evenHBand="0" w:firstRowFirstColumn="0" w:firstRowLastColumn="0" w:lastRowFirstColumn="0" w:lastRowLastColumn="0"/>
            </w:pPr>
            <w:r>
              <w:t>Program 4.1</w:t>
            </w:r>
            <w:r w:rsidR="003B745D">
              <w:t xml:space="preserve"> - Sport and Physical Activity</w:t>
            </w:r>
            <w:r w:rsidR="00D16AE5">
              <w:t xml:space="preserve"> </w:t>
            </w:r>
            <w:bookmarkStart w:id="235" w:name="_Hlk175656088"/>
            <w:r w:rsidR="00A8410B">
              <w:t xml:space="preserve">– </w:t>
            </w:r>
            <w:bookmarkEnd w:id="235"/>
            <w:r w:rsidR="00A8410B">
              <w:t>page</w:t>
            </w:r>
            <w:r w:rsidR="00F947CC">
              <w:t xml:space="preserve"> 105</w:t>
            </w:r>
            <w:r w:rsidR="00A8410B">
              <w:t xml:space="preserve"> </w:t>
            </w:r>
          </w:p>
        </w:tc>
      </w:tr>
      <w:tr w:rsidR="003B3C91" w:rsidRPr="008E3CD6" w14:paraId="1C63919E" w14:textId="77777777" w:rsidTr="00370843">
        <w:trPr>
          <w:trHeight w:val="340"/>
        </w:trPr>
        <w:tc>
          <w:tcPr>
            <w:cnfStyle w:val="001000000000" w:firstRow="0" w:lastRow="0" w:firstColumn="1" w:lastColumn="0" w:oddVBand="0" w:evenVBand="0" w:oddHBand="0" w:evenHBand="0" w:firstRowFirstColumn="0" w:firstRowLastColumn="0" w:lastRowFirstColumn="0" w:lastRowLastColumn="0"/>
            <w:tcW w:w="918" w:type="pct"/>
            <w:vMerge w:val="restart"/>
          </w:tcPr>
          <w:p w14:paraId="461A1136" w14:textId="77777777" w:rsidR="004D7B74" w:rsidRPr="009B277D" w:rsidRDefault="004D7B74" w:rsidP="00CA72A8">
            <w:pPr>
              <w:pStyle w:val="TableTextleftaligned"/>
              <w:spacing w:line="192" w:lineRule="auto"/>
              <w:rPr>
                <w:b w:val="0"/>
                <w:bCs/>
              </w:rPr>
            </w:pPr>
            <w:r>
              <w:rPr>
                <w:bCs/>
              </w:rPr>
              <w:t>Planned Performance Results</w:t>
            </w:r>
          </w:p>
        </w:tc>
        <w:tc>
          <w:tcPr>
            <w:tcW w:w="962" w:type="pct"/>
            <w:shd w:val="clear" w:color="auto" w:fill="BFBFBF" w:themeFill="background1" w:themeFillShade="BF"/>
            <w:vAlign w:val="center"/>
          </w:tcPr>
          <w:p w14:paraId="71133130" w14:textId="77777777" w:rsidR="004D7B74" w:rsidRPr="00E47DF6" w:rsidRDefault="004D7B74" w:rsidP="00E47DF6">
            <w:pPr>
              <w:pStyle w:val="TableTextstrong"/>
              <w:cnfStyle w:val="000000000000" w:firstRow="0" w:lastRow="0" w:firstColumn="0" w:lastColumn="0" w:oddVBand="0" w:evenVBand="0" w:oddHBand="0" w:evenHBand="0" w:firstRowFirstColumn="0" w:firstRowLastColumn="0" w:lastRowFirstColumn="0" w:lastRowLastColumn="0"/>
            </w:pPr>
            <w:r w:rsidRPr="00E47DF6">
              <w:t>2024</w:t>
            </w:r>
          </w:p>
        </w:tc>
        <w:tc>
          <w:tcPr>
            <w:tcW w:w="1040" w:type="pct"/>
            <w:shd w:val="clear" w:color="auto" w:fill="BFBFBF" w:themeFill="background1" w:themeFillShade="BF"/>
            <w:vAlign w:val="center"/>
          </w:tcPr>
          <w:p w14:paraId="0852DFD9" w14:textId="77777777" w:rsidR="004D7B74" w:rsidRPr="00E47DF6" w:rsidRDefault="004D7B74" w:rsidP="00E47DF6">
            <w:pPr>
              <w:pStyle w:val="TableTextstrong"/>
              <w:cnfStyle w:val="000000000000" w:firstRow="0" w:lastRow="0" w:firstColumn="0" w:lastColumn="0" w:oddVBand="0" w:evenVBand="0" w:oddHBand="0" w:evenHBand="0" w:firstRowFirstColumn="0" w:firstRowLastColumn="0" w:lastRowFirstColumn="0" w:lastRowLastColumn="0"/>
            </w:pPr>
            <w:r w:rsidRPr="00E47DF6">
              <w:t>2025</w:t>
            </w:r>
          </w:p>
        </w:tc>
        <w:tc>
          <w:tcPr>
            <w:tcW w:w="1040" w:type="pct"/>
            <w:shd w:val="clear" w:color="auto" w:fill="BFBFBF" w:themeFill="background1" w:themeFillShade="BF"/>
            <w:vAlign w:val="center"/>
          </w:tcPr>
          <w:p w14:paraId="6E624066" w14:textId="77777777" w:rsidR="004D7B74" w:rsidRPr="00E47DF6" w:rsidRDefault="004D7B74" w:rsidP="00E47DF6">
            <w:pPr>
              <w:pStyle w:val="TableTextstrong"/>
              <w:cnfStyle w:val="000000000000" w:firstRow="0" w:lastRow="0" w:firstColumn="0" w:lastColumn="0" w:oddVBand="0" w:evenVBand="0" w:oddHBand="0" w:evenHBand="0" w:firstRowFirstColumn="0" w:firstRowLastColumn="0" w:lastRowFirstColumn="0" w:lastRowLastColumn="0"/>
            </w:pPr>
            <w:r w:rsidRPr="00E47DF6">
              <w:t>2026</w:t>
            </w:r>
          </w:p>
        </w:tc>
        <w:tc>
          <w:tcPr>
            <w:tcW w:w="1040" w:type="pct"/>
            <w:shd w:val="clear" w:color="auto" w:fill="BFBFBF" w:themeFill="background1" w:themeFillShade="BF"/>
            <w:vAlign w:val="center"/>
          </w:tcPr>
          <w:p w14:paraId="4A4D8E94" w14:textId="77777777" w:rsidR="004D7B74" w:rsidRPr="00E47DF6" w:rsidRDefault="004D7B74" w:rsidP="00E47DF6">
            <w:pPr>
              <w:pStyle w:val="TableTextstrong"/>
              <w:cnfStyle w:val="000000000000" w:firstRow="0" w:lastRow="0" w:firstColumn="0" w:lastColumn="0" w:oddVBand="0" w:evenVBand="0" w:oddHBand="0" w:evenHBand="0" w:firstRowFirstColumn="0" w:firstRowLastColumn="0" w:lastRowFirstColumn="0" w:lastRowLastColumn="0"/>
            </w:pPr>
            <w:r w:rsidRPr="00E47DF6">
              <w:t>2027</w:t>
            </w:r>
          </w:p>
        </w:tc>
      </w:tr>
      <w:tr w:rsidR="003B3C91" w:rsidRPr="008E3CD6" w14:paraId="7A0627E6" w14:textId="77777777" w:rsidTr="00370843">
        <w:tc>
          <w:tcPr>
            <w:cnfStyle w:val="001000000000" w:firstRow="0" w:lastRow="0" w:firstColumn="1" w:lastColumn="0" w:oddVBand="0" w:evenVBand="0" w:oddHBand="0" w:evenHBand="0" w:firstRowFirstColumn="0" w:firstRowLastColumn="0" w:lastRowFirstColumn="0" w:lastRowLastColumn="0"/>
            <w:tcW w:w="918" w:type="pct"/>
            <w:vMerge/>
          </w:tcPr>
          <w:p w14:paraId="32D629AC" w14:textId="77777777" w:rsidR="004D7B74" w:rsidRPr="009B277D" w:rsidRDefault="004D7B74" w:rsidP="00CA72A8">
            <w:pPr>
              <w:pStyle w:val="TableTextleftaligned"/>
              <w:spacing w:line="192" w:lineRule="auto"/>
              <w:rPr>
                <w:b w:val="0"/>
                <w:bCs/>
              </w:rPr>
            </w:pPr>
          </w:p>
        </w:tc>
        <w:tc>
          <w:tcPr>
            <w:tcW w:w="962" w:type="pct"/>
          </w:tcPr>
          <w:p w14:paraId="5D098C11" w14:textId="6C7315F1" w:rsidR="004D7B74" w:rsidRPr="00885B72" w:rsidRDefault="00370843" w:rsidP="00E47DF6">
            <w:pPr>
              <w:pStyle w:val="TableTextleftaligned"/>
              <w:cnfStyle w:val="000000000000" w:firstRow="0" w:lastRow="0" w:firstColumn="0" w:lastColumn="0" w:oddVBand="0" w:evenVBand="0" w:oddHBand="0" w:evenHBand="0" w:firstRowFirstColumn="0" w:firstRowLastColumn="0" w:lastRowFirstColumn="0" w:lastRowLastColumn="0"/>
            </w:pPr>
            <w:r w:rsidRPr="00370843">
              <w:t xml:space="preserve">a. </w:t>
            </w:r>
            <w:r w:rsidR="004D7B74" w:rsidRPr="00E47DF6">
              <w:t>Establish</w:t>
            </w:r>
            <w:r w:rsidR="004D7B74" w:rsidRPr="00885B72">
              <w:t xml:space="preserve"> baseline</w:t>
            </w:r>
            <w:r w:rsidR="004D7B74">
              <w:rPr>
                <w:rStyle w:val="FootnoteReference"/>
              </w:rPr>
              <w:footnoteReference w:id="67"/>
            </w:r>
          </w:p>
          <w:p w14:paraId="466ABC34" w14:textId="154E29F7" w:rsidR="004D7B74" w:rsidRPr="00885B72" w:rsidRDefault="00370843" w:rsidP="00370843">
            <w:pPr>
              <w:pStyle w:val="TableTextleftaligned"/>
              <w:cnfStyle w:val="000000000000" w:firstRow="0" w:lastRow="0" w:firstColumn="0" w:lastColumn="0" w:oddVBand="0" w:evenVBand="0" w:oddHBand="0" w:evenHBand="0" w:firstRowFirstColumn="0" w:firstRowLastColumn="0" w:lastRowFirstColumn="0" w:lastRowLastColumn="0"/>
            </w:pPr>
            <w:r>
              <w:t>b</w:t>
            </w:r>
            <w:r>
              <w:t xml:space="preserve">. </w:t>
            </w:r>
            <w:r w:rsidR="004D7B74" w:rsidRPr="00885B72">
              <w:t>Establish baseline</w:t>
            </w:r>
          </w:p>
        </w:tc>
        <w:tc>
          <w:tcPr>
            <w:tcW w:w="1040" w:type="pct"/>
          </w:tcPr>
          <w:p w14:paraId="07C2E079" w14:textId="656D88A8" w:rsidR="004D7B74" w:rsidRPr="00885B72" w:rsidRDefault="00370843" w:rsidP="00E47DF6">
            <w:pPr>
              <w:pStyle w:val="TableTextleftaligned"/>
              <w:cnfStyle w:val="000000000000" w:firstRow="0" w:lastRow="0" w:firstColumn="0" w:lastColumn="0" w:oddVBand="0" w:evenVBand="0" w:oddHBand="0" w:evenHBand="0" w:firstRowFirstColumn="0" w:firstRowLastColumn="0" w:lastRowFirstColumn="0" w:lastRowLastColumn="0"/>
            </w:pPr>
            <w:r w:rsidRPr="00370843">
              <w:t xml:space="preserve">a. </w:t>
            </w:r>
            <w:r w:rsidR="004D7B74" w:rsidRPr="00885B72">
              <w:t xml:space="preserve">To be </w:t>
            </w:r>
            <w:proofErr w:type="gramStart"/>
            <w:r w:rsidR="004D7B74" w:rsidRPr="00885B72">
              <w:t>determined</w:t>
            </w:r>
            <w:proofErr w:type="gramEnd"/>
          </w:p>
          <w:p w14:paraId="5A2A43AB" w14:textId="6484A617" w:rsidR="004D7B74" w:rsidRPr="00885B72" w:rsidRDefault="00370843" w:rsidP="00E47DF6">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885B72">
              <w:t>To be determine</w:t>
            </w:r>
            <w:r w:rsidR="004D7B74">
              <w:t>d</w:t>
            </w:r>
          </w:p>
        </w:tc>
        <w:tc>
          <w:tcPr>
            <w:tcW w:w="1040" w:type="pct"/>
          </w:tcPr>
          <w:p w14:paraId="2272DC6D" w14:textId="3620850D" w:rsidR="004D7B74" w:rsidRPr="00885B72" w:rsidRDefault="00370843" w:rsidP="00370843">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885B72">
              <w:t xml:space="preserve">To be </w:t>
            </w:r>
            <w:proofErr w:type="gramStart"/>
            <w:r w:rsidR="004D7B74" w:rsidRPr="00885B72">
              <w:t>determined</w:t>
            </w:r>
            <w:proofErr w:type="gramEnd"/>
          </w:p>
          <w:p w14:paraId="43DF854B" w14:textId="3F4E74E7" w:rsidR="004D7B74" w:rsidRPr="00885B72" w:rsidRDefault="00370843" w:rsidP="00370843">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885B72">
              <w:t>To be determined</w:t>
            </w:r>
          </w:p>
        </w:tc>
        <w:tc>
          <w:tcPr>
            <w:tcW w:w="1040" w:type="pct"/>
          </w:tcPr>
          <w:p w14:paraId="71096F6D" w14:textId="1AEFFD39" w:rsidR="004D7B74" w:rsidRPr="00885B72" w:rsidRDefault="00370843" w:rsidP="00370843">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885B72">
              <w:t xml:space="preserve">To be </w:t>
            </w:r>
            <w:proofErr w:type="gramStart"/>
            <w:r w:rsidR="004D7B74" w:rsidRPr="00885B72">
              <w:t>determined</w:t>
            </w:r>
            <w:proofErr w:type="gramEnd"/>
          </w:p>
          <w:p w14:paraId="556E0D6E" w14:textId="3FE786ED" w:rsidR="004D7B74" w:rsidRPr="00885B72" w:rsidRDefault="00370843" w:rsidP="00370843">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885B72">
              <w:t>To be determined</w:t>
            </w:r>
          </w:p>
        </w:tc>
      </w:tr>
    </w:tbl>
    <w:p w14:paraId="2DBAABA4" w14:textId="77777777" w:rsidR="00370843" w:rsidRDefault="004D7B74" w:rsidP="00370843">
      <w:pPr>
        <w:pStyle w:val="Keyactivity"/>
        <w:keepNext/>
        <w:rPr>
          <w:rStyle w:val="Strong"/>
        </w:rPr>
      </w:pPr>
      <w:r w:rsidRPr="00E47DF6">
        <w:rPr>
          <w:rStyle w:val="Strong"/>
        </w:rPr>
        <w:lastRenderedPageBreak/>
        <w:t>Key Activity 4.1B:</w:t>
      </w:r>
    </w:p>
    <w:p w14:paraId="13B28168" w14:textId="21C8C1AC" w:rsidR="004D7B74" w:rsidRPr="00E47DF6" w:rsidRDefault="004D7B74" w:rsidP="00E47DF6">
      <w:pPr>
        <w:pStyle w:val="Keyactivity"/>
        <w:rPr>
          <w:b/>
          <w:bCs/>
        </w:rPr>
      </w:pPr>
      <w:r w:rsidRPr="005F3D98">
        <w:t>Developing and coordinating a strategic approach to whole-of-government support for the planning and delivery of major international sporting events hosted in Australia, including the Brisbane 2032 Olympic and Paralympic Games.</w:t>
      </w:r>
      <w:r w:rsidRPr="001D1D69">
        <w:rPr>
          <w:rStyle w:val="FootnoteReference"/>
          <w:rFonts w:cs="Arial"/>
          <w:sz w:val="18"/>
          <w:szCs w:val="18"/>
        </w:rPr>
        <w:footnoteReference w:id="68"/>
      </w:r>
      <w:r w:rsidRPr="005F3D98">
        <w:t xml:space="preserve"> </w:t>
      </w:r>
    </w:p>
    <w:p w14:paraId="00BB7088" w14:textId="41CD4AE1" w:rsidR="005F3D98" w:rsidRPr="005F3D98" w:rsidRDefault="005F3D98" w:rsidP="005F3D98">
      <w:pPr>
        <w:rPr>
          <w:rFonts w:cs="Arial"/>
          <w:szCs w:val="20"/>
        </w:rPr>
      </w:pPr>
      <w:r w:rsidRPr="00E47DF6">
        <w:rPr>
          <w:rStyle w:val="Strong"/>
        </w:rPr>
        <w:t xml:space="preserve">Key </w:t>
      </w:r>
      <w:r w:rsidR="0055314D" w:rsidRPr="00E47DF6">
        <w:rPr>
          <w:rStyle w:val="Strong"/>
        </w:rPr>
        <w:t>a</w:t>
      </w:r>
      <w:r w:rsidRPr="00E47DF6">
        <w:rPr>
          <w:rStyle w:val="Strong"/>
        </w:rPr>
        <w:t>ctivity rationale:</w:t>
      </w:r>
      <w:r w:rsidRPr="005F3D98">
        <w:rPr>
          <w:rFonts w:cs="Arial"/>
          <w:szCs w:val="20"/>
        </w:rPr>
        <w:t xml:space="preserve"> This activity aims to support the safe and successful planning and delivery of one-off major international sporting events hosted in Australia, with the goal to support the Australian sport sector, showcase Australia as a premier host of major international sporting events, and leave a long-lasting legacy for the Australian community.</w:t>
      </w:r>
    </w:p>
    <w:tbl>
      <w:tblPr>
        <w:tblStyle w:val="TableGridLight"/>
        <w:tblW w:w="5000" w:type="pct"/>
        <w:tblLook w:val="06A0" w:firstRow="1" w:lastRow="0" w:firstColumn="1" w:lastColumn="0" w:noHBand="1" w:noVBand="1"/>
      </w:tblPr>
      <w:tblGrid>
        <w:gridCol w:w="1653"/>
        <w:gridCol w:w="1899"/>
        <w:gridCol w:w="1899"/>
        <w:gridCol w:w="1783"/>
        <w:gridCol w:w="1782"/>
      </w:tblGrid>
      <w:tr w:rsidR="004D7B74" w:rsidRPr="00823660" w14:paraId="1D4181C8" w14:textId="77777777" w:rsidTr="003708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86A335D" w14:textId="77777777" w:rsidR="004D7B74" w:rsidRPr="00823660" w:rsidRDefault="004D7B74" w:rsidP="00823660">
            <w:r w:rsidRPr="00823660">
              <w:t xml:space="preserve">Measure 4.1B: Strategic coordination of Commonwealth responsibilities in relation to the planning and delivery of the following future international major sporting events in Australia. </w:t>
            </w:r>
          </w:p>
        </w:tc>
      </w:tr>
      <w:tr w:rsidR="004D7B74" w:rsidRPr="008E3CD6" w14:paraId="4524BDC8" w14:textId="77777777" w:rsidTr="00370843">
        <w:tc>
          <w:tcPr>
            <w:cnfStyle w:val="001000000000" w:firstRow="0" w:lastRow="0" w:firstColumn="1" w:lastColumn="0" w:oddVBand="0" w:evenVBand="0" w:oddHBand="0" w:evenHBand="0" w:firstRowFirstColumn="0" w:firstRowLastColumn="0" w:lastRowFirstColumn="0" w:lastRowLastColumn="0"/>
            <w:tcW w:w="917" w:type="pct"/>
          </w:tcPr>
          <w:p w14:paraId="751C8708" w14:textId="77777777" w:rsidR="004D7B74" w:rsidRPr="009B277D" w:rsidRDefault="004D7B74" w:rsidP="00CA72A8">
            <w:pPr>
              <w:pStyle w:val="TableTextleftaligned"/>
              <w:spacing w:line="192" w:lineRule="auto"/>
              <w:rPr>
                <w:b w:val="0"/>
                <w:bCs/>
              </w:rPr>
            </w:pPr>
            <w:r w:rsidRPr="009B277D">
              <w:rPr>
                <w:bCs/>
              </w:rPr>
              <w:t>Rationale</w:t>
            </w:r>
          </w:p>
        </w:tc>
        <w:tc>
          <w:tcPr>
            <w:tcW w:w="4083" w:type="pct"/>
            <w:gridSpan w:val="4"/>
          </w:tcPr>
          <w:p w14:paraId="627532A5"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A775EC">
              <w:t>Listing the major sporting events to be hosted in Australia is the most appropriate way to reflect the Department's role in providing strategic coordination of the Commonwealth role in major sporting events, including the planning and delivery, in partnership with event organisers, state and territory governments, and other Commonwealth agencies</w:t>
            </w:r>
            <w:r w:rsidRPr="00421008">
              <w:t>.</w:t>
            </w:r>
          </w:p>
        </w:tc>
      </w:tr>
      <w:tr w:rsidR="004D7B74" w:rsidRPr="008E3CD6" w14:paraId="30013082" w14:textId="77777777" w:rsidTr="00370843">
        <w:tc>
          <w:tcPr>
            <w:cnfStyle w:val="001000000000" w:firstRow="0" w:lastRow="0" w:firstColumn="1" w:lastColumn="0" w:oddVBand="0" w:evenVBand="0" w:oddHBand="0" w:evenHBand="0" w:firstRowFirstColumn="0" w:firstRowLastColumn="0" w:lastRowFirstColumn="0" w:lastRowLastColumn="0"/>
            <w:tcW w:w="917" w:type="pct"/>
          </w:tcPr>
          <w:p w14:paraId="2D917354" w14:textId="77777777" w:rsidR="004D7B74" w:rsidRPr="009B277D" w:rsidRDefault="004D7B74" w:rsidP="00CA72A8">
            <w:pPr>
              <w:pStyle w:val="TableTextleftaligned"/>
              <w:spacing w:line="192" w:lineRule="auto"/>
              <w:rPr>
                <w:b w:val="0"/>
                <w:bCs/>
              </w:rPr>
            </w:pPr>
            <w:r w:rsidRPr="009B277D">
              <w:rPr>
                <w:bCs/>
              </w:rPr>
              <w:t>Measure Type</w:t>
            </w:r>
          </w:p>
        </w:tc>
        <w:tc>
          <w:tcPr>
            <w:tcW w:w="4083" w:type="pct"/>
            <w:gridSpan w:val="4"/>
          </w:tcPr>
          <w:p w14:paraId="400236E8" w14:textId="77777777" w:rsidR="004D7B74"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t xml:space="preserve"> Quantitative / Output</w:t>
            </w:r>
          </w:p>
        </w:tc>
      </w:tr>
      <w:tr w:rsidR="004D7B74" w:rsidRPr="008E3CD6" w14:paraId="488476D0" w14:textId="77777777" w:rsidTr="00370843">
        <w:tc>
          <w:tcPr>
            <w:cnfStyle w:val="001000000000" w:firstRow="0" w:lastRow="0" w:firstColumn="1" w:lastColumn="0" w:oddVBand="0" w:evenVBand="0" w:oddHBand="0" w:evenHBand="0" w:firstRowFirstColumn="0" w:firstRowLastColumn="0" w:lastRowFirstColumn="0" w:lastRowLastColumn="0"/>
            <w:tcW w:w="917" w:type="pct"/>
          </w:tcPr>
          <w:p w14:paraId="21AE872A" w14:textId="75A37BCB" w:rsidR="004D7B74" w:rsidRPr="00E47DF6" w:rsidRDefault="004D7B74" w:rsidP="00E47DF6">
            <w:pPr>
              <w:pStyle w:val="TableTextleftaligned"/>
            </w:pPr>
            <w:r w:rsidRPr="00E47DF6">
              <w:t>Method</w:t>
            </w:r>
            <w:r w:rsidR="00E47DF6" w:rsidRPr="00E47DF6">
              <w:t xml:space="preserve"> </w:t>
            </w:r>
            <w:r w:rsidRPr="00E47DF6">
              <w:t xml:space="preserve">(Data Source and Methodology) </w:t>
            </w:r>
          </w:p>
        </w:tc>
        <w:tc>
          <w:tcPr>
            <w:tcW w:w="4083" w:type="pct"/>
            <w:gridSpan w:val="4"/>
          </w:tcPr>
          <w:p w14:paraId="3F8410C7" w14:textId="4CDFEB3C" w:rsidR="004D7B74" w:rsidRPr="00094E85" w:rsidRDefault="004D7B74" w:rsidP="00823660">
            <w:pPr>
              <w:pStyle w:val="TableTextleftaligned"/>
              <w:cnfStyle w:val="000000000000" w:firstRow="0" w:lastRow="0" w:firstColumn="0" w:lastColumn="0" w:oddVBand="0" w:evenVBand="0" w:oddHBand="0" w:evenHBand="0" w:firstRowFirstColumn="0" w:firstRowLastColumn="0" w:lastRowFirstColumn="0" w:lastRowLastColumn="0"/>
            </w:pPr>
            <w:r w:rsidRPr="00B2129F">
              <w:t xml:space="preserve">Records of Australian </w:t>
            </w:r>
            <w:r>
              <w:t>G</w:t>
            </w:r>
            <w:r w:rsidRPr="00B2129F">
              <w:t>overnment commitments, funding agreements</w:t>
            </w:r>
            <w:r>
              <w:t>,</w:t>
            </w:r>
            <w:r w:rsidRPr="00B2129F">
              <w:t xml:space="preserve"> contracts</w:t>
            </w:r>
            <w:r>
              <w:t>, program and project management plans and post-event delivery reports</w:t>
            </w:r>
            <w:r w:rsidRPr="00B2129F">
              <w:t xml:space="preserve"> </w:t>
            </w:r>
            <w:r>
              <w:t xml:space="preserve">demonstrate the </w:t>
            </w:r>
            <w:r w:rsidR="005F3D98">
              <w:t>d</w:t>
            </w:r>
            <w:r>
              <w:t xml:space="preserve">epartment’s role in </w:t>
            </w:r>
            <w:r w:rsidRPr="00421008">
              <w:t>providing strategic coordination of the Commonwealth</w:t>
            </w:r>
            <w:r>
              <w:t>’s support</w:t>
            </w:r>
            <w:r w:rsidRPr="00421008">
              <w:t xml:space="preserve"> </w:t>
            </w:r>
            <w:r>
              <w:t>for</w:t>
            </w:r>
            <w:r w:rsidRPr="00421008">
              <w:t xml:space="preserve"> </w:t>
            </w:r>
            <w:r>
              <w:t xml:space="preserve">the planning and delivery of </w:t>
            </w:r>
            <w:r w:rsidRPr="00421008">
              <w:t>major sporting events</w:t>
            </w:r>
            <w:r w:rsidRPr="00B2129F">
              <w:t>.</w:t>
            </w:r>
            <w:r>
              <w:t xml:space="preserve"> </w:t>
            </w:r>
          </w:p>
        </w:tc>
      </w:tr>
      <w:tr w:rsidR="003B745D" w:rsidRPr="008E3CD6" w14:paraId="19654906" w14:textId="77777777" w:rsidTr="00370843">
        <w:tc>
          <w:tcPr>
            <w:cnfStyle w:val="001000000000" w:firstRow="0" w:lastRow="0" w:firstColumn="1" w:lastColumn="0" w:oddVBand="0" w:evenVBand="0" w:oddHBand="0" w:evenHBand="0" w:firstRowFirstColumn="0" w:firstRowLastColumn="0" w:lastRowFirstColumn="0" w:lastRowLastColumn="0"/>
            <w:tcW w:w="917" w:type="pct"/>
          </w:tcPr>
          <w:p w14:paraId="6BFFB3CE" w14:textId="1BD105F9" w:rsidR="003B745D" w:rsidRPr="00E47DF6" w:rsidRDefault="003B745D" w:rsidP="00E47DF6">
            <w:pPr>
              <w:pStyle w:val="TableTextleftaligned"/>
            </w:pPr>
            <w:r w:rsidRPr="00E47DF6">
              <w:t xml:space="preserve">Linked to </w:t>
            </w:r>
            <w:r w:rsidR="009C3F58" w:rsidRPr="00E47DF6">
              <w:t xml:space="preserve">2024–25 </w:t>
            </w:r>
            <w:r w:rsidRPr="00E47DF6">
              <w:t>Portfolio Budget Statements</w:t>
            </w:r>
          </w:p>
        </w:tc>
        <w:tc>
          <w:tcPr>
            <w:tcW w:w="4083" w:type="pct"/>
            <w:gridSpan w:val="4"/>
          </w:tcPr>
          <w:p w14:paraId="4BA1CDE9" w14:textId="7097E9F0" w:rsidR="003B745D" w:rsidRPr="00B2129F" w:rsidRDefault="003B745D" w:rsidP="00823660">
            <w:pPr>
              <w:pStyle w:val="TableTextleftaligned"/>
              <w:cnfStyle w:val="000000000000" w:firstRow="0" w:lastRow="0" w:firstColumn="0" w:lastColumn="0" w:oddVBand="0" w:evenVBand="0" w:oddHBand="0" w:evenHBand="0" w:firstRowFirstColumn="0" w:firstRowLastColumn="0" w:lastRowFirstColumn="0" w:lastRowLastColumn="0"/>
            </w:pPr>
            <w:r>
              <w:t>Program 4.1</w:t>
            </w:r>
            <w:r w:rsidR="007A00E8">
              <w:t xml:space="preserve"> - </w:t>
            </w:r>
            <w:r>
              <w:t>Sport and Physical Activity – page 106</w:t>
            </w:r>
          </w:p>
        </w:tc>
      </w:tr>
      <w:tr w:rsidR="004D7B74" w:rsidRPr="008E3CD6" w14:paraId="58877C99" w14:textId="77777777" w:rsidTr="00370843">
        <w:trPr>
          <w:trHeight w:val="340"/>
        </w:trPr>
        <w:tc>
          <w:tcPr>
            <w:cnfStyle w:val="001000000000" w:firstRow="0" w:lastRow="0" w:firstColumn="1" w:lastColumn="0" w:oddVBand="0" w:evenVBand="0" w:oddHBand="0" w:evenHBand="0" w:firstRowFirstColumn="0" w:firstRowLastColumn="0" w:lastRowFirstColumn="0" w:lastRowLastColumn="0"/>
            <w:tcW w:w="917" w:type="pct"/>
            <w:vMerge w:val="restart"/>
          </w:tcPr>
          <w:p w14:paraId="1CCEDF35" w14:textId="77777777" w:rsidR="004D7B74" w:rsidRPr="00E47DF6" w:rsidRDefault="004D7B74" w:rsidP="00E47DF6">
            <w:pPr>
              <w:pStyle w:val="TableTextleftaligned"/>
            </w:pPr>
            <w:r w:rsidRPr="00E47DF6">
              <w:t>Planned Performance Results</w:t>
            </w:r>
          </w:p>
        </w:tc>
        <w:tc>
          <w:tcPr>
            <w:tcW w:w="1053" w:type="pct"/>
            <w:shd w:val="clear" w:color="auto" w:fill="BFBFBF" w:themeFill="background1" w:themeFillShade="BF"/>
            <w:vAlign w:val="center"/>
          </w:tcPr>
          <w:p w14:paraId="4755BF55" w14:textId="77777777" w:rsidR="004D7B74" w:rsidRPr="005F3D98" w:rsidRDefault="004D7B74" w:rsidP="00E47DF6">
            <w:pPr>
              <w:pStyle w:val="TableTextstrong"/>
              <w:cnfStyle w:val="000000000000" w:firstRow="0" w:lastRow="0" w:firstColumn="0" w:lastColumn="0" w:oddVBand="0" w:evenVBand="0" w:oddHBand="0" w:evenHBand="0" w:firstRowFirstColumn="0" w:firstRowLastColumn="0" w:lastRowFirstColumn="0" w:lastRowLastColumn="0"/>
            </w:pPr>
            <w:r w:rsidRPr="005F3D98">
              <w:t>2024</w:t>
            </w:r>
            <w:r w:rsidRPr="005F3D98">
              <w:rPr>
                <w:rFonts w:eastAsia="Arial" w:cs="Arial"/>
                <w:spacing w:val="-2"/>
                <w:szCs w:val="20"/>
                <w:lang w:val="en-US"/>
              </w:rPr>
              <w:t>–</w:t>
            </w:r>
            <w:r w:rsidRPr="005F3D98">
              <w:t>25</w:t>
            </w:r>
          </w:p>
        </w:tc>
        <w:tc>
          <w:tcPr>
            <w:tcW w:w="1053" w:type="pct"/>
            <w:shd w:val="clear" w:color="auto" w:fill="BFBFBF" w:themeFill="background1" w:themeFillShade="BF"/>
            <w:vAlign w:val="center"/>
          </w:tcPr>
          <w:p w14:paraId="3F99F9DE" w14:textId="77777777" w:rsidR="004D7B74" w:rsidRPr="005F3D98" w:rsidRDefault="004D7B74" w:rsidP="00E47DF6">
            <w:pPr>
              <w:pStyle w:val="TableTextstrong"/>
              <w:cnfStyle w:val="000000000000" w:firstRow="0" w:lastRow="0" w:firstColumn="0" w:lastColumn="0" w:oddVBand="0" w:evenVBand="0" w:oddHBand="0" w:evenHBand="0" w:firstRowFirstColumn="0" w:firstRowLastColumn="0" w:lastRowFirstColumn="0" w:lastRowLastColumn="0"/>
            </w:pPr>
            <w:r w:rsidRPr="005F3D98">
              <w:t>2025</w:t>
            </w:r>
            <w:r w:rsidRPr="005F3D98">
              <w:rPr>
                <w:rFonts w:eastAsia="Arial" w:cs="Arial"/>
                <w:spacing w:val="-2"/>
                <w:szCs w:val="20"/>
                <w:lang w:val="en-US"/>
              </w:rPr>
              <w:t>–</w:t>
            </w:r>
            <w:r w:rsidRPr="005F3D98">
              <w:t>26</w:t>
            </w:r>
          </w:p>
        </w:tc>
        <w:tc>
          <w:tcPr>
            <w:tcW w:w="989" w:type="pct"/>
            <w:shd w:val="clear" w:color="auto" w:fill="BFBFBF" w:themeFill="background1" w:themeFillShade="BF"/>
            <w:vAlign w:val="center"/>
          </w:tcPr>
          <w:p w14:paraId="11139943" w14:textId="77777777" w:rsidR="004D7B74" w:rsidRPr="005F3D98" w:rsidRDefault="004D7B74" w:rsidP="00E47DF6">
            <w:pPr>
              <w:pStyle w:val="TableTextstrong"/>
              <w:cnfStyle w:val="000000000000" w:firstRow="0" w:lastRow="0" w:firstColumn="0" w:lastColumn="0" w:oddVBand="0" w:evenVBand="0" w:oddHBand="0" w:evenHBand="0" w:firstRowFirstColumn="0" w:firstRowLastColumn="0" w:lastRowFirstColumn="0" w:lastRowLastColumn="0"/>
            </w:pPr>
            <w:r w:rsidRPr="005F3D98">
              <w:t>2026</w:t>
            </w:r>
            <w:r w:rsidRPr="005F3D98">
              <w:rPr>
                <w:rFonts w:eastAsia="Arial" w:cs="Arial"/>
                <w:spacing w:val="-2"/>
                <w:szCs w:val="20"/>
                <w:lang w:val="en-US"/>
              </w:rPr>
              <w:t>–</w:t>
            </w:r>
            <w:r w:rsidRPr="005F3D98">
              <w:t>27</w:t>
            </w:r>
          </w:p>
        </w:tc>
        <w:tc>
          <w:tcPr>
            <w:tcW w:w="988" w:type="pct"/>
            <w:shd w:val="clear" w:color="auto" w:fill="BFBFBF" w:themeFill="background1" w:themeFillShade="BF"/>
            <w:vAlign w:val="center"/>
          </w:tcPr>
          <w:p w14:paraId="37EB4A20" w14:textId="77777777" w:rsidR="004D7B74" w:rsidRPr="005F3D98" w:rsidRDefault="004D7B74" w:rsidP="00E47DF6">
            <w:pPr>
              <w:pStyle w:val="TableTextstrong"/>
              <w:cnfStyle w:val="000000000000" w:firstRow="0" w:lastRow="0" w:firstColumn="0" w:lastColumn="0" w:oddVBand="0" w:evenVBand="0" w:oddHBand="0" w:evenHBand="0" w:firstRowFirstColumn="0" w:firstRowLastColumn="0" w:lastRowFirstColumn="0" w:lastRowLastColumn="0"/>
            </w:pPr>
            <w:r w:rsidRPr="005F3D98">
              <w:t>2027</w:t>
            </w:r>
            <w:r w:rsidRPr="005F3D98">
              <w:rPr>
                <w:rFonts w:eastAsia="Arial" w:cs="Arial"/>
                <w:spacing w:val="-2"/>
                <w:szCs w:val="20"/>
                <w:lang w:val="en-US"/>
              </w:rPr>
              <w:t>–</w:t>
            </w:r>
            <w:r w:rsidRPr="005F3D98">
              <w:t>28</w:t>
            </w:r>
          </w:p>
        </w:tc>
      </w:tr>
      <w:tr w:rsidR="004D7B74" w:rsidRPr="008E3CD6" w14:paraId="490350D1" w14:textId="77777777" w:rsidTr="00370843">
        <w:tc>
          <w:tcPr>
            <w:cnfStyle w:val="001000000000" w:firstRow="0" w:lastRow="0" w:firstColumn="1" w:lastColumn="0" w:oddVBand="0" w:evenVBand="0" w:oddHBand="0" w:evenHBand="0" w:firstRowFirstColumn="0" w:firstRowLastColumn="0" w:lastRowFirstColumn="0" w:lastRowLastColumn="0"/>
            <w:tcW w:w="917" w:type="pct"/>
            <w:vMerge/>
          </w:tcPr>
          <w:p w14:paraId="60C3E4A7" w14:textId="77777777" w:rsidR="004D7B74" w:rsidRPr="009B277D" w:rsidRDefault="004D7B74" w:rsidP="00CA72A8">
            <w:pPr>
              <w:pStyle w:val="TableTextleftaligned"/>
              <w:spacing w:line="192" w:lineRule="auto"/>
              <w:rPr>
                <w:b w:val="0"/>
                <w:bCs/>
              </w:rPr>
            </w:pPr>
          </w:p>
        </w:tc>
        <w:tc>
          <w:tcPr>
            <w:tcW w:w="1053" w:type="pct"/>
          </w:tcPr>
          <w:p w14:paraId="5627CA29" w14:textId="3ED6FC40" w:rsidR="004D7B74" w:rsidRPr="00EB6187" w:rsidRDefault="004D7B74" w:rsidP="00EB6187">
            <w:pPr>
              <w:pStyle w:val="TableTextleftaligned"/>
              <w:cnfStyle w:val="000000000000" w:firstRow="0" w:lastRow="0" w:firstColumn="0" w:lastColumn="0" w:oddVBand="0" w:evenVBand="0" w:oddHBand="0" w:evenHBand="0" w:firstRowFirstColumn="0" w:firstRowLastColumn="0" w:lastRowFirstColumn="0" w:lastRowLastColumn="0"/>
            </w:pPr>
            <w:r w:rsidRPr="00EB6187">
              <w:t>Event planning:</w:t>
            </w:r>
          </w:p>
          <w:p w14:paraId="4F836B86" w14:textId="5F255339"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EB6187">
              <w:t>Women’s Asian Football Cup 2026 (soccer/football)</w:t>
            </w:r>
          </w:p>
          <w:p w14:paraId="7FC0CB58" w14:textId="35F69D28"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rsidRPr="00370843">
              <w:t xml:space="preserve">b. </w:t>
            </w:r>
            <w:r w:rsidR="004D7B74" w:rsidRPr="00EB6187">
              <w:t>Netball World Cup 2027</w:t>
            </w:r>
          </w:p>
          <w:p w14:paraId="2245DCBE" w14:textId="543FB051"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EB6187">
              <w:t>Rugby World Cup 2027</w:t>
            </w:r>
          </w:p>
          <w:p w14:paraId="6D321C8B" w14:textId="57E1F2D7"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EB6187">
              <w:t xml:space="preserve">Women’s Rugby World Cup 2029 </w:t>
            </w:r>
          </w:p>
          <w:p w14:paraId="367DF130" w14:textId="328D38BB"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EB6187">
              <w:t>World Masters Games 2029</w:t>
            </w:r>
          </w:p>
          <w:p w14:paraId="189A9F79" w14:textId="002E9494"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f. </w:t>
            </w:r>
            <w:r w:rsidR="004D7B74" w:rsidRPr="00EB6187">
              <w:t>Brisbane 2032 Olympic and Paralympic Games</w:t>
            </w:r>
          </w:p>
        </w:tc>
        <w:tc>
          <w:tcPr>
            <w:tcW w:w="1053" w:type="pct"/>
          </w:tcPr>
          <w:p w14:paraId="7EE4A10C" w14:textId="2EFFA6E9" w:rsidR="004D7B74" w:rsidRPr="00EB6187" w:rsidRDefault="004D7B74" w:rsidP="00EB6187">
            <w:pPr>
              <w:pStyle w:val="TableTextleftaligned"/>
              <w:cnfStyle w:val="000000000000" w:firstRow="0" w:lastRow="0" w:firstColumn="0" w:lastColumn="0" w:oddVBand="0" w:evenVBand="0" w:oddHBand="0" w:evenHBand="0" w:firstRowFirstColumn="0" w:firstRowLastColumn="0" w:lastRowFirstColumn="0" w:lastRowLastColumn="0"/>
            </w:pPr>
            <w:r w:rsidRPr="00EB6187">
              <w:t>Event planning:</w:t>
            </w:r>
          </w:p>
          <w:p w14:paraId="24033D20" w14:textId="608BDFB0"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EB6187">
              <w:t>Women’s Asian Cup 2026 (soccer/football)</w:t>
            </w:r>
          </w:p>
          <w:p w14:paraId="2B4CC087" w14:textId="50F7E424"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rsidRPr="00370843">
              <w:t xml:space="preserve">b. </w:t>
            </w:r>
            <w:r w:rsidR="004D7B74" w:rsidRPr="00EB6187">
              <w:t>Netball World Cup 2027</w:t>
            </w:r>
          </w:p>
          <w:p w14:paraId="3A82D4F5" w14:textId="150683F9"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EB6187">
              <w:t>Rugby World Cup 2027</w:t>
            </w:r>
          </w:p>
          <w:p w14:paraId="483093A5" w14:textId="181E84B2"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EB6187">
              <w:t xml:space="preserve">Women’s Rugby World Cup 2029 </w:t>
            </w:r>
          </w:p>
          <w:p w14:paraId="0A9CF637" w14:textId="0D6FE12F"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EB6187">
              <w:t>World Masters Games 2029</w:t>
            </w:r>
          </w:p>
          <w:p w14:paraId="429E4438" w14:textId="22E10618"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f. </w:t>
            </w:r>
            <w:r w:rsidR="004D7B74" w:rsidRPr="00EB6187">
              <w:t>Brisbane 2032 Olympic and Paralympic Games</w:t>
            </w:r>
          </w:p>
          <w:p w14:paraId="4CABE093" w14:textId="02F09245" w:rsidR="004D7B74" w:rsidRPr="00EB6187" w:rsidRDefault="004D7B74" w:rsidP="00370843">
            <w:pPr>
              <w:pStyle w:val="TableTextleftaligned"/>
              <w:keepNext/>
              <w:cnfStyle w:val="000000000000" w:firstRow="0" w:lastRow="0" w:firstColumn="0" w:lastColumn="0" w:oddVBand="0" w:evenVBand="0" w:oddHBand="0" w:evenHBand="0" w:firstRowFirstColumn="0" w:firstRowLastColumn="0" w:lastRowFirstColumn="0" w:lastRowLastColumn="0"/>
            </w:pPr>
            <w:r w:rsidRPr="00EB6187">
              <w:lastRenderedPageBreak/>
              <w:t>Event delivery support:</w:t>
            </w:r>
          </w:p>
          <w:p w14:paraId="78D34522" w14:textId="620AFAFC"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g. </w:t>
            </w:r>
            <w:r w:rsidR="004D7B74" w:rsidRPr="00EB6187">
              <w:t>Women’s Asian Football Cup 2026 (soccer/football)</w:t>
            </w:r>
          </w:p>
        </w:tc>
        <w:tc>
          <w:tcPr>
            <w:tcW w:w="989" w:type="pct"/>
          </w:tcPr>
          <w:p w14:paraId="13769F0E" w14:textId="5AE5F16B" w:rsidR="00370843" w:rsidRPr="00EB6187" w:rsidRDefault="00370843" w:rsidP="00370843">
            <w:pPr>
              <w:pStyle w:val="TableTextleftaligned"/>
              <w:cnfStyle w:val="000000000000" w:firstRow="0" w:lastRow="0" w:firstColumn="0" w:lastColumn="0" w:oddVBand="0" w:evenVBand="0" w:oddHBand="0" w:evenHBand="0" w:firstRowFirstColumn="0" w:firstRowLastColumn="0" w:lastRowFirstColumn="0" w:lastRowLastColumn="0"/>
            </w:pPr>
            <w:r w:rsidRPr="00EB6187">
              <w:lastRenderedPageBreak/>
              <w:t>Event planning:</w:t>
            </w:r>
          </w:p>
          <w:p w14:paraId="746D0F04" w14:textId="785F2073"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EB6187">
              <w:t>Netball World Cup 2027</w:t>
            </w:r>
          </w:p>
          <w:p w14:paraId="16E5FC19" w14:textId="1DBC5B17"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EB6187">
              <w:t>Rugby World Cup 2027</w:t>
            </w:r>
          </w:p>
          <w:p w14:paraId="10051770" w14:textId="7B2BA74B"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EB6187">
              <w:t xml:space="preserve">Women’s Rugby World Cup 2029 </w:t>
            </w:r>
          </w:p>
          <w:p w14:paraId="2E60DAB0" w14:textId="177337D8"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EB6187">
              <w:t>World Masters Games 2029</w:t>
            </w:r>
          </w:p>
          <w:p w14:paraId="1E58477E" w14:textId="4165C4EB"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EB6187">
              <w:t>Brisbane 2032 Olympic and   Paralympic Games</w:t>
            </w:r>
          </w:p>
        </w:tc>
        <w:tc>
          <w:tcPr>
            <w:tcW w:w="988" w:type="pct"/>
          </w:tcPr>
          <w:p w14:paraId="48C08FC9" w14:textId="0F80003E" w:rsidR="00370843" w:rsidRPr="00EB6187" w:rsidRDefault="00370843" w:rsidP="00370843">
            <w:pPr>
              <w:pStyle w:val="TableTextleftaligned"/>
              <w:cnfStyle w:val="000000000000" w:firstRow="0" w:lastRow="0" w:firstColumn="0" w:lastColumn="0" w:oddVBand="0" w:evenVBand="0" w:oddHBand="0" w:evenHBand="0" w:firstRowFirstColumn="0" w:firstRowLastColumn="0" w:lastRowFirstColumn="0" w:lastRowLastColumn="0"/>
            </w:pPr>
            <w:r w:rsidRPr="00EB6187">
              <w:t>Event planning:</w:t>
            </w:r>
          </w:p>
          <w:p w14:paraId="2128893D" w14:textId="55611224"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a. </w:t>
            </w:r>
            <w:r w:rsidR="004D7B74" w:rsidRPr="00EB6187">
              <w:t xml:space="preserve">Women’s Rugby World Cup 2029 </w:t>
            </w:r>
          </w:p>
          <w:p w14:paraId="2B25B657" w14:textId="0A40F3ED"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b. </w:t>
            </w:r>
            <w:r w:rsidR="004D7B74" w:rsidRPr="00EB6187">
              <w:t>World Masters Games 2029</w:t>
            </w:r>
          </w:p>
          <w:p w14:paraId="60D0DE87" w14:textId="2415CFD8"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c. </w:t>
            </w:r>
            <w:r w:rsidR="004D7B74" w:rsidRPr="00EB6187">
              <w:t>Brisbane 2032 Olympic and   Paralympic Games</w:t>
            </w:r>
          </w:p>
          <w:p w14:paraId="47F5C05A" w14:textId="4C4DA5C0"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d. </w:t>
            </w:r>
            <w:r w:rsidR="004D7B74" w:rsidRPr="00EB6187">
              <w:t>Event delivery</w:t>
            </w:r>
            <w:r w:rsidR="00AE2CDE" w:rsidRPr="00EB6187">
              <w:t xml:space="preserve"> support</w:t>
            </w:r>
            <w:r w:rsidR="004D7B74" w:rsidRPr="00EB6187">
              <w:t>:</w:t>
            </w:r>
          </w:p>
          <w:p w14:paraId="39E11855" w14:textId="7DE8BF6C"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e. </w:t>
            </w:r>
            <w:r w:rsidR="004D7B74" w:rsidRPr="00EB6187">
              <w:t>Rugby World Cup 2027</w:t>
            </w:r>
          </w:p>
          <w:p w14:paraId="0B6F5457" w14:textId="610A2BB3" w:rsidR="004D7B74" w:rsidRPr="00EB6187" w:rsidRDefault="00370843" w:rsidP="00EB6187">
            <w:pPr>
              <w:pStyle w:val="TableTextleftaligned"/>
              <w:cnfStyle w:val="000000000000" w:firstRow="0" w:lastRow="0" w:firstColumn="0" w:lastColumn="0" w:oddVBand="0" w:evenVBand="0" w:oddHBand="0" w:evenHBand="0" w:firstRowFirstColumn="0" w:firstRowLastColumn="0" w:lastRowFirstColumn="0" w:lastRowLastColumn="0"/>
            </w:pPr>
            <w:r>
              <w:t xml:space="preserve">f. </w:t>
            </w:r>
            <w:r w:rsidR="004D7B74" w:rsidRPr="00EB6187">
              <w:t>Netball World Cup 2027</w:t>
            </w:r>
          </w:p>
        </w:tc>
      </w:tr>
    </w:tbl>
    <w:p w14:paraId="0EAE9C82" w14:textId="77777777" w:rsidR="00D13531" w:rsidRPr="00823660" w:rsidRDefault="00D13531" w:rsidP="00823660">
      <w:bookmarkStart w:id="236" w:name="_Toc169603796"/>
      <w:bookmarkStart w:id="237" w:name="_Toc175293662"/>
      <w:r>
        <w:br w:type="page"/>
      </w:r>
    </w:p>
    <w:p w14:paraId="1F403925" w14:textId="42C48433" w:rsidR="004D7B74" w:rsidRPr="00EB6187" w:rsidRDefault="004D7B74" w:rsidP="00EB6187">
      <w:pPr>
        <w:pStyle w:val="Heading1"/>
      </w:pPr>
      <w:bookmarkStart w:id="238" w:name="_Toc175846518"/>
      <w:r w:rsidRPr="001E05E7">
        <w:lastRenderedPageBreak/>
        <w:t>List of Requirements</w:t>
      </w:r>
      <w:bookmarkEnd w:id="236"/>
      <w:bookmarkEnd w:id="237"/>
      <w:bookmarkEnd w:id="238"/>
    </w:p>
    <w:p w14:paraId="7DDD0466" w14:textId="77777777" w:rsidR="004D7B74" w:rsidRDefault="004D7B74" w:rsidP="004B5C7C">
      <w:pPr>
        <w:rPr>
          <w:rFonts w:cs="Arial"/>
          <w:color w:val="000000"/>
          <w:szCs w:val="20"/>
        </w:rPr>
      </w:pPr>
      <w:r w:rsidRPr="00D86D77">
        <w:rPr>
          <w:rFonts w:cs="Arial"/>
          <w:color w:val="000000"/>
          <w:szCs w:val="20"/>
        </w:rPr>
        <w:t xml:space="preserve">The Corporate Plan has been </w:t>
      </w:r>
      <w:r w:rsidRPr="004B5C7C">
        <w:t>prepared</w:t>
      </w:r>
      <w:r w:rsidRPr="00D86D77">
        <w:rPr>
          <w:rFonts w:cs="Arial"/>
          <w:color w:val="000000"/>
          <w:szCs w:val="20"/>
        </w:rPr>
        <w:t xml:space="preserve"> in accordance with the requirements of: </w:t>
      </w:r>
    </w:p>
    <w:p w14:paraId="22FEB398" w14:textId="77777777" w:rsidR="004D7B74" w:rsidRPr="009F0599" w:rsidRDefault="004D7B74" w:rsidP="004B5C7C">
      <w:pPr>
        <w:pStyle w:val="ListBullet"/>
        <w:rPr>
          <w:color w:val="000000"/>
        </w:rPr>
      </w:pPr>
      <w:r w:rsidRPr="00D86D77">
        <w:t xml:space="preserve">subsection 35(1) of the Public Governance, Performance and Accountability (PGPA) Act 2013 and the PGPA Rule 2014. </w:t>
      </w:r>
    </w:p>
    <w:p w14:paraId="203C8F7C" w14:textId="77777777" w:rsidR="004D7B74" w:rsidRPr="00D86D77" w:rsidRDefault="004D7B74" w:rsidP="004D7B74">
      <w:pPr>
        <w:spacing w:before="120" w:after="120"/>
        <w:rPr>
          <w:rFonts w:cs="Arial"/>
          <w:color w:val="000000"/>
          <w:szCs w:val="20"/>
        </w:rPr>
      </w:pPr>
      <w:r w:rsidRPr="00D86D77">
        <w:rPr>
          <w:rFonts w:cs="Arial"/>
          <w:color w:val="000000"/>
          <w:szCs w:val="20"/>
        </w:rPr>
        <w:t>This table details the requirements met by the Department of Health and Aged Care Corporate Plan 202</w:t>
      </w:r>
      <w:r>
        <w:rPr>
          <w:rFonts w:cs="Arial"/>
          <w:color w:val="000000"/>
          <w:szCs w:val="20"/>
        </w:rPr>
        <w:t>4</w:t>
      </w:r>
      <w:r w:rsidRPr="00D86D77">
        <w:rPr>
          <w:rFonts w:cs="Arial"/>
          <w:color w:val="000000"/>
          <w:szCs w:val="20"/>
        </w:rPr>
        <w:t>–2</w:t>
      </w:r>
      <w:r>
        <w:rPr>
          <w:rFonts w:cs="Arial"/>
          <w:color w:val="000000"/>
          <w:szCs w:val="20"/>
        </w:rPr>
        <w:t>5</w:t>
      </w:r>
      <w:r w:rsidRPr="00D86D77">
        <w:rPr>
          <w:rFonts w:cs="Arial"/>
          <w:color w:val="000000"/>
          <w:szCs w:val="20"/>
        </w:rPr>
        <w:t xml:space="preserve"> and the section references for each requirement.</w:t>
      </w:r>
    </w:p>
    <w:tbl>
      <w:tblPr>
        <w:tblStyle w:val="TableGridLight"/>
        <w:tblW w:w="9493" w:type="dxa"/>
        <w:tblLayout w:type="fixed"/>
        <w:tblLook w:val="06A0" w:firstRow="1" w:lastRow="0" w:firstColumn="1" w:lastColumn="0" w:noHBand="1" w:noVBand="1"/>
      </w:tblPr>
      <w:tblGrid>
        <w:gridCol w:w="1555"/>
        <w:gridCol w:w="4961"/>
        <w:gridCol w:w="2977"/>
      </w:tblGrid>
      <w:tr w:rsidR="004D7B74" w:rsidRPr="00D86D77" w14:paraId="4CC39AEA" w14:textId="77777777" w:rsidTr="00EB6187">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555" w:type="dxa"/>
          </w:tcPr>
          <w:p w14:paraId="4E59438A" w14:textId="0300D3DD" w:rsidR="004D7B74" w:rsidRPr="00D86D77" w:rsidRDefault="004D7B74" w:rsidP="00CA72A8">
            <w:pPr>
              <w:autoSpaceDE w:val="0"/>
              <w:autoSpaceDN w:val="0"/>
              <w:adjustRightInd w:val="0"/>
              <w:spacing w:before="120" w:after="120" w:line="191" w:lineRule="atLeast"/>
              <w:rPr>
                <w:rFonts w:cs="Arial"/>
              </w:rPr>
            </w:pPr>
            <w:r w:rsidRPr="00D86D77">
              <w:rPr>
                <w:rFonts w:cs="Arial"/>
                <w:bCs/>
              </w:rPr>
              <w:t>Topic</w:t>
            </w:r>
          </w:p>
        </w:tc>
        <w:tc>
          <w:tcPr>
            <w:tcW w:w="4961" w:type="dxa"/>
          </w:tcPr>
          <w:p w14:paraId="5180E783" w14:textId="77777777" w:rsidR="004D7B74" w:rsidRPr="00D86D77" w:rsidRDefault="004D7B74" w:rsidP="00CA72A8">
            <w:pPr>
              <w:autoSpaceDE w:val="0"/>
              <w:autoSpaceDN w:val="0"/>
              <w:adjustRightInd w:val="0"/>
              <w:spacing w:before="120" w:after="120" w:line="191" w:lineRule="atLeast"/>
              <w:cnfStyle w:val="100000000000" w:firstRow="1" w:lastRow="0" w:firstColumn="0" w:lastColumn="0" w:oddVBand="0" w:evenVBand="0" w:oddHBand="0" w:evenHBand="0" w:firstRowFirstColumn="0" w:firstRowLastColumn="0" w:lastRowFirstColumn="0" w:lastRowLastColumn="0"/>
              <w:rPr>
                <w:rFonts w:cs="Arial"/>
              </w:rPr>
            </w:pPr>
            <w:r w:rsidRPr="00D86D77">
              <w:rPr>
                <w:rFonts w:cs="Arial"/>
                <w:b/>
                <w:bCs/>
              </w:rPr>
              <w:t xml:space="preserve">Requirements </w:t>
            </w:r>
          </w:p>
        </w:tc>
        <w:tc>
          <w:tcPr>
            <w:tcW w:w="2977" w:type="dxa"/>
          </w:tcPr>
          <w:p w14:paraId="593E7962" w14:textId="77777777" w:rsidR="004D7B74" w:rsidRPr="00D86D77" w:rsidRDefault="004D7B74" w:rsidP="00CA72A8">
            <w:pPr>
              <w:autoSpaceDE w:val="0"/>
              <w:autoSpaceDN w:val="0"/>
              <w:adjustRightInd w:val="0"/>
              <w:spacing w:before="120" w:after="120" w:line="191" w:lineRule="atLeast"/>
              <w:cnfStyle w:val="100000000000" w:firstRow="1" w:lastRow="0" w:firstColumn="0" w:lastColumn="0" w:oddVBand="0" w:evenVBand="0" w:oddHBand="0" w:evenHBand="0" w:firstRowFirstColumn="0" w:firstRowLastColumn="0" w:lastRowFirstColumn="0" w:lastRowLastColumn="0"/>
              <w:rPr>
                <w:rFonts w:cs="Arial"/>
              </w:rPr>
            </w:pPr>
            <w:r w:rsidRPr="00D86D77">
              <w:rPr>
                <w:rFonts w:cs="Arial"/>
                <w:b/>
                <w:bCs/>
              </w:rPr>
              <w:t xml:space="preserve">Sections </w:t>
            </w:r>
          </w:p>
        </w:tc>
      </w:tr>
      <w:tr w:rsidR="004D7B74" w:rsidRPr="00D86D77" w14:paraId="712B4BD8" w14:textId="77777777" w:rsidTr="00EB6187">
        <w:trPr>
          <w:trHeight w:val="502"/>
        </w:trPr>
        <w:tc>
          <w:tcPr>
            <w:cnfStyle w:val="001000000000" w:firstRow="0" w:lastRow="0" w:firstColumn="1" w:lastColumn="0" w:oddVBand="0" w:evenVBand="0" w:oddHBand="0" w:evenHBand="0" w:firstRowFirstColumn="0" w:firstRowLastColumn="0" w:lastRowFirstColumn="0" w:lastRowLastColumn="0"/>
            <w:tcW w:w="1555" w:type="dxa"/>
          </w:tcPr>
          <w:p w14:paraId="071AD595" w14:textId="77777777" w:rsidR="004D7B74" w:rsidRPr="00D86D77" w:rsidRDefault="004D7B74" w:rsidP="00CA72A8">
            <w:pPr>
              <w:autoSpaceDE w:val="0"/>
              <w:autoSpaceDN w:val="0"/>
              <w:adjustRightInd w:val="0"/>
              <w:spacing w:before="120" w:after="120" w:line="191" w:lineRule="atLeast"/>
              <w:rPr>
                <w:rFonts w:cs="Arial"/>
              </w:rPr>
            </w:pPr>
            <w:r w:rsidRPr="00D86D77">
              <w:rPr>
                <w:rFonts w:cs="Arial"/>
                <w:bCs/>
              </w:rPr>
              <w:t xml:space="preserve">Introduction </w:t>
            </w:r>
          </w:p>
        </w:tc>
        <w:tc>
          <w:tcPr>
            <w:tcW w:w="4961" w:type="dxa"/>
          </w:tcPr>
          <w:p w14:paraId="2B806F0D"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 xml:space="preserve">A statement that the plan is prepared for paragraph 35(1)(b) of the Act. </w:t>
            </w:r>
          </w:p>
          <w:p w14:paraId="793108DB"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The reporting period for which the plan is prepared.</w:t>
            </w:r>
          </w:p>
          <w:p w14:paraId="692DB02B"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 xml:space="preserve">The reporting periods covered by the plan. </w:t>
            </w:r>
          </w:p>
        </w:tc>
        <w:tc>
          <w:tcPr>
            <w:tcW w:w="2977" w:type="dxa"/>
          </w:tcPr>
          <w:p w14:paraId="18CC5025"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Secretary’s Foreword </w:t>
            </w:r>
          </w:p>
        </w:tc>
      </w:tr>
      <w:tr w:rsidR="004D7B74" w:rsidRPr="00D86D77" w14:paraId="2AD43551" w14:textId="77777777" w:rsidTr="00EB6187">
        <w:trPr>
          <w:trHeight w:val="145"/>
        </w:trPr>
        <w:tc>
          <w:tcPr>
            <w:cnfStyle w:val="001000000000" w:firstRow="0" w:lastRow="0" w:firstColumn="1" w:lastColumn="0" w:oddVBand="0" w:evenVBand="0" w:oddHBand="0" w:evenHBand="0" w:firstRowFirstColumn="0" w:firstRowLastColumn="0" w:lastRowFirstColumn="0" w:lastRowLastColumn="0"/>
            <w:tcW w:w="1555" w:type="dxa"/>
          </w:tcPr>
          <w:p w14:paraId="25098459" w14:textId="77777777" w:rsidR="004D7B74" w:rsidRPr="00D86D77" w:rsidRDefault="004D7B74" w:rsidP="00CA72A8">
            <w:pPr>
              <w:autoSpaceDE w:val="0"/>
              <w:autoSpaceDN w:val="0"/>
              <w:adjustRightInd w:val="0"/>
              <w:spacing w:before="120" w:after="120" w:line="191" w:lineRule="atLeast"/>
              <w:rPr>
                <w:rFonts w:cs="Arial"/>
              </w:rPr>
            </w:pPr>
            <w:r w:rsidRPr="00D86D77">
              <w:rPr>
                <w:rFonts w:cs="Arial"/>
                <w:bCs/>
              </w:rPr>
              <w:t xml:space="preserve">Purposes </w:t>
            </w:r>
          </w:p>
        </w:tc>
        <w:tc>
          <w:tcPr>
            <w:tcW w:w="4961" w:type="dxa"/>
          </w:tcPr>
          <w:p w14:paraId="79270CF1"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 xml:space="preserve">The purposes of the entity. </w:t>
            </w:r>
          </w:p>
        </w:tc>
        <w:tc>
          <w:tcPr>
            <w:tcW w:w="2977" w:type="dxa"/>
          </w:tcPr>
          <w:p w14:paraId="6A2865BF"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Our Purpose </w:t>
            </w:r>
          </w:p>
        </w:tc>
      </w:tr>
      <w:tr w:rsidR="004D7B74" w:rsidRPr="00D86D77" w14:paraId="226F82C9" w14:textId="77777777" w:rsidTr="00EB6187">
        <w:trPr>
          <w:trHeight w:val="613"/>
        </w:trPr>
        <w:tc>
          <w:tcPr>
            <w:cnfStyle w:val="001000000000" w:firstRow="0" w:lastRow="0" w:firstColumn="1" w:lastColumn="0" w:oddVBand="0" w:evenVBand="0" w:oddHBand="0" w:evenHBand="0" w:firstRowFirstColumn="0" w:firstRowLastColumn="0" w:lastRowFirstColumn="0" w:lastRowLastColumn="0"/>
            <w:tcW w:w="1555" w:type="dxa"/>
          </w:tcPr>
          <w:p w14:paraId="2A0E319B" w14:textId="77777777" w:rsidR="004D7B74" w:rsidRPr="00D86D77" w:rsidRDefault="004D7B74" w:rsidP="00CA72A8">
            <w:pPr>
              <w:autoSpaceDE w:val="0"/>
              <w:autoSpaceDN w:val="0"/>
              <w:adjustRightInd w:val="0"/>
              <w:spacing w:before="120" w:after="120" w:line="191" w:lineRule="atLeast"/>
              <w:rPr>
                <w:rFonts w:cs="Arial"/>
              </w:rPr>
            </w:pPr>
            <w:r w:rsidRPr="00D86D77">
              <w:rPr>
                <w:rFonts w:cs="Arial"/>
                <w:bCs/>
              </w:rPr>
              <w:t xml:space="preserve">Key activities </w:t>
            </w:r>
          </w:p>
        </w:tc>
        <w:tc>
          <w:tcPr>
            <w:tcW w:w="4961" w:type="dxa"/>
          </w:tcPr>
          <w:p w14:paraId="7D91BE3A"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 xml:space="preserve">For the entire period covered by the plan, the key activities that the entity will undertake to achieve its purposes. </w:t>
            </w:r>
          </w:p>
        </w:tc>
        <w:tc>
          <w:tcPr>
            <w:tcW w:w="2977" w:type="dxa"/>
          </w:tcPr>
          <w:p w14:paraId="5B3BBCBE"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Outcome 1 </w:t>
            </w:r>
          </w:p>
          <w:p w14:paraId="1DC4A0AA"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Outcome 2 </w:t>
            </w:r>
          </w:p>
          <w:p w14:paraId="1B5452DB"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Outcome 3 </w:t>
            </w:r>
          </w:p>
          <w:p w14:paraId="0CFB5EC6" w14:textId="77777777" w:rsidR="004D7B74" w:rsidRPr="00D86D7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Outcome 4</w:t>
            </w:r>
            <w:r w:rsidRPr="00D86D77">
              <w:t xml:space="preserve"> </w:t>
            </w:r>
          </w:p>
        </w:tc>
      </w:tr>
      <w:tr w:rsidR="004D7B74" w:rsidRPr="00D86D77" w14:paraId="7026A534" w14:textId="77777777" w:rsidTr="00EB6187">
        <w:trPr>
          <w:trHeight w:val="1775"/>
        </w:trPr>
        <w:tc>
          <w:tcPr>
            <w:cnfStyle w:val="001000000000" w:firstRow="0" w:lastRow="0" w:firstColumn="1" w:lastColumn="0" w:oddVBand="0" w:evenVBand="0" w:oddHBand="0" w:evenHBand="0" w:firstRowFirstColumn="0" w:firstRowLastColumn="0" w:lastRowFirstColumn="0" w:lastRowLastColumn="0"/>
            <w:tcW w:w="1555" w:type="dxa"/>
          </w:tcPr>
          <w:p w14:paraId="2AF91CFB" w14:textId="77777777" w:rsidR="004D7B74" w:rsidRPr="00D86D77" w:rsidRDefault="004D7B74" w:rsidP="00CA72A8">
            <w:pPr>
              <w:autoSpaceDE w:val="0"/>
              <w:autoSpaceDN w:val="0"/>
              <w:adjustRightInd w:val="0"/>
              <w:spacing w:before="120" w:after="120" w:line="191" w:lineRule="atLeast"/>
              <w:rPr>
                <w:rFonts w:cs="Arial"/>
              </w:rPr>
            </w:pPr>
            <w:r w:rsidRPr="00D86D77">
              <w:rPr>
                <w:rFonts w:cs="Arial"/>
                <w:bCs/>
              </w:rPr>
              <w:t xml:space="preserve">Operating context </w:t>
            </w:r>
          </w:p>
        </w:tc>
        <w:tc>
          <w:tcPr>
            <w:tcW w:w="4961" w:type="dxa"/>
          </w:tcPr>
          <w:p w14:paraId="31D9995C"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The environment in which the entity will operate.</w:t>
            </w:r>
          </w:p>
          <w:p w14:paraId="03DD1F8A"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 xml:space="preserve">The strategies and plans the entity will implement to have the capability it needs to undertake its key activities and achieve its purposes. </w:t>
            </w:r>
          </w:p>
          <w:p w14:paraId="550F9EB0"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 xml:space="preserve">A summary of the risk oversight and management systems of the entity, and the key risks that the entity will manage and how those risks will be managed. </w:t>
            </w:r>
          </w:p>
          <w:p w14:paraId="5347B08F"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 xml:space="preserve">Details of any organisation or body that will make a significant contribution towards achieving the entity’s purposes through cooperation with the entity, including how that cooperation will help achieve those purposes. </w:t>
            </w:r>
          </w:p>
          <w:p w14:paraId="004D4A00" w14:textId="64E1E98A"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How any subsidiary of the entity will contribute to achieving the entity’s purposes</w:t>
            </w:r>
          </w:p>
        </w:tc>
        <w:tc>
          <w:tcPr>
            <w:tcW w:w="2977" w:type="dxa"/>
          </w:tcPr>
          <w:p w14:paraId="301C92A1"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Secretary’s Foreword </w:t>
            </w:r>
          </w:p>
          <w:p w14:paraId="5331FFE8"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Our Partners</w:t>
            </w:r>
          </w:p>
          <w:p w14:paraId="40335234"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Our Operating Context</w:t>
            </w:r>
          </w:p>
          <w:p w14:paraId="0BE57673"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Our Regulatory Approach</w:t>
            </w:r>
          </w:p>
          <w:p w14:paraId="7CFDE048" w14:textId="2019A0E3"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Corporate Governance </w:t>
            </w:r>
            <w:r w:rsidR="001D1D69" w:rsidRPr="00EB6187">
              <w:t>and Risk Oversight</w:t>
            </w:r>
          </w:p>
          <w:p w14:paraId="32922770"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Our Capability </w:t>
            </w:r>
          </w:p>
          <w:p w14:paraId="2BFFC224"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Our Performance Framework</w:t>
            </w:r>
          </w:p>
          <w:p w14:paraId="0DC79960"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Outcome 1 </w:t>
            </w:r>
          </w:p>
          <w:p w14:paraId="3D53B77D"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Outcome 2 </w:t>
            </w:r>
          </w:p>
          <w:p w14:paraId="4FB3186A"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Outcome 3 </w:t>
            </w:r>
          </w:p>
          <w:p w14:paraId="4DD36F4D"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Outcome 4</w:t>
            </w:r>
          </w:p>
          <w:p w14:paraId="24BC8AD4" w14:textId="2FF8C143" w:rsidR="00EB6187" w:rsidRPr="00EB6187" w:rsidRDefault="00EB6187" w:rsidP="00EB6187">
            <w:pPr>
              <w:pStyle w:val="TableTextleftaligned"/>
              <w:spacing w:before="600"/>
              <w:cnfStyle w:val="000000000000" w:firstRow="0" w:lastRow="0" w:firstColumn="0" w:lastColumn="0" w:oddVBand="0" w:evenVBand="0" w:oddHBand="0" w:evenHBand="0" w:firstRowFirstColumn="0" w:firstRowLastColumn="0" w:lastRowFirstColumn="0" w:lastRowLastColumn="0"/>
              <w:rPr>
                <w:rFonts w:cstheme="minorBidi"/>
                <w:szCs w:val="22"/>
              </w:rPr>
            </w:pPr>
            <w:r w:rsidRPr="00EB6187">
              <w:t>The department has no</w:t>
            </w:r>
            <w:r>
              <w:rPr>
                <w:rFonts w:cstheme="minorBidi"/>
                <w:szCs w:val="22"/>
              </w:rPr>
              <w:t xml:space="preserve"> </w:t>
            </w:r>
            <w:r w:rsidRPr="00EB6187">
              <w:t>subsidiaries</w:t>
            </w:r>
          </w:p>
        </w:tc>
      </w:tr>
      <w:tr w:rsidR="004D7B74" w:rsidRPr="00D86D77" w14:paraId="2DBCC2DE" w14:textId="77777777" w:rsidTr="00EB6187">
        <w:trPr>
          <w:trHeight w:val="779"/>
        </w:trPr>
        <w:tc>
          <w:tcPr>
            <w:cnfStyle w:val="001000000000" w:firstRow="0" w:lastRow="0" w:firstColumn="1" w:lastColumn="0" w:oddVBand="0" w:evenVBand="0" w:oddHBand="0" w:evenHBand="0" w:firstRowFirstColumn="0" w:firstRowLastColumn="0" w:lastRowFirstColumn="0" w:lastRowLastColumn="0"/>
            <w:tcW w:w="1555" w:type="dxa"/>
          </w:tcPr>
          <w:p w14:paraId="159CB2F4" w14:textId="77777777" w:rsidR="004D7B74" w:rsidRPr="00D86D77" w:rsidRDefault="004D7B74" w:rsidP="00CA72A8">
            <w:pPr>
              <w:autoSpaceDE w:val="0"/>
              <w:autoSpaceDN w:val="0"/>
              <w:adjustRightInd w:val="0"/>
              <w:spacing w:before="120" w:after="120" w:line="191" w:lineRule="atLeast"/>
              <w:rPr>
                <w:rFonts w:cs="Arial"/>
              </w:rPr>
            </w:pPr>
            <w:r w:rsidRPr="00D86D77">
              <w:rPr>
                <w:rFonts w:cs="Arial"/>
                <w:bCs/>
              </w:rPr>
              <w:t xml:space="preserve">Performance </w:t>
            </w:r>
          </w:p>
        </w:tc>
        <w:tc>
          <w:tcPr>
            <w:tcW w:w="4961" w:type="dxa"/>
          </w:tcPr>
          <w:p w14:paraId="378A063E"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 xml:space="preserve">Specified performance measures for the entity that meet the requirements of section 16EA. </w:t>
            </w:r>
          </w:p>
          <w:p w14:paraId="451E5CED" w14:textId="77777777" w:rsidR="004D7B74" w:rsidRPr="00D86D77" w:rsidRDefault="004D7B74" w:rsidP="004B5C7C">
            <w:pPr>
              <w:pStyle w:val="ListBullet"/>
              <w:cnfStyle w:val="000000000000" w:firstRow="0" w:lastRow="0" w:firstColumn="0" w:lastColumn="0" w:oddVBand="0" w:evenVBand="0" w:oddHBand="0" w:evenHBand="0" w:firstRowFirstColumn="0" w:firstRowLastColumn="0" w:lastRowFirstColumn="0" w:lastRowLastColumn="0"/>
            </w:pPr>
            <w:r w:rsidRPr="00D86D77">
              <w:t xml:space="preserve">Specified targets for each of those performance measures for which it is reasonably practicable to set a target. </w:t>
            </w:r>
          </w:p>
        </w:tc>
        <w:tc>
          <w:tcPr>
            <w:tcW w:w="2977" w:type="dxa"/>
          </w:tcPr>
          <w:p w14:paraId="38DFD939"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D86D77">
              <w:t xml:space="preserve">Our </w:t>
            </w:r>
            <w:r w:rsidRPr="00EB6187">
              <w:t xml:space="preserve">Performance </w:t>
            </w:r>
          </w:p>
          <w:p w14:paraId="7E9D3379"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Outcome 1 </w:t>
            </w:r>
          </w:p>
          <w:p w14:paraId="6FCCAC01"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Outcome 2 </w:t>
            </w:r>
          </w:p>
          <w:p w14:paraId="19EF96BB" w14:textId="77777777" w:rsidR="004D7B74" w:rsidRPr="00EB618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 xml:space="preserve">Outcome 3 </w:t>
            </w:r>
          </w:p>
          <w:p w14:paraId="17763ADC" w14:textId="77777777" w:rsidR="004D7B74" w:rsidRPr="00D86D77" w:rsidRDefault="004D7B74" w:rsidP="00EB6187">
            <w:pPr>
              <w:pStyle w:val="NoSpacing"/>
              <w:cnfStyle w:val="000000000000" w:firstRow="0" w:lastRow="0" w:firstColumn="0" w:lastColumn="0" w:oddVBand="0" w:evenVBand="0" w:oddHBand="0" w:evenHBand="0" w:firstRowFirstColumn="0" w:firstRowLastColumn="0" w:lastRowFirstColumn="0" w:lastRowLastColumn="0"/>
            </w:pPr>
            <w:r w:rsidRPr="00EB6187">
              <w:t>Outcome 4</w:t>
            </w:r>
            <w:r w:rsidRPr="00D86D77">
              <w:t xml:space="preserve"> </w:t>
            </w:r>
          </w:p>
        </w:tc>
      </w:tr>
    </w:tbl>
    <w:p w14:paraId="59036C6A" w14:textId="77777777" w:rsidR="00D13531" w:rsidRPr="004B5C7C" w:rsidRDefault="00D13531" w:rsidP="004B5C7C">
      <w:r w:rsidRPr="004B5C7C">
        <w:br w:type="page"/>
      </w:r>
    </w:p>
    <w:p w14:paraId="029B2040" w14:textId="2AB2A3D0" w:rsidR="00DE4841" w:rsidRPr="004B5C7C" w:rsidRDefault="00DE4841" w:rsidP="004B5C7C">
      <w:r w:rsidRPr="004B5C7C">
        <w:lastRenderedPageBreak/>
        <w:t xml:space="preserve">Better health and wellbeing for all Australians, now and for future generations </w:t>
      </w:r>
      <w:hyperlink r:id="rId15" w:history="1">
        <w:r w:rsidR="004B5C7C" w:rsidRPr="004B5C7C">
          <w:rPr>
            <w:rStyle w:val="Hyperlink"/>
          </w:rPr>
          <w:t>http://www.health.gov.au</w:t>
        </w:r>
      </w:hyperlink>
    </w:p>
    <w:sectPr w:rsidR="00DE4841" w:rsidRPr="004B5C7C" w:rsidSect="00057CFB">
      <w:headerReference w:type="default" r:id="rId16"/>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1D5B" w14:textId="77777777" w:rsidR="00E676F8" w:rsidRDefault="00E676F8" w:rsidP="00CE02C2">
      <w:pPr>
        <w:spacing w:after="0" w:line="240" w:lineRule="auto"/>
      </w:pPr>
      <w:r>
        <w:separator/>
      </w:r>
    </w:p>
  </w:endnote>
  <w:endnote w:type="continuationSeparator" w:id="0">
    <w:p w14:paraId="6367003F" w14:textId="77777777" w:rsidR="00E676F8" w:rsidRDefault="00E676F8" w:rsidP="00CE02C2">
      <w:pPr>
        <w:spacing w:after="0" w:line="240" w:lineRule="auto"/>
      </w:pPr>
      <w:r>
        <w:continuationSeparator/>
      </w:r>
    </w:p>
  </w:endnote>
  <w:endnote w:type="continuationNotice" w:id="1">
    <w:p w14:paraId="5B63ED7A" w14:textId="77777777" w:rsidR="00E676F8" w:rsidRDefault="00E67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NeueLTStd-Lt">
    <w:altName w:val="Arial"/>
    <w:panose1 w:val="00000000000000000000"/>
    <w:charset w:val="00"/>
    <w:family w:val="swiss"/>
    <w:notTrueType/>
    <w:pitch w:val="variable"/>
    <w:sig w:usb0="800000AF" w:usb1="4000204A" w:usb2="00000000" w:usb3="00000000" w:csb0="00000001" w:csb1="00000000"/>
  </w:font>
  <w:font w:name="HelveticaNeueLT Std Lt">
    <w:altName w:val="Malgun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417034"/>
      <w:docPartObj>
        <w:docPartGallery w:val="Page Numbers (Bottom of Page)"/>
        <w:docPartUnique/>
      </w:docPartObj>
    </w:sdtPr>
    <w:sdtEndPr>
      <w:rPr>
        <w:noProof/>
      </w:rPr>
    </w:sdtEndPr>
    <w:sdtContent>
      <w:p w14:paraId="01B82B12" w14:textId="77777777" w:rsidR="004D7B74" w:rsidRDefault="004D7B74" w:rsidP="003850C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158EFE3" w14:textId="7D9982E9" w:rsidR="004D7B74" w:rsidRDefault="00655A42">
    <w:pPr>
      <w:pStyle w:val="Footer"/>
    </w:pPr>
    <w:r>
      <w:rPr>
        <w:rFonts w:ascii="HelveticaNeueLTStd-Lt" w:hAnsi="HelveticaNeueLTStd-Lt" w:cs="HelveticaNeueLTStd-Lt"/>
        <w:sz w:val="18"/>
        <w:szCs w:val="18"/>
      </w:rPr>
      <w:t>Department of Health and Aged Care Corporate Plan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6670" w14:textId="77777777" w:rsidR="00E676F8" w:rsidRDefault="00E676F8" w:rsidP="00CE02C2">
      <w:pPr>
        <w:spacing w:after="0" w:line="240" w:lineRule="auto"/>
      </w:pPr>
      <w:r>
        <w:separator/>
      </w:r>
    </w:p>
  </w:footnote>
  <w:footnote w:type="continuationSeparator" w:id="0">
    <w:p w14:paraId="2134815F" w14:textId="77777777" w:rsidR="00E676F8" w:rsidRDefault="00E676F8" w:rsidP="00CE02C2">
      <w:pPr>
        <w:spacing w:after="0" w:line="240" w:lineRule="auto"/>
      </w:pPr>
      <w:r>
        <w:continuationSeparator/>
      </w:r>
    </w:p>
  </w:footnote>
  <w:footnote w:type="continuationNotice" w:id="1">
    <w:p w14:paraId="0CD6DEF1" w14:textId="77777777" w:rsidR="00E676F8" w:rsidRDefault="00E676F8">
      <w:pPr>
        <w:spacing w:after="0" w:line="240" w:lineRule="auto"/>
      </w:pPr>
    </w:p>
  </w:footnote>
  <w:footnote w:id="2">
    <w:p w14:paraId="2D943DB8" w14:textId="79B3AF11" w:rsidR="008C2250" w:rsidRPr="00960AF8" w:rsidRDefault="008C2250" w:rsidP="00DB198D">
      <w:pPr>
        <w:pStyle w:val="FootnoteText"/>
      </w:pPr>
      <w:r w:rsidRPr="00960AF8">
        <w:rPr>
          <w:rStyle w:val="FootnoteReference"/>
          <w:szCs w:val="18"/>
        </w:rPr>
        <w:footnoteRef/>
      </w:r>
      <w:r w:rsidR="00655A42">
        <w:t xml:space="preserve"> </w:t>
      </w:r>
      <w:r w:rsidRPr="00960AF8">
        <w:t>On 28 July</w:t>
      </w:r>
      <w:r>
        <w:t xml:space="preserve"> 2024</w:t>
      </w:r>
      <w:r w:rsidRPr="00960AF8">
        <w:t xml:space="preserve"> the Prime Minister announced changes to the Ministry. The Hon Ged Kearney MP has since taken on the responsibility of Assistant Minister for Indigenous Health, while continuing her duties as Assistant Minister for Health and Aged Care. We welcomed </w:t>
      </w:r>
      <w:r w:rsidR="00F27C84">
        <w:t>T</w:t>
      </w:r>
      <w:r w:rsidRPr="00960AF8">
        <w:t>he Hon Kate Thwaites MP as Assistant Minister for Ageing</w:t>
      </w:r>
      <w:r>
        <w:t xml:space="preserve">, and farewelled Senator the Hon </w:t>
      </w:r>
      <w:proofErr w:type="spellStart"/>
      <w:r>
        <w:t>Malarndirri</w:t>
      </w:r>
      <w:proofErr w:type="spellEnd"/>
      <w:r>
        <w:t xml:space="preserve"> McCarthy, who was promoted to Cabinet as Minister for Indigenous Australians</w:t>
      </w:r>
      <w:r w:rsidRPr="00960AF8">
        <w:t xml:space="preserve">. </w:t>
      </w:r>
    </w:p>
  </w:footnote>
  <w:footnote w:id="3">
    <w:p w14:paraId="108243E7" w14:textId="77777777" w:rsidR="004D7B74" w:rsidRPr="007D3D8F" w:rsidRDefault="004D7B74" w:rsidP="00DB198D">
      <w:pPr>
        <w:pStyle w:val="FootnoteText"/>
      </w:pPr>
      <w:r w:rsidRPr="007D3D8F">
        <w:rPr>
          <w:rStyle w:val="FootnoteReference"/>
          <w:szCs w:val="18"/>
        </w:rPr>
        <w:footnoteRef/>
      </w:r>
      <w:r w:rsidRPr="007D3D8F">
        <w:t xml:space="preserve"> The G20 or Group of 20 is an intergovernmental forum comprising 19 sovereign countries, the European Union (EU), and the African Union (AU).</w:t>
      </w:r>
    </w:p>
  </w:footnote>
  <w:footnote w:id="4">
    <w:p w14:paraId="7073B5E1" w14:textId="77777777" w:rsidR="004D7B74" w:rsidRPr="00430474" w:rsidRDefault="004D7B74" w:rsidP="00DB198D">
      <w:pPr>
        <w:pStyle w:val="FootnoteText"/>
      </w:pPr>
      <w:r w:rsidRPr="00430474">
        <w:rPr>
          <w:rStyle w:val="FootnoteReference"/>
          <w:szCs w:val="18"/>
        </w:rPr>
        <w:footnoteRef/>
      </w:r>
      <w:r w:rsidRPr="00430474">
        <w:t xml:space="preserve"> </w:t>
      </w:r>
      <w:r w:rsidRPr="00430474">
        <w:rPr>
          <w:spacing w:val="-4"/>
        </w:rPr>
        <w:t>Where</w:t>
      </w:r>
      <w:r w:rsidRPr="00430474">
        <w:rPr>
          <w:spacing w:val="-3"/>
        </w:rPr>
        <w:t xml:space="preserve"> </w:t>
      </w:r>
      <w:r w:rsidRPr="00430474">
        <w:rPr>
          <w:spacing w:val="-4"/>
        </w:rPr>
        <w:t>those</w:t>
      </w:r>
      <w:r w:rsidRPr="00430474">
        <w:rPr>
          <w:spacing w:val="-2"/>
        </w:rPr>
        <w:t xml:space="preserve"> </w:t>
      </w:r>
      <w:r w:rsidRPr="00430474">
        <w:rPr>
          <w:spacing w:val="-4"/>
        </w:rPr>
        <w:t>obligations</w:t>
      </w:r>
      <w:r w:rsidRPr="00430474">
        <w:rPr>
          <w:spacing w:val="-2"/>
        </w:rPr>
        <w:t xml:space="preserve"> </w:t>
      </w:r>
      <w:r w:rsidRPr="00430474">
        <w:rPr>
          <w:spacing w:val="-4"/>
        </w:rPr>
        <w:t>do</w:t>
      </w:r>
      <w:r w:rsidRPr="00430474">
        <w:rPr>
          <w:spacing w:val="-2"/>
        </w:rPr>
        <w:t xml:space="preserve"> </w:t>
      </w:r>
      <w:r w:rsidRPr="00430474">
        <w:rPr>
          <w:spacing w:val="-4"/>
        </w:rPr>
        <w:t>not</w:t>
      </w:r>
      <w:r w:rsidRPr="00430474">
        <w:rPr>
          <w:spacing w:val="-2"/>
        </w:rPr>
        <w:t xml:space="preserve"> </w:t>
      </w:r>
      <w:r w:rsidRPr="00430474">
        <w:rPr>
          <w:spacing w:val="-4"/>
        </w:rPr>
        <w:t>fall</w:t>
      </w:r>
      <w:r w:rsidRPr="00430474">
        <w:rPr>
          <w:spacing w:val="-2"/>
        </w:rPr>
        <w:t xml:space="preserve"> </w:t>
      </w:r>
      <w:r w:rsidRPr="00430474">
        <w:rPr>
          <w:spacing w:val="-4"/>
        </w:rPr>
        <w:t>within</w:t>
      </w:r>
      <w:r w:rsidRPr="00430474">
        <w:rPr>
          <w:spacing w:val="-2"/>
        </w:rPr>
        <w:t xml:space="preserve"> </w:t>
      </w:r>
      <w:r w:rsidRPr="00430474">
        <w:rPr>
          <w:spacing w:val="-4"/>
        </w:rPr>
        <w:t>the</w:t>
      </w:r>
      <w:r w:rsidRPr="00430474">
        <w:rPr>
          <w:spacing w:val="-2"/>
        </w:rPr>
        <w:t xml:space="preserve"> </w:t>
      </w:r>
      <w:r w:rsidRPr="00430474">
        <w:rPr>
          <w:spacing w:val="-4"/>
        </w:rPr>
        <w:t>prudential</w:t>
      </w:r>
      <w:r w:rsidRPr="00430474">
        <w:rPr>
          <w:spacing w:val="-2"/>
        </w:rPr>
        <w:t xml:space="preserve"> </w:t>
      </w:r>
      <w:r w:rsidRPr="00430474">
        <w:rPr>
          <w:spacing w:val="-4"/>
        </w:rPr>
        <w:t>regulatory</w:t>
      </w:r>
      <w:r w:rsidRPr="00430474">
        <w:rPr>
          <w:spacing w:val="-2"/>
        </w:rPr>
        <w:t xml:space="preserve"> </w:t>
      </w:r>
      <w:r w:rsidRPr="00430474">
        <w:rPr>
          <w:spacing w:val="-4"/>
        </w:rPr>
        <w:t>role</w:t>
      </w:r>
      <w:r w:rsidRPr="00430474">
        <w:rPr>
          <w:spacing w:val="-2"/>
        </w:rPr>
        <w:t xml:space="preserve"> </w:t>
      </w:r>
      <w:r w:rsidRPr="00430474">
        <w:rPr>
          <w:spacing w:val="-4"/>
        </w:rPr>
        <w:t>of</w:t>
      </w:r>
      <w:r w:rsidRPr="00430474">
        <w:rPr>
          <w:spacing w:val="-2"/>
        </w:rPr>
        <w:t xml:space="preserve"> </w:t>
      </w:r>
      <w:r w:rsidRPr="00430474">
        <w:rPr>
          <w:spacing w:val="-4"/>
        </w:rPr>
        <w:t>the</w:t>
      </w:r>
      <w:r w:rsidRPr="00430474">
        <w:rPr>
          <w:spacing w:val="-2"/>
        </w:rPr>
        <w:t xml:space="preserve"> </w:t>
      </w:r>
      <w:r w:rsidRPr="00430474">
        <w:rPr>
          <w:spacing w:val="-4"/>
        </w:rPr>
        <w:t>Australian</w:t>
      </w:r>
      <w:r w:rsidRPr="00430474">
        <w:rPr>
          <w:spacing w:val="-2"/>
        </w:rPr>
        <w:t xml:space="preserve"> </w:t>
      </w:r>
      <w:r w:rsidRPr="00430474">
        <w:rPr>
          <w:spacing w:val="-4"/>
        </w:rPr>
        <w:t>Prudential</w:t>
      </w:r>
      <w:r w:rsidRPr="00430474">
        <w:rPr>
          <w:spacing w:val="-2"/>
        </w:rPr>
        <w:t xml:space="preserve"> </w:t>
      </w:r>
      <w:r w:rsidRPr="00430474">
        <w:rPr>
          <w:spacing w:val="-4"/>
        </w:rPr>
        <w:t>Regulation</w:t>
      </w:r>
      <w:r w:rsidRPr="00430474">
        <w:rPr>
          <w:spacing w:val="-2"/>
        </w:rPr>
        <w:t xml:space="preserve"> </w:t>
      </w:r>
      <w:r w:rsidRPr="00430474">
        <w:rPr>
          <w:spacing w:val="-4"/>
        </w:rPr>
        <w:t>Authority.</w:t>
      </w:r>
    </w:p>
  </w:footnote>
  <w:footnote w:id="5">
    <w:p w14:paraId="44CE41B0" w14:textId="77777777" w:rsidR="0067788B" w:rsidRDefault="0067788B" w:rsidP="00DB198D">
      <w:pPr>
        <w:pStyle w:val="FootnoteText"/>
      </w:pPr>
      <w:r w:rsidRPr="007D3D8F">
        <w:rPr>
          <w:rStyle w:val="FootnoteReference"/>
          <w:szCs w:val="18"/>
        </w:rPr>
        <w:footnoteRef/>
      </w:r>
      <w:r w:rsidRPr="007D3D8F">
        <w:t xml:space="preserve"> </w:t>
      </w:r>
      <w:r w:rsidRPr="008B0963">
        <w:t>Available</w:t>
      </w:r>
      <w:r w:rsidRPr="0062103B">
        <w:t xml:space="preserve"> at: </w:t>
      </w:r>
      <w:hyperlink r:id="rId1" w:anchor="iso:std:iso:31000:ed-2:v1:en" w:history="1">
        <w:r w:rsidRPr="001713A6">
          <w:rPr>
            <w:rStyle w:val="Hyperlink"/>
            <w:szCs w:val="18"/>
          </w:rPr>
          <w:t>https://www.iso.org/obp/ui#iso:std:iso:31000:ed-2:v1:en</w:t>
        </w:r>
      </w:hyperlink>
      <w:r>
        <w:t xml:space="preserve"> </w:t>
      </w:r>
    </w:p>
  </w:footnote>
  <w:footnote w:id="6">
    <w:p w14:paraId="29D3C9A5" w14:textId="77777777" w:rsidR="004D7B74" w:rsidRPr="00182547" w:rsidRDefault="004D7B74" w:rsidP="00DB198D">
      <w:pPr>
        <w:pStyle w:val="FootnoteText"/>
      </w:pPr>
      <w:r w:rsidRPr="00182547">
        <w:rPr>
          <w:rStyle w:val="FootnoteReference"/>
          <w:szCs w:val="18"/>
        </w:rPr>
        <w:footnoteRef/>
      </w:r>
      <w:r w:rsidRPr="00182547">
        <w:t xml:space="preserve"> Available at: </w:t>
      </w:r>
      <w:hyperlink r:id="rId2" w:history="1">
        <w:r w:rsidRPr="00182547">
          <w:rPr>
            <w:rStyle w:val="Hyperlink"/>
            <w:szCs w:val="18"/>
          </w:rPr>
          <w:t>https://www.apsreform.gov.au/about-aps-reform</w:t>
        </w:r>
      </w:hyperlink>
      <w:r w:rsidRPr="00182547">
        <w:t xml:space="preserve"> </w:t>
      </w:r>
    </w:p>
  </w:footnote>
  <w:footnote w:id="7">
    <w:p w14:paraId="08C91918" w14:textId="77777777" w:rsidR="000412B1" w:rsidRPr="00820BCE" w:rsidRDefault="000412B1" w:rsidP="00DB198D">
      <w:pPr>
        <w:pStyle w:val="FootnoteText"/>
      </w:pPr>
      <w:r w:rsidRPr="00820BCE">
        <w:rPr>
          <w:rStyle w:val="FootnoteReference"/>
          <w:szCs w:val="18"/>
        </w:rPr>
        <w:footnoteRef/>
      </w:r>
      <w:r w:rsidRPr="00820BCE">
        <w:t xml:space="preserve"> Available at: </w:t>
      </w:r>
      <w:hyperlink r:id="rId3" w:history="1">
        <w:r w:rsidRPr="00820BCE">
          <w:rPr>
            <w:rStyle w:val="Hyperlink"/>
            <w:szCs w:val="18"/>
          </w:rPr>
          <w:t>https://www.apsc.gov.au/publication/aps-strategic-commissioning-framework</w:t>
        </w:r>
      </w:hyperlink>
      <w:r w:rsidRPr="00820BCE">
        <w:t xml:space="preserve"> </w:t>
      </w:r>
    </w:p>
  </w:footnote>
  <w:footnote w:id="8">
    <w:p w14:paraId="3445AE5B" w14:textId="77777777" w:rsidR="004D7B74" w:rsidRPr="00820BCE" w:rsidRDefault="004D7B74" w:rsidP="00DB198D">
      <w:pPr>
        <w:pStyle w:val="FootnoteText"/>
      </w:pPr>
      <w:r w:rsidRPr="00820BCE">
        <w:rPr>
          <w:rStyle w:val="FootnoteReference"/>
          <w:szCs w:val="18"/>
        </w:rPr>
        <w:footnoteRef/>
      </w:r>
      <w:r w:rsidRPr="00820BCE">
        <w:t xml:space="preserve"> Available at: </w:t>
      </w:r>
      <w:hyperlink r:id="rId4" w:history="1">
        <w:r w:rsidRPr="00820BCE">
          <w:rPr>
            <w:rStyle w:val="Hyperlink"/>
            <w:szCs w:val="18"/>
          </w:rPr>
          <w:t>https://www.apsc.gov.au/initiatives-and-programs/aps-workforce-strategy-2025</w:t>
        </w:r>
      </w:hyperlink>
      <w:r w:rsidRPr="00820BCE">
        <w:t xml:space="preserve"> </w:t>
      </w:r>
    </w:p>
  </w:footnote>
  <w:footnote w:id="9">
    <w:p w14:paraId="2AEB117E" w14:textId="62289C2F" w:rsidR="009D2A13" w:rsidRPr="009D2A13" w:rsidRDefault="009D2A13" w:rsidP="00DB198D">
      <w:pPr>
        <w:pStyle w:val="FootnoteText"/>
      </w:pPr>
      <w:r w:rsidRPr="009D2A13">
        <w:rPr>
          <w:rStyle w:val="FootnoteReference"/>
          <w:szCs w:val="18"/>
        </w:rPr>
        <w:footnoteRef/>
      </w:r>
      <w:r w:rsidRPr="009D2A13">
        <w:t xml:space="preserve"> Available at: </w:t>
      </w:r>
      <w:hyperlink r:id="rId5" w:history="1">
        <w:r w:rsidRPr="009D2A13">
          <w:rPr>
            <w:rStyle w:val="Hyperlink"/>
            <w:szCs w:val="18"/>
          </w:rPr>
          <w:t>https://www.closingthegap.gov.au/national-agreement/priority-reforms</w:t>
        </w:r>
      </w:hyperlink>
      <w:r w:rsidRPr="009D2A13">
        <w:t xml:space="preserve"> </w:t>
      </w:r>
    </w:p>
  </w:footnote>
  <w:footnote w:id="10">
    <w:p w14:paraId="52B5A382" w14:textId="69230087" w:rsidR="009D2A13" w:rsidRDefault="009D2A13" w:rsidP="00DB198D">
      <w:pPr>
        <w:pStyle w:val="FootnoteText"/>
      </w:pPr>
      <w:r w:rsidRPr="009D2A13">
        <w:rPr>
          <w:rStyle w:val="FootnoteReference"/>
          <w:szCs w:val="18"/>
        </w:rPr>
        <w:footnoteRef/>
      </w:r>
      <w:r w:rsidRPr="009D2A13">
        <w:t xml:space="preserve"> Available at: </w:t>
      </w:r>
      <w:hyperlink r:id="rId6" w:history="1">
        <w:r w:rsidRPr="009D2A13">
          <w:rPr>
            <w:rStyle w:val="Hyperlink"/>
            <w:szCs w:val="18"/>
          </w:rPr>
          <w:t>https://www.health.gov.au/our-work/first-nations-health-funding-transition-program-fnhftp</w:t>
        </w:r>
      </w:hyperlink>
      <w:r w:rsidRPr="009D2A13">
        <w:t xml:space="preserve"> </w:t>
      </w:r>
    </w:p>
  </w:footnote>
  <w:footnote w:id="11">
    <w:p w14:paraId="1CFFA139" w14:textId="5D66C7E0" w:rsidR="00200667" w:rsidRDefault="00200667" w:rsidP="00DB198D">
      <w:pPr>
        <w:pStyle w:val="FootnoteText"/>
      </w:pPr>
      <w:r w:rsidRPr="007D3D8F">
        <w:rPr>
          <w:rStyle w:val="FootnoteReference"/>
          <w:szCs w:val="18"/>
        </w:rPr>
        <w:footnoteRef/>
      </w:r>
      <w:r w:rsidRPr="007D3D8F">
        <w:t xml:space="preserve"> </w:t>
      </w:r>
      <w:r w:rsidR="00B044CB">
        <w:t xml:space="preserve">Available at: </w:t>
      </w:r>
      <w:hyperlink r:id="rId7" w:history="1">
        <w:r w:rsidR="007A6470" w:rsidRPr="002D0D8F">
          <w:rPr>
            <w:rStyle w:val="Hyperlink"/>
            <w:szCs w:val="18"/>
          </w:rPr>
          <w:t>https://www.apsc.gov.au/initiatives-and-programs/workforce-information/research-analysis-and-publications/state-service/state-service-report-2023/operating-context/aps-net-zero-commitment</w:t>
        </w:r>
      </w:hyperlink>
      <w:r w:rsidR="007A6470">
        <w:t xml:space="preserve"> </w:t>
      </w:r>
    </w:p>
  </w:footnote>
  <w:footnote w:id="12">
    <w:p w14:paraId="2752ED0E" w14:textId="5BAE1388" w:rsidR="00A24F2D" w:rsidRPr="001A6DDD" w:rsidRDefault="00A24F2D" w:rsidP="00DB198D">
      <w:pPr>
        <w:pStyle w:val="FootnoteText"/>
      </w:pPr>
      <w:r w:rsidRPr="007A6470">
        <w:rPr>
          <w:rStyle w:val="FootnoteReference"/>
          <w:szCs w:val="18"/>
        </w:rPr>
        <w:footnoteRef/>
      </w:r>
      <w:r w:rsidRPr="007A6470">
        <w:t xml:space="preserve"> </w:t>
      </w:r>
      <w:r w:rsidR="008F71A3" w:rsidRPr="007A6470">
        <w:t xml:space="preserve">From 1 September 2024, the Central Office’s new name </w:t>
      </w:r>
      <w:r w:rsidR="004F3476" w:rsidRPr="007A6470">
        <w:t>will take</w:t>
      </w:r>
      <w:r w:rsidR="008F71A3" w:rsidRPr="007A6470">
        <w:t xml:space="preserve"> effect – the </w:t>
      </w:r>
      <w:proofErr w:type="spellStart"/>
      <w:r w:rsidR="008F71A3" w:rsidRPr="007A6470">
        <w:t>Yaradhang</w:t>
      </w:r>
      <w:proofErr w:type="spellEnd"/>
      <w:r w:rsidR="008F71A3" w:rsidRPr="007A6470">
        <w:t xml:space="preserve"> Building. </w:t>
      </w:r>
      <w:proofErr w:type="spellStart"/>
      <w:r w:rsidR="008F71A3" w:rsidRPr="007A6470">
        <w:t>Yaradhang</w:t>
      </w:r>
      <w:proofErr w:type="spellEnd"/>
      <w:r w:rsidR="008F71A3" w:rsidRPr="007A6470">
        <w:t xml:space="preserve"> (pronounced Yeh-rah-done) is the Ngunnawal term for ‘eucalyptus’ a plant known for its medical and health purposes.</w:t>
      </w:r>
    </w:p>
  </w:footnote>
  <w:footnote w:id="13">
    <w:p w14:paraId="74B7FA1A" w14:textId="1C325CDC" w:rsidR="00D442BD" w:rsidRPr="001A6DDD" w:rsidRDefault="00D442BD" w:rsidP="00DB198D">
      <w:pPr>
        <w:pStyle w:val="FootnoteText"/>
      </w:pPr>
      <w:r w:rsidRPr="00D442BD">
        <w:rPr>
          <w:rStyle w:val="FootnoteReference"/>
          <w:szCs w:val="18"/>
        </w:rPr>
        <w:footnoteRef/>
      </w:r>
      <w:r w:rsidRPr="00D442BD">
        <w:t xml:space="preserve"> Available at: </w:t>
      </w:r>
      <w:hyperlink r:id="rId8" w:history="1">
        <w:r w:rsidRPr="002D0D8F">
          <w:rPr>
            <w:rStyle w:val="Hyperlink"/>
            <w:szCs w:val="18"/>
          </w:rPr>
          <w:t>https://www.dcceew.gov.au/sites/default/files/documents/climate-risk-management-organisation-applicationguide.pdf</w:t>
        </w:r>
      </w:hyperlink>
      <w:r>
        <w:t xml:space="preserve">  </w:t>
      </w:r>
    </w:p>
  </w:footnote>
  <w:footnote w:id="14">
    <w:p w14:paraId="58EE4B49" w14:textId="3D8159C6" w:rsidR="009D63B8" w:rsidRPr="007A6470" w:rsidRDefault="009D63B8" w:rsidP="00DB198D">
      <w:pPr>
        <w:pStyle w:val="FootnoteText"/>
      </w:pPr>
      <w:r w:rsidRPr="007A6470">
        <w:rPr>
          <w:rStyle w:val="FootnoteReference"/>
          <w:szCs w:val="18"/>
        </w:rPr>
        <w:footnoteRef/>
      </w:r>
      <w:r w:rsidRPr="007A6470">
        <w:t xml:space="preserve"> </w:t>
      </w:r>
      <w:r w:rsidR="00B044CB" w:rsidRPr="007A6470">
        <w:t xml:space="preserve">Available at: </w:t>
      </w:r>
      <w:hyperlink r:id="rId9" w:history="1">
        <w:r w:rsidR="00B044CB" w:rsidRPr="007A6470">
          <w:rPr>
            <w:rStyle w:val="Hyperlink"/>
            <w:szCs w:val="18"/>
          </w:rPr>
          <w:t>https://www.dcceew.gov.au/sites/default/files/documents/climate-risk-management.pdf</w:t>
        </w:r>
      </w:hyperlink>
      <w:r w:rsidRPr="007A6470">
        <w:t xml:space="preserve"> </w:t>
      </w:r>
    </w:p>
  </w:footnote>
  <w:footnote w:id="15">
    <w:p w14:paraId="48CB1ECA" w14:textId="6E995E54" w:rsidR="009D63B8" w:rsidRPr="001A6DDD" w:rsidRDefault="009D63B8" w:rsidP="00DB198D">
      <w:pPr>
        <w:pStyle w:val="FootnoteText"/>
      </w:pPr>
      <w:r w:rsidRPr="007A6470">
        <w:rPr>
          <w:rStyle w:val="FootnoteReference"/>
          <w:szCs w:val="18"/>
        </w:rPr>
        <w:footnoteRef/>
      </w:r>
      <w:r w:rsidRPr="007A6470">
        <w:t xml:space="preserve"> </w:t>
      </w:r>
      <w:r w:rsidR="00B044CB" w:rsidRPr="007A6470">
        <w:t xml:space="preserve">Available at: </w:t>
      </w:r>
      <w:hyperlink r:id="rId10" w:history="1">
        <w:r w:rsidR="00B044CB" w:rsidRPr="007A6470">
          <w:rPr>
            <w:rStyle w:val="Hyperlink"/>
            <w:szCs w:val="18"/>
          </w:rPr>
          <w:t>https://www.health.gov.au/resources/publications/national-health-and-climate-strategy?language=en</w:t>
        </w:r>
      </w:hyperlink>
      <w:r>
        <w:t xml:space="preserve"> </w:t>
      </w:r>
    </w:p>
  </w:footnote>
  <w:footnote w:id="16">
    <w:p w14:paraId="1D8A9E30" w14:textId="096C4623" w:rsidR="007A6470" w:rsidRPr="007A6470" w:rsidRDefault="007A6470" w:rsidP="00DB198D">
      <w:pPr>
        <w:pStyle w:val="FootnoteText"/>
      </w:pPr>
      <w:r w:rsidRPr="007A6470">
        <w:rPr>
          <w:rStyle w:val="FootnoteReference"/>
          <w:szCs w:val="18"/>
        </w:rPr>
        <w:footnoteRef/>
      </w:r>
      <w:r w:rsidRPr="007A6470">
        <w:t xml:space="preserve"> Available at: </w:t>
      </w:r>
      <w:hyperlink r:id="rId11" w:history="1">
        <w:r w:rsidRPr="002D0D8F">
          <w:rPr>
            <w:rStyle w:val="Hyperlink"/>
            <w:szCs w:val="18"/>
          </w:rPr>
          <w:t>https://www.anao.gov.au/work/performance-statements-audit/audits-of-the-annual-performance-statements-ofaustralian-government-entities-2022-23</w:t>
        </w:r>
      </w:hyperlink>
      <w:r>
        <w:t xml:space="preserve">   </w:t>
      </w:r>
    </w:p>
  </w:footnote>
  <w:footnote w:id="17">
    <w:p w14:paraId="304254A7" w14:textId="77777777" w:rsidR="004D7B74" w:rsidRPr="008B7B09" w:rsidRDefault="004D7B74" w:rsidP="00DB198D">
      <w:pPr>
        <w:pStyle w:val="FootnoteText"/>
      </w:pPr>
      <w:r w:rsidRPr="0028121C">
        <w:rPr>
          <w:rStyle w:val="FootnoteReference"/>
          <w:szCs w:val="18"/>
        </w:rPr>
        <w:footnoteRef/>
      </w:r>
      <w:r w:rsidRPr="0028121C">
        <w:t xml:space="preserve"> A</w:t>
      </w:r>
      <w:r w:rsidRPr="008B7B09">
        <w:t xml:space="preserve">vailable at: </w:t>
      </w:r>
      <w:hyperlink r:id="rId12" w:history="1">
        <w:r w:rsidRPr="00265952">
          <w:rPr>
            <w:rStyle w:val="Hyperlink"/>
            <w:szCs w:val="18"/>
          </w:rPr>
          <w:t>https://www.closingthegap.gov.au/national-agreement</w:t>
        </w:r>
      </w:hyperlink>
      <w:r>
        <w:t xml:space="preserve"> </w:t>
      </w:r>
    </w:p>
  </w:footnote>
  <w:footnote w:id="18">
    <w:p w14:paraId="7BB644BC" w14:textId="77777777" w:rsidR="004D7B74" w:rsidRDefault="004D7B74" w:rsidP="00DB198D">
      <w:pPr>
        <w:pStyle w:val="FootnoteText"/>
      </w:pPr>
      <w:r w:rsidRPr="008B7B09">
        <w:rPr>
          <w:rStyle w:val="FootnoteReference"/>
          <w:szCs w:val="18"/>
        </w:rPr>
        <w:footnoteRef/>
      </w:r>
      <w:r w:rsidRPr="008B7B09">
        <w:t xml:space="preserve"> Available at: </w:t>
      </w:r>
      <w:hyperlink r:id="rId13" w:history="1">
        <w:r w:rsidRPr="00265952">
          <w:rPr>
            <w:rStyle w:val="Hyperlink"/>
            <w:szCs w:val="18"/>
          </w:rPr>
          <w:t>https://www.health.gov.au/sites/default/files/documents/2022/06/national-aboriginal-and-torres-strait-islander-health-plan-2021-2031.pdf</w:t>
        </w:r>
      </w:hyperlink>
      <w:r>
        <w:t xml:space="preserve"> </w:t>
      </w:r>
    </w:p>
  </w:footnote>
  <w:footnote w:id="19">
    <w:p w14:paraId="1A77D7BC" w14:textId="77777777" w:rsidR="004D7B74" w:rsidRPr="008B7B09" w:rsidRDefault="004D7B74" w:rsidP="00DB198D">
      <w:pPr>
        <w:pStyle w:val="FootnoteText"/>
      </w:pPr>
      <w:r w:rsidRPr="008B7B09">
        <w:rPr>
          <w:rStyle w:val="FootnoteReference"/>
          <w:szCs w:val="18"/>
        </w:rPr>
        <w:footnoteRef/>
      </w:r>
      <w:r w:rsidRPr="008B7B09">
        <w:t xml:space="preserve"> Medical Benefits Scheme claims data (based on date of service).</w:t>
      </w:r>
    </w:p>
  </w:footnote>
  <w:footnote w:id="20">
    <w:p w14:paraId="029C0F75" w14:textId="77777777" w:rsidR="004D7B74" w:rsidRPr="008B7B09" w:rsidRDefault="004D7B74" w:rsidP="00DB198D">
      <w:pPr>
        <w:pStyle w:val="FootnoteText"/>
      </w:pPr>
      <w:r w:rsidRPr="008B7B09">
        <w:rPr>
          <w:rStyle w:val="FootnoteReference"/>
          <w:szCs w:val="18"/>
        </w:rPr>
        <w:footnoteRef/>
      </w:r>
      <w:r w:rsidRPr="008B7B09">
        <w:t xml:space="preserve"> National Health Workforce Datasets (NHWDS), Medical Practitioners.</w:t>
      </w:r>
    </w:p>
  </w:footnote>
  <w:footnote w:id="21">
    <w:p w14:paraId="3809ABE9" w14:textId="77777777" w:rsidR="004D7B74" w:rsidRPr="008B7B09" w:rsidRDefault="004D7B74" w:rsidP="00DB198D">
      <w:pPr>
        <w:pStyle w:val="FootnoteText"/>
      </w:pPr>
      <w:r w:rsidRPr="008B7B09">
        <w:rPr>
          <w:rStyle w:val="FootnoteReference"/>
          <w:szCs w:val="18"/>
        </w:rPr>
        <w:footnoteRef/>
      </w:r>
      <w:r w:rsidRPr="008B7B09">
        <w:t xml:space="preserve"> NHWDS, Nurses and Midwives</w:t>
      </w:r>
      <w:r>
        <w:t>.</w:t>
      </w:r>
    </w:p>
  </w:footnote>
  <w:footnote w:id="22">
    <w:p w14:paraId="6614CA28" w14:textId="77777777" w:rsidR="004D7B74" w:rsidRPr="008B7B09" w:rsidRDefault="004D7B74" w:rsidP="00DB198D">
      <w:pPr>
        <w:pStyle w:val="FootnoteText"/>
      </w:pPr>
      <w:r w:rsidRPr="008B7B09">
        <w:rPr>
          <w:rStyle w:val="FootnoteReference"/>
          <w:szCs w:val="18"/>
        </w:rPr>
        <w:footnoteRef/>
      </w:r>
      <w:r w:rsidRPr="008B7B09">
        <w:t xml:space="preserve"> NHWDS, Allied Health</w:t>
      </w:r>
    </w:p>
  </w:footnote>
  <w:footnote w:id="23">
    <w:p w14:paraId="469C606F" w14:textId="77777777" w:rsidR="004D7B74" w:rsidRPr="008B7B09" w:rsidRDefault="004D7B74" w:rsidP="00DB198D">
      <w:pPr>
        <w:pStyle w:val="FootnoteText"/>
      </w:pPr>
      <w:r w:rsidRPr="008B7B09">
        <w:rPr>
          <w:rStyle w:val="FootnoteReference"/>
          <w:szCs w:val="18"/>
        </w:rPr>
        <w:footnoteRef/>
      </w:r>
      <w:r w:rsidRPr="008B7B09">
        <w:t xml:space="preserve"> Australian General Practice Training Program data and Rural Vocational Training Scheme data.</w:t>
      </w:r>
    </w:p>
  </w:footnote>
  <w:footnote w:id="24">
    <w:p w14:paraId="782C5E7C" w14:textId="6F164C63" w:rsidR="004D7B74" w:rsidRPr="004D05B1" w:rsidRDefault="004D7B74" w:rsidP="00DB198D">
      <w:pPr>
        <w:pStyle w:val="FootnoteText"/>
      </w:pPr>
      <w:r w:rsidRPr="004D05B1">
        <w:rPr>
          <w:rStyle w:val="FootnoteReference"/>
          <w:szCs w:val="18"/>
        </w:rPr>
        <w:footnoteRef/>
      </w:r>
      <w:r w:rsidRPr="004D05B1">
        <w:t xml:space="preserve"> Since publishing the 2024–25 P</w:t>
      </w:r>
      <w:r w:rsidR="004D05B1" w:rsidRPr="004D05B1">
        <w:t xml:space="preserve">ortfolio </w:t>
      </w:r>
      <w:r w:rsidRPr="004D05B1">
        <w:t>B</w:t>
      </w:r>
      <w:r w:rsidR="004D05B1" w:rsidRPr="004D05B1">
        <w:t xml:space="preserve">udget </w:t>
      </w:r>
      <w:r w:rsidRPr="004D05B1">
        <w:t>S</w:t>
      </w:r>
      <w:r w:rsidR="004D05B1" w:rsidRPr="004D05B1">
        <w:t>tatements</w:t>
      </w:r>
      <w:r w:rsidRPr="004D05B1">
        <w:t>, further work has been undertaken to determine specific quantifiable targets to measure against.</w:t>
      </w:r>
    </w:p>
  </w:footnote>
  <w:footnote w:id="25">
    <w:p w14:paraId="05A6B548" w14:textId="77777777" w:rsidR="00D208E2" w:rsidRPr="00400552" w:rsidRDefault="00D208E2" w:rsidP="00DB198D">
      <w:pPr>
        <w:pStyle w:val="FootnoteText"/>
      </w:pPr>
      <w:r w:rsidRPr="00400552">
        <w:rPr>
          <w:rStyle w:val="FootnoteReference"/>
          <w:szCs w:val="18"/>
        </w:rPr>
        <w:footnoteRef/>
      </w:r>
      <w:r w:rsidRPr="00400552">
        <w:t xml:space="preserve"> </w:t>
      </w:r>
      <w:r>
        <w:t>A new program, t</w:t>
      </w:r>
      <w:r w:rsidRPr="00400552">
        <w:t>he National Lung Cancer Screening Program</w:t>
      </w:r>
      <w:r>
        <w:t>,</w:t>
      </w:r>
      <w:r w:rsidRPr="00400552">
        <w:t xml:space="preserve"> will be available from July 2025.</w:t>
      </w:r>
    </w:p>
  </w:footnote>
  <w:footnote w:id="26">
    <w:p w14:paraId="6090BE89" w14:textId="77777777" w:rsidR="004D7B74" w:rsidRDefault="004D7B74" w:rsidP="00DB198D">
      <w:pPr>
        <w:pStyle w:val="FootnoteText"/>
      </w:pPr>
      <w:r w:rsidRPr="00400552">
        <w:rPr>
          <w:rStyle w:val="FootnoteReference"/>
          <w:szCs w:val="18"/>
        </w:rPr>
        <w:footnoteRef/>
      </w:r>
      <w:r w:rsidRPr="00400552">
        <w:t xml:space="preserve"> Available at: </w:t>
      </w:r>
      <w:hyperlink r:id="rId14" w:history="1">
        <w:r w:rsidRPr="00265952">
          <w:rPr>
            <w:rStyle w:val="Hyperlink"/>
            <w:szCs w:val="18"/>
          </w:rPr>
          <w:t>https://www.health.gov.au/sites/default/files/2023-11/national-strategy-for-the-elimination-of-cervical-cancer-in-australia.pdf</w:t>
        </w:r>
      </w:hyperlink>
      <w:r>
        <w:t xml:space="preserve"> </w:t>
      </w:r>
    </w:p>
  </w:footnote>
  <w:footnote w:id="27">
    <w:p w14:paraId="2BEA6E94" w14:textId="77777777" w:rsidR="004D7B74" w:rsidRPr="00400552" w:rsidRDefault="004D7B74" w:rsidP="00DB198D">
      <w:pPr>
        <w:pStyle w:val="FootnoteText"/>
      </w:pPr>
      <w:r w:rsidRPr="00400552">
        <w:rPr>
          <w:rStyle w:val="FootnoteReference"/>
          <w:szCs w:val="18"/>
        </w:rPr>
        <w:footnoteRef/>
      </w:r>
      <w:r w:rsidRPr="00400552">
        <w:t xml:space="preserve"> The department is currently working with stakeholders to develop more timely measures of </w:t>
      </w:r>
      <w:r>
        <w:t>p</w:t>
      </w:r>
      <w:r w:rsidRPr="00400552">
        <w:t xml:space="preserve">rogram performance. The </w:t>
      </w:r>
      <w:proofErr w:type="spellStart"/>
      <w:r w:rsidRPr="00400552">
        <w:t>BreastScreen</w:t>
      </w:r>
      <w:proofErr w:type="spellEnd"/>
      <w:r w:rsidRPr="00400552">
        <w:t xml:space="preserve"> Australia Program as data is managed by jurisdictions and reported directly to the AIHW.</w:t>
      </w:r>
    </w:p>
  </w:footnote>
  <w:footnote w:id="28">
    <w:p w14:paraId="5BA0F151" w14:textId="0474A420" w:rsidR="004D7B74" w:rsidRPr="00400552" w:rsidRDefault="004D7B74" w:rsidP="00DB198D">
      <w:pPr>
        <w:pStyle w:val="FootnoteText"/>
        <w:rPr>
          <w:rFonts w:cs="Arial"/>
        </w:rPr>
      </w:pPr>
      <w:r w:rsidRPr="00400552">
        <w:rPr>
          <w:rStyle w:val="FootnoteReference"/>
          <w:rFonts w:cs="Arial"/>
          <w:szCs w:val="18"/>
        </w:rPr>
        <w:footnoteRef/>
      </w:r>
      <w:r w:rsidRPr="00400552">
        <w:rPr>
          <w:rFonts w:cs="Arial"/>
        </w:rPr>
        <w:t xml:space="preserve"> </w:t>
      </w:r>
      <w:bookmarkStart w:id="106" w:name="_Hlk170208421"/>
      <w:r w:rsidRPr="0069632F">
        <w:rPr>
          <w:rFonts w:cs="Arial"/>
        </w:rPr>
        <w:t>The National Bowel Cancer Screening Program allowed people aged 45</w:t>
      </w:r>
      <w:r w:rsidR="00937AE1">
        <w:rPr>
          <w:rFonts w:cs="Arial"/>
        </w:rPr>
        <w:t xml:space="preserve"> to </w:t>
      </w:r>
      <w:r w:rsidRPr="0069632F">
        <w:rPr>
          <w:rFonts w:cs="Arial"/>
        </w:rPr>
        <w:t>49 years to participate in the program on request from 1 July 2024. However, this age cohort is excluded from the participation rate calculation as they are not automatically invited to participate as is the case for people aged 50</w:t>
      </w:r>
      <w:r w:rsidR="00937AE1">
        <w:rPr>
          <w:rFonts w:cs="Arial"/>
        </w:rPr>
        <w:t xml:space="preserve"> to </w:t>
      </w:r>
      <w:r w:rsidRPr="0069632F">
        <w:rPr>
          <w:rFonts w:cs="Arial"/>
        </w:rPr>
        <w:t>74 years. Participation of this cohort will be measured by the number of kits returned as a proportion of kits requested.</w:t>
      </w:r>
    </w:p>
    <w:bookmarkEnd w:id="106"/>
  </w:footnote>
  <w:footnote w:id="29">
    <w:p w14:paraId="48568A31" w14:textId="1D218A68" w:rsidR="004D7B74" w:rsidRPr="00400552" w:rsidRDefault="004D7B74" w:rsidP="00DB198D">
      <w:pPr>
        <w:pStyle w:val="FootnoteText"/>
      </w:pPr>
      <w:r w:rsidRPr="00400552">
        <w:rPr>
          <w:rStyle w:val="FootnoteReference"/>
          <w:szCs w:val="18"/>
        </w:rPr>
        <w:footnoteRef/>
      </w:r>
      <w:r w:rsidRPr="00400552">
        <w:t xml:space="preserve"> Ibid</w:t>
      </w:r>
      <w:r w:rsidR="00937AE1">
        <w:t>.</w:t>
      </w:r>
    </w:p>
  </w:footnote>
  <w:footnote w:id="30">
    <w:p w14:paraId="3B004481" w14:textId="2AC777FF" w:rsidR="004D7B74" w:rsidRPr="00C337F2" w:rsidRDefault="004D7B74" w:rsidP="00DB198D">
      <w:pPr>
        <w:pStyle w:val="FootnoteText"/>
      </w:pPr>
      <w:r w:rsidRPr="00400552">
        <w:rPr>
          <w:rStyle w:val="FootnoteReference"/>
          <w:szCs w:val="18"/>
        </w:rPr>
        <w:footnoteRef/>
      </w:r>
      <w:r w:rsidRPr="00400552">
        <w:t xml:space="preserve"> Ibid</w:t>
      </w:r>
      <w:r w:rsidR="00937AE1">
        <w:t>.</w:t>
      </w:r>
    </w:p>
  </w:footnote>
  <w:footnote w:id="31">
    <w:p w14:paraId="1450E660" w14:textId="41533EAA" w:rsidR="004D7B74" w:rsidRPr="00C337F2" w:rsidRDefault="004D7B74" w:rsidP="00DB198D">
      <w:pPr>
        <w:pStyle w:val="FootnoteText"/>
      </w:pPr>
      <w:r w:rsidRPr="00C337F2">
        <w:rPr>
          <w:rStyle w:val="FootnoteReference"/>
          <w:szCs w:val="18"/>
        </w:rPr>
        <w:footnoteRef/>
      </w:r>
      <w:r w:rsidRPr="00C337F2">
        <w:t xml:space="preserve"> Ibid</w:t>
      </w:r>
      <w:r w:rsidR="00937AE1">
        <w:t>.</w:t>
      </w:r>
    </w:p>
  </w:footnote>
  <w:footnote w:id="32">
    <w:p w14:paraId="37B37EE4" w14:textId="037146AE" w:rsidR="00C57641" w:rsidRPr="005B7AC5" w:rsidRDefault="00C57641" w:rsidP="00DB198D">
      <w:pPr>
        <w:pStyle w:val="FootnoteText"/>
      </w:pPr>
      <w:r w:rsidRPr="005B7AC5">
        <w:rPr>
          <w:rStyle w:val="FootnoteReference"/>
          <w:szCs w:val="18"/>
        </w:rPr>
        <w:footnoteRef/>
      </w:r>
      <w:r w:rsidRPr="005B7AC5">
        <w:t xml:space="preserve"> Available at: </w:t>
      </w:r>
      <w:hyperlink r:id="rId15" w:history="1">
        <w:r w:rsidR="00937AE1" w:rsidRPr="002D0D8F">
          <w:rPr>
            <w:rStyle w:val="Hyperlink"/>
            <w:szCs w:val="18"/>
          </w:rPr>
          <w:t>https://www.health.gov.au/sites/default/files/documents/2021/12/national-preventive-health-strategy-2021-2030_1.pdf</w:t>
        </w:r>
      </w:hyperlink>
      <w:r w:rsidR="00937AE1">
        <w:t xml:space="preserve"> </w:t>
      </w:r>
    </w:p>
  </w:footnote>
  <w:footnote w:id="33">
    <w:p w14:paraId="06F308F2" w14:textId="0B7EDE44" w:rsidR="00C57641" w:rsidRDefault="00C57641" w:rsidP="00DB198D">
      <w:pPr>
        <w:pStyle w:val="FootnoteText"/>
      </w:pPr>
      <w:r w:rsidRPr="005B7AC5">
        <w:rPr>
          <w:rStyle w:val="FootnoteReference"/>
          <w:szCs w:val="18"/>
        </w:rPr>
        <w:footnoteRef/>
      </w:r>
      <w:r w:rsidRPr="005B7AC5">
        <w:t xml:space="preserve"> Available at: </w:t>
      </w:r>
      <w:hyperlink r:id="rId16" w:history="1">
        <w:r w:rsidR="00937AE1" w:rsidRPr="002D0D8F">
          <w:rPr>
            <w:rStyle w:val="Hyperlink"/>
            <w:szCs w:val="18"/>
          </w:rPr>
          <w:t>https://www.health.gov.au/sites/default/files/documents/2022/03/national-obesity-strategy-2022-2032_0.pdf</w:t>
        </w:r>
      </w:hyperlink>
      <w:r w:rsidR="00937AE1">
        <w:t xml:space="preserve"> </w:t>
      </w:r>
    </w:p>
  </w:footnote>
  <w:footnote w:id="34">
    <w:p w14:paraId="1970D0CB" w14:textId="77777777" w:rsidR="00EE6012" w:rsidRDefault="00EE6012" w:rsidP="00DB198D">
      <w:pPr>
        <w:pStyle w:val="FootnoteText"/>
      </w:pPr>
      <w:r w:rsidRPr="009C2EA0">
        <w:rPr>
          <w:rStyle w:val="FootnoteReference"/>
          <w:szCs w:val="18"/>
        </w:rPr>
        <w:footnoteRef/>
      </w:r>
      <w:r w:rsidRPr="009C2EA0">
        <w:t xml:space="preserve"> Available at:</w:t>
      </w:r>
      <w:r>
        <w:t xml:space="preserve"> </w:t>
      </w:r>
      <w:hyperlink r:id="rId17" w:history="1">
        <w:r w:rsidRPr="00265952">
          <w:rPr>
            <w:rStyle w:val="Hyperlink"/>
            <w:szCs w:val="18"/>
          </w:rPr>
          <w:t>https://meteor.aihw.gov.au/content/740851</w:t>
        </w:r>
      </w:hyperlink>
      <w:r>
        <w:t xml:space="preserve"> </w:t>
      </w:r>
    </w:p>
  </w:footnote>
  <w:footnote w:id="35">
    <w:p w14:paraId="26D61CB9" w14:textId="78288412" w:rsidR="00A02A8D" w:rsidRDefault="00A02A8D" w:rsidP="00DB198D">
      <w:pPr>
        <w:pStyle w:val="FootnoteText"/>
      </w:pPr>
      <w:r w:rsidRPr="00A02A8D">
        <w:rPr>
          <w:rStyle w:val="FootnoteReference"/>
          <w:szCs w:val="18"/>
        </w:rPr>
        <w:footnoteRef/>
      </w:r>
      <w:r w:rsidRPr="00A02A8D">
        <w:t xml:space="preserve"> The inclusion of this new key activity</w:t>
      </w:r>
      <w:r w:rsidR="003D2E0C">
        <w:t xml:space="preserve"> and subsequent performance measures</w:t>
      </w:r>
      <w:r w:rsidRPr="00A02A8D">
        <w:t xml:space="preserve"> aims to </w:t>
      </w:r>
      <w:r w:rsidR="00015943">
        <w:t xml:space="preserve">further expand </w:t>
      </w:r>
      <w:r w:rsidR="007D3A97">
        <w:t xml:space="preserve">on the Program Objective. </w:t>
      </w:r>
    </w:p>
  </w:footnote>
  <w:footnote w:id="36">
    <w:p w14:paraId="16E2C87A" w14:textId="77777777" w:rsidR="004D7B74" w:rsidRPr="00C47718" w:rsidRDefault="004D7B74" w:rsidP="00DB198D">
      <w:pPr>
        <w:pStyle w:val="FootnoteText"/>
      </w:pPr>
      <w:r w:rsidRPr="00C47718">
        <w:rPr>
          <w:rStyle w:val="FootnoteReference"/>
          <w:szCs w:val="18"/>
        </w:rPr>
        <w:footnoteRef/>
      </w:r>
      <w:r w:rsidRPr="00C47718">
        <w:t xml:space="preserve"> </w:t>
      </w:r>
      <w:r w:rsidRPr="00C47718">
        <w:rPr>
          <w:rFonts w:eastAsia="Malgun Gothic"/>
          <w:lang w:eastAsia="en-AU"/>
        </w:rPr>
        <w:t>Total calls received refers to number of calls that complete the welcome message and is successfully queued to talk to a triage nurse</w:t>
      </w:r>
      <w:r>
        <w:rPr>
          <w:rFonts w:eastAsia="Malgun Gothic"/>
          <w:lang w:eastAsia="en-AU"/>
        </w:rPr>
        <w:t>.</w:t>
      </w:r>
    </w:p>
  </w:footnote>
  <w:footnote w:id="37">
    <w:p w14:paraId="1531A7D8" w14:textId="77777777" w:rsidR="004D7B74" w:rsidRPr="000B5B2A" w:rsidRDefault="004D7B74" w:rsidP="00DB198D">
      <w:pPr>
        <w:pStyle w:val="FootnoteText"/>
      </w:pPr>
      <w:r w:rsidRPr="000B5B2A">
        <w:rPr>
          <w:rStyle w:val="FootnoteReference"/>
          <w:szCs w:val="18"/>
        </w:rPr>
        <w:footnoteRef/>
      </w:r>
      <w:r w:rsidRPr="000B5B2A">
        <w:t xml:space="preserve"> Pending final recommendations of the Review of General Practice Incentives. The outcomes of the review will inform the future of PIP QI.</w:t>
      </w:r>
    </w:p>
  </w:footnote>
  <w:footnote w:id="38">
    <w:p w14:paraId="2D00D3CD" w14:textId="7177C271" w:rsidR="004D7B74" w:rsidRDefault="004D7B74" w:rsidP="00DB198D">
      <w:pPr>
        <w:pStyle w:val="FootnoteText"/>
      </w:pPr>
      <w:r w:rsidRPr="00232515">
        <w:rPr>
          <w:rStyle w:val="FootnoteReference"/>
          <w:szCs w:val="18"/>
        </w:rPr>
        <w:footnoteRef/>
      </w:r>
      <w:r w:rsidRPr="00232515">
        <w:t xml:space="preserve"> Available at: </w:t>
      </w:r>
      <w:hyperlink r:id="rId18" w:history="1">
        <w:r w:rsidR="00937AE1" w:rsidRPr="002D0D8F">
          <w:rPr>
            <w:rStyle w:val="Hyperlink"/>
            <w:szCs w:val="18"/>
          </w:rPr>
          <w:t>https://www.health.gov.au/resources/collections/medical-indemnity-universal-cover-annual-reports?language=en</w:t>
        </w:r>
      </w:hyperlink>
      <w:r w:rsidR="00937AE1">
        <w:t xml:space="preserve"> </w:t>
      </w:r>
    </w:p>
  </w:footnote>
  <w:footnote w:id="39">
    <w:p w14:paraId="13CA1A25" w14:textId="77777777" w:rsidR="004D7B74" w:rsidRPr="00360D72" w:rsidRDefault="004D7B74" w:rsidP="00DB198D">
      <w:pPr>
        <w:pStyle w:val="FootnoteText"/>
      </w:pPr>
      <w:r w:rsidRPr="00360D72">
        <w:rPr>
          <w:rStyle w:val="FootnoteReference"/>
          <w:szCs w:val="18"/>
        </w:rPr>
        <w:footnoteRef/>
      </w:r>
      <w:r w:rsidRPr="00360D72">
        <w:t xml:space="preserve"> The Department is currently reviewing key activities under </w:t>
      </w:r>
      <w:r>
        <w:t>Program</w:t>
      </w:r>
      <w:r w:rsidRPr="00360D72">
        <w:t xml:space="preserve"> 1.8 to better capture the work of the </w:t>
      </w:r>
      <w:r>
        <w:t>I</w:t>
      </w:r>
      <w:r w:rsidRPr="00360D72">
        <w:t>nterim Australian C</w:t>
      </w:r>
      <w:r>
        <w:t xml:space="preserve">entre for </w:t>
      </w:r>
      <w:r w:rsidRPr="00360D72">
        <w:t>D</w:t>
      </w:r>
      <w:r>
        <w:t xml:space="preserve">isease </w:t>
      </w:r>
      <w:r w:rsidRPr="00360D72">
        <w:t>C</w:t>
      </w:r>
      <w:r>
        <w:t>ontrol, which was established on 1 January 2024</w:t>
      </w:r>
      <w:r w:rsidRPr="00360D72">
        <w:t>.</w:t>
      </w:r>
    </w:p>
  </w:footnote>
  <w:footnote w:id="40">
    <w:p w14:paraId="4B59B989" w14:textId="77777777" w:rsidR="004D7B74" w:rsidRPr="003450FE" w:rsidRDefault="004D7B74" w:rsidP="00DB198D">
      <w:pPr>
        <w:pStyle w:val="FootnoteText"/>
      </w:pPr>
      <w:r w:rsidRPr="003450FE">
        <w:rPr>
          <w:rStyle w:val="FootnoteReference"/>
          <w:szCs w:val="18"/>
        </w:rPr>
        <w:footnoteRef/>
      </w:r>
      <w:r w:rsidRPr="003450FE">
        <w:t xml:space="preserve"> The planned performance results have been amended since the release of the 2024–25 Portfolio Budget Statements (previously 100%) to </w:t>
      </w:r>
      <w:r w:rsidRPr="003450FE">
        <w:rPr>
          <w:rFonts w:cs="Arial"/>
        </w:rPr>
        <w:t>capture the actuals of the data reported under this program and to reflect this reportable data accurately.</w:t>
      </w:r>
    </w:p>
  </w:footnote>
  <w:footnote w:id="41">
    <w:p w14:paraId="4C2F8A2C" w14:textId="77777777" w:rsidR="004D7B74" w:rsidRDefault="004D7B74" w:rsidP="00DB198D">
      <w:pPr>
        <w:pStyle w:val="FootnoteText"/>
      </w:pPr>
      <w:r w:rsidRPr="007542F8">
        <w:rPr>
          <w:rStyle w:val="FootnoteReference"/>
          <w:szCs w:val="18"/>
        </w:rPr>
        <w:footnoteRef/>
      </w:r>
      <w:r w:rsidRPr="007542F8">
        <w:t xml:space="preserve"> The Key Activity has been amended since the release of the 2024–25 Portfolio Budget Statements to better capture the breadth of the work being undertaken against this measure.</w:t>
      </w:r>
      <w:r w:rsidRPr="003855CC">
        <w:rPr>
          <w:rFonts w:ascii="Malgun Gothic" w:hAnsi="Malgun Gothic" w:cs="Times New Roman"/>
        </w:rPr>
        <w:t xml:space="preserve"> </w:t>
      </w:r>
      <w:r>
        <w:t xml:space="preserve"> </w:t>
      </w:r>
      <w:r w:rsidRPr="007542F8">
        <w:t xml:space="preserve"> </w:t>
      </w:r>
    </w:p>
  </w:footnote>
  <w:footnote w:id="42">
    <w:p w14:paraId="321E4F82" w14:textId="328D5653" w:rsidR="004D7B74" w:rsidRPr="00DB198D" w:rsidRDefault="004D7B74" w:rsidP="00DB198D">
      <w:pPr>
        <w:pStyle w:val="FootnoteText"/>
        <w:rPr>
          <w:rFonts w:cs="Arial"/>
        </w:rPr>
      </w:pPr>
      <w:r w:rsidRPr="00603B39">
        <w:rPr>
          <w:rStyle w:val="FootnoteReference"/>
          <w:rFonts w:cs="Arial"/>
          <w:szCs w:val="18"/>
        </w:rPr>
        <w:footnoteRef/>
      </w:r>
      <w:r w:rsidRPr="00603B39">
        <w:rPr>
          <w:rFonts w:cs="Arial"/>
        </w:rPr>
        <w:t xml:space="preserve"> The addition of 'Proportion of …' provides further clarity that the performance results are reported as a percentage of risk assessments, meeting statutory timeframes.</w:t>
      </w:r>
    </w:p>
  </w:footnote>
  <w:footnote w:id="43">
    <w:p w14:paraId="7D1F94CE" w14:textId="77777777" w:rsidR="00EE6012" w:rsidRPr="0094147E" w:rsidRDefault="00EE6012" w:rsidP="00DB198D">
      <w:pPr>
        <w:pStyle w:val="FootnoteText"/>
      </w:pPr>
      <w:r w:rsidRPr="00232515">
        <w:rPr>
          <w:rStyle w:val="FootnoteReference"/>
          <w:rFonts w:cs="Arial"/>
          <w:szCs w:val="18"/>
        </w:rPr>
        <w:footnoteRef/>
      </w:r>
      <w:r w:rsidRPr="00232515">
        <w:t xml:space="preserve"> The wording of this performance measure has </w:t>
      </w:r>
      <w:r w:rsidRPr="00232515">
        <w:rPr>
          <w:color w:val="000000" w:themeColor="text1"/>
        </w:rPr>
        <w:t>slightly changed since the release of the 2024</w:t>
      </w:r>
      <w:r w:rsidRPr="00127D3F">
        <w:rPr>
          <w:color w:val="000000" w:themeColor="text1"/>
        </w:rPr>
        <w:t>–</w:t>
      </w:r>
      <w:r w:rsidRPr="00232515">
        <w:rPr>
          <w:color w:val="000000" w:themeColor="text1"/>
        </w:rPr>
        <w:t xml:space="preserve">25 Portfolio Budget Statements to more precisely </w:t>
      </w:r>
      <w:r w:rsidRPr="00232515">
        <w:t xml:space="preserve">reflect that the gap to be closed is the gap between immunisation coverage rates of First Nations children and non-First Nations children. </w:t>
      </w:r>
    </w:p>
  </w:footnote>
  <w:footnote w:id="44">
    <w:p w14:paraId="6DFB60CD" w14:textId="77777777" w:rsidR="004D7B74" w:rsidRPr="00F83A69" w:rsidRDefault="004D7B74" w:rsidP="00DB198D">
      <w:pPr>
        <w:pStyle w:val="FootnoteText"/>
      </w:pPr>
      <w:r w:rsidRPr="001B6E7C">
        <w:rPr>
          <w:rStyle w:val="FootnoteReference"/>
          <w:szCs w:val="18"/>
        </w:rPr>
        <w:footnoteRef/>
      </w:r>
      <w:r w:rsidRPr="00F83A69">
        <w:t xml:space="preserve"> Active clients refer to the number of current voucher holders that have accessed one or more program services during the year. </w:t>
      </w:r>
    </w:p>
  </w:footnote>
  <w:footnote w:id="45">
    <w:p w14:paraId="559915C9" w14:textId="74EC3769" w:rsidR="00937AE1" w:rsidRPr="00F83A69" w:rsidRDefault="00937AE1" w:rsidP="00DB198D">
      <w:pPr>
        <w:pStyle w:val="FootnoteText"/>
      </w:pPr>
      <w:r w:rsidRPr="00F83A69">
        <w:rPr>
          <w:rStyle w:val="FootnoteReference"/>
          <w:szCs w:val="18"/>
        </w:rPr>
        <w:footnoteRef/>
      </w:r>
      <w:r w:rsidRPr="00F83A69">
        <w:t xml:space="preserve"> Available at: </w:t>
      </w:r>
      <w:hyperlink r:id="rId19" w:history="1">
        <w:r w:rsidRPr="002D0D8F">
          <w:rPr>
            <w:rStyle w:val="Hyperlink"/>
            <w:szCs w:val="18"/>
          </w:rPr>
          <w:t>https://www.legislation.gov.au/Details/F2023N00172</w:t>
        </w:r>
      </w:hyperlink>
      <w:r>
        <w:t xml:space="preserve"> </w:t>
      </w:r>
    </w:p>
  </w:footnote>
  <w:footnote w:id="46">
    <w:p w14:paraId="066EE3D8" w14:textId="77777777" w:rsidR="004D7B74" w:rsidRPr="005245B6" w:rsidRDefault="004D7B74" w:rsidP="00DB198D">
      <w:pPr>
        <w:pStyle w:val="FootnoteText"/>
      </w:pPr>
      <w:r w:rsidRPr="005245B6">
        <w:rPr>
          <w:rStyle w:val="FootnoteReference"/>
          <w:szCs w:val="18"/>
        </w:rPr>
        <w:footnoteRef/>
      </w:r>
      <w:r w:rsidRPr="005245B6">
        <w:t xml:space="preserve"> Available at: </w:t>
      </w:r>
      <w:hyperlink r:id="rId20" w:history="1">
        <w:r w:rsidRPr="005245B6">
          <w:rPr>
            <w:rStyle w:val="Hyperlink"/>
            <w:szCs w:val="18"/>
          </w:rPr>
          <w:t>https://www.pbs.gov.au/medicinestatus/home.html</w:t>
        </w:r>
      </w:hyperlink>
    </w:p>
  </w:footnote>
  <w:footnote w:id="47">
    <w:p w14:paraId="65C7AB92" w14:textId="77777777" w:rsidR="00D36EE5" w:rsidRPr="005245B6" w:rsidRDefault="00D36EE5" w:rsidP="00DB198D">
      <w:pPr>
        <w:pStyle w:val="FootnoteText"/>
      </w:pPr>
      <w:r>
        <w:rPr>
          <w:rStyle w:val="FootnoteReference"/>
        </w:rPr>
        <w:footnoteRef/>
      </w:r>
      <w:r>
        <w:t xml:space="preserve"> </w:t>
      </w:r>
      <w:r w:rsidRPr="005245B6">
        <w:t xml:space="preserve">Available at: </w:t>
      </w:r>
      <w:hyperlink r:id="rId21" w:history="1">
        <w:r w:rsidRPr="005245B6">
          <w:rPr>
            <w:rStyle w:val="Hyperlink"/>
            <w:szCs w:val="18"/>
          </w:rPr>
          <w:t>https://www.pbs.gov.au/info/industry/listing/elements/pbac-meetings</w:t>
        </w:r>
      </w:hyperlink>
      <w:r w:rsidRPr="005245B6">
        <w:t xml:space="preserve"> </w:t>
      </w:r>
    </w:p>
  </w:footnote>
  <w:footnote w:id="48">
    <w:p w14:paraId="2BDE4B84" w14:textId="02C7374A" w:rsidR="002B4D10" w:rsidRPr="00F774C3" w:rsidRDefault="002B4D10" w:rsidP="00DB198D">
      <w:pPr>
        <w:pStyle w:val="FootnoteText"/>
      </w:pPr>
      <w:r w:rsidRPr="00EE3C36">
        <w:rPr>
          <w:rStyle w:val="FootnoteReference"/>
          <w:szCs w:val="18"/>
        </w:rPr>
        <w:footnoteRef/>
      </w:r>
      <w:r w:rsidRPr="00EE3C36">
        <w:t xml:space="preserve"> </w:t>
      </w:r>
      <w:r w:rsidRPr="00F774C3">
        <w:rPr>
          <w:sz w:val="16"/>
          <w:szCs w:val="16"/>
        </w:rPr>
        <w:t>Patients means CDBS eligible children who have at least one CDBS claim having a date of service in the relevant financial year. Because this figure relies on claims data as at date of service, claims made after June 2024 will not be captured in reporting even if the services was rendered in 2023-24. Children who make multiple claims in the period are counted once. Data is collected by Services Australia and extracted using the department's Enterprise Data Warehouse.</w:t>
      </w:r>
    </w:p>
  </w:footnote>
  <w:footnote w:id="49">
    <w:p w14:paraId="445BBC22" w14:textId="40123BC4" w:rsidR="002B4D10" w:rsidRPr="00F774C3" w:rsidRDefault="002B4D10" w:rsidP="00DB198D">
      <w:pPr>
        <w:pStyle w:val="FootnoteText"/>
      </w:pPr>
      <w:r w:rsidRPr="00EE3C36">
        <w:rPr>
          <w:rStyle w:val="FootnoteReference"/>
          <w:szCs w:val="18"/>
        </w:rPr>
        <w:footnoteRef/>
      </w:r>
      <w:r w:rsidRPr="00F774C3">
        <w:rPr>
          <w:sz w:val="16"/>
          <w:szCs w:val="16"/>
        </w:rPr>
        <w:t xml:space="preserve"> Eligible notified children mean the number of children who have been assessed as being eligible for the CDBS and have been notified of their eligibility by Services Australia in the relevant </w:t>
      </w:r>
      <w:proofErr w:type="gramStart"/>
      <w:r w:rsidRPr="00F774C3">
        <w:rPr>
          <w:sz w:val="16"/>
          <w:szCs w:val="16"/>
        </w:rPr>
        <w:t>time period</w:t>
      </w:r>
      <w:proofErr w:type="gramEnd"/>
      <w:r w:rsidRPr="00F774C3">
        <w:rPr>
          <w:sz w:val="16"/>
          <w:szCs w:val="16"/>
        </w:rPr>
        <w:t>.</w:t>
      </w:r>
    </w:p>
  </w:footnote>
  <w:footnote w:id="50">
    <w:p w14:paraId="39EB313B" w14:textId="7F4C824A" w:rsidR="004D7B74" w:rsidRDefault="004D7B74" w:rsidP="00DB198D">
      <w:pPr>
        <w:pStyle w:val="FootnoteText"/>
      </w:pPr>
      <w:r w:rsidRPr="00EE3C36">
        <w:rPr>
          <w:rStyle w:val="FootnoteReference"/>
          <w:szCs w:val="18"/>
        </w:rPr>
        <w:footnoteRef/>
      </w:r>
      <w:r w:rsidRPr="00EE3C36">
        <w:t xml:space="preserve"> </w:t>
      </w:r>
      <w:r w:rsidRPr="00F774C3">
        <w:t>The Planned Performance Results for 2024</w:t>
      </w:r>
      <w:r w:rsidR="00EE3C36" w:rsidRPr="00EE3C36">
        <w:t>–</w:t>
      </w:r>
      <w:r w:rsidRPr="00F774C3">
        <w:t>25 have been re-baselined to reflect the recovery of the program following the COVID</w:t>
      </w:r>
      <w:r w:rsidR="00EE3C36">
        <w:t>-</w:t>
      </w:r>
      <w:r w:rsidRPr="00F774C3">
        <w:t>19</w:t>
      </w:r>
      <w:r w:rsidR="00EE3C36">
        <w:t xml:space="preserve"> </w:t>
      </w:r>
      <w:r w:rsidRPr="00F774C3">
        <w:t>pandemic more accurately. Previous planned performance targets were based on the 2017 utilisation rate, which included a projected growth rate of 2.1%. The revised targets reflect the post-pandemic recovery to uptake of the program and retain a 2.1% growth rate. Adjustments to the projected uptake of the CDBS have been reflected in the 2024</w:t>
      </w:r>
      <w:r w:rsidR="00F774C3" w:rsidRPr="00F774C3">
        <w:t>–</w:t>
      </w:r>
      <w:r w:rsidRPr="00F774C3">
        <w:t>25 Budget Estimates Variation.</w:t>
      </w:r>
    </w:p>
  </w:footnote>
  <w:footnote w:id="51">
    <w:p w14:paraId="7CF7BD99" w14:textId="4AF61BA4" w:rsidR="00CB25D5" w:rsidRPr="0074609E" w:rsidRDefault="00CB25D5" w:rsidP="00DB198D">
      <w:pPr>
        <w:pStyle w:val="FootnoteText"/>
        <w:rPr>
          <w:sz w:val="16"/>
          <w:szCs w:val="16"/>
        </w:rPr>
      </w:pPr>
      <w:r w:rsidRPr="0074609E">
        <w:rPr>
          <w:rStyle w:val="FootnoteReference"/>
          <w:sz w:val="16"/>
          <w:szCs w:val="16"/>
        </w:rPr>
        <w:footnoteRef/>
      </w:r>
      <w:r w:rsidRPr="0074609E">
        <w:rPr>
          <w:sz w:val="16"/>
          <w:szCs w:val="16"/>
        </w:rPr>
        <w:t xml:space="preserve"> Ibid</w:t>
      </w:r>
      <w:r w:rsidR="00937AE1">
        <w:rPr>
          <w:sz w:val="16"/>
          <w:szCs w:val="16"/>
        </w:rPr>
        <w:t>.</w:t>
      </w:r>
    </w:p>
  </w:footnote>
  <w:footnote w:id="52">
    <w:p w14:paraId="3BACA3FC" w14:textId="4D29783A" w:rsidR="00CB25D5" w:rsidRDefault="00CB25D5" w:rsidP="00DB198D">
      <w:pPr>
        <w:pStyle w:val="FootnoteText"/>
      </w:pPr>
      <w:r w:rsidRPr="0074609E">
        <w:rPr>
          <w:rStyle w:val="FootnoteReference"/>
          <w:sz w:val="16"/>
          <w:szCs w:val="16"/>
        </w:rPr>
        <w:footnoteRef/>
      </w:r>
      <w:r w:rsidRPr="0074609E">
        <w:rPr>
          <w:sz w:val="16"/>
          <w:szCs w:val="16"/>
        </w:rPr>
        <w:t xml:space="preserve"> Ibid</w:t>
      </w:r>
      <w:r w:rsidR="00937AE1">
        <w:rPr>
          <w:sz w:val="16"/>
          <w:szCs w:val="16"/>
        </w:rPr>
        <w:t>.</w:t>
      </w:r>
    </w:p>
  </w:footnote>
  <w:footnote w:id="53">
    <w:p w14:paraId="0ECC8385" w14:textId="77777777" w:rsidR="004D7B74" w:rsidRPr="00CA2E94" w:rsidRDefault="004D7B74" w:rsidP="00DB198D">
      <w:pPr>
        <w:pStyle w:val="FootnoteText"/>
      </w:pPr>
      <w:r w:rsidRPr="00CA2E94">
        <w:rPr>
          <w:rStyle w:val="FootnoteReference"/>
          <w:szCs w:val="18"/>
        </w:rPr>
        <w:footnoteRef/>
      </w:r>
      <w:r w:rsidRPr="00CA2E94">
        <w:t xml:space="preserve"> This measure has been updated since the 2024</w:t>
      </w:r>
      <w:r w:rsidRPr="00C72013">
        <w:rPr>
          <w:rFonts w:eastAsia="Arial"/>
          <w:spacing w:val="-2"/>
          <w:lang w:val="en-US"/>
        </w:rPr>
        <w:t>–</w:t>
      </w:r>
      <w:r w:rsidRPr="00CA2E94">
        <w:t>25 Portfolio Budget Statements to reflect that the key focus for the scheme is supporting access to products for people with diabetes.</w:t>
      </w:r>
    </w:p>
  </w:footnote>
  <w:footnote w:id="54">
    <w:p w14:paraId="56DE4C0C" w14:textId="77777777" w:rsidR="004D7B74" w:rsidRPr="003C70F5" w:rsidRDefault="004D7B74" w:rsidP="00DB198D">
      <w:pPr>
        <w:pStyle w:val="FootnoteText"/>
        <w:rPr>
          <w:szCs w:val="18"/>
        </w:rPr>
      </w:pPr>
      <w:r w:rsidRPr="003C70F5">
        <w:rPr>
          <w:rStyle w:val="FootnoteReference"/>
          <w:szCs w:val="18"/>
        </w:rPr>
        <w:footnoteRef/>
      </w:r>
      <w:r w:rsidRPr="003C70F5">
        <w:rPr>
          <w:szCs w:val="18"/>
        </w:rPr>
        <w:t xml:space="preserve"> The Planned Performance Results have been updated since the 2024</w:t>
      </w:r>
      <w:r w:rsidRPr="00C72013">
        <w:rPr>
          <w:rFonts w:eastAsia="Arial"/>
          <w:spacing w:val="-2"/>
          <w:lang w:val="en-US"/>
        </w:rPr>
        <w:t>–</w:t>
      </w:r>
      <w:r w:rsidRPr="003C70F5">
        <w:rPr>
          <w:szCs w:val="18"/>
        </w:rPr>
        <w:t>25 Portfolio Budget Statements to align with the NDSS Grant Agreement, where it outlines the requirement that ‘Access to NDSS products is facilitated for more than 750,000 Registrants’.</w:t>
      </w:r>
    </w:p>
  </w:footnote>
  <w:footnote w:id="55">
    <w:p w14:paraId="2918542F" w14:textId="77777777" w:rsidR="004D7B74" w:rsidRDefault="004D7B74" w:rsidP="00DB198D">
      <w:pPr>
        <w:pStyle w:val="FootnoteText"/>
      </w:pPr>
      <w:r w:rsidRPr="00E877C1">
        <w:rPr>
          <w:rStyle w:val="FootnoteReference"/>
          <w:szCs w:val="18"/>
        </w:rPr>
        <w:footnoteRef/>
      </w:r>
      <w:r w:rsidRPr="00E877C1">
        <w:rPr>
          <w:szCs w:val="18"/>
        </w:rPr>
        <w:t xml:space="preserve"> Available at: </w:t>
      </w:r>
      <w:hyperlink r:id="rId22" w:history="1">
        <w:r w:rsidRPr="00265952">
          <w:rPr>
            <w:rStyle w:val="Hyperlink"/>
            <w:szCs w:val="18"/>
          </w:rPr>
          <w:t>https://www.myagedcare.gov.au/</w:t>
        </w:r>
      </w:hyperlink>
      <w:r>
        <w:rPr>
          <w:szCs w:val="18"/>
        </w:rPr>
        <w:t xml:space="preserve"> </w:t>
      </w:r>
    </w:p>
  </w:footnote>
  <w:footnote w:id="56">
    <w:p w14:paraId="2562512A" w14:textId="1F9D89D3" w:rsidR="004D7B74" w:rsidRPr="00AA04D2" w:rsidRDefault="004D7B74" w:rsidP="00DB198D">
      <w:pPr>
        <w:pStyle w:val="FootnoteText"/>
        <w:rPr>
          <w:szCs w:val="18"/>
        </w:rPr>
      </w:pPr>
      <w:r w:rsidRPr="00AA04D2">
        <w:rPr>
          <w:rStyle w:val="FootnoteReference"/>
          <w:szCs w:val="18"/>
        </w:rPr>
        <w:footnoteRef/>
      </w:r>
      <w:r w:rsidRPr="00AA04D2">
        <w:rPr>
          <w:szCs w:val="18"/>
        </w:rPr>
        <w:t xml:space="preserve"> </w:t>
      </w:r>
      <w:r w:rsidRPr="00AA04D2">
        <w:rPr>
          <w:rFonts w:cs="Arial"/>
        </w:rPr>
        <w:t xml:space="preserve">The </w:t>
      </w:r>
      <w:r>
        <w:rPr>
          <w:rFonts w:cs="Arial"/>
        </w:rPr>
        <w:t>Planned Performance Results</w:t>
      </w:r>
      <w:r w:rsidRPr="00AA04D2">
        <w:rPr>
          <w:rFonts w:cs="Arial"/>
        </w:rPr>
        <w:t xml:space="preserve"> for 2024</w:t>
      </w:r>
      <w:r w:rsidR="00CB4BBC" w:rsidRPr="00CB4BBC">
        <w:rPr>
          <w:rFonts w:cs="Arial"/>
        </w:rPr>
        <w:t>–</w:t>
      </w:r>
      <w:r w:rsidRPr="00AA04D2">
        <w:rPr>
          <w:rFonts w:cs="Arial"/>
        </w:rPr>
        <w:t>25 has been adjusted to incorporate a percentage target rather than referencing growth against the previous year. This change has been made so that the target is meaningful when the previous year’s results are not visible.</w:t>
      </w:r>
    </w:p>
  </w:footnote>
  <w:footnote w:id="57">
    <w:p w14:paraId="6E69966F" w14:textId="77777777" w:rsidR="00CB4BBC" w:rsidRDefault="00CB4BBC" w:rsidP="00DB198D">
      <w:pPr>
        <w:pStyle w:val="FootnoteText"/>
      </w:pPr>
      <w:r>
        <w:rPr>
          <w:rStyle w:val="FootnoteReference"/>
        </w:rPr>
        <w:footnoteRef/>
      </w:r>
      <w:r>
        <w:t xml:space="preserve"> </w:t>
      </w:r>
      <w:r w:rsidRPr="00511C09">
        <w:rPr>
          <w:szCs w:val="18"/>
        </w:rPr>
        <w:t xml:space="preserve">Available at: </w:t>
      </w:r>
      <w:hyperlink r:id="rId23" w:history="1">
        <w:r w:rsidRPr="00511C09">
          <w:rPr>
            <w:rStyle w:val="Hyperlink"/>
            <w:szCs w:val="18"/>
          </w:rPr>
          <w:t>https://www.royalcommission.gov.au/aged-care</w:t>
        </w:r>
      </w:hyperlink>
      <w:r>
        <w:rPr>
          <w:szCs w:val="18"/>
        </w:rPr>
        <w:t xml:space="preserve"> </w:t>
      </w:r>
    </w:p>
  </w:footnote>
  <w:footnote w:id="58">
    <w:p w14:paraId="22F28F43" w14:textId="77777777" w:rsidR="004D7B74" w:rsidRPr="00AE217C" w:rsidRDefault="004D7B74" w:rsidP="00DB198D">
      <w:pPr>
        <w:pStyle w:val="FootnoteText"/>
        <w:rPr>
          <w:szCs w:val="18"/>
        </w:rPr>
      </w:pPr>
      <w:r w:rsidRPr="005B5E75">
        <w:rPr>
          <w:rStyle w:val="FootnoteReference"/>
          <w:szCs w:val="18"/>
        </w:rPr>
        <w:footnoteRef/>
      </w:r>
      <w:r w:rsidRPr="005B5E75">
        <w:rPr>
          <w:szCs w:val="18"/>
        </w:rPr>
        <w:t xml:space="preserve"> </w:t>
      </w:r>
      <w:r>
        <w:rPr>
          <w:szCs w:val="18"/>
        </w:rPr>
        <w:t>‘</w:t>
      </w:r>
      <w:r w:rsidRPr="005B5E75">
        <w:rPr>
          <w:szCs w:val="18"/>
        </w:rPr>
        <w:t>Interview facilitator completion</w:t>
      </w:r>
      <w:r>
        <w:rPr>
          <w:szCs w:val="18"/>
        </w:rPr>
        <w:t>’</w:t>
      </w:r>
      <w:r w:rsidRPr="005B5E75">
        <w:rPr>
          <w:szCs w:val="18"/>
        </w:rPr>
        <w:t xml:space="preserve"> </w:t>
      </w:r>
      <w:r>
        <w:rPr>
          <w:szCs w:val="18"/>
        </w:rPr>
        <w:t xml:space="preserve">is when a care recipient requires additional support to complete the survey. The interviewer does not influence the scoring. </w:t>
      </w:r>
    </w:p>
  </w:footnote>
  <w:footnote w:id="59">
    <w:p w14:paraId="2DD57B47" w14:textId="77777777" w:rsidR="005C150F" w:rsidRPr="005B5E75" w:rsidRDefault="005C150F" w:rsidP="00DB198D">
      <w:pPr>
        <w:pStyle w:val="FootnoteText"/>
        <w:rPr>
          <w:szCs w:val="18"/>
        </w:rPr>
      </w:pPr>
      <w:r w:rsidRPr="005B5E75">
        <w:rPr>
          <w:rStyle w:val="FootnoteReference"/>
          <w:szCs w:val="18"/>
        </w:rPr>
        <w:footnoteRef/>
      </w:r>
      <w:r w:rsidRPr="005B5E75">
        <w:rPr>
          <w:szCs w:val="18"/>
        </w:rPr>
        <w:t xml:space="preserve"> ‘Proxy</w:t>
      </w:r>
      <w:r>
        <w:rPr>
          <w:szCs w:val="18"/>
        </w:rPr>
        <w:t xml:space="preserve">-completion’ is when a care recipient is unable to answer on their own behalf. The person acting as the proxy must know the care recipient well and see them regularly and should answer based on their knowledge of the care recipient and their quality of life at the time of survey.  </w:t>
      </w:r>
    </w:p>
  </w:footnote>
  <w:footnote w:id="60">
    <w:p w14:paraId="11D23FC2" w14:textId="77777777" w:rsidR="005C150F" w:rsidRPr="005B5E75" w:rsidRDefault="005C150F" w:rsidP="00DB198D">
      <w:pPr>
        <w:pStyle w:val="FootnoteText"/>
        <w:rPr>
          <w:szCs w:val="18"/>
        </w:rPr>
      </w:pPr>
      <w:r w:rsidRPr="005B5E75">
        <w:rPr>
          <w:rStyle w:val="FootnoteReference"/>
          <w:szCs w:val="18"/>
        </w:rPr>
        <w:footnoteRef/>
      </w:r>
      <w:r w:rsidRPr="005B5E75">
        <w:rPr>
          <w:szCs w:val="18"/>
        </w:rPr>
        <w:t xml:space="preserve"> Available at: </w:t>
      </w:r>
      <w:hyperlink r:id="rId24" w:history="1">
        <w:r w:rsidRPr="00265952">
          <w:rPr>
            <w:rStyle w:val="Hyperlink"/>
            <w:szCs w:val="18"/>
          </w:rPr>
          <w:t>https://www.health.gov.au/sites/default/files/2023-07/department-of-health-and-aged-care-data-strategy-2022-25.pdf</w:t>
        </w:r>
      </w:hyperlink>
      <w:r>
        <w:rPr>
          <w:szCs w:val="18"/>
        </w:rPr>
        <w:t xml:space="preserve"> </w:t>
      </w:r>
    </w:p>
  </w:footnote>
  <w:footnote w:id="61">
    <w:p w14:paraId="21A35588" w14:textId="765ED106" w:rsidR="00BC62F3" w:rsidRDefault="00BC62F3" w:rsidP="00DB198D">
      <w:pPr>
        <w:pStyle w:val="FootnoteText"/>
      </w:pPr>
      <w:r w:rsidRPr="00BC62F3">
        <w:rPr>
          <w:rStyle w:val="FootnoteReference"/>
          <w:szCs w:val="18"/>
        </w:rPr>
        <w:footnoteRef/>
      </w:r>
      <w:r w:rsidRPr="00BC62F3">
        <w:t xml:space="preserve"> Though a measurement baseline has been established in 2023–24, there will not be sufficient data (or supportive data) to support the advertised P</w:t>
      </w:r>
      <w:r>
        <w:t xml:space="preserve">lanned </w:t>
      </w:r>
      <w:r w:rsidRPr="00BC62F3">
        <w:t>P</w:t>
      </w:r>
      <w:r>
        <w:t xml:space="preserve">erformance </w:t>
      </w:r>
      <w:r w:rsidRPr="00BC62F3">
        <w:t>R</w:t>
      </w:r>
      <w:r>
        <w:t>esult</w:t>
      </w:r>
      <w:r w:rsidRPr="00BC62F3">
        <w:t xml:space="preserve"> for 2024–25. As a </w:t>
      </w:r>
      <w:proofErr w:type="gramStart"/>
      <w:r w:rsidRPr="00BC62F3">
        <w:t>result</w:t>
      </w:r>
      <w:proofErr w:type="gramEnd"/>
      <w:r w:rsidRPr="00BC62F3">
        <w:t xml:space="preserve"> the business area </w:t>
      </w:r>
      <w:r>
        <w:t xml:space="preserve">will </w:t>
      </w:r>
      <w:r w:rsidRPr="00BC62F3">
        <w:t>continue to work on establishing a measure that is more practical and achievable.</w:t>
      </w:r>
    </w:p>
  </w:footnote>
  <w:footnote w:id="62">
    <w:p w14:paraId="588D7622" w14:textId="73357FBF" w:rsidR="004D7B74" w:rsidRPr="00DB198D" w:rsidRDefault="004D7B74" w:rsidP="00DB198D">
      <w:pPr>
        <w:pStyle w:val="FootnoteText"/>
      </w:pPr>
      <w:r w:rsidRPr="000719E6">
        <w:rPr>
          <w:rStyle w:val="FootnoteReference"/>
          <w:rFonts w:cs="Arial"/>
          <w:szCs w:val="18"/>
        </w:rPr>
        <w:footnoteRef/>
      </w:r>
      <w:r w:rsidRPr="000719E6">
        <w:t xml:space="preserve"> This has been changed from ‘Maintain or increase percentage of care recipients who report 'good' or 'excellent' quality of life in residential care (QIs)’ to reflect an accurate description of what we would be monitoring. Care recipients can ch</w:t>
      </w:r>
      <w:r>
        <w:t>o</w:t>
      </w:r>
      <w:r w:rsidRPr="000719E6">
        <w:t xml:space="preserve">ose not to complete the </w:t>
      </w:r>
      <w:proofErr w:type="gramStart"/>
      <w:r w:rsidRPr="000719E6">
        <w:t>survey</w:t>
      </w:r>
      <w:proofErr w:type="gramEnd"/>
      <w:r w:rsidRPr="000719E6">
        <w:t xml:space="preserve"> so we want to measure the number who completed and reported excellent or good. </w:t>
      </w:r>
    </w:p>
  </w:footnote>
  <w:footnote w:id="63">
    <w:p w14:paraId="0DA135D2" w14:textId="77777777" w:rsidR="00A454A6" w:rsidRPr="00A107EA" w:rsidRDefault="00A454A6" w:rsidP="00DB198D">
      <w:pPr>
        <w:pStyle w:val="FootnoteText"/>
      </w:pPr>
      <w:r w:rsidRPr="00A107EA">
        <w:rPr>
          <w:rStyle w:val="FootnoteReference"/>
          <w:szCs w:val="18"/>
        </w:rPr>
        <w:footnoteRef/>
      </w:r>
      <w:r w:rsidRPr="00A107EA">
        <w:t xml:space="preserve"> The planned performance results for the forward estimates are to be determined and are subject to future Government decision. The new Support at Home program is expected to replace the Home Care Packages Program from 1 July 2025.</w:t>
      </w:r>
    </w:p>
  </w:footnote>
  <w:footnote w:id="64">
    <w:p w14:paraId="1DC5A1AE" w14:textId="77777777" w:rsidR="004D7B74" w:rsidRPr="000029D6" w:rsidRDefault="004D7B74" w:rsidP="00DB198D">
      <w:pPr>
        <w:pStyle w:val="FootnoteText"/>
        <w:rPr>
          <w:szCs w:val="18"/>
        </w:rPr>
      </w:pPr>
      <w:r w:rsidRPr="000029D6">
        <w:rPr>
          <w:rStyle w:val="FootnoteReference"/>
          <w:szCs w:val="18"/>
        </w:rPr>
        <w:footnoteRef/>
      </w:r>
      <w:r w:rsidRPr="000029D6">
        <w:rPr>
          <w:szCs w:val="18"/>
        </w:rPr>
        <w:t xml:space="preserve"> This measure type has been updated to better reflect what the measure aims to achieve. </w:t>
      </w:r>
    </w:p>
  </w:footnote>
  <w:footnote w:id="65">
    <w:p w14:paraId="6E4D8BFA" w14:textId="628E9FF3" w:rsidR="004706A4" w:rsidRPr="007E2321" w:rsidRDefault="004706A4" w:rsidP="00DB198D">
      <w:pPr>
        <w:pStyle w:val="FootnoteText"/>
        <w:rPr>
          <w:szCs w:val="18"/>
        </w:rPr>
      </w:pPr>
      <w:r w:rsidRPr="007E2321">
        <w:rPr>
          <w:rStyle w:val="FootnoteReference"/>
          <w:szCs w:val="18"/>
        </w:rPr>
        <w:footnoteRef/>
      </w:r>
      <w:r w:rsidRPr="007E2321">
        <w:rPr>
          <w:szCs w:val="18"/>
        </w:rPr>
        <w:t xml:space="preserve"> Minor amendments have been made to Key Activity 4.1A as published in the Budget 2024</w:t>
      </w:r>
      <w:r w:rsidR="001D1D69" w:rsidRPr="001D1D69">
        <w:rPr>
          <w:szCs w:val="18"/>
        </w:rPr>
        <w:t>–</w:t>
      </w:r>
      <w:r w:rsidR="001D1D69">
        <w:rPr>
          <w:szCs w:val="18"/>
        </w:rPr>
        <w:t>2</w:t>
      </w:r>
      <w:r w:rsidRPr="007E2321">
        <w:rPr>
          <w:szCs w:val="18"/>
        </w:rPr>
        <w:t xml:space="preserve">5 Portfolio Budget Statements to ensure greater alignment with Program 4.1. </w:t>
      </w:r>
    </w:p>
  </w:footnote>
  <w:footnote w:id="66">
    <w:p w14:paraId="2EF33F97" w14:textId="77777777" w:rsidR="001D1D69" w:rsidRPr="007E2321" w:rsidRDefault="001D1D69" w:rsidP="00DB198D">
      <w:pPr>
        <w:pStyle w:val="FootnoteText"/>
        <w:rPr>
          <w:szCs w:val="18"/>
        </w:rPr>
      </w:pPr>
      <w:r w:rsidRPr="007E2321">
        <w:rPr>
          <w:rStyle w:val="FootnoteReference"/>
          <w:szCs w:val="18"/>
        </w:rPr>
        <w:footnoteRef/>
      </w:r>
      <w:r w:rsidRPr="007E2321">
        <w:rPr>
          <w:szCs w:val="18"/>
        </w:rPr>
        <w:t xml:space="preserve"> Available at: </w:t>
      </w:r>
      <w:hyperlink r:id="rId25" w:history="1">
        <w:r w:rsidRPr="007E2321">
          <w:rPr>
            <w:rStyle w:val="Hyperlink"/>
            <w:szCs w:val="18"/>
          </w:rPr>
          <w:t>www.clearinghouseforsport.gov.au/research/ausplay/results</w:t>
        </w:r>
      </w:hyperlink>
      <w:r w:rsidRPr="007E2321">
        <w:rPr>
          <w:szCs w:val="18"/>
        </w:rPr>
        <w:t xml:space="preserve">. </w:t>
      </w:r>
    </w:p>
  </w:footnote>
  <w:footnote w:id="67">
    <w:p w14:paraId="1653C528" w14:textId="1CF0BE9B" w:rsidR="004D7B74" w:rsidRPr="0055314D" w:rsidRDefault="004D7B74" w:rsidP="00DB198D">
      <w:pPr>
        <w:pStyle w:val="FootnoteText"/>
        <w:rPr>
          <w:szCs w:val="18"/>
        </w:rPr>
      </w:pPr>
      <w:r w:rsidRPr="0055314D">
        <w:rPr>
          <w:rStyle w:val="FootnoteReference"/>
          <w:szCs w:val="18"/>
        </w:rPr>
        <w:footnoteRef/>
      </w:r>
      <w:r w:rsidRPr="0055314D">
        <w:rPr>
          <w:szCs w:val="18"/>
        </w:rPr>
        <w:t xml:space="preserve"> </w:t>
      </w:r>
      <w:r w:rsidR="00EB138E" w:rsidRPr="0055314D">
        <w:rPr>
          <w:szCs w:val="18"/>
        </w:rPr>
        <w:t xml:space="preserve">In July 2023, the </w:t>
      </w:r>
      <w:proofErr w:type="spellStart"/>
      <w:r w:rsidR="00EB138E" w:rsidRPr="0055314D">
        <w:rPr>
          <w:szCs w:val="18"/>
        </w:rPr>
        <w:t>AusPlay</w:t>
      </w:r>
      <w:proofErr w:type="spellEnd"/>
      <w:r w:rsidR="00EB138E" w:rsidRPr="0055314D">
        <w:rPr>
          <w:szCs w:val="18"/>
        </w:rPr>
        <w:t xml:space="preserve"> survey moved to online data collection making Release 15 the last to be based on telephone interviewing and the final data in that time series. A new time series will commence when the ASC next releases results in late October 2024 using the first 12 months of data collection through the online method (data collected July 2023 - June 2024). The ASC has confirmed the change in data collection method represents a break in time series, in communications to the department and sector, available at: </w:t>
      </w:r>
      <w:hyperlink r:id="rId26" w:history="1">
        <w:r w:rsidR="00EB138E" w:rsidRPr="0055314D">
          <w:rPr>
            <w:rStyle w:val="Hyperlink"/>
            <w:szCs w:val="18"/>
          </w:rPr>
          <w:t>www.sportaus.gov.au/media-centre/news/ascs-national-ausplay-survey-goes-online</w:t>
        </w:r>
      </w:hyperlink>
      <w:r w:rsidR="00EB138E" w:rsidRPr="0055314D">
        <w:rPr>
          <w:szCs w:val="18"/>
        </w:rPr>
        <w:t xml:space="preserve"> and </w:t>
      </w:r>
      <w:hyperlink r:id="rId27" w:anchor="future_releases" w:history="1">
        <w:r w:rsidR="00EB138E" w:rsidRPr="0055314D">
          <w:rPr>
            <w:rStyle w:val="Hyperlink"/>
            <w:szCs w:val="18"/>
          </w:rPr>
          <w:t>www.clearinghouseforsport.gov.au/research/ausplay/results#future_releases</w:t>
        </w:r>
      </w:hyperlink>
      <w:r w:rsidR="00EB138E" w:rsidRPr="0055314D">
        <w:rPr>
          <w:szCs w:val="18"/>
        </w:rPr>
        <w:t xml:space="preserve">.Therefore, the department plans to set a new target in consideration of baseline </w:t>
      </w:r>
      <w:proofErr w:type="spellStart"/>
      <w:r w:rsidR="00EB138E" w:rsidRPr="0055314D">
        <w:rPr>
          <w:szCs w:val="18"/>
        </w:rPr>
        <w:t>AusPlay</w:t>
      </w:r>
      <w:proofErr w:type="spellEnd"/>
      <w:r w:rsidR="00EB138E" w:rsidRPr="0055314D">
        <w:rPr>
          <w:szCs w:val="18"/>
        </w:rPr>
        <w:t xml:space="preserve"> results collected through the online method.</w:t>
      </w:r>
    </w:p>
  </w:footnote>
  <w:footnote w:id="68">
    <w:p w14:paraId="26BF4974" w14:textId="77777777" w:rsidR="004D7B74" w:rsidRPr="00EB138E" w:rsidRDefault="004D7B74" w:rsidP="00DB198D">
      <w:pPr>
        <w:pStyle w:val="FootnoteText"/>
        <w:rPr>
          <w:szCs w:val="18"/>
        </w:rPr>
      </w:pPr>
      <w:r w:rsidRPr="00EB138E">
        <w:rPr>
          <w:rStyle w:val="FootnoteReference"/>
          <w:sz w:val="16"/>
          <w:szCs w:val="16"/>
        </w:rPr>
        <w:footnoteRef/>
      </w:r>
      <w:r w:rsidRPr="00EB138E">
        <w:rPr>
          <w:sz w:val="16"/>
          <w:szCs w:val="16"/>
        </w:rPr>
        <w:t xml:space="preserve"> Minor amendments have been made to Key Activity 4.1B as published in the Budget 2024</w:t>
      </w:r>
      <w:r w:rsidRPr="00EB138E">
        <w:rPr>
          <w:rFonts w:eastAsia="Arial"/>
          <w:spacing w:val="-2"/>
          <w:sz w:val="16"/>
          <w:szCs w:val="16"/>
          <w:lang w:val="en-US"/>
        </w:rPr>
        <w:t>–</w:t>
      </w:r>
      <w:r w:rsidRPr="00EB138E">
        <w:rPr>
          <w:sz w:val="16"/>
          <w:szCs w:val="16"/>
        </w:rPr>
        <w:t>25 Portfolio Budget Statements to ensure greater alignment with Program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E589" w14:textId="68B98829" w:rsidR="00CE02C2" w:rsidRPr="00655A42" w:rsidRDefault="00CE02C2" w:rsidP="00655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8B16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1C0D96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E5840B4"/>
    <w:lvl w:ilvl="0">
      <w:start w:val="1"/>
      <w:numFmt w:val="lowerRoman"/>
      <w:pStyle w:val="ListNumber4"/>
      <w:lvlText w:val="%1."/>
      <w:lvlJc w:val="right"/>
      <w:pPr>
        <w:ind w:left="417" w:hanging="360"/>
      </w:pPr>
    </w:lvl>
  </w:abstractNum>
  <w:abstractNum w:abstractNumId="3" w15:restartNumberingAfterBreak="0">
    <w:nsid w:val="FFFFFF7E"/>
    <w:multiLevelType w:val="singleLevel"/>
    <w:tmpl w:val="DD8E3D7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4BFA43B4"/>
    <w:lvl w:ilvl="0">
      <w:start w:val="1"/>
      <w:numFmt w:val="lowerLetter"/>
      <w:pStyle w:val="TOC1"/>
      <w:lvlText w:val="%1."/>
      <w:lvlJc w:val="left"/>
      <w:pPr>
        <w:ind w:left="346" w:hanging="360"/>
      </w:pPr>
    </w:lvl>
  </w:abstractNum>
  <w:abstractNum w:abstractNumId="5" w15:restartNumberingAfterBreak="0">
    <w:nsid w:val="FFFFFF82"/>
    <w:multiLevelType w:val="singleLevel"/>
    <w:tmpl w:val="C344C29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1A5D98"/>
    <w:lvl w:ilvl="0">
      <w:start w:val="1"/>
      <w:numFmt w:val="bullet"/>
      <w:pStyle w:val="Paragraphtex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9F8116A"/>
    <w:lvl w:ilvl="0">
      <w:start w:val="1"/>
      <w:numFmt w:val="decimal"/>
      <w:pStyle w:val="TOC1"/>
      <w:lvlText w:val="%1."/>
      <w:lvlJc w:val="left"/>
      <w:pPr>
        <w:tabs>
          <w:tab w:val="num" w:pos="360"/>
        </w:tabs>
        <w:ind w:left="360" w:hanging="360"/>
      </w:pPr>
    </w:lvl>
  </w:abstractNum>
  <w:abstractNum w:abstractNumId="8" w15:restartNumberingAfterBreak="0">
    <w:nsid w:val="FFFFFF89"/>
    <w:multiLevelType w:val="singleLevel"/>
    <w:tmpl w:val="E8FA699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C009D"/>
    <w:multiLevelType w:val="hybridMultilevel"/>
    <w:tmpl w:val="557CF7BE"/>
    <w:lvl w:ilvl="0" w:tplc="FD5667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06676DA"/>
    <w:multiLevelType w:val="hybridMultilevel"/>
    <w:tmpl w:val="EF4AA332"/>
    <w:lvl w:ilvl="0" w:tplc="0C090019">
      <w:start w:val="1"/>
      <w:numFmt w:val="lowerLetter"/>
      <w:lvlText w:val="%1."/>
      <w:lvlJc w:val="lef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 w15:restartNumberingAfterBreak="0">
    <w:nsid w:val="025B1C9D"/>
    <w:multiLevelType w:val="hybridMultilevel"/>
    <w:tmpl w:val="F6804D3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43345B2"/>
    <w:multiLevelType w:val="hybridMultilevel"/>
    <w:tmpl w:val="EF4AA33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4B8363E"/>
    <w:multiLevelType w:val="hybridMultilevel"/>
    <w:tmpl w:val="106EBB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16427C"/>
    <w:multiLevelType w:val="hybridMultilevel"/>
    <w:tmpl w:val="9B8010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64B2965"/>
    <w:multiLevelType w:val="hybridMultilevel"/>
    <w:tmpl w:val="D90E8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FC7DEA"/>
    <w:multiLevelType w:val="hybridMultilevel"/>
    <w:tmpl w:val="C200EA54"/>
    <w:lvl w:ilvl="0" w:tplc="356249D6">
      <w:numFmt w:val="bullet"/>
      <w:lvlText w:val="•"/>
      <w:lvlJc w:val="left"/>
      <w:pPr>
        <w:ind w:left="720" w:hanging="360"/>
      </w:pPr>
      <w:rPr>
        <w:rFonts w:ascii="Arial" w:eastAsia="Arial" w:hAnsi="Arial" w:cs="Arial" w:hint="default"/>
        <w:b w:val="0"/>
        <w:bCs w:val="0"/>
        <w:i w:val="0"/>
        <w:iCs w:val="0"/>
        <w:spacing w:val="0"/>
        <w:w w:val="142"/>
        <w:position w:val="3"/>
        <w:sz w:val="12"/>
        <w:szCs w:val="1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732091"/>
    <w:multiLevelType w:val="multilevel"/>
    <w:tmpl w:val="2896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7E641C"/>
    <w:multiLevelType w:val="multilevel"/>
    <w:tmpl w:val="9C06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EE1541"/>
    <w:multiLevelType w:val="multilevel"/>
    <w:tmpl w:val="3906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B26EAB"/>
    <w:multiLevelType w:val="hybridMultilevel"/>
    <w:tmpl w:val="EA0C8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0AC901F9"/>
    <w:multiLevelType w:val="multilevel"/>
    <w:tmpl w:val="934A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E30163"/>
    <w:multiLevelType w:val="hybridMultilevel"/>
    <w:tmpl w:val="ACB40F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E6749F8"/>
    <w:multiLevelType w:val="hybridMultilevel"/>
    <w:tmpl w:val="72C0AA1E"/>
    <w:lvl w:ilvl="0" w:tplc="7362EFE2">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E690C1F"/>
    <w:multiLevelType w:val="hybridMultilevel"/>
    <w:tmpl w:val="6046BB1C"/>
    <w:lvl w:ilvl="0" w:tplc="C44C422A">
      <w:start w:val="1"/>
      <w:numFmt w:val="bullet"/>
      <w:lvlText w:val=""/>
      <w:lvlJc w:val="left"/>
      <w:pPr>
        <w:ind w:left="1440" w:hanging="360"/>
      </w:pPr>
      <w:rPr>
        <w:rFonts w:ascii="Symbol" w:hAnsi="Symbol"/>
      </w:rPr>
    </w:lvl>
    <w:lvl w:ilvl="1" w:tplc="A9A80C0A">
      <w:start w:val="1"/>
      <w:numFmt w:val="bullet"/>
      <w:lvlText w:val=""/>
      <w:lvlJc w:val="left"/>
      <w:pPr>
        <w:ind w:left="1440" w:hanging="360"/>
      </w:pPr>
      <w:rPr>
        <w:rFonts w:ascii="Symbol" w:hAnsi="Symbol"/>
      </w:rPr>
    </w:lvl>
    <w:lvl w:ilvl="2" w:tplc="352E6C3E">
      <w:start w:val="1"/>
      <w:numFmt w:val="bullet"/>
      <w:lvlText w:val=""/>
      <w:lvlJc w:val="left"/>
      <w:pPr>
        <w:ind w:left="1440" w:hanging="360"/>
      </w:pPr>
      <w:rPr>
        <w:rFonts w:ascii="Symbol" w:hAnsi="Symbol"/>
      </w:rPr>
    </w:lvl>
    <w:lvl w:ilvl="3" w:tplc="F844CBBE">
      <w:start w:val="1"/>
      <w:numFmt w:val="bullet"/>
      <w:lvlText w:val=""/>
      <w:lvlJc w:val="left"/>
      <w:pPr>
        <w:ind w:left="1440" w:hanging="360"/>
      </w:pPr>
      <w:rPr>
        <w:rFonts w:ascii="Symbol" w:hAnsi="Symbol"/>
      </w:rPr>
    </w:lvl>
    <w:lvl w:ilvl="4" w:tplc="F50C6184">
      <w:start w:val="1"/>
      <w:numFmt w:val="bullet"/>
      <w:lvlText w:val=""/>
      <w:lvlJc w:val="left"/>
      <w:pPr>
        <w:ind w:left="1440" w:hanging="360"/>
      </w:pPr>
      <w:rPr>
        <w:rFonts w:ascii="Symbol" w:hAnsi="Symbol"/>
      </w:rPr>
    </w:lvl>
    <w:lvl w:ilvl="5" w:tplc="9F6219BA">
      <w:start w:val="1"/>
      <w:numFmt w:val="bullet"/>
      <w:lvlText w:val=""/>
      <w:lvlJc w:val="left"/>
      <w:pPr>
        <w:ind w:left="1440" w:hanging="360"/>
      </w:pPr>
      <w:rPr>
        <w:rFonts w:ascii="Symbol" w:hAnsi="Symbol"/>
      </w:rPr>
    </w:lvl>
    <w:lvl w:ilvl="6" w:tplc="44A28B70">
      <w:start w:val="1"/>
      <w:numFmt w:val="bullet"/>
      <w:lvlText w:val=""/>
      <w:lvlJc w:val="left"/>
      <w:pPr>
        <w:ind w:left="1440" w:hanging="360"/>
      </w:pPr>
      <w:rPr>
        <w:rFonts w:ascii="Symbol" w:hAnsi="Symbol"/>
      </w:rPr>
    </w:lvl>
    <w:lvl w:ilvl="7" w:tplc="E4F41C56">
      <w:start w:val="1"/>
      <w:numFmt w:val="bullet"/>
      <w:lvlText w:val=""/>
      <w:lvlJc w:val="left"/>
      <w:pPr>
        <w:ind w:left="1440" w:hanging="360"/>
      </w:pPr>
      <w:rPr>
        <w:rFonts w:ascii="Symbol" w:hAnsi="Symbol"/>
      </w:rPr>
    </w:lvl>
    <w:lvl w:ilvl="8" w:tplc="8CA4E4E8">
      <w:start w:val="1"/>
      <w:numFmt w:val="bullet"/>
      <w:lvlText w:val=""/>
      <w:lvlJc w:val="left"/>
      <w:pPr>
        <w:ind w:left="1440" w:hanging="360"/>
      </w:pPr>
      <w:rPr>
        <w:rFonts w:ascii="Symbol" w:hAnsi="Symbol"/>
      </w:rPr>
    </w:lvl>
  </w:abstractNum>
  <w:abstractNum w:abstractNumId="25" w15:restartNumberingAfterBreak="0">
    <w:nsid w:val="0E712C07"/>
    <w:multiLevelType w:val="hybridMultilevel"/>
    <w:tmpl w:val="2E70FF76"/>
    <w:lvl w:ilvl="0" w:tplc="07B63B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461F4E"/>
    <w:multiLevelType w:val="hybridMultilevel"/>
    <w:tmpl w:val="741A6D5A"/>
    <w:lvl w:ilvl="0" w:tplc="915CDF56">
      <w:start w:val="1"/>
      <w:numFmt w:val="bullet"/>
      <w:lvlText w:val=""/>
      <w:lvlJc w:val="left"/>
      <w:pPr>
        <w:ind w:left="1440" w:hanging="360"/>
      </w:pPr>
      <w:rPr>
        <w:rFonts w:ascii="Symbol" w:hAnsi="Symbol"/>
      </w:rPr>
    </w:lvl>
    <w:lvl w:ilvl="1" w:tplc="8C26183A">
      <w:start w:val="1"/>
      <w:numFmt w:val="bullet"/>
      <w:lvlText w:val=""/>
      <w:lvlJc w:val="left"/>
      <w:pPr>
        <w:ind w:left="1440" w:hanging="360"/>
      </w:pPr>
      <w:rPr>
        <w:rFonts w:ascii="Symbol" w:hAnsi="Symbol"/>
      </w:rPr>
    </w:lvl>
    <w:lvl w:ilvl="2" w:tplc="EBACDFDE">
      <w:start w:val="1"/>
      <w:numFmt w:val="bullet"/>
      <w:lvlText w:val=""/>
      <w:lvlJc w:val="left"/>
      <w:pPr>
        <w:ind w:left="1440" w:hanging="360"/>
      </w:pPr>
      <w:rPr>
        <w:rFonts w:ascii="Symbol" w:hAnsi="Symbol"/>
      </w:rPr>
    </w:lvl>
    <w:lvl w:ilvl="3" w:tplc="0910EE74">
      <w:start w:val="1"/>
      <w:numFmt w:val="bullet"/>
      <w:lvlText w:val=""/>
      <w:lvlJc w:val="left"/>
      <w:pPr>
        <w:ind w:left="1440" w:hanging="360"/>
      </w:pPr>
      <w:rPr>
        <w:rFonts w:ascii="Symbol" w:hAnsi="Symbol"/>
      </w:rPr>
    </w:lvl>
    <w:lvl w:ilvl="4" w:tplc="6366B352">
      <w:start w:val="1"/>
      <w:numFmt w:val="bullet"/>
      <w:lvlText w:val=""/>
      <w:lvlJc w:val="left"/>
      <w:pPr>
        <w:ind w:left="1440" w:hanging="360"/>
      </w:pPr>
      <w:rPr>
        <w:rFonts w:ascii="Symbol" w:hAnsi="Symbol"/>
      </w:rPr>
    </w:lvl>
    <w:lvl w:ilvl="5" w:tplc="C16AA710">
      <w:start w:val="1"/>
      <w:numFmt w:val="bullet"/>
      <w:lvlText w:val=""/>
      <w:lvlJc w:val="left"/>
      <w:pPr>
        <w:ind w:left="1440" w:hanging="360"/>
      </w:pPr>
      <w:rPr>
        <w:rFonts w:ascii="Symbol" w:hAnsi="Symbol"/>
      </w:rPr>
    </w:lvl>
    <w:lvl w:ilvl="6" w:tplc="A72A8F98">
      <w:start w:val="1"/>
      <w:numFmt w:val="bullet"/>
      <w:lvlText w:val=""/>
      <w:lvlJc w:val="left"/>
      <w:pPr>
        <w:ind w:left="1440" w:hanging="360"/>
      </w:pPr>
      <w:rPr>
        <w:rFonts w:ascii="Symbol" w:hAnsi="Symbol"/>
      </w:rPr>
    </w:lvl>
    <w:lvl w:ilvl="7" w:tplc="62DE5D22">
      <w:start w:val="1"/>
      <w:numFmt w:val="bullet"/>
      <w:lvlText w:val=""/>
      <w:lvlJc w:val="left"/>
      <w:pPr>
        <w:ind w:left="1440" w:hanging="360"/>
      </w:pPr>
      <w:rPr>
        <w:rFonts w:ascii="Symbol" w:hAnsi="Symbol"/>
      </w:rPr>
    </w:lvl>
    <w:lvl w:ilvl="8" w:tplc="42E48448">
      <w:start w:val="1"/>
      <w:numFmt w:val="bullet"/>
      <w:lvlText w:val=""/>
      <w:lvlJc w:val="left"/>
      <w:pPr>
        <w:ind w:left="1440" w:hanging="360"/>
      </w:pPr>
      <w:rPr>
        <w:rFonts w:ascii="Symbol" w:hAnsi="Symbol"/>
      </w:rPr>
    </w:lvl>
  </w:abstractNum>
  <w:abstractNum w:abstractNumId="27" w15:restartNumberingAfterBreak="0">
    <w:nsid w:val="0F543737"/>
    <w:multiLevelType w:val="hybridMultilevel"/>
    <w:tmpl w:val="833627BC"/>
    <w:lvl w:ilvl="0" w:tplc="C66806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FF85A72"/>
    <w:multiLevelType w:val="hybridMultilevel"/>
    <w:tmpl w:val="C1E403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890DFB"/>
    <w:multiLevelType w:val="hybridMultilevel"/>
    <w:tmpl w:val="32A07440"/>
    <w:lvl w:ilvl="0" w:tplc="3E021EA6">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2E87074"/>
    <w:multiLevelType w:val="hybridMultilevel"/>
    <w:tmpl w:val="A9546CB2"/>
    <w:lvl w:ilvl="0" w:tplc="7F58BFD0">
      <w:start w:val="1"/>
      <w:numFmt w:val="lowerLetter"/>
      <w:lvlText w:val="%1."/>
      <w:lvlJc w:val="left"/>
      <w:pPr>
        <w:ind w:left="360" w:hanging="360"/>
      </w:pPr>
      <w:rPr>
        <w:rFonts w:ascii="Arial" w:eastAsia="Times New Roman" w:hAnsi="Arial"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3AB47EF"/>
    <w:multiLevelType w:val="hybridMultilevel"/>
    <w:tmpl w:val="AA503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F845E6"/>
    <w:multiLevelType w:val="hybridMultilevel"/>
    <w:tmpl w:val="820EC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4BD5A2B"/>
    <w:multiLevelType w:val="hybridMultilevel"/>
    <w:tmpl w:val="E88A9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6753E51"/>
    <w:multiLevelType w:val="hybridMultilevel"/>
    <w:tmpl w:val="D7206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17FE332A"/>
    <w:multiLevelType w:val="hybridMultilevel"/>
    <w:tmpl w:val="DF648EB6"/>
    <w:lvl w:ilvl="0" w:tplc="8102CEC8">
      <w:start w:val="1"/>
      <w:numFmt w:val="lowerLetter"/>
      <w:lvlText w:val="%1."/>
      <w:lvlJc w:val="left"/>
      <w:pPr>
        <w:ind w:left="360" w:hanging="360"/>
      </w:pPr>
      <w:rPr>
        <w:rFonts w:ascii="Arial" w:eastAsia="Times New Roman" w:hAnsi="Arial" w:cs="Arial"/>
        <w:color w:val="00000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18CD2B4E"/>
    <w:multiLevelType w:val="hybridMultilevel"/>
    <w:tmpl w:val="EE56F27E"/>
    <w:lvl w:ilvl="0" w:tplc="0C090019">
      <w:start w:val="1"/>
      <w:numFmt w:val="lowerLetter"/>
      <w:lvlText w:val="%1."/>
      <w:lvlJc w:val="left"/>
      <w:pPr>
        <w:ind w:left="288" w:hanging="360"/>
      </w:pPr>
    </w:lvl>
    <w:lvl w:ilvl="1" w:tplc="0C090019" w:tentative="1">
      <w:start w:val="1"/>
      <w:numFmt w:val="lowerLetter"/>
      <w:lvlText w:val="%2."/>
      <w:lvlJc w:val="left"/>
      <w:pPr>
        <w:ind w:left="1008" w:hanging="360"/>
      </w:pPr>
    </w:lvl>
    <w:lvl w:ilvl="2" w:tplc="0C09001B" w:tentative="1">
      <w:start w:val="1"/>
      <w:numFmt w:val="lowerRoman"/>
      <w:lvlText w:val="%3."/>
      <w:lvlJc w:val="right"/>
      <w:pPr>
        <w:ind w:left="1728" w:hanging="180"/>
      </w:pPr>
    </w:lvl>
    <w:lvl w:ilvl="3" w:tplc="0C09000F" w:tentative="1">
      <w:start w:val="1"/>
      <w:numFmt w:val="decimal"/>
      <w:lvlText w:val="%4."/>
      <w:lvlJc w:val="left"/>
      <w:pPr>
        <w:ind w:left="2448" w:hanging="360"/>
      </w:pPr>
    </w:lvl>
    <w:lvl w:ilvl="4" w:tplc="0C090019" w:tentative="1">
      <w:start w:val="1"/>
      <w:numFmt w:val="lowerLetter"/>
      <w:lvlText w:val="%5."/>
      <w:lvlJc w:val="left"/>
      <w:pPr>
        <w:ind w:left="3168" w:hanging="360"/>
      </w:pPr>
    </w:lvl>
    <w:lvl w:ilvl="5" w:tplc="0C09001B" w:tentative="1">
      <w:start w:val="1"/>
      <w:numFmt w:val="lowerRoman"/>
      <w:lvlText w:val="%6."/>
      <w:lvlJc w:val="right"/>
      <w:pPr>
        <w:ind w:left="3888" w:hanging="180"/>
      </w:pPr>
    </w:lvl>
    <w:lvl w:ilvl="6" w:tplc="0C09000F" w:tentative="1">
      <w:start w:val="1"/>
      <w:numFmt w:val="decimal"/>
      <w:lvlText w:val="%7."/>
      <w:lvlJc w:val="left"/>
      <w:pPr>
        <w:ind w:left="4608" w:hanging="360"/>
      </w:pPr>
    </w:lvl>
    <w:lvl w:ilvl="7" w:tplc="0C090019" w:tentative="1">
      <w:start w:val="1"/>
      <w:numFmt w:val="lowerLetter"/>
      <w:lvlText w:val="%8."/>
      <w:lvlJc w:val="left"/>
      <w:pPr>
        <w:ind w:left="5328" w:hanging="360"/>
      </w:pPr>
    </w:lvl>
    <w:lvl w:ilvl="8" w:tplc="0C09001B" w:tentative="1">
      <w:start w:val="1"/>
      <w:numFmt w:val="lowerRoman"/>
      <w:lvlText w:val="%9."/>
      <w:lvlJc w:val="right"/>
      <w:pPr>
        <w:ind w:left="6048" w:hanging="180"/>
      </w:pPr>
    </w:lvl>
  </w:abstractNum>
  <w:abstractNum w:abstractNumId="37" w15:restartNumberingAfterBreak="0">
    <w:nsid w:val="18D12D04"/>
    <w:multiLevelType w:val="hybridMultilevel"/>
    <w:tmpl w:val="5874E0F2"/>
    <w:lvl w:ilvl="0" w:tplc="4CC474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A5D07C7"/>
    <w:multiLevelType w:val="hybridMultilevel"/>
    <w:tmpl w:val="948EAD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6678C9"/>
    <w:multiLevelType w:val="hybridMultilevel"/>
    <w:tmpl w:val="F496D474"/>
    <w:lvl w:ilvl="0" w:tplc="3CA4AB90">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B9729CE"/>
    <w:multiLevelType w:val="multilevel"/>
    <w:tmpl w:val="1776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D548C4"/>
    <w:multiLevelType w:val="hybridMultilevel"/>
    <w:tmpl w:val="7D628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1CD54A71"/>
    <w:multiLevelType w:val="hybridMultilevel"/>
    <w:tmpl w:val="18E2EFD6"/>
    <w:lvl w:ilvl="0" w:tplc="6ED43CBE">
      <w:numFmt w:val="bullet"/>
      <w:lvlText w:val="•"/>
      <w:lvlJc w:val="left"/>
      <w:pPr>
        <w:ind w:left="503" w:hanging="360"/>
      </w:pPr>
      <w:rPr>
        <w:rFonts w:ascii="Arial" w:eastAsia="Arial" w:hAnsi="Arial" w:cs="Arial" w:hint="default"/>
        <w:b w:val="0"/>
        <w:bCs w:val="0"/>
        <w:i w:val="0"/>
        <w:iCs w:val="0"/>
        <w:spacing w:val="0"/>
        <w:w w:val="142"/>
        <w:position w:val="3"/>
        <w:sz w:val="12"/>
        <w:szCs w:val="12"/>
        <w:lang w:val="en-US" w:eastAsia="en-US" w:bidi="ar-SA"/>
      </w:rPr>
    </w:lvl>
    <w:lvl w:ilvl="1" w:tplc="0C090003" w:tentative="1">
      <w:start w:val="1"/>
      <w:numFmt w:val="bullet"/>
      <w:lvlText w:val="o"/>
      <w:lvlJc w:val="left"/>
      <w:pPr>
        <w:ind w:left="1223" w:hanging="360"/>
      </w:pPr>
      <w:rPr>
        <w:rFonts w:ascii="Courier New" w:hAnsi="Courier New" w:cs="Courier New" w:hint="default"/>
      </w:rPr>
    </w:lvl>
    <w:lvl w:ilvl="2" w:tplc="0C090005" w:tentative="1">
      <w:start w:val="1"/>
      <w:numFmt w:val="bullet"/>
      <w:lvlText w:val=""/>
      <w:lvlJc w:val="left"/>
      <w:pPr>
        <w:ind w:left="1943" w:hanging="360"/>
      </w:pPr>
      <w:rPr>
        <w:rFonts w:ascii="Wingdings" w:hAnsi="Wingdings" w:hint="default"/>
      </w:rPr>
    </w:lvl>
    <w:lvl w:ilvl="3" w:tplc="0C090001" w:tentative="1">
      <w:start w:val="1"/>
      <w:numFmt w:val="bullet"/>
      <w:lvlText w:val=""/>
      <w:lvlJc w:val="left"/>
      <w:pPr>
        <w:ind w:left="2663" w:hanging="360"/>
      </w:pPr>
      <w:rPr>
        <w:rFonts w:ascii="Symbol" w:hAnsi="Symbol" w:hint="default"/>
      </w:rPr>
    </w:lvl>
    <w:lvl w:ilvl="4" w:tplc="0C090003" w:tentative="1">
      <w:start w:val="1"/>
      <w:numFmt w:val="bullet"/>
      <w:lvlText w:val="o"/>
      <w:lvlJc w:val="left"/>
      <w:pPr>
        <w:ind w:left="3383" w:hanging="360"/>
      </w:pPr>
      <w:rPr>
        <w:rFonts w:ascii="Courier New" w:hAnsi="Courier New" w:cs="Courier New" w:hint="default"/>
      </w:rPr>
    </w:lvl>
    <w:lvl w:ilvl="5" w:tplc="0C090005" w:tentative="1">
      <w:start w:val="1"/>
      <w:numFmt w:val="bullet"/>
      <w:lvlText w:val=""/>
      <w:lvlJc w:val="left"/>
      <w:pPr>
        <w:ind w:left="4103" w:hanging="360"/>
      </w:pPr>
      <w:rPr>
        <w:rFonts w:ascii="Wingdings" w:hAnsi="Wingdings" w:hint="default"/>
      </w:rPr>
    </w:lvl>
    <w:lvl w:ilvl="6" w:tplc="0C090001" w:tentative="1">
      <w:start w:val="1"/>
      <w:numFmt w:val="bullet"/>
      <w:lvlText w:val=""/>
      <w:lvlJc w:val="left"/>
      <w:pPr>
        <w:ind w:left="4823" w:hanging="360"/>
      </w:pPr>
      <w:rPr>
        <w:rFonts w:ascii="Symbol" w:hAnsi="Symbol" w:hint="default"/>
      </w:rPr>
    </w:lvl>
    <w:lvl w:ilvl="7" w:tplc="0C090003" w:tentative="1">
      <w:start w:val="1"/>
      <w:numFmt w:val="bullet"/>
      <w:lvlText w:val="o"/>
      <w:lvlJc w:val="left"/>
      <w:pPr>
        <w:ind w:left="5543" w:hanging="360"/>
      </w:pPr>
      <w:rPr>
        <w:rFonts w:ascii="Courier New" w:hAnsi="Courier New" w:cs="Courier New" w:hint="default"/>
      </w:rPr>
    </w:lvl>
    <w:lvl w:ilvl="8" w:tplc="0C090005" w:tentative="1">
      <w:start w:val="1"/>
      <w:numFmt w:val="bullet"/>
      <w:lvlText w:val=""/>
      <w:lvlJc w:val="left"/>
      <w:pPr>
        <w:ind w:left="6263" w:hanging="360"/>
      </w:pPr>
      <w:rPr>
        <w:rFonts w:ascii="Wingdings" w:hAnsi="Wingdings" w:hint="default"/>
      </w:rPr>
    </w:lvl>
  </w:abstractNum>
  <w:abstractNum w:abstractNumId="43" w15:restartNumberingAfterBreak="0">
    <w:nsid w:val="1EBD6E77"/>
    <w:multiLevelType w:val="hybridMultilevel"/>
    <w:tmpl w:val="4F8056E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1EC9491C"/>
    <w:multiLevelType w:val="hybridMultilevel"/>
    <w:tmpl w:val="8528E38A"/>
    <w:lvl w:ilvl="0" w:tplc="A962C8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F4266AE"/>
    <w:multiLevelType w:val="hybridMultilevel"/>
    <w:tmpl w:val="3102949A"/>
    <w:lvl w:ilvl="0" w:tplc="6F2A03A4">
      <w:start w:val="1"/>
      <w:numFmt w:val="lowerLetter"/>
      <w:lvlText w:val="%1."/>
      <w:lvlJc w:val="left"/>
      <w:pPr>
        <w:ind w:left="360" w:hanging="360"/>
      </w:pPr>
      <w:rPr>
        <w:rFonts w:ascii="Arial" w:eastAsia="Times New Roman" w:hAnsi="Arial" w:cs="Arial"/>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F6E026C"/>
    <w:multiLevelType w:val="multilevel"/>
    <w:tmpl w:val="335E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17240A3"/>
    <w:multiLevelType w:val="hybridMultilevel"/>
    <w:tmpl w:val="EB2691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9627C6"/>
    <w:multiLevelType w:val="multilevel"/>
    <w:tmpl w:val="41F4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3A81057"/>
    <w:multiLevelType w:val="hybridMultilevel"/>
    <w:tmpl w:val="7742859E"/>
    <w:lvl w:ilvl="0" w:tplc="79622D8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23BC1EF4"/>
    <w:multiLevelType w:val="hybridMultilevel"/>
    <w:tmpl w:val="1F820172"/>
    <w:lvl w:ilvl="0" w:tplc="0C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243C462C"/>
    <w:multiLevelType w:val="hybridMultilevel"/>
    <w:tmpl w:val="C4C2E8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4503A4A"/>
    <w:multiLevelType w:val="multilevel"/>
    <w:tmpl w:val="B208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59B7476"/>
    <w:multiLevelType w:val="hybridMultilevel"/>
    <w:tmpl w:val="C088A64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26624681"/>
    <w:multiLevelType w:val="hybridMultilevel"/>
    <w:tmpl w:val="0E8C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68B5654"/>
    <w:multiLevelType w:val="hybridMultilevel"/>
    <w:tmpl w:val="AF34CE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88412D2"/>
    <w:multiLevelType w:val="multilevel"/>
    <w:tmpl w:val="5146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8A2798F"/>
    <w:multiLevelType w:val="multilevel"/>
    <w:tmpl w:val="777E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9461A66"/>
    <w:multiLevelType w:val="hybridMultilevel"/>
    <w:tmpl w:val="F4CA7A86"/>
    <w:lvl w:ilvl="0" w:tplc="0B82DE44">
      <w:start w:val="1"/>
      <w:numFmt w:val="bullet"/>
      <w:lvlText w:val=""/>
      <w:lvlJc w:val="left"/>
      <w:pPr>
        <w:ind w:left="1440" w:hanging="360"/>
      </w:pPr>
      <w:rPr>
        <w:rFonts w:ascii="Symbol" w:hAnsi="Symbol"/>
      </w:rPr>
    </w:lvl>
    <w:lvl w:ilvl="1" w:tplc="5D305CD0">
      <w:start w:val="1"/>
      <w:numFmt w:val="bullet"/>
      <w:lvlText w:val=""/>
      <w:lvlJc w:val="left"/>
      <w:pPr>
        <w:ind w:left="1440" w:hanging="360"/>
      </w:pPr>
      <w:rPr>
        <w:rFonts w:ascii="Symbol" w:hAnsi="Symbol"/>
      </w:rPr>
    </w:lvl>
    <w:lvl w:ilvl="2" w:tplc="FBCA25FA">
      <w:start w:val="1"/>
      <w:numFmt w:val="bullet"/>
      <w:lvlText w:val=""/>
      <w:lvlJc w:val="left"/>
      <w:pPr>
        <w:ind w:left="1440" w:hanging="360"/>
      </w:pPr>
      <w:rPr>
        <w:rFonts w:ascii="Symbol" w:hAnsi="Symbol"/>
      </w:rPr>
    </w:lvl>
    <w:lvl w:ilvl="3" w:tplc="3F2C0230">
      <w:start w:val="1"/>
      <w:numFmt w:val="bullet"/>
      <w:lvlText w:val=""/>
      <w:lvlJc w:val="left"/>
      <w:pPr>
        <w:ind w:left="1440" w:hanging="360"/>
      </w:pPr>
      <w:rPr>
        <w:rFonts w:ascii="Symbol" w:hAnsi="Symbol"/>
      </w:rPr>
    </w:lvl>
    <w:lvl w:ilvl="4" w:tplc="443E534A">
      <w:start w:val="1"/>
      <w:numFmt w:val="bullet"/>
      <w:lvlText w:val=""/>
      <w:lvlJc w:val="left"/>
      <w:pPr>
        <w:ind w:left="1440" w:hanging="360"/>
      </w:pPr>
      <w:rPr>
        <w:rFonts w:ascii="Symbol" w:hAnsi="Symbol"/>
      </w:rPr>
    </w:lvl>
    <w:lvl w:ilvl="5" w:tplc="D7D83630">
      <w:start w:val="1"/>
      <w:numFmt w:val="bullet"/>
      <w:lvlText w:val=""/>
      <w:lvlJc w:val="left"/>
      <w:pPr>
        <w:ind w:left="1440" w:hanging="360"/>
      </w:pPr>
      <w:rPr>
        <w:rFonts w:ascii="Symbol" w:hAnsi="Symbol"/>
      </w:rPr>
    </w:lvl>
    <w:lvl w:ilvl="6" w:tplc="16CCDC38">
      <w:start w:val="1"/>
      <w:numFmt w:val="bullet"/>
      <w:lvlText w:val=""/>
      <w:lvlJc w:val="left"/>
      <w:pPr>
        <w:ind w:left="1440" w:hanging="360"/>
      </w:pPr>
      <w:rPr>
        <w:rFonts w:ascii="Symbol" w:hAnsi="Symbol"/>
      </w:rPr>
    </w:lvl>
    <w:lvl w:ilvl="7" w:tplc="F162F560">
      <w:start w:val="1"/>
      <w:numFmt w:val="bullet"/>
      <w:lvlText w:val=""/>
      <w:lvlJc w:val="left"/>
      <w:pPr>
        <w:ind w:left="1440" w:hanging="360"/>
      </w:pPr>
      <w:rPr>
        <w:rFonts w:ascii="Symbol" w:hAnsi="Symbol"/>
      </w:rPr>
    </w:lvl>
    <w:lvl w:ilvl="8" w:tplc="E6AA9556">
      <w:start w:val="1"/>
      <w:numFmt w:val="bullet"/>
      <w:lvlText w:val=""/>
      <w:lvlJc w:val="left"/>
      <w:pPr>
        <w:ind w:left="1440" w:hanging="360"/>
      </w:pPr>
      <w:rPr>
        <w:rFonts w:ascii="Symbol" w:hAnsi="Symbol"/>
      </w:rPr>
    </w:lvl>
  </w:abstractNum>
  <w:abstractNum w:abstractNumId="59" w15:restartNumberingAfterBreak="0">
    <w:nsid w:val="2A5B2BC8"/>
    <w:multiLevelType w:val="multilevel"/>
    <w:tmpl w:val="9F62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A872B60"/>
    <w:multiLevelType w:val="hybridMultilevel"/>
    <w:tmpl w:val="F75623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B010055"/>
    <w:multiLevelType w:val="hybridMultilevel"/>
    <w:tmpl w:val="F90283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C83543D"/>
    <w:multiLevelType w:val="multilevel"/>
    <w:tmpl w:val="D63445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2D09634E"/>
    <w:multiLevelType w:val="hybridMultilevel"/>
    <w:tmpl w:val="FCDABA88"/>
    <w:lvl w:ilvl="0" w:tplc="FE96666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D7A4EAE"/>
    <w:multiLevelType w:val="hybridMultilevel"/>
    <w:tmpl w:val="4822D0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2DDD38B1"/>
    <w:multiLevelType w:val="multilevel"/>
    <w:tmpl w:val="4B0A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0A0014"/>
    <w:multiLevelType w:val="hybridMultilevel"/>
    <w:tmpl w:val="DF8CB23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E1A4EF7"/>
    <w:multiLevelType w:val="hybridMultilevel"/>
    <w:tmpl w:val="54801486"/>
    <w:lvl w:ilvl="0" w:tplc="4C0E3AF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2E7C07BC"/>
    <w:multiLevelType w:val="hybridMultilevel"/>
    <w:tmpl w:val="CD6C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EEE1BB5"/>
    <w:multiLevelType w:val="hybridMultilevel"/>
    <w:tmpl w:val="81B6C392"/>
    <w:lvl w:ilvl="0" w:tplc="5AA6111A">
      <w:start w:val="1"/>
      <w:numFmt w:val="lowerLetter"/>
      <w:lvlText w:val="%1."/>
      <w:lvlJc w:val="left"/>
      <w:pPr>
        <w:ind w:left="643" w:hanging="360"/>
      </w:pPr>
      <w:rPr>
        <w:rFonts w:ascii="Malgun Gothic" w:eastAsia="Malgun Gothic" w:hAnsi="Malgun Gothic" w:cs="Times New Roman"/>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0" w15:restartNumberingAfterBreak="0">
    <w:nsid w:val="2F824644"/>
    <w:multiLevelType w:val="hybridMultilevel"/>
    <w:tmpl w:val="6DC6C9AA"/>
    <w:lvl w:ilvl="0" w:tplc="063EDFA8">
      <w:start w:val="1"/>
      <w:numFmt w:val="lowerLetter"/>
      <w:lvlText w:val="%1."/>
      <w:lvlJc w:val="left"/>
      <w:pPr>
        <w:ind w:left="360" w:hanging="360"/>
      </w:pPr>
      <w:rPr>
        <w:rFonts w:ascii="Arial" w:eastAsia="Times New Roman" w:hAnsi="Arial" w:cs="Arial"/>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2FC43516"/>
    <w:multiLevelType w:val="multilevel"/>
    <w:tmpl w:val="3AD21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300E3D5D"/>
    <w:multiLevelType w:val="multilevel"/>
    <w:tmpl w:val="A4E0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275010E"/>
    <w:multiLevelType w:val="hybridMultilevel"/>
    <w:tmpl w:val="35E27A66"/>
    <w:lvl w:ilvl="0" w:tplc="FB66008A">
      <w:start w:val="1"/>
      <w:numFmt w:val="bullet"/>
      <w:lvlText w:val=""/>
      <w:lvlJc w:val="left"/>
      <w:pPr>
        <w:ind w:left="360" w:hanging="360"/>
      </w:pPr>
      <w:rPr>
        <w:rFonts w:ascii="Symbol" w:hAnsi="Symbol" w:hint="default"/>
        <w:color w:val="auto"/>
      </w:rPr>
    </w:lvl>
    <w:lvl w:ilvl="1" w:tplc="DB4C979E">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32895E2C"/>
    <w:multiLevelType w:val="hybridMultilevel"/>
    <w:tmpl w:val="835CE9CE"/>
    <w:lvl w:ilvl="0" w:tplc="499C607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32D8455F"/>
    <w:multiLevelType w:val="hybridMultilevel"/>
    <w:tmpl w:val="4AC497D0"/>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338B0D29"/>
    <w:multiLevelType w:val="hybridMultilevel"/>
    <w:tmpl w:val="22765A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4347117"/>
    <w:multiLevelType w:val="hybridMultilevel"/>
    <w:tmpl w:val="BF3AA0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4474A2E"/>
    <w:multiLevelType w:val="hybridMultilevel"/>
    <w:tmpl w:val="1870FD02"/>
    <w:lvl w:ilvl="0" w:tplc="0C090001">
      <w:start w:val="1"/>
      <w:numFmt w:val="bullet"/>
      <w:lvlText w:val=""/>
      <w:lvlJc w:val="left"/>
      <w:pPr>
        <w:ind w:left="340" w:hanging="171"/>
      </w:pPr>
      <w:rPr>
        <w:rFonts w:ascii="Symbol" w:hAnsi="Symbol" w:hint="default"/>
        <w:b w:val="0"/>
        <w:bCs w:val="0"/>
        <w:i w:val="0"/>
        <w:iCs w:val="0"/>
        <w:spacing w:val="0"/>
        <w:w w:val="142"/>
        <w:position w:val="3"/>
        <w:sz w:val="12"/>
        <w:szCs w:val="12"/>
        <w:lang w:val="en-US" w:eastAsia="en-US" w:bidi="ar-SA"/>
      </w:rPr>
    </w:lvl>
    <w:lvl w:ilvl="1" w:tplc="FFFFFFFF">
      <w:numFmt w:val="bullet"/>
      <w:lvlText w:val="•"/>
      <w:lvlJc w:val="left"/>
      <w:pPr>
        <w:ind w:left="1356" w:hanging="171"/>
      </w:pPr>
      <w:rPr>
        <w:rFonts w:hint="default"/>
        <w:lang w:val="en-US" w:eastAsia="en-US" w:bidi="ar-SA"/>
      </w:rPr>
    </w:lvl>
    <w:lvl w:ilvl="2" w:tplc="FFFFFFFF">
      <w:numFmt w:val="bullet"/>
      <w:lvlText w:val="•"/>
      <w:lvlJc w:val="left"/>
      <w:pPr>
        <w:ind w:left="2372" w:hanging="171"/>
      </w:pPr>
      <w:rPr>
        <w:rFonts w:hint="default"/>
        <w:lang w:val="en-US" w:eastAsia="en-US" w:bidi="ar-SA"/>
      </w:rPr>
    </w:lvl>
    <w:lvl w:ilvl="3" w:tplc="FFFFFFFF">
      <w:numFmt w:val="bullet"/>
      <w:lvlText w:val="•"/>
      <w:lvlJc w:val="left"/>
      <w:pPr>
        <w:ind w:left="3389" w:hanging="171"/>
      </w:pPr>
      <w:rPr>
        <w:rFonts w:hint="default"/>
        <w:lang w:val="en-US" w:eastAsia="en-US" w:bidi="ar-SA"/>
      </w:rPr>
    </w:lvl>
    <w:lvl w:ilvl="4" w:tplc="FFFFFFFF">
      <w:numFmt w:val="bullet"/>
      <w:lvlText w:val="•"/>
      <w:lvlJc w:val="left"/>
      <w:pPr>
        <w:ind w:left="4405" w:hanging="171"/>
      </w:pPr>
      <w:rPr>
        <w:rFonts w:hint="default"/>
        <w:lang w:val="en-US" w:eastAsia="en-US" w:bidi="ar-SA"/>
      </w:rPr>
    </w:lvl>
    <w:lvl w:ilvl="5" w:tplc="FFFFFFFF">
      <w:numFmt w:val="bullet"/>
      <w:lvlText w:val="•"/>
      <w:lvlJc w:val="left"/>
      <w:pPr>
        <w:ind w:left="5422" w:hanging="171"/>
      </w:pPr>
      <w:rPr>
        <w:rFonts w:hint="default"/>
        <w:lang w:val="en-US" w:eastAsia="en-US" w:bidi="ar-SA"/>
      </w:rPr>
    </w:lvl>
    <w:lvl w:ilvl="6" w:tplc="FFFFFFFF">
      <w:numFmt w:val="bullet"/>
      <w:lvlText w:val="•"/>
      <w:lvlJc w:val="left"/>
      <w:pPr>
        <w:ind w:left="6438" w:hanging="171"/>
      </w:pPr>
      <w:rPr>
        <w:rFonts w:hint="default"/>
        <w:lang w:val="en-US" w:eastAsia="en-US" w:bidi="ar-SA"/>
      </w:rPr>
    </w:lvl>
    <w:lvl w:ilvl="7" w:tplc="FFFFFFFF">
      <w:numFmt w:val="bullet"/>
      <w:lvlText w:val="•"/>
      <w:lvlJc w:val="left"/>
      <w:pPr>
        <w:ind w:left="7454" w:hanging="171"/>
      </w:pPr>
      <w:rPr>
        <w:rFonts w:hint="default"/>
        <w:lang w:val="en-US" w:eastAsia="en-US" w:bidi="ar-SA"/>
      </w:rPr>
    </w:lvl>
    <w:lvl w:ilvl="8" w:tplc="FFFFFFFF">
      <w:numFmt w:val="bullet"/>
      <w:lvlText w:val="•"/>
      <w:lvlJc w:val="left"/>
      <w:pPr>
        <w:ind w:left="8471" w:hanging="171"/>
      </w:pPr>
      <w:rPr>
        <w:rFonts w:hint="default"/>
        <w:lang w:val="en-US" w:eastAsia="en-US" w:bidi="ar-SA"/>
      </w:rPr>
    </w:lvl>
  </w:abstractNum>
  <w:abstractNum w:abstractNumId="79" w15:restartNumberingAfterBreak="0">
    <w:nsid w:val="34A316B2"/>
    <w:multiLevelType w:val="hybridMultilevel"/>
    <w:tmpl w:val="CC5C9C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C52622"/>
    <w:multiLevelType w:val="hybridMultilevel"/>
    <w:tmpl w:val="498AB9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5496619"/>
    <w:multiLevelType w:val="hybridMultilevel"/>
    <w:tmpl w:val="46163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57F16E1"/>
    <w:multiLevelType w:val="hybridMultilevel"/>
    <w:tmpl w:val="F2A8CD7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3601143A"/>
    <w:multiLevelType w:val="multilevel"/>
    <w:tmpl w:val="354C3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36BB5A19"/>
    <w:multiLevelType w:val="hybridMultilevel"/>
    <w:tmpl w:val="5A248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7697880"/>
    <w:multiLevelType w:val="hybridMultilevel"/>
    <w:tmpl w:val="59B860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8AE18E5"/>
    <w:multiLevelType w:val="hybridMultilevel"/>
    <w:tmpl w:val="95A42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95351F0"/>
    <w:multiLevelType w:val="hybridMultilevel"/>
    <w:tmpl w:val="643A65C2"/>
    <w:lvl w:ilvl="0" w:tplc="53160510">
      <w:start w:val="1"/>
      <w:numFmt w:val="bullet"/>
      <w:lvlText w:val=""/>
      <w:lvlJc w:val="left"/>
      <w:pPr>
        <w:ind w:left="1440" w:hanging="360"/>
      </w:pPr>
      <w:rPr>
        <w:rFonts w:ascii="Symbol" w:hAnsi="Symbol"/>
      </w:rPr>
    </w:lvl>
    <w:lvl w:ilvl="1" w:tplc="8EB66D2C">
      <w:start w:val="1"/>
      <w:numFmt w:val="bullet"/>
      <w:lvlText w:val=""/>
      <w:lvlJc w:val="left"/>
      <w:pPr>
        <w:ind w:left="1440" w:hanging="360"/>
      </w:pPr>
      <w:rPr>
        <w:rFonts w:ascii="Symbol" w:hAnsi="Symbol"/>
      </w:rPr>
    </w:lvl>
    <w:lvl w:ilvl="2" w:tplc="C9BEFCAE">
      <w:start w:val="1"/>
      <w:numFmt w:val="bullet"/>
      <w:lvlText w:val=""/>
      <w:lvlJc w:val="left"/>
      <w:pPr>
        <w:ind w:left="1440" w:hanging="360"/>
      </w:pPr>
      <w:rPr>
        <w:rFonts w:ascii="Symbol" w:hAnsi="Symbol"/>
      </w:rPr>
    </w:lvl>
    <w:lvl w:ilvl="3" w:tplc="64241230">
      <w:start w:val="1"/>
      <w:numFmt w:val="bullet"/>
      <w:lvlText w:val=""/>
      <w:lvlJc w:val="left"/>
      <w:pPr>
        <w:ind w:left="1440" w:hanging="360"/>
      </w:pPr>
      <w:rPr>
        <w:rFonts w:ascii="Symbol" w:hAnsi="Symbol"/>
      </w:rPr>
    </w:lvl>
    <w:lvl w:ilvl="4" w:tplc="25A69B02">
      <w:start w:val="1"/>
      <w:numFmt w:val="bullet"/>
      <w:lvlText w:val=""/>
      <w:lvlJc w:val="left"/>
      <w:pPr>
        <w:ind w:left="1440" w:hanging="360"/>
      </w:pPr>
      <w:rPr>
        <w:rFonts w:ascii="Symbol" w:hAnsi="Symbol"/>
      </w:rPr>
    </w:lvl>
    <w:lvl w:ilvl="5" w:tplc="3DDA29CA">
      <w:start w:val="1"/>
      <w:numFmt w:val="bullet"/>
      <w:lvlText w:val=""/>
      <w:lvlJc w:val="left"/>
      <w:pPr>
        <w:ind w:left="1440" w:hanging="360"/>
      </w:pPr>
      <w:rPr>
        <w:rFonts w:ascii="Symbol" w:hAnsi="Symbol"/>
      </w:rPr>
    </w:lvl>
    <w:lvl w:ilvl="6" w:tplc="A8C29D48">
      <w:start w:val="1"/>
      <w:numFmt w:val="bullet"/>
      <w:lvlText w:val=""/>
      <w:lvlJc w:val="left"/>
      <w:pPr>
        <w:ind w:left="1440" w:hanging="360"/>
      </w:pPr>
      <w:rPr>
        <w:rFonts w:ascii="Symbol" w:hAnsi="Symbol"/>
      </w:rPr>
    </w:lvl>
    <w:lvl w:ilvl="7" w:tplc="48E8511A">
      <w:start w:val="1"/>
      <w:numFmt w:val="bullet"/>
      <w:lvlText w:val=""/>
      <w:lvlJc w:val="left"/>
      <w:pPr>
        <w:ind w:left="1440" w:hanging="360"/>
      </w:pPr>
      <w:rPr>
        <w:rFonts w:ascii="Symbol" w:hAnsi="Symbol"/>
      </w:rPr>
    </w:lvl>
    <w:lvl w:ilvl="8" w:tplc="C250EF3C">
      <w:start w:val="1"/>
      <w:numFmt w:val="bullet"/>
      <w:lvlText w:val=""/>
      <w:lvlJc w:val="left"/>
      <w:pPr>
        <w:ind w:left="1440" w:hanging="360"/>
      </w:pPr>
      <w:rPr>
        <w:rFonts w:ascii="Symbol" w:hAnsi="Symbol"/>
      </w:rPr>
    </w:lvl>
  </w:abstractNum>
  <w:abstractNum w:abstractNumId="88" w15:restartNumberingAfterBreak="0">
    <w:nsid w:val="39830A25"/>
    <w:multiLevelType w:val="hybridMultilevel"/>
    <w:tmpl w:val="5262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AB312D5"/>
    <w:multiLevelType w:val="hybridMultilevel"/>
    <w:tmpl w:val="89A4E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DA34EA9"/>
    <w:multiLevelType w:val="multilevel"/>
    <w:tmpl w:val="F314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DFF22B6"/>
    <w:multiLevelType w:val="hybridMultilevel"/>
    <w:tmpl w:val="4AC497D0"/>
    <w:lvl w:ilvl="0" w:tplc="0C090019">
      <w:start w:val="1"/>
      <w:numFmt w:val="lowerLetter"/>
      <w:lvlText w:val="%1."/>
      <w:lvlJc w:val="left"/>
      <w:pPr>
        <w:ind w:left="50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3F641BB0"/>
    <w:multiLevelType w:val="hybridMultilevel"/>
    <w:tmpl w:val="EB0A8C9A"/>
    <w:lvl w:ilvl="0" w:tplc="70D04A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F734F06"/>
    <w:multiLevelType w:val="hybridMultilevel"/>
    <w:tmpl w:val="0FF0D472"/>
    <w:lvl w:ilvl="0" w:tplc="0C090019">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02A3B2E"/>
    <w:multiLevelType w:val="hybridMultilevel"/>
    <w:tmpl w:val="AAA04F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0B34CCB"/>
    <w:multiLevelType w:val="hybridMultilevel"/>
    <w:tmpl w:val="965E10CC"/>
    <w:lvl w:ilvl="0" w:tplc="6ED43CBE">
      <w:numFmt w:val="bullet"/>
      <w:lvlText w:val="•"/>
      <w:lvlJc w:val="left"/>
      <w:pPr>
        <w:ind w:left="503" w:hanging="360"/>
      </w:pPr>
      <w:rPr>
        <w:rFonts w:ascii="Arial" w:eastAsia="Arial" w:hAnsi="Arial" w:cs="Arial" w:hint="default"/>
        <w:b w:val="0"/>
        <w:bCs w:val="0"/>
        <w:i w:val="0"/>
        <w:iCs w:val="0"/>
        <w:spacing w:val="0"/>
        <w:w w:val="142"/>
        <w:position w:val="3"/>
        <w:sz w:val="12"/>
        <w:szCs w:val="12"/>
        <w:lang w:val="en-US" w:eastAsia="en-US" w:bidi="ar-SA"/>
      </w:rPr>
    </w:lvl>
    <w:lvl w:ilvl="1" w:tplc="0C090003" w:tentative="1">
      <w:start w:val="1"/>
      <w:numFmt w:val="bullet"/>
      <w:lvlText w:val="o"/>
      <w:lvlJc w:val="left"/>
      <w:pPr>
        <w:ind w:left="1223" w:hanging="360"/>
      </w:pPr>
      <w:rPr>
        <w:rFonts w:ascii="Courier New" w:hAnsi="Courier New" w:cs="Courier New" w:hint="default"/>
      </w:rPr>
    </w:lvl>
    <w:lvl w:ilvl="2" w:tplc="0C090005" w:tentative="1">
      <w:start w:val="1"/>
      <w:numFmt w:val="bullet"/>
      <w:lvlText w:val=""/>
      <w:lvlJc w:val="left"/>
      <w:pPr>
        <w:ind w:left="1943" w:hanging="360"/>
      </w:pPr>
      <w:rPr>
        <w:rFonts w:ascii="Wingdings" w:hAnsi="Wingdings" w:hint="default"/>
      </w:rPr>
    </w:lvl>
    <w:lvl w:ilvl="3" w:tplc="0C090001" w:tentative="1">
      <w:start w:val="1"/>
      <w:numFmt w:val="bullet"/>
      <w:lvlText w:val=""/>
      <w:lvlJc w:val="left"/>
      <w:pPr>
        <w:ind w:left="2663" w:hanging="360"/>
      </w:pPr>
      <w:rPr>
        <w:rFonts w:ascii="Symbol" w:hAnsi="Symbol" w:hint="default"/>
      </w:rPr>
    </w:lvl>
    <w:lvl w:ilvl="4" w:tplc="0C090003" w:tentative="1">
      <w:start w:val="1"/>
      <w:numFmt w:val="bullet"/>
      <w:lvlText w:val="o"/>
      <w:lvlJc w:val="left"/>
      <w:pPr>
        <w:ind w:left="3383" w:hanging="360"/>
      </w:pPr>
      <w:rPr>
        <w:rFonts w:ascii="Courier New" w:hAnsi="Courier New" w:cs="Courier New" w:hint="default"/>
      </w:rPr>
    </w:lvl>
    <w:lvl w:ilvl="5" w:tplc="0C090005" w:tentative="1">
      <w:start w:val="1"/>
      <w:numFmt w:val="bullet"/>
      <w:lvlText w:val=""/>
      <w:lvlJc w:val="left"/>
      <w:pPr>
        <w:ind w:left="4103" w:hanging="360"/>
      </w:pPr>
      <w:rPr>
        <w:rFonts w:ascii="Wingdings" w:hAnsi="Wingdings" w:hint="default"/>
      </w:rPr>
    </w:lvl>
    <w:lvl w:ilvl="6" w:tplc="0C090001" w:tentative="1">
      <w:start w:val="1"/>
      <w:numFmt w:val="bullet"/>
      <w:lvlText w:val=""/>
      <w:lvlJc w:val="left"/>
      <w:pPr>
        <w:ind w:left="4823" w:hanging="360"/>
      </w:pPr>
      <w:rPr>
        <w:rFonts w:ascii="Symbol" w:hAnsi="Symbol" w:hint="default"/>
      </w:rPr>
    </w:lvl>
    <w:lvl w:ilvl="7" w:tplc="0C090003" w:tentative="1">
      <w:start w:val="1"/>
      <w:numFmt w:val="bullet"/>
      <w:lvlText w:val="o"/>
      <w:lvlJc w:val="left"/>
      <w:pPr>
        <w:ind w:left="5543" w:hanging="360"/>
      </w:pPr>
      <w:rPr>
        <w:rFonts w:ascii="Courier New" w:hAnsi="Courier New" w:cs="Courier New" w:hint="default"/>
      </w:rPr>
    </w:lvl>
    <w:lvl w:ilvl="8" w:tplc="0C090005" w:tentative="1">
      <w:start w:val="1"/>
      <w:numFmt w:val="bullet"/>
      <w:lvlText w:val=""/>
      <w:lvlJc w:val="left"/>
      <w:pPr>
        <w:ind w:left="6263" w:hanging="360"/>
      </w:pPr>
      <w:rPr>
        <w:rFonts w:ascii="Wingdings" w:hAnsi="Wingdings" w:hint="default"/>
      </w:rPr>
    </w:lvl>
  </w:abstractNum>
  <w:abstractNum w:abstractNumId="96" w15:restartNumberingAfterBreak="0">
    <w:nsid w:val="42741152"/>
    <w:multiLevelType w:val="hybridMultilevel"/>
    <w:tmpl w:val="64F46486"/>
    <w:lvl w:ilvl="0" w:tplc="FFFFFFFF">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3BB24D9"/>
    <w:multiLevelType w:val="hybridMultilevel"/>
    <w:tmpl w:val="AD46FF0E"/>
    <w:lvl w:ilvl="0" w:tplc="B978C9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3EB45C0"/>
    <w:multiLevelType w:val="hybridMultilevel"/>
    <w:tmpl w:val="B94E8D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4B17CC2"/>
    <w:multiLevelType w:val="hybridMultilevel"/>
    <w:tmpl w:val="32100FFC"/>
    <w:lvl w:ilvl="0" w:tplc="3E021EA6">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45005630"/>
    <w:multiLevelType w:val="hybridMultilevel"/>
    <w:tmpl w:val="94DA0B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5760B6F"/>
    <w:multiLevelType w:val="hybridMultilevel"/>
    <w:tmpl w:val="DD7EBB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61E2339"/>
    <w:multiLevelType w:val="hybridMultilevel"/>
    <w:tmpl w:val="B65C79A0"/>
    <w:lvl w:ilvl="0" w:tplc="78B2C5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61E321F"/>
    <w:multiLevelType w:val="hybridMultilevel"/>
    <w:tmpl w:val="2D4AC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91F0096"/>
    <w:multiLevelType w:val="hybridMultilevel"/>
    <w:tmpl w:val="D7DE1B7E"/>
    <w:lvl w:ilvl="0" w:tplc="E376BC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9E22B16"/>
    <w:multiLevelType w:val="multilevel"/>
    <w:tmpl w:val="7058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E45030"/>
    <w:multiLevelType w:val="hybridMultilevel"/>
    <w:tmpl w:val="CE948688"/>
    <w:lvl w:ilvl="0" w:tplc="6F4894E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BB22868"/>
    <w:multiLevelType w:val="hybridMultilevel"/>
    <w:tmpl w:val="46F47E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C0C328B"/>
    <w:multiLevelType w:val="hybridMultilevel"/>
    <w:tmpl w:val="426443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03672"/>
    <w:multiLevelType w:val="hybridMultilevel"/>
    <w:tmpl w:val="F8022E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4F582D0A"/>
    <w:multiLevelType w:val="hybridMultilevel"/>
    <w:tmpl w:val="26FCEF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1252E98"/>
    <w:multiLevelType w:val="multilevel"/>
    <w:tmpl w:val="53D2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27221FA"/>
    <w:multiLevelType w:val="hybridMultilevel"/>
    <w:tmpl w:val="895650C2"/>
    <w:lvl w:ilvl="0" w:tplc="A032419C">
      <w:numFmt w:val="bullet"/>
      <w:lvlText w:val="•"/>
      <w:lvlJc w:val="left"/>
      <w:pPr>
        <w:ind w:left="170" w:hanging="171"/>
      </w:pPr>
      <w:rPr>
        <w:rFonts w:ascii="Arial" w:eastAsia="Arial" w:hAnsi="Arial" w:cs="Arial" w:hint="default"/>
        <w:b w:val="0"/>
        <w:bCs w:val="0"/>
        <w:i w:val="0"/>
        <w:iCs w:val="0"/>
        <w:color w:val="auto"/>
        <w:spacing w:val="0"/>
        <w:w w:val="142"/>
        <w:position w:val="3"/>
        <w:sz w:val="12"/>
        <w:szCs w:val="12"/>
        <w:lang w:val="en-US" w:eastAsia="en-US" w:bidi="ar-SA"/>
      </w:rPr>
    </w:lvl>
    <w:lvl w:ilvl="1" w:tplc="C88E7AF0">
      <w:numFmt w:val="bullet"/>
      <w:lvlText w:val="•"/>
      <w:lvlJc w:val="left"/>
      <w:pPr>
        <w:ind w:left="333" w:hanging="171"/>
      </w:pPr>
      <w:rPr>
        <w:rFonts w:hint="default"/>
        <w:lang w:val="en-US" w:eastAsia="en-US" w:bidi="ar-SA"/>
      </w:rPr>
    </w:lvl>
    <w:lvl w:ilvl="2" w:tplc="E744DECC">
      <w:numFmt w:val="bullet"/>
      <w:lvlText w:val="•"/>
      <w:lvlJc w:val="left"/>
      <w:pPr>
        <w:ind w:left="487" w:hanging="171"/>
      </w:pPr>
      <w:rPr>
        <w:rFonts w:hint="default"/>
        <w:lang w:val="en-US" w:eastAsia="en-US" w:bidi="ar-SA"/>
      </w:rPr>
    </w:lvl>
    <w:lvl w:ilvl="3" w:tplc="B4BE7BBC">
      <w:numFmt w:val="bullet"/>
      <w:lvlText w:val="•"/>
      <w:lvlJc w:val="left"/>
      <w:pPr>
        <w:ind w:left="640" w:hanging="171"/>
      </w:pPr>
      <w:rPr>
        <w:rFonts w:hint="default"/>
        <w:lang w:val="en-US" w:eastAsia="en-US" w:bidi="ar-SA"/>
      </w:rPr>
    </w:lvl>
    <w:lvl w:ilvl="4" w:tplc="827C5138">
      <w:numFmt w:val="bullet"/>
      <w:lvlText w:val="•"/>
      <w:lvlJc w:val="left"/>
      <w:pPr>
        <w:ind w:left="794" w:hanging="171"/>
      </w:pPr>
      <w:rPr>
        <w:rFonts w:hint="default"/>
        <w:lang w:val="en-US" w:eastAsia="en-US" w:bidi="ar-SA"/>
      </w:rPr>
    </w:lvl>
    <w:lvl w:ilvl="5" w:tplc="408CC26C">
      <w:numFmt w:val="bullet"/>
      <w:lvlText w:val="•"/>
      <w:lvlJc w:val="left"/>
      <w:pPr>
        <w:ind w:left="947" w:hanging="171"/>
      </w:pPr>
      <w:rPr>
        <w:rFonts w:hint="default"/>
        <w:lang w:val="en-US" w:eastAsia="en-US" w:bidi="ar-SA"/>
      </w:rPr>
    </w:lvl>
    <w:lvl w:ilvl="6" w:tplc="20F8349C">
      <w:numFmt w:val="bullet"/>
      <w:lvlText w:val="•"/>
      <w:lvlJc w:val="left"/>
      <w:pPr>
        <w:ind w:left="1101" w:hanging="171"/>
      </w:pPr>
      <w:rPr>
        <w:rFonts w:hint="default"/>
        <w:lang w:val="en-US" w:eastAsia="en-US" w:bidi="ar-SA"/>
      </w:rPr>
    </w:lvl>
    <w:lvl w:ilvl="7" w:tplc="9EFCC6E0">
      <w:numFmt w:val="bullet"/>
      <w:lvlText w:val="•"/>
      <w:lvlJc w:val="left"/>
      <w:pPr>
        <w:ind w:left="1254" w:hanging="171"/>
      </w:pPr>
      <w:rPr>
        <w:rFonts w:hint="default"/>
        <w:lang w:val="en-US" w:eastAsia="en-US" w:bidi="ar-SA"/>
      </w:rPr>
    </w:lvl>
    <w:lvl w:ilvl="8" w:tplc="0FCC884C">
      <w:numFmt w:val="bullet"/>
      <w:lvlText w:val="•"/>
      <w:lvlJc w:val="left"/>
      <w:pPr>
        <w:ind w:left="1408" w:hanging="171"/>
      </w:pPr>
      <w:rPr>
        <w:rFonts w:hint="default"/>
        <w:lang w:val="en-US" w:eastAsia="en-US" w:bidi="ar-SA"/>
      </w:rPr>
    </w:lvl>
  </w:abstractNum>
  <w:abstractNum w:abstractNumId="113" w15:restartNumberingAfterBreak="0">
    <w:nsid w:val="52EB5727"/>
    <w:multiLevelType w:val="hybridMultilevel"/>
    <w:tmpl w:val="5498B59A"/>
    <w:lvl w:ilvl="0" w:tplc="4C0E3A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12184B"/>
    <w:multiLevelType w:val="hybridMultilevel"/>
    <w:tmpl w:val="6420A22A"/>
    <w:lvl w:ilvl="0" w:tplc="FFFFFFFF">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577DBF"/>
    <w:multiLevelType w:val="hybridMultilevel"/>
    <w:tmpl w:val="AA50637A"/>
    <w:lvl w:ilvl="0" w:tplc="B1E8A34E">
      <w:start w:val="1"/>
      <w:numFmt w:val="bullet"/>
      <w:lvlText w:val=""/>
      <w:lvlJc w:val="left"/>
      <w:pPr>
        <w:ind w:left="1440" w:hanging="360"/>
      </w:pPr>
      <w:rPr>
        <w:rFonts w:ascii="Symbol" w:hAnsi="Symbol"/>
      </w:rPr>
    </w:lvl>
    <w:lvl w:ilvl="1" w:tplc="919A2BE2">
      <w:start w:val="1"/>
      <w:numFmt w:val="bullet"/>
      <w:lvlText w:val=""/>
      <w:lvlJc w:val="left"/>
      <w:pPr>
        <w:ind w:left="1440" w:hanging="360"/>
      </w:pPr>
      <w:rPr>
        <w:rFonts w:ascii="Symbol" w:hAnsi="Symbol"/>
      </w:rPr>
    </w:lvl>
    <w:lvl w:ilvl="2" w:tplc="FDFC5794">
      <w:start w:val="1"/>
      <w:numFmt w:val="bullet"/>
      <w:lvlText w:val=""/>
      <w:lvlJc w:val="left"/>
      <w:pPr>
        <w:ind w:left="1440" w:hanging="360"/>
      </w:pPr>
      <w:rPr>
        <w:rFonts w:ascii="Symbol" w:hAnsi="Symbol"/>
      </w:rPr>
    </w:lvl>
    <w:lvl w:ilvl="3" w:tplc="426695B2">
      <w:start w:val="1"/>
      <w:numFmt w:val="bullet"/>
      <w:lvlText w:val=""/>
      <w:lvlJc w:val="left"/>
      <w:pPr>
        <w:ind w:left="1440" w:hanging="360"/>
      </w:pPr>
      <w:rPr>
        <w:rFonts w:ascii="Symbol" w:hAnsi="Symbol"/>
      </w:rPr>
    </w:lvl>
    <w:lvl w:ilvl="4" w:tplc="6126644A">
      <w:start w:val="1"/>
      <w:numFmt w:val="bullet"/>
      <w:lvlText w:val=""/>
      <w:lvlJc w:val="left"/>
      <w:pPr>
        <w:ind w:left="1440" w:hanging="360"/>
      </w:pPr>
      <w:rPr>
        <w:rFonts w:ascii="Symbol" w:hAnsi="Symbol"/>
      </w:rPr>
    </w:lvl>
    <w:lvl w:ilvl="5" w:tplc="E356EFDC">
      <w:start w:val="1"/>
      <w:numFmt w:val="bullet"/>
      <w:lvlText w:val=""/>
      <w:lvlJc w:val="left"/>
      <w:pPr>
        <w:ind w:left="1440" w:hanging="360"/>
      </w:pPr>
      <w:rPr>
        <w:rFonts w:ascii="Symbol" w:hAnsi="Symbol"/>
      </w:rPr>
    </w:lvl>
    <w:lvl w:ilvl="6" w:tplc="8DDCCAD2">
      <w:start w:val="1"/>
      <w:numFmt w:val="bullet"/>
      <w:lvlText w:val=""/>
      <w:lvlJc w:val="left"/>
      <w:pPr>
        <w:ind w:left="1440" w:hanging="360"/>
      </w:pPr>
      <w:rPr>
        <w:rFonts w:ascii="Symbol" w:hAnsi="Symbol"/>
      </w:rPr>
    </w:lvl>
    <w:lvl w:ilvl="7" w:tplc="51A47294">
      <w:start w:val="1"/>
      <w:numFmt w:val="bullet"/>
      <w:lvlText w:val=""/>
      <w:lvlJc w:val="left"/>
      <w:pPr>
        <w:ind w:left="1440" w:hanging="360"/>
      </w:pPr>
      <w:rPr>
        <w:rFonts w:ascii="Symbol" w:hAnsi="Symbol"/>
      </w:rPr>
    </w:lvl>
    <w:lvl w:ilvl="8" w:tplc="11309F74">
      <w:start w:val="1"/>
      <w:numFmt w:val="bullet"/>
      <w:lvlText w:val=""/>
      <w:lvlJc w:val="left"/>
      <w:pPr>
        <w:ind w:left="1440" w:hanging="360"/>
      </w:pPr>
      <w:rPr>
        <w:rFonts w:ascii="Symbol" w:hAnsi="Symbol"/>
      </w:rPr>
    </w:lvl>
  </w:abstractNum>
  <w:abstractNum w:abstractNumId="116" w15:restartNumberingAfterBreak="0">
    <w:nsid w:val="53F05F25"/>
    <w:multiLevelType w:val="hybridMultilevel"/>
    <w:tmpl w:val="D54EB9BA"/>
    <w:lvl w:ilvl="0" w:tplc="B978C9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54504778"/>
    <w:multiLevelType w:val="hybridMultilevel"/>
    <w:tmpl w:val="F9C48BFA"/>
    <w:lvl w:ilvl="0" w:tplc="5874B024">
      <w:start w:val="1"/>
      <w:numFmt w:val="bullet"/>
      <w:lvlText w:val=""/>
      <w:lvlJc w:val="left"/>
      <w:pPr>
        <w:ind w:left="1240" w:hanging="360"/>
      </w:pPr>
      <w:rPr>
        <w:rFonts w:ascii="Symbol" w:hAnsi="Symbol"/>
      </w:rPr>
    </w:lvl>
    <w:lvl w:ilvl="1" w:tplc="C28E7E2E">
      <w:start w:val="1"/>
      <w:numFmt w:val="bullet"/>
      <w:lvlText w:val=""/>
      <w:lvlJc w:val="left"/>
      <w:pPr>
        <w:ind w:left="1240" w:hanging="360"/>
      </w:pPr>
      <w:rPr>
        <w:rFonts w:ascii="Symbol" w:hAnsi="Symbol"/>
      </w:rPr>
    </w:lvl>
    <w:lvl w:ilvl="2" w:tplc="528C1B2E">
      <w:start w:val="1"/>
      <w:numFmt w:val="bullet"/>
      <w:lvlText w:val=""/>
      <w:lvlJc w:val="left"/>
      <w:pPr>
        <w:ind w:left="1240" w:hanging="360"/>
      </w:pPr>
      <w:rPr>
        <w:rFonts w:ascii="Symbol" w:hAnsi="Symbol"/>
      </w:rPr>
    </w:lvl>
    <w:lvl w:ilvl="3" w:tplc="048815A4">
      <w:start w:val="1"/>
      <w:numFmt w:val="bullet"/>
      <w:lvlText w:val=""/>
      <w:lvlJc w:val="left"/>
      <w:pPr>
        <w:ind w:left="1240" w:hanging="360"/>
      </w:pPr>
      <w:rPr>
        <w:rFonts w:ascii="Symbol" w:hAnsi="Symbol"/>
      </w:rPr>
    </w:lvl>
    <w:lvl w:ilvl="4" w:tplc="A2BE04B2">
      <w:start w:val="1"/>
      <w:numFmt w:val="bullet"/>
      <w:lvlText w:val=""/>
      <w:lvlJc w:val="left"/>
      <w:pPr>
        <w:ind w:left="1240" w:hanging="360"/>
      </w:pPr>
      <w:rPr>
        <w:rFonts w:ascii="Symbol" w:hAnsi="Symbol"/>
      </w:rPr>
    </w:lvl>
    <w:lvl w:ilvl="5" w:tplc="649C4100">
      <w:start w:val="1"/>
      <w:numFmt w:val="bullet"/>
      <w:lvlText w:val=""/>
      <w:lvlJc w:val="left"/>
      <w:pPr>
        <w:ind w:left="1240" w:hanging="360"/>
      </w:pPr>
      <w:rPr>
        <w:rFonts w:ascii="Symbol" w:hAnsi="Symbol"/>
      </w:rPr>
    </w:lvl>
    <w:lvl w:ilvl="6" w:tplc="FFEEEDBA">
      <w:start w:val="1"/>
      <w:numFmt w:val="bullet"/>
      <w:lvlText w:val=""/>
      <w:lvlJc w:val="left"/>
      <w:pPr>
        <w:ind w:left="1240" w:hanging="360"/>
      </w:pPr>
      <w:rPr>
        <w:rFonts w:ascii="Symbol" w:hAnsi="Symbol"/>
      </w:rPr>
    </w:lvl>
    <w:lvl w:ilvl="7" w:tplc="8BC22EA4">
      <w:start w:val="1"/>
      <w:numFmt w:val="bullet"/>
      <w:lvlText w:val=""/>
      <w:lvlJc w:val="left"/>
      <w:pPr>
        <w:ind w:left="1240" w:hanging="360"/>
      </w:pPr>
      <w:rPr>
        <w:rFonts w:ascii="Symbol" w:hAnsi="Symbol"/>
      </w:rPr>
    </w:lvl>
    <w:lvl w:ilvl="8" w:tplc="AAAC2380">
      <w:start w:val="1"/>
      <w:numFmt w:val="bullet"/>
      <w:lvlText w:val=""/>
      <w:lvlJc w:val="left"/>
      <w:pPr>
        <w:ind w:left="1240" w:hanging="360"/>
      </w:pPr>
      <w:rPr>
        <w:rFonts w:ascii="Symbol" w:hAnsi="Symbol"/>
      </w:rPr>
    </w:lvl>
  </w:abstractNum>
  <w:abstractNum w:abstractNumId="118" w15:restartNumberingAfterBreak="0">
    <w:nsid w:val="54FA5210"/>
    <w:multiLevelType w:val="hybridMultilevel"/>
    <w:tmpl w:val="F3F217D2"/>
    <w:lvl w:ilvl="0" w:tplc="AA86752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5113BB2"/>
    <w:multiLevelType w:val="hybridMultilevel"/>
    <w:tmpl w:val="A844E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0" w15:restartNumberingAfterBreak="0">
    <w:nsid w:val="55724B51"/>
    <w:multiLevelType w:val="hybridMultilevel"/>
    <w:tmpl w:val="4448E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562A4DC6"/>
    <w:multiLevelType w:val="hybridMultilevel"/>
    <w:tmpl w:val="9B8010C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572907B3"/>
    <w:multiLevelType w:val="hybridMultilevel"/>
    <w:tmpl w:val="1D3036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586A3489"/>
    <w:multiLevelType w:val="hybridMultilevel"/>
    <w:tmpl w:val="3A8ECB3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58AB658C"/>
    <w:multiLevelType w:val="multilevel"/>
    <w:tmpl w:val="F02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9387975"/>
    <w:multiLevelType w:val="hybridMultilevel"/>
    <w:tmpl w:val="8D9296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6" w15:restartNumberingAfterBreak="0">
    <w:nsid w:val="59670465"/>
    <w:multiLevelType w:val="hybridMultilevel"/>
    <w:tmpl w:val="A92A2244"/>
    <w:lvl w:ilvl="0" w:tplc="0C090003">
      <w:start w:val="1"/>
      <w:numFmt w:val="bullet"/>
      <w:lvlText w:val="o"/>
      <w:lvlJc w:val="left"/>
      <w:pPr>
        <w:ind w:left="785" w:hanging="360"/>
      </w:pPr>
      <w:rPr>
        <w:rFonts w:ascii="Courier New" w:hAnsi="Courier New" w:cs="Courier New"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27" w15:restartNumberingAfterBreak="0">
    <w:nsid w:val="599D1213"/>
    <w:multiLevelType w:val="hybridMultilevel"/>
    <w:tmpl w:val="80D28CEE"/>
    <w:lvl w:ilvl="0" w:tplc="0C090019">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9DA529B"/>
    <w:multiLevelType w:val="hybridMultilevel"/>
    <w:tmpl w:val="59B860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B255EA0"/>
    <w:multiLevelType w:val="hybridMultilevel"/>
    <w:tmpl w:val="D898BC0E"/>
    <w:lvl w:ilvl="0" w:tplc="FFFFFFFF">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B824E8B"/>
    <w:multiLevelType w:val="hybridMultilevel"/>
    <w:tmpl w:val="EB2691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B882830"/>
    <w:multiLevelType w:val="hybridMultilevel"/>
    <w:tmpl w:val="904C58C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448" w:hanging="360"/>
      </w:pPr>
    </w:lvl>
    <w:lvl w:ilvl="2" w:tplc="0C09001B" w:tentative="1">
      <w:start w:val="1"/>
      <w:numFmt w:val="lowerRoman"/>
      <w:lvlText w:val="%3."/>
      <w:lvlJc w:val="right"/>
      <w:pPr>
        <w:ind w:left="1168" w:hanging="180"/>
      </w:pPr>
    </w:lvl>
    <w:lvl w:ilvl="3" w:tplc="0C09000F" w:tentative="1">
      <w:start w:val="1"/>
      <w:numFmt w:val="decimal"/>
      <w:lvlText w:val="%4."/>
      <w:lvlJc w:val="left"/>
      <w:pPr>
        <w:ind w:left="1888" w:hanging="360"/>
      </w:pPr>
    </w:lvl>
    <w:lvl w:ilvl="4" w:tplc="0C090019" w:tentative="1">
      <w:start w:val="1"/>
      <w:numFmt w:val="lowerLetter"/>
      <w:lvlText w:val="%5."/>
      <w:lvlJc w:val="left"/>
      <w:pPr>
        <w:ind w:left="2608" w:hanging="360"/>
      </w:pPr>
    </w:lvl>
    <w:lvl w:ilvl="5" w:tplc="0C09001B" w:tentative="1">
      <w:start w:val="1"/>
      <w:numFmt w:val="lowerRoman"/>
      <w:lvlText w:val="%6."/>
      <w:lvlJc w:val="right"/>
      <w:pPr>
        <w:ind w:left="3328" w:hanging="180"/>
      </w:pPr>
    </w:lvl>
    <w:lvl w:ilvl="6" w:tplc="0C09000F" w:tentative="1">
      <w:start w:val="1"/>
      <w:numFmt w:val="decimal"/>
      <w:lvlText w:val="%7."/>
      <w:lvlJc w:val="left"/>
      <w:pPr>
        <w:ind w:left="4048" w:hanging="360"/>
      </w:pPr>
    </w:lvl>
    <w:lvl w:ilvl="7" w:tplc="0C090019" w:tentative="1">
      <w:start w:val="1"/>
      <w:numFmt w:val="lowerLetter"/>
      <w:lvlText w:val="%8."/>
      <w:lvlJc w:val="left"/>
      <w:pPr>
        <w:ind w:left="4768" w:hanging="360"/>
      </w:pPr>
    </w:lvl>
    <w:lvl w:ilvl="8" w:tplc="0C09001B" w:tentative="1">
      <w:start w:val="1"/>
      <w:numFmt w:val="lowerRoman"/>
      <w:lvlText w:val="%9."/>
      <w:lvlJc w:val="right"/>
      <w:pPr>
        <w:ind w:left="5488" w:hanging="180"/>
      </w:pPr>
    </w:lvl>
  </w:abstractNum>
  <w:abstractNum w:abstractNumId="132" w15:restartNumberingAfterBreak="0">
    <w:nsid w:val="5CE61B30"/>
    <w:multiLevelType w:val="hybridMultilevel"/>
    <w:tmpl w:val="7070D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E87272E"/>
    <w:multiLevelType w:val="hybridMultilevel"/>
    <w:tmpl w:val="A49C82A6"/>
    <w:lvl w:ilvl="0" w:tplc="C3DEC65C">
      <w:start w:val="1"/>
      <w:numFmt w:val="lowerLetter"/>
      <w:lvlText w:val="%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F2D04F4"/>
    <w:multiLevelType w:val="hybridMultilevel"/>
    <w:tmpl w:val="68EA7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FDC331F"/>
    <w:multiLevelType w:val="hybridMultilevel"/>
    <w:tmpl w:val="3D901AA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6" w15:restartNumberingAfterBreak="0">
    <w:nsid w:val="5FEA5FEC"/>
    <w:multiLevelType w:val="hybridMultilevel"/>
    <w:tmpl w:val="26FCEF5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604033F0"/>
    <w:multiLevelType w:val="hybridMultilevel"/>
    <w:tmpl w:val="EA069FF6"/>
    <w:lvl w:ilvl="0" w:tplc="07AEF7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04C143F"/>
    <w:multiLevelType w:val="hybridMultilevel"/>
    <w:tmpl w:val="DD7EBB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06F4AEF"/>
    <w:multiLevelType w:val="multilevel"/>
    <w:tmpl w:val="00DE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1F23B09"/>
    <w:multiLevelType w:val="hybridMultilevel"/>
    <w:tmpl w:val="8258F7D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622E50A1"/>
    <w:multiLevelType w:val="hybridMultilevel"/>
    <w:tmpl w:val="46F47E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3DD5768"/>
    <w:multiLevelType w:val="hybridMultilevel"/>
    <w:tmpl w:val="E2D20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527645B"/>
    <w:multiLevelType w:val="hybridMultilevel"/>
    <w:tmpl w:val="4FEA1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6CF6F8B"/>
    <w:multiLevelType w:val="hybridMultilevel"/>
    <w:tmpl w:val="58FE7E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6EC26E7"/>
    <w:multiLevelType w:val="hybridMultilevel"/>
    <w:tmpl w:val="F90283B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675B5BC8"/>
    <w:multiLevelType w:val="hybridMultilevel"/>
    <w:tmpl w:val="4B12867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7" w15:restartNumberingAfterBreak="0">
    <w:nsid w:val="69A4174B"/>
    <w:multiLevelType w:val="hybridMultilevel"/>
    <w:tmpl w:val="ACBAF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9AD69F6"/>
    <w:multiLevelType w:val="hybridMultilevel"/>
    <w:tmpl w:val="A2CE3C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69EE2B87"/>
    <w:multiLevelType w:val="hybridMultilevel"/>
    <w:tmpl w:val="F7CE2C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2E2C23"/>
    <w:multiLevelType w:val="hybridMultilevel"/>
    <w:tmpl w:val="DE52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B346531"/>
    <w:multiLevelType w:val="multilevel"/>
    <w:tmpl w:val="B9DE2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B4172EE"/>
    <w:multiLevelType w:val="hybridMultilevel"/>
    <w:tmpl w:val="B3FAE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C03773B"/>
    <w:multiLevelType w:val="hybridMultilevel"/>
    <w:tmpl w:val="DBA4D0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C9F6E8D"/>
    <w:multiLevelType w:val="hybridMultilevel"/>
    <w:tmpl w:val="4FEA1B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3432DC"/>
    <w:multiLevelType w:val="hybridMultilevel"/>
    <w:tmpl w:val="D6FE72B8"/>
    <w:lvl w:ilvl="0" w:tplc="59D23F4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6" w15:restartNumberingAfterBreak="0">
    <w:nsid w:val="6E8B17F4"/>
    <w:multiLevelType w:val="hybridMultilevel"/>
    <w:tmpl w:val="57BAEFC2"/>
    <w:lvl w:ilvl="0" w:tplc="0C090001">
      <w:start w:val="1"/>
      <w:numFmt w:val="bullet"/>
      <w:lvlText w:val=""/>
      <w:lvlJc w:val="left"/>
      <w:pPr>
        <w:ind w:left="610" w:hanging="360"/>
      </w:pPr>
      <w:rPr>
        <w:rFonts w:ascii="Symbol" w:hAnsi="Symbol" w:hint="default"/>
      </w:rPr>
    </w:lvl>
    <w:lvl w:ilvl="1" w:tplc="0C090003" w:tentative="1">
      <w:start w:val="1"/>
      <w:numFmt w:val="bullet"/>
      <w:lvlText w:val="o"/>
      <w:lvlJc w:val="left"/>
      <w:pPr>
        <w:ind w:left="1330" w:hanging="360"/>
      </w:pPr>
      <w:rPr>
        <w:rFonts w:ascii="Courier New" w:hAnsi="Courier New" w:cs="Courier New" w:hint="default"/>
      </w:rPr>
    </w:lvl>
    <w:lvl w:ilvl="2" w:tplc="0C090005" w:tentative="1">
      <w:start w:val="1"/>
      <w:numFmt w:val="bullet"/>
      <w:lvlText w:val=""/>
      <w:lvlJc w:val="left"/>
      <w:pPr>
        <w:ind w:left="2050" w:hanging="360"/>
      </w:pPr>
      <w:rPr>
        <w:rFonts w:ascii="Wingdings" w:hAnsi="Wingdings" w:hint="default"/>
      </w:rPr>
    </w:lvl>
    <w:lvl w:ilvl="3" w:tplc="0C090001" w:tentative="1">
      <w:start w:val="1"/>
      <w:numFmt w:val="bullet"/>
      <w:lvlText w:val=""/>
      <w:lvlJc w:val="left"/>
      <w:pPr>
        <w:ind w:left="2770" w:hanging="360"/>
      </w:pPr>
      <w:rPr>
        <w:rFonts w:ascii="Symbol" w:hAnsi="Symbol" w:hint="default"/>
      </w:rPr>
    </w:lvl>
    <w:lvl w:ilvl="4" w:tplc="0C090003" w:tentative="1">
      <w:start w:val="1"/>
      <w:numFmt w:val="bullet"/>
      <w:lvlText w:val="o"/>
      <w:lvlJc w:val="left"/>
      <w:pPr>
        <w:ind w:left="3490" w:hanging="360"/>
      </w:pPr>
      <w:rPr>
        <w:rFonts w:ascii="Courier New" w:hAnsi="Courier New" w:cs="Courier New" w:hint="default"/>
      </w:rPr>
    </w:lvl>
    <w:lvl w:ilvl="5" w:tplc="0C090005" w:tentative="1">
      <w:start w:val="1"/>
      <w:numFmt w:val="bullet"/>
      <w:lvlText w:val=""/>
      <w:lvlJc w:val="left"/>
      <w:pPr>
        <w:ind w:left="4210" w:hanging="360"/>
      </w:pPr>
      <w:rPr>
        <w:rFonts w:ascii="Wingdings" w:hAnsi="Wingdings" w:hint="default"/>
      </w:rPr>
    </w:lvl>
    <w:lvl w:ilvl="6" w:tplc="0C090001" w:tentative="1">
      <w:start w:val="1"/>
      <w:numFmt w:val="bullet"/>
      <w:lvlText w:val=""/>
      <w:lvlJc w:val="left"/>
      <w:pPr>
        <w:ind w:left="4930" w:hanging="360"/>
      </w:pPr>
      <w:rPr>
        <w:rFonts w:ascii="Symbol" w:hAnsi="Symbol" w:hint="default"/>
      </w:rPr>
    </w:lvl>
    <w:lvl w:ilvl="7" w:tplc="0C090003" w:tentative="1">
      <w:start w:val="1"/>
      <w:numFmt w:val="bullet"/>
      <w:lvlText w:val="o"/>
      <w:lvlJc w:val="left"/>
      <w:pPr>
        <w:ind w:left="5650" w:hanging="360"/>
      </w:pPr>
      <w:rPr>
        <w:rFonts w:ascii="Courier New" w:hAnsi="Courier New" w:cs="Courier New" w:hint="default"/>
      </w:rPr>
    </w:lvl>
    <w:lvl w:ilvl="8" w:tplc="0C090005" w:tentative="1">
      <w:start w:val="1"/>
      <w:numFmt w:val="bullet"/>
      <w:lvlText w:val=""/>
      <w:lvlJc w:val="left"/>
      <w:pPr>
        <w:ind w:left="6370" w:hanging="360"/>
      </w:pPr>
      <w:rPr>
        <w:rFonts w:ascii="Wingdings" w:hAnsi="Wingdings" w:hint="default"/>
      </w:rPr>
    </w:lvl>
  </w:abstractNum>
  <w:abstractNum w:abstractNumId="157" w15:restartNumberingAfterBreak="0">
    <w:nsid w:val="6EB855E0"/>
    <w:multiLevelType w:val="hybridMultilevel"/>
    <w:tmpl w:val="D6EA5752"/>
    <w:lvl w:ilvl="0" w:tplc="E13A07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70122CE0"/>
    <w:multiLevelType w:val="hybridMultilevel"/>
    <w:tmpl w:val="3D3A3F62"/>
    <w:lvl w:ilvl="0" w:tplc="27B6BD26">
      <w:start w:val="1"/>
      <w:numFmt w:val="lowerLetter"/>
      <w:lvlText w:val="%1."/>
      <w:lvlJc w:val="left"/>
      <w:pPr>
        <w:ind w:left="720" w:hanging="360"/>
      </w:pPr>
      <w:rPr>
        <w:rFonts w:hint="default"/>
        <w:b/>
        <w:bCs/>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1552426"/>
    <w:multiLevelType w:val="hybridMultilevel"/>
    <w:tmpl w:val="08FCED7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1F3429E"/>
    <w:multiLevelType w:val="hybridMultilevel"/>
    <w:tmpl w:val="58FE7E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2020B53"/>
    <w:multiLevelType w:val="hybridMultilevel"/>
    <w:tmpl w:val="76A2B08A"/>
    <w:lvl w:ilvl="0" w:tplc="552CF6B4">
      <w:start w:val="1"/>
      <w:numFmt w:val="bullet"/>
      <w:lvlText w:val=""/>
      <w:lvlJc w:val="left"/>
      <w:pPr>
        <w:ind w:left="45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2520C42"/>
    <w:multiLevelType w:val="hybridMultilevel"/>
    <w:tmpl w:val="615C7BB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3" w15:restartNumberingAfterBreak="0">
    <w:nsid w:val="729B7CFD"/>
    <w:multiLevelType w:val="multilevel"/>
    <w:tmpl w:val="A002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2B14169"/>
    <w:multiLevelType w:val="hybridMultilevel"/>
    <w:tmpl w:val="CE10F2FC"/>
    <w:lvl w:ilvl="0" w:tplc="326E0F9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5" w15:restartNumberingAfterBreak="0">
    <w:nsid w:val="732B0422"/>
    <w:multiLevelType w:val="hybridMultilevel"/>
    <w:tmpl w:val="9BF8E23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426168D"/>
    <w:multiLevelType w:val="hybridMultilevel"/>
    <w:tmpl w:val="9516F1D2"/>
    <w:lvl w:ilvl="0" w:tplc="B3EE416E">
      <w:numFmt w:val="bullet"/>
      <w:lvlText w:val="•"/>
      <w:lvlJc w:val="left"/>
      <w:pPr>
        <w:ind w:left="340" w:hanging="171"/>
      </w:pPr>
      <w:rPr>
        <w:rFonts w:ascii="Arial" w:eastAsia="Arial" w:hAnsi="Arial" w:cs="Arial" w:hint="default"/>
        <w:b w:val="0"/>
        <w:bCs w:val="0"/>
        <w:i w:val="0"/>
        <w:iCs w:val="0"/>
        <w:spacing w:val="0"/>
        <w:w w:val="142"/>
        <w:position w:val="3"/>
        <w:sz w:val="12"/>
        <w:szCs w:val="12"/>
        <w:lang w:val="en-US" w:eastAsia="en-US" w:bidi="ar-SA"/>
      </w:rPr>
    </w:lvl>
    <w:lvl w:ilvl="1" w:tplc="7254A57E">
      <w:numFmt w:val="bullet"/>
      <w:lvlText w:val="•"/>
      <w:lvlJc w:val="left"/>
      <w:pPr>
        <w:ind w:left="1357" w:hanging="171"/>
      </w:pPr>
      <w:rPr>
        <w:rFonts w:hint="default"/>
        <w:lang w:val="en-US" w:eastAsia="en-US" w:bidi="ar-SA"/>
      </w:rPr>
    </w:lvl>
    <w:lvl w:ilvl="2" w:tplc="7080379A">
      <w:numFmt w:val="bullet"/>
      <w:lvlText w:val="•"/>
      <w:lvlJc w:val="left"/>
      <w:pPr>
        <w:ind w:left="2374" w:hanging="171"/>
      </w:pPr>
      <w:rPr>
        <w:rFonts w:hint="default"/>
        <w:lang w:val="en-US" w:eastAsia="en-US" w:bidi="ar-SA"/>
      </w:rPr>
    </w:lvl>
    <w:lvl w:ilvl="3" w:tplc="5FCA3C06">
      <w:numFmt w:val="bullet"/>
      <w:lvlText w:val="•"/>
      <w:lvlJc w:val="left"/>
      <w:pPr>
        <w:ind w:left="3392" w:hanging="171"/>
      </w:pPr>
      <w:rPr>
        <w:rFonts w:hint="default"/>
        <w:lang w:val="en-US" w:eastAsia="en-US" w:bidi="ar-SA"/>
      </w:rPr>
    </w:lvl>
    <w:lvl w:ilvl="4" w:tplc="36A4C294">
      <w:numFmt w:val="bullet"/>
      <w:lvlText w:val="•"/>
      <w:lvlJc w:val="left"/>
      <w:pPr>
        <w:ind w:left="4409" w:hanging="171"/>
      </w:pPr>
      <w:rPr>
        <w:rFonts w:hint="default"/>
        <w:lang w:val="en-US" w:eastAsia="en-US" w:bidi="ar-SA"/>
      </w:rPr>
    </w:lvl>
    <w:lvl w:ilvl="5" w:tplc="4DDEB7DA">
      <w:numFmt w:val="bullet"/>
      <w:lvlText w:val="•"/>
      <w:lvlJc w:val="left"/>
      <w:pPr>
        <w:ind w:left="5427" w:hanging="171"/>
      </w:pPr>
      <w:rPr>
        <w:rFonts w:hint="default"/>
        <w:lang w:val="en-US" w:eastAsia="en-US" w:bidi="ar-SA"/>
      </w:rPr>
    </w:lvl>
    <w:lvl w:ilvl="6" w:tplc="D60AB6B4">
      <w:numFmt w:val="bullet"/>
      <w:lvlText w:val="•"/>
      <w:lvlJc w:val="left"/>
      <w:pPr>
        <w:ind w:left="6444" w:hanging="171"/>
      </w:pPr>
      <w:rPr>
        <w:rFonts w:hint="default"/>
        <w:lang w:val="en-US" w:eastAsia="en-US" w:bidi="ar-SA"/>
      </w:rPr>
    </w:lvl>
    <w:lvl w:ilvl="7" w:tplc="9DC290EA">
      <w:numFmt w:val="bullet"/>
      <w:lvlText w:val="•"/>
      <w:lvlJc w:val="left"/>
      <w:pPr>
        <w:ind w:left="7461" w:hanging="171"/>
      </w:pPr>
      <w:rPr>
        <w:rFonts w:hint="default"/>
        <w:lang w:val="en-US" w:eastAsia="en-US" w:bidi="ar-SA"/>
      </w:rPr>
    </w:lvl>
    <w:lvl w:ilvl="8" w:tplc="E8966C80">
      <w:numFmt w:val="bullet"/>
      <w:lvlText w:val="•"/>
      <w:lvlJc w:val="left"/>
      <w:pPr>
        <w:ind w:left="8479" w:hanging="171"/>
      </w:pPr>
      <w:rPr>
        <w:rFonts w:hint="default"/>
        <w:lang w:val="en-US" w:eastAsia="en-US" w:bidi="ar-SA"/>
      </w:rPr>
    </w:lvl>
  </w:abstractNum>
  <w:abstractNum w:abstractNumId="167" w15:restartNumberingAfterBreak="0">
    <w:nsid w:val="7466385F"/>
    <w:multiLevelType w:val="hybridMultilevel"/>
    <w:tmpl w:val="A4D2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46E684E"/>
    <w:multiLevelType w:val="hybridMultilevel"/>
    <w:tmpl w:val="80942C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74844399"/>
    <w:multiLevelType w:val="hybridMultilevel"/>
    <w:tmpl w:val="B0B83212"/>
    <w:lvl w:ilvl="0" w:tplc="3D4C1E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0" w15:restartNumberingAfterBreak="0">
    <w:nsid w:val="75480C9B"/>
    <w:multiLevelType w:val="hybridMultilevel"/>
    <w:tmpl w:val="E6AE2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60160C9"/>
    <w:multiLevelType w:val="hybridMultilevel"/>
    <w:tmpl w:val="F68050CC"/>
    <w:lvl w:ilvl="0" w:tplc="30A818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9644495"/>
    <w:multiLevelType w:val="hybridMultilevel"/>
    <w:tmpl w:val="DA963F96"/>
    <w:lvl w:ilvl="0" w:tplc="299EDCDE">
      <w:start w:val="109"/>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9C96F44"/>
    <w:multiLevelType w:val="hybridMultilevel"/>
    <w:tmpl w:val="405EA222"/>
    <w:lvl w:ilvl="0" w:tplc="9FA629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4" w15:restartNumberingAfterBreak="0">
    <w:nsid w:val="7A475814"/>
    <w:multiLevelType w:val="hybridMultilevel"/>
    <w:tmpl w:val="A7C6FE22"/>
    <w:lvl w:ilvl="0" w:tplc="2A22CA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B6822E2"/>
    <w:multiLevelType w:val="hybridMultilevel"/>
    <w:tmpl w:val="F00455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C546411"/>
    <w:multiLevelType w:val="hybridMultilevel"/>
    <w:tmpl w:val="04EC3DD6"/>
    <w:lvl w:ilvl="0" w:tplc="A9ACD5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C7D2035"/>
    <w:multiLevelType w:val="hybridMultilevel"/>
    <w:tmpl w:val="C7823C28"/>
    <w:lvl w:ilvl="0" w:tplc="6C64C2D4">
      <w:start w:val="1"/>
      <w:numFmt w:val="lowerLetter"/>
      <w:lvlText w:val="%1."/>
      <w:lvlJc w:val="left"/>
      <w:pPr>
        <w:ind w:left="643" w:hanging="360"/>
      </w:pPr>
      <w:rPr>
        <w:rFonts w:hint="default"/>
        <w:u w:val="single"/>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8" w15:restartNumberingAfterBreak="0">
    <w:nsid w:val="7D2D06C6"/>
    <w:multiLevelType w:val="multilevel"/>
    <w:tmpl w:val="64A80B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7DD47BFC"/>
    <w:multiLevelType w:val="hybridMultilevel"/>
    <w:tmpl w:val="21E479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7E94454F"/>
    <w:multiLevelType w:val="hybridMultilevel"/>
    <w:tmpl w:val="7E90FB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ED86596"/>
    <w:multiLevelType w:val="hybridMultilevel"/>
    <w:tmpl w:val="74BCB1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7FDA2073"/>
    <w:multiLevelType w:val="hybridMultilevel"/>
    <w:tmpl w:val="2F540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64468319">
    <w:abstractNumId w:val="158"/>
  </w:num>
  <w:num w:numId="2" w16cid:durableId="2050566386">
    <w:abstractNumId w:val="93"/>
  </w:num>
  <w:num w:numId="3" w16cid:durableId="1994332753">
    <w:abstractNumId w:val="179"/>
  </w:num>
  <w:num w:numId="4" w16cid:durableId="1243762264">
    <w:abstractNumId w:val="80"/>
  </w:num>
  <w:num w:numId="5" w16cid:durableId="1335063681">
    <w:abstractNumId w:val="100"/>
  </w:num>
  <w:num w:numId="6" w16cid:durableId="1012144557">
    <w:abstractNumId w:val="28"/>
  </w:num>
  <w:num w:numId="7" w16cid:durableId="614169774">
    <w:abstractNumId w:val="181"/>
  </w:num>
  <w:num w:numId="8" w16cid:durableId="1929731276">
    <w:abstractNumId w:val="51"/>
  </w:num>
  <w:num w:numId="9" w16cid:durableId="1145781871">
    <w:abstractNumId w:val="160"/>
  </w:num>
  <w:num w:numId="10" w16cid:durableId="1035234037">
    <w:abstractNumId w:val="131"/>
  </w:num>
  <w:num w:numId="11" w16cid:durableId="91738">
    <w:abstractNumId w:val="140"/>
  </w:num>
  <w:num w:numId="12" w16cid:durableId="1616520788">
    <w:abstractNumId w:val="135"/>
  </w:num>
  <w:num w:numId="13" w16cid:durableId="1171872879">
    <w:abstractNumId w:val="120"/>
  </w:num>
  <w:num w:numId="14" w16cid:durableId="1100565931">
    <w:abstractNumId w:val="164"/>
  </w:num>
  <w:num w:numId="15" w16cid:durableId="2082019906">
    <w:abstractNumId w:val="156"/>
  </w:num>
  <w:num w:numId="16" w16cid:durableId="122432850">
    <w:abstractNumId w:val="132"/>
  </w:num>
  <w:num w:numId="17" w16cid:durableId="393897620">
    <w:abstractNumId w:val="78"/>
  </w:num>
  <w:num w:numId="18" w16cid:durableId="173501817">
    <w:abstractNumId w:val="166"/>
  </w:num>
  <w:num w:numId="19" w16cid:durableId="1941253527">
    <w:abstractNumId w:val="180"/>
  </w:num>
  <w:num w:numId="20" w16cid:durableId="14230574">
    <w:abstractNumId w:val="85"/>
  </w:num>
  <w:num w:numId="21" w16cid:durableId="560362117">
    <w:abstractNumId w:val="128"/>
  </w:num>
  <w:num w:numId="22" w16cid:durableId="724178048">
    <w:abstractNumId w:val="36"/>
  </w:num>
  <w:num w:numId="23" w16cid:durableId="562175597">
    <w:abstractNumId w:val="123"/>
  </w:num>
  <w:num w:numId="24" w16cid:durableId="1144463955">
    <w:abstractNumId w:val="10"/>
  </w:num>
  <w:num w:numId="25" w16cid:durableId="108206218">
    <w:abstractNumId w:val="12"/>
  </w:num>
  <w:num w:numId="26" w16cid:durableId="756294704">
    <w:abstractNumId w:val="117"/>
  </w:num>
  <w:num w:numId="27" w16cid:durableId="1332173262">
    <w:abstractNumId w:val="151"/>
  </w:num>
  <w:num w:numId="28" w16cid:durableId="2097244771">
    <w:abstractNumId w:val="77"/>
  </w:num>
  <w:num w:numId="29" w16cid:durableId="914052571">
    <w:abstractNumId w:val="11"/>
  </w:num>
  <w:num w:numId="30" w16cid:durableId="198857493">
    <w:abstractNumId w:val="38"/>
  </w:num>
  <w:num w:numId="31" w16cid:durableId="545024820">
    <w:abstractNumId w:val="144"/>
  </w:num>
  <w:num w:numId="32" w16cid:durableId="1941334388">
    <w:abstractNumId w:val="168"/>
  </w:num>
  <w:num w:numId="33" w16cid:durableId="1432047388">
    <w:abstractNumId w:val="104"/>
  </w:num>
  <w:num w:numId="34" w16cid:durableId="883176242">
    <w:abstractNumId w:val="157"/>
  </w:num>
  <w:num w:numId="35" w16cid:durableId="1033728783">
    <w:abstractNumId w:val="165"/>
  </w:num>
  <w:num w:numId="36" w16cid:durableId="1510366422">
    <w:abstractNumId w:val="66"/>
  </w:num>
  <w:num w:numId="37" w16cid:durableId="314721189">
    <w:abstractNumId w:val="94"/>
  </w:num>
  <w:num w:numId="38" w16cid:durableId="459498673">
    <w:abstractNumId w:val="162"/>
  </w:num>
  <w:num w:numId="39" w16cid:durableId="182863135">
    <w:abstractNumId w:val="69"/>
  </w:num>
  <w:num w:numId="40" w16cid:durableId="1912353763">
    <w:abstractNumId w:val="146"/>
  </w:num>
  <w:num w:numId="41" w16cid:durableId="1296528693">
    <w:abstractNumId w:val="79"/>
  </w:num>
  <w:num w:numId="42" w16cid:durableId="1060130673">
    <w:abstractNumId w:val="177"/>
  </w:num>
  <w:num w:numId="43" w16cid:durableId="748622776">
    <w:abstractNumId w:val="151"/>
    <w:lvlOverride w:ilvl="1">
      <w:lvl w:ilvl="1">
        <w:numFmt w:val="bullet"/>
        <w:lvlText w:val=""/>
        <w:lvlJc w:val="left"/>
        <w:pPr>
          <w:tabs>
            <w:tab w:val="num" w:pos="1440"/>
          </w:tabs>
          <w:ind w:left="1440" w:hanging="360"/>
        </w:pPr>
        <w:rPr>
          <w:rFonts w:ascii="Symbol" w:hAnsi="Symbol" w:hint="default"/>
          <w:sz w:val="20"/>
        </w:rPr>
      </w:lvl>
    </w:lvlOverride>
  </w:num>
  <w:num w:numId="44" w16cid:durableId="279145785">
    <w:abstractNumId w:val="148"/>
  </w:num>
  <w:num w:numId="45" w16cid:durableId="1241863241">
    <w:abstractNumId w:val="23"/>
  </w:num>
  <w:num w:numId="46" w16cid:durableId="1628120991">
    <w:abstractNumId w:val="115"/>
  </w:num>
  <w:num w:numId="47" w16cid:durableId="560218268">
    <w:abstractNumId w:val="26"/>
  </w:num>
  <w:num w:numId="48" w16cid:durableId="107433041">
    <w:abstractNumId w:val="149"/>
  </w:num>
  <w:num w:numId="49" w16cid:durableId="954562691">
    <w:abstractNumId w:val="13"/>
  </w:num>
  <w:num w:numId="50" w16cid:durableId="457917040">
    <w:abstractNumId w:val="159"/>
  </w:num>
  <w:num w:numId="51" w16cid:durableId="234971886">
    <w:abstractNumId w:val="108"/>
  </w:num>
  <w:num w:numId="52" w16cid:durableId="1179000328">
    <w:abstractNumId w:val="87"/>
  </w:num>
  <w:num w:numId="53" w16cid:durableId="1149174352">
    <w:abstractNumId w:val="58"/>
  </w:num>
  <w:num w:numId="54" w16cid:durableId="392823372">
    <w:abstractNumId w:val="24"/>
  </w:num>
  <w:num w:numId="55" w16cid:durableId="1971549992">
    <w:abstractNumId w:val="172"/>
  </w:num>
  <w:num w:numId="56" w16cid:durableId="1938978205">
    <w:abstractNumId w:val="114"/>
  </w:num>
  <w:num w:numId="57" w16cid:durableId="955255436">
    <w:abstractNumId w:val="96"/>
  </w:num>
  <w:num w:numId="58" w16cid:durableId="521821502">
    <w:abstractNumId w:val="129"/>
  </w:num>
  <w:num w:numId="59" w16cid:durableId="1559171886">
    <w:abstractNumId w:val="175"/>
  </w:num>
  <w:num w:numId="60" w16cid:durableId="1683968703">
    <w:abstractNumId w:val="82"/>
  </w:num>
  <w:num w:numId="61" w16cid:durableId="559285979">
    <w:abstractNumId w:val="41"/>
  </w:num>
  <w:num w:numId="62" w16cid:durableId="449790016">
    <w:abstractNumId w:val="76"/>
  </w:num>
  <w:num w:numId="63" w16cid:durableId="1694577870">
    <w:abstractNumId w:val="130"/>
  </w:num>
  <w:num w:numId="64" w16cid:durableId="20326378">
    <w:abstractNumId w:val="101"/>
  </w:num>
  <w:num w:numId="65" w16cid:durableId="18631310">
    <w:abstractNumId w:val="154"/>
  </w:num>
  <w:num w:numId="66" w16cid:durableId="2028946063">
    <w:abstractNumId w:val="107"/>
  </w:num>
  <w:num w:numId="67" w16cid:durableId="388039009">
    <w:abstractNumId w:val="47"/>
  </w:num>
  <w:num w:numId="68" w16cid:durableId="612978334">
    <w:abstractNumId w:val="138"/>
  </w:num>
  <w:num w:numId="69" w16cid:durableId="1242176430">
    <w:abstractNumId w:val="143"/>
  </w:num>
  <w:num w:numId="70" w16cid:durableId="693579601">
    <w:abstractNumId w:val="141"/>
  </w:num>
  <w:num w:numId="71" w16cid:durableId="2034454325">
    <w:abstractNumId w:val="45"/>
  </w:num>
  <w:num w:numId="72" w16cid:durableId="1689020994">
    <w:abstractNumId w:val="70"/>
  </w:num>
  <w:num w:numId="73" w16cid:durableId="576861952">
    <w:abstractNumId w:val="35"/>
  </w:num>
  <w:num w:numId="74" w16cid:durableId="861169015">
    <w:abstractNumId w:val="127"/>
  </w:num>
  <w:num w:numId="75" w16cid:durableId="1367833535">
    <w:abstractNumId w:val="118"/>
  </w:num>
  <w:num w:numId="76" w16cid:durableId="294457966">
    <w:abstractNumId w:val="29"/>
  </w:num>
  <w:num w:numId="77" w16cid:durableId="1207371637">
    <w:abstractNumId w:val="39"/>
  </w:num>
  <w:num w:numId="78" w16cid:durableId="959603021">
    <w:abstractNumId w:val="122"/>
  </w:num>
  <w:num w:numId="79" w16cid:durableId="473907887">
    <w:abstractNumId w:val="30"/>
  </w:num>
  <w:num w:numId="80" w16cid:durableId="4479929">
    <w:abstractNumId w:val="53"/>
  </w:num>
  <w:num w:numId="81" w16cid:durableId="46072062">
    <w:abstractNumId w:val="91"/>
  </w:num>
  <w:num w:numId="82" w16cid:durableId="1036351239">
    <w:abstractNumId w:val="99"/>
  </w:num>
  <w:num w:numId="83" w16cid:durableId="719550257">
    <w:abstractNumId w:val="75"/>
  </w:num>
  <w:num w:numId="84" w16cid:durableId="1906909783">
    <w:abstractNumId w:val="84"/>
  </w:num>
  <w:num w:numId="85" w16cid:durableId="1366098858">
    <w:abstractNumId w:val="110"/>
  </w:num>
  <w:num w:numId="86" w16cid:durableId="796725799">
    <w:abstractNumId w:val="14"/>
  </w:num>
  <w:num w:numId="87" w16cid:durableId="287666469">
    <w:abstractNumId w:val="153"/>
  </w:num>
  <w:num w:numId="88" w16cid:durableId="1733625358">
    <w:abstractNumId w:val="61"/>
  </w:num>
  <w:num w:numId="89" w16cid:durableId="164783299">
    <w:abstractNumId w:val="133"/>
  </w:num>
  <w:num w:numId="90" w16cid:durableId="1501003151">
    <w:abstractNumId w:val="136"/>
  </w:num>
  <w:num w:numId="91" w16cid:durableId="955209553">
    <w:abstractNumId w:val="121"/>
  </w:num>
  <w:num w:numId="92" w16cid:durableId="328485743">
    <w:abstractNumId w:val="145"/>
  </w:num>
  <w:num w:numId="93" w16cid:durableId="930818022">
    <w:abstractNumId w:val="50"/>
  </w:num>
  <w:num w:numId="94" w16cid:durableId="76825852">
    <w:abstractNumId w:val="161"/>
  </w:num>
  <w:num w:numId="95" w16cid:durableId="686910904">
    <w:abstractNumId w:val="106"/>
  </w:num>
  <w:num w:numId="96" w16cid:durableId="97145964">
    <w:abstractNumId w:val="112"/>
  </w:num>
  <w:num w:numId="97" w16cid:durableId="2142457945">
    <w:abstractNumId w:val="174"/>
  </w:num>
  <w:num w:numId="98" w16cid:durableId="1021007114">
    <w:abstractNumId w:val="9"/>
  </w:num>
  <w:num w:numId="99" w16cid:durableId="767458820">
    <w:abstractNumId w:val="54"/>
  </w:num>
  <w:num w:numId="100" w16cid:durableId="693306108">
    <w:abstractNumId w:val="134"/>
  </w:num>
  <w:num w:numId="101" w16cid:durableId="887764619">
    <w:abstractNumId w:val="88"/>
  </w:num>
  <w:num w:numId="102" w16cid:durableId="881357169">
    <w:abstractNumId w:val="15"/>
  </w:num>
  <w:num w:numId="103" w16cid:durableId="1459297296">
    <w:abstractNumId w:val="109"/>
  </w:num>
  <w:num w:numId="104" w16cid:durableId="1209418445">
    <w:abstractNumId w:val="65"/>
  </w:num>
  <w:num w:numId="105" w16cid:durableId="1910537743">
    <w:abstractNumId w:val="52"/>
  </w:num>
  <w:num w:numId="106" w16cid:durableId="1373840788">
    <w:abstractNumId w:val="40"/>
  </w:num>
  <w:num w:numId="107" w16cid:durableId="1759404446">
    <w:abstractNumId w:val="34"/>
  </w:num>
  <w:num w:numId="108" w16cid:durableId="746809718">
    <w:abstractNumId w:val="105"/>
  </w:num>
  <w:num w:numId="109" w16cid:durableId="252856159">
    <w:abstractNumId w:val="37"/>
  </w:num>
  <w:num w:numId="110" w16cid:durableId="1072315811">
    <w:abstractNumId w:val="25"/>
  </w:num>
  <w:num w:numId="111" w16cid:durableId="1639534874">
    <w:abstractNumId w:val="113"/>
  </w:num>
  <w:num w:numId="112" w16cid:durableId="586377848">
    <w:abstractNumId w:val="57"/>
  </w:num>
  <w:num w:numId="113" w16cid:durableId="1035542530">
    <w:abstractNumId w:val="72"/>
  </w:num>
  <w:num w:numId="114" w16cid:durableId="791286201">
    <w:abstractNumId w:val="111"/>
  </w:num>
  <w:num w:numId="115" w16cid:durableId="136074548">
    <w:abstractNumId w:val="67"/>
  </w:num>
  <w:num w:numId="116" w16cid:durableId="2093158042">
    <w:abstractNumId w:val="137"/>
  </w:num>
  <w:num w:numId="117" w16cid:durableId="1236553992">
    <w:abstractNumId w:val="92"/>
  </w:num>
  <w:num w:numId="118" w16cid:durableId="1817603866">
    <w:abstractNumId w:val="102"/>
  </w:num>
  <w:num w:numId="119" w16cid:durableId="334572882">
    <w:abstractNumId w:val="44"/>
  </w:num>
  <w:num w:numId="120" w16cid:durableId="1697193213">
    <w:abstractNumId w:val="116"/>
  </w:num>
  <w:num w:numId="121" w16cid:durableId="1070735468">
    <w:abstractNumId w:val="163"/>
  </w:num>
  <w:num w:numId="122" w16cid:durableId="2045903955">
    <w:abstractNumId w:val="124"/>
  </w:num>
  <w:num w:numId="123" w16cid:durableId="16784610">
    <w:abstractNumId w:val="46"/>
  </w:num>
  <w:num w:numId="124" w16cid:durableId="1104575276">
    <w:abstractNumId w:val="97"/>
  </w:num>
  <w:num w:numId="125" w16cid:durableId="753815513">
    <w:abstractNumId w:val="169"/>
  </w:num>
  <w:num w:numId="126" w16cid:durableId="101926076">
    <w:abstractNumId w:val="17"/>
  </w:num>
  <w:num w:numId="127" w16cid:durableId="890069534">
    <w:abstractNumId w:val="56"/>
  </w:num>
  <w:num w:numId="128" w16cid:durableId="1975014965">
    <w:abstractNumId w:val="48"/>
  </w:num>
  <w:num w:numId="129" w16cid:durableId="2138520507">
    <w:abstractNumId w:val="21"/>
  </w:num>
  <w:num w:numId="130" w16cid:durableId="572393156">
    <w:abstractNumId w:val="59"/>
  </w:num>
  <w:num w:numId="131" w16cid:durableId="801465529">
    <w:abstractNumId w:val="90"/>
  </w:num>
  <w:num w:numId="132" w16cid:durableId="1214973829">
    <w:abstractNumId w:val="19"/>
  </w:num>
  <w:num w:numId="133" w16cid:durableId="864253568">
    <w:abstractNumId w:val="176"/>
  </w:num>
  <w:num w:numId="134" w16cid:durableId="1766462259">
    <w:abstractNumId w:val="18"/>
  </w:num>
  <w:num w:numId="135" w16cid:durableId="1050420050">
    <w:abstractNumId w:val="62"/>
  </w:num>
  <w:num w:numId="136" w16cid:durableId="726487720">
    <w:abstractNumId w:val="83"/>
  </w:num>
  <w:num w:numId="137" w16cid:durableId="843937953">
    <w:abstractNumId w:val="125"/>
  </w:num>
  <w:num w:numId="138" w16cid:durableId="448822357">
    <w:abstractNumId w:val="155"/>
  </w:num>
  <w:num w:numId="139" w16cid:durableId="638922611">
    <w:abstractNumId w:val="73"/>
  </w:num>
  <w:num w:numId="140" w16cid:durableId="293028327">
    <w:abstractNumId w:val="95"/>
  </w:num>
  <w:num w:numId="141" w16cid:durableId="205946027">
    <w:abstractNumId w:val="42"/>
  </w:num>
  <w:num w:numId="142" w16cid:durableId="2051569054">
    <w:abstractNumId w:val="16"/>
  </w:num>
  <w:num w:numId="143" w16cid:durableId="55127413">
    <w:abstractNumId w:val="49"/>
  </w:num>
  <w:num w:numId="144" w16cid:durableId="609318879">
    <w:abstractNumId w:val="27"/>
  </w:num>
  <w:num w:numId="145" w16cid:durableId="1888834752">
    <w:abstractNumId w:val="74"/>
  </w:num>
  <w:num w:numId="146" w16cid:durableId="489634236">
    <w:abstractNumId w:val="167"/>
  </w:num>
  <w:num w:numId="147" w16cid:durableId="658921160">
    <w:abstractNumId w:val="68"/>
  </w:num>
  <w:num w:numId="148" w16cid:durableId="209222236">
    <w:abstractNumId w:val="43"/>
  </w:num>
  <w:num w:numId="149" w16cid:durableId="1955207054">
    <w:abstractNumId w:val="139"/>
  </w:num>
  <w:num w:numId="150" w16cid:durableId="1431243131">
    <w:abstractNumId w:val="126"/>
  </w:num>
  <w:num w:numId="151" w16cid:durableId="1880044408">
    <w:abstractNumId w:val="171"/>
  </w:num>
  <w:num w:numId="152" w16cid:durableId="1336222914">
    <w:abstractNumId w:val="64"/>
  </w:num>
  <w:num w:numId="153" w16cid:durableId="1793404268">
    <w:abstractNumId w:val="173"/>
  </w:num>
  <w:num w:numId="154" w16cid:durableId="1061711307">
    <w:abstractNumId w:val="31"/>
  </w:num>
  <w:num w:numId="155" w16cid:durableId="1635990766">
    <w:abstractNumId w:val="32"/>
  </w:num>
  <w:num w:numId="156" w16cid:durableId="883567138">
    <w:abstractNumId w:val="103"/>
  </w:num>
  <w:num w:numId="157" w16cid:durableId="489444901">
    <w:abstractNumId w:val="33"/>
  </w:num>
  <w:num w:numId="158" w16cid:durableId="2139492319">
    <w:abstractNumId w:val="178"/>
  </w:num>
  <w:num w:numId="159" w16cid:durableId="108547459">
    <w:abstractNumId w:val="71"/>
  </w:num>
  <w:num w:numId="160" w16cid:durableId="874389743">
    <w:abstractNumId w:val="182"/>
  </w:num>
  <w:num w:numId="161" w16cid:durableId="219754139">
    <w:abstractNumId w:val="20"/>
  </w:num>
  <w:num w:numId="162" w16cid:durableId="1621915999">
    <w:abstractNumId w:val="150"/>
  </w:num>
  <w:num w:numId="163" w16cid:durableId="1208686196">
    <w:abstractNumId w:val="0"/>
  </w:num>
  <w:num w:numId="164" w16cid:durableId="111099527">
    <w:abstractNumId w:val="142"/>
  </w:num>
  <w:num w:numId="165" w16cid:durableId="524288631">
    <w:abstractNumId w:val="86"/>
  </w:num>
  <w:num w:numId="166" w16cid:durableId="1926769582">
    <w:abstractNumId w:val="170"/>
  </w:num>
  <w:num w:numId="167" w16cid:durableId="458181077">
    <w:abstractNumId w:val="81"/>
  </w:num>
  <w:num w:numId="168" w16cid:durableId="458383855">
    <w:abstractNumId w:val="119"/>
  </w:num>
  <w:num w:numId="169" w16cid:durableId="1628313099">
    <w:abstractNumId w:val="152"/>
  </w:num>
  <w:num w:numId="170" w16cid:durableId="467741324">
    <w:abstractNumId w:val="8"/>
  </w:num>
  <w:num w:numId="171" w16cid:durableId="1286886655">
    <w:abstractNumId w:val="4"/>
  </w:num>
  <w:num w:numId="172" w16cid:durableId="1718310230">
    <w:abstractNumId w:val="4"/>
    <w:lvlOverride w:ilvl="0">
      <w:startOverride w:val="1"/>
    </w:lvlOverride>
  </w:num>
  <w:num w:numId="173" w16cid:durableId="18556904">
    <w:abstractNumId w:val="4"/>
    <w:lvlOverride w:ilvl="0">
      <w:startOverride w:val="1"/>
    </w:lvlOverride>
  </w:num>
  <w:num w:numId="174" w16cid:durableId="1630211307">
    <w:abstractNumId w:val="7"/>
  </w:num>
  <w:num w:numId="175" w16cid:durableId="250159372">
    <w:abstractNumId w:val="7"/>
  </w:num>
  <w:num w:numId="176" w16cid:durableId="1239752248">
    <w:abstractNumId w:val="7"/>
    <w:lvlOverride w:ilvl="0">
      <w:startOverride w:val="1"/>
    </w:lvlOverride>
  </w:num>
  <w:num w:numId="177" w16cid:durableId="1121606804">
    <w:abstractNumId w:val="6"/>
  </w:num>
  <w:num w:numId="178" w16cid:durableId="1301501402">
    <w:abstractNumId w:val="5"/>
  </w:num>
  <w:num w:numId="179" w16cid:durableId="528371456">
    <w:abstractNumId w:val="4"/>
    <w:lvlOverride w:ilvl="0">
      <w:startOverride w:val="1"/>
    </w:lvlOverride>
  </w:num>
  <w:num w:numId="180" w16cid:durableId="1663779717">
    <w:abstractNumId w:val="4"/>
    <w:lvlOverride w:ilvl="0">
      <w:startOverride w:val="1"/>
    </w:lvlOverride>
  </w:num>
  <w:num w:numId="181" w16cid:durableId="200291680">
    <w:abstractNumId w:val="4"/>
  </w:num>
  <w:num w:numId="182" w16cid:durableId="500779484">
    <w:abstractNumId w:val="4"/>
    <w:lvlOverride w:ilvl="0">
      <w:startOverride w:val="1"/>
    </w:lvlOverride>
  </w:num>
  <w:num w:numId="183" w16cid:durableId="643435191">
    <w:abstractNumId w:val="4"/>
  </w:num>
  <w:num w:numId="184" w16cid:durableId="391079112">
    <w:abstractNumId w:val="4"/>
  </w:num>
  <w:num w:numId="185" w16cid:durableId="1549340673">
    <w:abstractNumId w:val="4"/>
    <w:lvlOverride w:ilvl="0">
      <w:startOverride w:val="1"/>
    </w:lvlOverride>
  </w:num>
  <w:num w:numId="186" w16cid:durableId="724724451">
    <w:abstractNumId w:val="4"/>
    <w:lvlOverride w:ilvl="0">
      <w:startOverride w:val="1"/>
    </w:lvlOverride>
  </w:num>
  <w:num w:numId="187" w16cid:durableId="1831825197">
    <w:abstractNumId w:val="147"/>
  </w:num>
  <w:num w:numId="188" w16cid:durableId="1107582625">
    <w:abstractNumId w:val="4"/>
    <w:lvlOverride w:ilvl="0">
      <w:startOverride w:val="1"/>
    </w:lvlOverride>
  </w:num>
  <w:num w:numId="189" w16cid:durableId="822966964">
    <w:abstractNumId w:val="4"/>
    <w:lvlOverride w:ilvl="0">
      <w:startOverride w:val="1"/>
    </w:lvlOverride>
  </w:num>
  <w:num w:numId="190" w16cid:durableId="339161184">
    <w:abstractNumId w:val="4"/>
    <w:lvlOverride w:ilvl="0">
      <w:startOverride w:val="1"/>
    </w:lvlOverride>
  </w:num>
  <w:num w:numId="191" w16cid:durableId="1389181495">
    <w:abstractNumId w:val="4"/>
    <w:lvlOverride w:ilvl="0">
      <w:startOverride w:val="1"/>
    </w:lvlOverride>
  </w:num>
  <w:num w:numId="192" w16cid:durableId="2097901859">
    <w:abstractNumId w:val="4"/>
    <w:lvlOverride w:ilvl="0">
      <w:startOverride w:val="1"/>
    </w:lvlOverride>
  </w:num>
  <w:num w:numId="193" w16cid:durableId="1766488206">
    <w:abstractNumId w:val="4"/>
    <w:lvlOverride w:ilvl="0">
      <w:startOverride w:val="1"/>
    </w:lvlOverride>
  </w:num>
  <w:num w:numId="194" w16cid:durableId="1198198372">
    <w:abstractNumId w:val="4"/>
    <w:lvlOverride w:ilvl="0">
      <w:startOverride w:val="1"/>
    </w:lvlOverride>
  </w:num>
  <w:num w:numId="195" w16cid:durableId="1978336267">
    <w:abstractNumId w:val="4"/>
    <w:lvlOverride w:ilvl="0">
      <w:startOverride w:val="1"/>
    </w:lvlOverride>
  </w:num>
  <w:num w:numId="196" w16cid:durableId="1156454119">
    <w:abstractNumId w:val="4"/>
    <w:lvlOverride w:ilvl="0">
      <w:startOverride w:val="1"/>
    </w:lvlOverride>
  </w:num>
  <w:num w:numId="197" w16cid:durableId="43063723">
    <w:abstractNumId w:val="4"/>
    <w:lvlOverride w:ilvl="0">
      <w:startOverride w:val="1"/>
    </w:lvlOverride>
  </w:num>
  <w:num w:numId="198" w16cid:durableId="601958289">
    <w:abstractNumId w:val="4"/>
    <w:lvlOverride w:ilvl="0">
      <w:startOverride w:val="1"/>
    </w:lvlOverride>
  </w:num>
  <w:num w:numId="199" w16cid:durableId="1927302062">
    <w:abstractNumId w:val="4"/>
    <w:lvlOverride w:ilvl="0">
      <w:startOverride w:val="1"/>
    </w:lvlOverride>
  </w:num>
  <w:num w:numId="200" w16cid:durableId="612709911">
    <w:abstractNumId w:val="4"/>
    <w:lvlOverride w:ilvl="0">
      <w:startOverride w:val="1"/>
    </w:lvlOverride>
  </w:num>
  <w:num w:numId="201" w16cid:durableId="1301152649">
    <w:abstractNumId w:val="4"/>
    <w:lvlOverride w:ilvl="0">
      <w:startOverride w:val="1"/>
    </w:lvlOverride>
  </w:num>
  <w:num w:numId="202" w16cid:durableId="775828943">
    <w:abstractNumId w:val="4"/>
    <w:lvlOverride w:ilvl="0">
      <w:startOverride w:val="1"/>
    </w:lvlOverride>
  </w:num>
  <w:num w:numId="203" w16cid:durableId="1461876037">
    <w:abstractNumId w:val="89"/>
  </w:num>
  <w:num w:numId="204" w16cid:durableId="1965111713">
    <w:abstractNumId w:val="4"/>
    <w:lvlOverride w:ilvl="0">
      <w:startOverride w:val="1"/>
    </w:lvlOverride>
  </w:num>
  <w:num w:numId="205" w16cid:durableId="991061870">
    <w:abstractNumId w:val="4"/>
    <w:lvlOverride w:ilvl="0">
      <w:startOverride w:val="1"/>
    </w:lvlOverride>
  </w:num>
  <w:num w:numId="206" w16cid:durableId="243418995">
    <w:abstractNumId w:val="4"/>
    <w:lvlOverride w:ilvl="0">
      <w:startOverride w:val="1"/>
    </w:lvlOverride>
  </w:num>
  <w:num w:numId="207" w16cid:durableId="359555003">
    <w:abstractNumId w:val="4"/>
    <w:lvlOverride w:ilvl="0">
      <w:startOverride w:val="1"/>
    </w:lvlOverride>
  </w:num>
  <w:num w:numId="208" w16cid:durableId="1786775967">
    <w:abstractNumId w:val="4"/>
    <w:lvlOverride w:ilvl="0">
      <w:startOverride w:val="1"/>
    </w:lvlOverride>
  </w:num>
  <w:num w:numId="209" w16cid:durableId="995642756">
    <w:abstractNumId w:val="63"/>
  </w:num>
  <w:num w:numId="210" w16cid:durableId="1479608255">
    <w:abstractNumId w:val="4"/>
    <w:lvlOverride w:ilvl="0">
      <w:startOverride w:val="1"/>
    </w:lvlOverride>
  </w:num>
  <w:num w:numId="211" w16cid:durableId="17513630">
    <w:abstractNumId w:val="4"/>
    <w:lvlOverride w:ilvl="0">
      <w:startOverride w:val="1"/>
    </w:lvlOverride>
  </w:num>
  <w:num w:numId="212" w16cid:durableId="394087109">
    <w:abstractNumId w:val="4"/>
    <w:lvlOverride w:ilvl="0">
      <w:startOverride w:val="1"/>
    </w:lvlOverride>
  </w:num>
  <w:num w:numId="213" w16cid:durableId="764112448">
    <w:abstractNumId w:val="4"/>
    <w:lvlOverride w:ilvl="0">
      <w:startOverride w:val="1"/>
    </w:lvlOverride>
  </w:num>
  <w:num w:numId="214" w16cid:durableId="1603151296">
    <w:abstractNumId w:val="3"/>
  </w:num>
  <w:num w:numId="215" w16cid:durableId="176433397">
    <w:abstractNumId w:val="3"/>
    <w:lvlOverride w:ilvl="0">
      <w:startOverride w:val="1"/>
    </w:lvlOverride>
  </w:num>
  <w:num w:numId="216" w16cid:durableId="936908480">
    <w:abstractNumId w:val="4"/>
    <w:lvlOverride w:ilvl="0">
      <w:startOverride w:val="1"/>
    </w:lvlOverride>
  </w:num>
  <w:num w:numId="217" w16cid:durableId="225141458">
    <w:abstractNumId w:val="98"/>
  </w:num>
  <w:num w:numId="218" w16cid:durableId="1928490934">
    <w:abstractNumId w:val="22"/>
  </w:num>
  <w:num w:numId="219" w16cid:durableId="1503161526">
    <w:abstractNumId w:val="55"/>
  </w:num>
  <w:num w:numId="220" w16cid:durableId="513224469">
    <w:abstractNumId w:val="60"/>
  </w:num>
  <w:num w:numId="221" w16cid:durableId="1750299437">
    <w:abstractNumId w:val="2"/>
  </w:num>
  <w:num w:numId="222" w16cid:durableId="687295548">
    <w:abstractNumId w:val="1"/>
  </w:num>
  <w:num w:numId="223" w16cid:durableId="972638192">
    <w:abstractNumId w:val="2"/>
  </w:num>
  <w:num w:numId="224" w16cid:durableId="638069367">
    <w:abstractNumId w:val="2"/>
    <w:lvlOverride w:ilvl="0">
      <w:startOverride w:val="1"/>
    </w:lvlOverride>
  </w:num>
  <w:num w:numId="225" w16cid:durableId="288972393">
    <w:abstractNumId w:val="2"/>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C2"/>
    <w:rsid w:val="00000064"/>
    <w:rsid w:val="00000E9B"/>
    <w:rsid w:val="00001034"/>
    <w:rsid w:val="000013EB"/>
    <w:rsid w:val="00002C5D"/>
    <w:rsid w:val="00002F1A"/>
    <w:rsid w:val="00003B2F"/>
    <w:rsid w:val="00004F67"/>
    <w:rsid w:val="00007BA2"/>
    <w:rsid w:val="00007FF8"/>
    <w:rsid w:val="000120A0"/>
    <w:rsid w:val="00013919"/>
    <w:rsid w:val="00013C2B"/>
    <w:rsid w:val="00015943"/>
    <w:rsid w:val="00016C4E"/>
    <w:rsid w:val="000177C8"/>
    <w:rsid w:val="00017A48"/>
    <w:rsid w:val="00017E01"/>
    <w:rsid w:val="00021EC8"/>
    <w:rsid w:val="0002363D"/>
    <w:rsid w:val="000250E1"/>
    <w:rsid w:val="0002644A"/>
    <w:rsid w:val="00027A40"/>
    <w:rsid w:val="00027A69"/>
    <w:rsid w:val="00030257"/>
    <w:rsid w:val="00030465"/>
    <w:rsid w:val="000325A7"/>
    <w:rsid w:val="00032AC2"/>
    <w:rsid w:val="00033F00"/>
    <w:rsid w:val="0003472D"/>
    <w:rsid w:val="00034803"/>
    <w:rsid w:val="00034CD6"/>
    <w:rsid w:val="000357C5"/>
    <w:rsid w:val="00035F18"/>
    <w:rsid w:val="00036F1F"/>
    <w:rsid w:val="0003716B"/>
    <w:rsid w:val="00040146"/>
    <w:rsid w:val="000401AA"/>
    <w:rsid w:val="000412B1"/>
    <w:rsid w:val="000418B3"/>
    <w:rsid w:val="00041F92"/>
    <w:rsid w:val="00043435"/>
    <w:rsid w:val="00044515"/>
    <w:rsid w:val="00050DD8"/>
    <w:rsid w:val="0005336A"/>
    <w:rsid w:val="0005450E"/>
    <w:rsid w:val="000558B0"/>
    <w:rsid w:val="00055999"/>
    <w:rsid w:val="000573BB"/>
    <w:rsid w:val="00057989"/>
    <w:rsid w:val="00057CFB"/>
    <w:rsid w:val="0006095C"/>
    <w:rsid w:val="00060C84"/>
    <w:rsid w:val="0006277C"/>
    <w:rsid w:val="000643D3"/>
    <w:rsid w:val="00064F10"/>
    <w:rsid w:val="00067108"/>
    <w:rsid w:val="00071894"/>
    <w:rsid w:val="00073031"/>
    <w:rsid w:val="000730D9"/>
    <w:rsid w:val="00074FDC"/>
    <w:rsid w:val="00075C7F"/>
    <w:rsid w:val="00076250"/>
    <w:rsid w:val="000762EB"/>
    <w:rsid w:val="00080343"/>
    <w:rsid w:val="00080A85"/>
    <w:rsid w:val="00081136"/>
    <w:rsid w:val="00084DAC"/>
    <w:rsid w:val="00086DDE"/>
    <w:rsid w:val="00086FB8"/>
    <w:rsid w:val="000923E5"/>
    <w:rsid w:val="00093017"/>
    <w:rsid w:val="0009345E"/>
    <w:rsid w:val="00094476"/>
    <w:rsid w:val="00097081"/>
    <w:rsid w:val="000A0B1C"/>
    <w:rsid w:val="000A13F9"/>
    <w:rsid w:val="000A1611"/>
    <w:rsid w:val="000A1D96"/>
    <w:rsid w:val="000A2806"/>
    <w:rsid w:val="000A2CCD"/>
    <w:rsid w:val="000A7523"/>
    <w:rsid w:val="000B0BC7"/>
    <w:rsid w:val="000B1D26"/>
    <w:rsid w:val="000B21CA"/>
    <w:rsid w:val="000B3235"/>
    <w:rsid w:val="000B5B2A"/>
    <w:rsid w:val="000B6223"/>
    <w:rsid w:val="000B64EF"/>
    <w:rsid w:val="000B76E9"/>
    <w:rsid w:val="000C05A6"/>
    <w:rsid w:val="000C093F"/>
    <w:rsid w:val="000C0F76"/>
    <w:rsid w:val="000C144C"/>
    <w:rsid w:val="000C1BA8"/>
    <w:rsid w:val="000C266F"/>
    <w:rsid w:val="000C2C65"/>
    <w:rsid w:val="000C2E74"/>
    <w:rsid w:val="000C38E2"/>
    <w:rsid w:val="000C4034"/>
    <w:rsid w:val="000C4951"/>
    <w:rsid w:val="000C5048"/>
    <w:rsid w:val="000C6070"/>
    <w:rsid w:val="000C6143"/>
    <w:rsid w:val="000C70E2"/>
    <w:rsid w:val="000C7B9C"/>
    <w:rsid w:val="000C7CC1"/>
    <w:rsid w:val="000D1740"/>
    <w:rsid w:val="000D3C06"/>
    <w:rsid w:val="000D435F"/>
    <w:rsid w:val="000D5D16"/>
    <w:rsid w:val="000D72AB"/>
    <w:rsid w:val="000D756A"/>
    <w:rsid w:val="000E2E96"/>
    <w:rsid w:val="000E2EAD"/>
    <w:rsid w:val="000E30A3"/>
    <w:rsid w:val="000E5944"/>
    <w:rsid w:val="000E68C9"/>
    <w:rsid w:val="000F012B"/>
    <w:rsid w:val="000F1A12"/>
    <w:rsid w:val="000F228C"/>
    <w:rsid w:val="000F7777"/>
    <w:rsid w:val="000F7C3B"/>
    <w:rsid w:val="00101144"/>
    <w:rsid w:val="00101184"/>
    <w:rsid w:val="001019D7"/>
    <w:rsid w:val="00101CA2"/>
    <w:rsid w:val="001041F5"/>
    <w:rsid w:val="00104DDE"/>
    <w:rsid w:val="00106736"/>
    <w:rsid w:val="00107D91"/>
    <w:rsid w:val="00110AA5"/>
    <w:rsid w:val="00112527"/>
    <w:rsid w:val="00112AC4"/>
    <w:rsid w:val="00112FD6"/>
    <w:rsid w:val="00113192"/>
    <w:rsid w:val="00113F33"/>
    <w:rsid w:val="001152E8"/>
    <w:rsid w:val="001169F9"/>
    <w:rsid w:val="00117D56"/>
    <w:rsid w:val="00117FF8"/>
    <w:rsid w:val="00120C3D"/>
    <w:rsid w:val="00120EA5"/>
    <w:rsid w:val="00121D35"/>
    <w:rsid w:val="001266F1"/>
    <w:rsid w:val="00127923"/>
    <w:rsid w:val="00127D3F"/>
    <w:rsid w:val="00127E05"/>
    <w:rsid w:val="00130133"/>
    <w:rsid w:val="00133B6A"/>
    <w:rsid w:val="00135D91"/>
    <w:rsid w:val="00135E6D"/>
    <w:rsid w:val="00141D64"/>
    <w:rsid w:val="001525CD"/>
    <w:rsid w:val="00152701"/>
    <w:rsid w:val="00152EB4"/>
    <w:rsid w:val="00153039"/>
    <w:rsid w:val="00154335"/>
    <w:rsid w:val="00154ECD"/>
    <w:rsid w:val="00155970"/>
    <w:rsid w:val="00161027"/>
    <w:rsid w:val="001614C9"/>
    <w:rsid w:val="00163DE7"/>
    <w:rsid w:val="001645DC"/>
    <w:rsid w:val="001649FD"/>
    <w:rsid w:val="00164CC3"/>
    <w:rsid w:val="00167694"/>
    <w:rsid w:val="00167968"/>
    <w:rsid w:val="00167BDD"/>
    <w:rsid w:val="0017068D"/>
    <w:rsid w:val="0017070C"/>
    <w:rsid w:val="00173662"/>
    <w:rsid w:val="001743C9"/>
    <w:rsid w:val="001745E8"/>
    <w:rsid w:val="00174F17"/>
    <w:rsid w:val="0017615C"/>
    <w:rsid w:val="00176DBD"/>
    <w:rsid w:val="0017797A"/>
    <w:rsid w:val="00182547"/>
    <w:rsid w:val="00182A9E"/>
    <w:rsid w:val="0018305D"/>
    <w:rsid w:val="00183CED"/>
    <w:rsid w:val="00185B8E"/>
    <w:rsid w:val="00190A5B"/>
    <w:rsid w:val="00190BB8"/>
    <w:rsid w:val="001968E2"/>
    <w:rsid w:val="00197BFF"/>
    <w:rsid w:val="00197F4E"/>
    <w:rsid w:val="001A1883"/>
    <w:rsid w:val="001A3A33"/>
    <w:rsid w:val="001A6650"/>
    <w:rsid w:val="001A6DDD"/>
    <w:rsid w:val="001A6E5C"/>
    <w:rsid w:val="001B0E9B"/>
    <w:rsid w:val="001B1BE3"/>
    <w:rsid w:val="001B30AD"/>
    <w:rsid w:val="001B4588"/>
    <w:rsid w:val="001B4DFD"/>
    <w:rsid w:val="001B5947"/>
    <w:rsid w:val="001B6666"/>
    <w:rsid w:val="001B6EB1"/>
    <w:rsid w:val="001C1078"/>
    <w:rsid w:val="001C1634"/>
    <w:rsid w:val="001C2A36"/>
    <w:rsid w:val="001C3980"/>
    <w:rsid w:val="001C41D5"/>
    <w:rsid w:val="001C498A"/>
    <w:rsid w:val="001C4A15"/>
    <w:rsid w:val="001C5116"/>
    <w:rsid w:val="001C5EF9"/>
    <w:rsid w:val="001C6AC5"/>
    <w:rsid w:val="001C7702"/>
    <w:rsid w:val="001C7C3B"/>
    <w:rsid w:val="001C7F2D"/>
    <w:rsid w:val="001D06D4"/>
    <w:rsid w:val="001D0B67"/>
    <w:rsid w:val="001D12CF"/>
    <w:rsid w:val="001D1D69"/>
    <w:rsid w:val="001D1F6E"/>
    <w:rsid w:val="001D22E3"/>
    <w:rsid w:val="001D2DBC"/>
    <w:rsid w:val="001D3BD5"/>
    <w:rsid w:val="001D4A1E"/>
    <w:rsid w:val="001D56CC"/>
    <w:rsid w:val="001D5C5D"/>
    <w:rsid w:val="001D7619"/>
    <w:rsid w:val="001E05E7"/>
    <w:rsid w:val="001E0B3F"/>
    <w:rsid w:val="001E2D6D"/>
    <w:rsid w:val="001E3426"/>
    <w:rsid w:val="001E40BD"/>
    <w:rsid w:val="001F1806"/>
    <w:rsid w:val="001F5919"/>
    <w:rsid w:val="00200667"/>
    <w:rsid w:val="00200736"/>
    <w:rsid w:val="00200C92"/>
    <w:rsid w:val="00200F1A"/>
    <w:rsid w:val="00202AE0"/>
    <w:rsid w:val="00202E4A"/>
    <w:rsid w:val="00202E55"/>
    <w:rsid w:val="002030BC"/>
    <w:rsid w:val="00204CF4"/>
    <w:rsid w:val="002055E9"/>
    <w:rsid w:val="00206CFE"/>
    <w:rsid w:val="00207784"/>
    <w:rsid w:val="002078D6"/>
    <w:rsid w:val="0021040A"/>
    <w:rsid w:val="0021309E"/>
    <w:rsid w:val="0021397B"/>
    <w:rsid w:val="0021629F"/>
    <w:rsid w:val="002168D8"/>
    <w:rsid w:val="0021693D"/>
    <w:rsid w:val="00216FDB"/>
    <w:rsid w:val="00217C82"/>
    <w:rsid w:val="00220F40"/>
    <w:rsid w:val="0022246D"/>
    <w:rsid w:val="0022528E"/>
    <w:rsid w:val="00225AF7"/>
    <w:rsid w:val="00226C6D"/>
    <w:rsid w:val="00227966"/>
    <w:rsid w:val="00227E18"/>
    <w:rsid w:val="00230C96"/>
    <w:rsid w:val="00230FAB"/>
    <w:rsid w:val="00232515"/>
    <w:rsid w:val="002333A2"/>
    <w:rsid w:val="00233BB7"/>
    <w:rsid w:val="002341C8"/>
    <w:rsid w:val="0023430B"/>
    <w:rsid w:val="0023442F"/>
    <w:rsid w:val="002349D1"/>
    <w:rsid w:val="00234E16"/>
    <w:rsid w:val="00235520"/>
    <w:rsid w:val="00235818"/>
    <w:rsid w:val="00235A92"/>
    <w:rsid w:val="0023652B"/>
    <w:rsid w:val="00236C92"/>
    <w:rsid w:val="00237626"/>
    <w:rsid w:val="00240C98"/>
    <w:rsid w:val="0024199F"/>
    <w:rsid w:val="002419EA"/>
    <w:rsid w:val="00242307"/>
    <w:rsid w:val="00242BC2"/>
    <w:rsid w:val="00244D48"/>
    <w:rsid w:val="002476D2"/>
    <w:rsid w:val="00250D6A"/>
    <w:rsid w:val="002513BE"/>
    <w:rsid w:val="002513FC"/>
    <w:rsid w:val="00252B84"/>
    <w:rsid w:val="00253238"/>
    <w:rsid w:val="0025453F"/>
    <w:rsid w:val="002564EF"/>
    <w:rsid w:val="002574BC"/>
    <w:rsid w:val="00257597"/>
    <w:rsid w:val="00260F3D"/>
    <w:rsid w:val="00261F58"/>
    <w:rsid w:val="00262B26"/>
    <w:rsid w:val="00262B72"/>
    <w:rsid w:val="002638AD"/>
    <w:rsid w:val="002639D1"/>
    <w:rsid w:val="00264B46"/>
    <w:rsid w:val="0026511F"/>
    <w:rsid w:val="0026549F"/>
    <w:rsid w:val="00265F1A"/>
    <w:rsid w:val="00266932"/>
    <w:rsid w:val="00271B59"/>
    <w:rsid w:val="0027343E"/>
    <w:rsid w:val="002756EB"/>
    <w:rsid w:val="00275FF2"/>
    <w:rsid w:val="0028121C"/>
    <w:rsid w:val="0028176C"/>
    <w:rsid w:val="00281AD7"/>
    <w:rsid w:val="002840E9"/>
    <w:rsid w:val="00290C82"/>
    <w:rsid w:val="002960B2"/>
    <w:rsid w:val="002A0483"/>
    <w:rsid w:val="002A2FB2"/>
    <w:rsid w:val="002A42FD"/>
    <w:rsid w:val="002A4476"/>
    <w:rsid w:val="002A5A18"/>
    <w:rsid w:val="002A778B"/>
    <w:rsid w:val="002B046F"/>
    <w:rsid w:val="002B071B"/>
    <w:rsid w:val="002B4C14"/>
    <w:rsid w:val="002B4D10"/>
    <w:rsid w:val="002B5218"/>
    <w:rsid w:val="002B5579"/>
    <w:rsid w:val="002B7836"/>
    <w:rsid w:val="002C0584"/>
    <w:rsid w:val="002C64FC"/>
    <w:rsid w:val="002D03AC"/>
    <w:rsid w:val="002D05DA"/>
    <w:rsid w:val="002D13C7"/>
    <w:rsid w:val="002D253D"/>
    <w:rsid w:val="002D25F2"/>
    <w:rsid w:val="002D2B9F"/>
    <w:rsid w:val="002D386C"/>
    <w:rsid w:val="002D455F"/>
    <w:rsid w:val="002E6091"/>
    <w:rsid w:val="002E7A5C"/>
    <w:rsid w:val="002F0F26"/>
    <w:rsid w:val="002F17A7"/>
    <w:rsid w:val="002F1D0A"/>
    <w:rsid w:val="002F6792"/>
    <w:rsid w:val="00300A93"/>
    <w:rsid w:val="00300F1B"/>
    <w:rsid w:val="00303869"/>
    <w:rsid w:val="00304F68"/>
    <w:rsid w:val="00306E7D"/>
    <w:rsid w:val="0030787C"/>
    <w:rsid w:val="00310385"/>
    <w:rsid w:val="00310616"/>
    <w:rsid w:val="003106EF"/>
    <w:rsid w:val="00310DCC"/>
    <w:rsid w:val="00312E03"/>
    <w:rsid w:val="003139B1"/>
    <w:rsid w:val="003142CE"/>
    <w:rsid w:val="003153BF"/>
    <w:rsid w:val="003155A3"/>
    <w:rsid w:val="0031729B"/>
    <w:rsid w:val="0032015E"/>
    <w:rsid w:val="00320EE5"/>
    <w:rsid w:val="00321B61"/>
    <w:rsid w:val="00322F1C"/>
    <w:rsid w:val="00323BD6"/>
    <w:rsid w:val="00325C33"/>
    <w:rsid w:val="00326A90"/>
    <w:rsid w:val="003345D1"/>
    <w:rsid w:val="00334E71"/>
    <w:rsid w:val="00335BE9"/>
    <w:rsid w:val="003374C8"/>
    <w:rsid w:val="003450FE"/>
    <w:rsid w:val="00347D2F"/>
    <w:rsid w:val="003505AE"/>
    <w:rsid w:val="00350792"/>
    <w:rsid w:val="00352C81"/>
    <w:rsid w:val="003538C3"/>
    <w:rsid w:val="00356CD6"/>
    <w:rsid w:val="0035721D"/>
    <w:rsid w:val="00360D72"/>
    <w:rsid w:val="0036174A"/>
    <w:rsid w:val="00361BF2"/>
    <w:rsid w:val="00363187"/>
    <w:rsid w:val="003654F0"/>
    <w:rsid w:val="00365E3A"/>
    <w:rsid w:val="0036663F"/>
    <w:rsid w:val="00366D93"/>
    <w:rsid w:val="00367810"/>
    <w:rsid w:val="00367B25"/>
    <w:rsid w:val="003705E0"/>
    <w:rsid w:val="00370843"/>
    <w:rsid w:val="003720BF"/>
    <w:rsid w:val="003728D1"/>
    <w:rsid w:val="0037304B"/>
    <w:rsid w:val="00374ED7"/>
    <w:rsid w:val="00375245"/>
    <w:rsid w:val="00375742"/>
    <w:rsid w:val="003767BA"/>
    <w:rsid w:val="00377A54"/>
    <w:rsid w:val="00380262"/>
    <w:rsid w:val="003806FC"/>
    <w:rsid w:val="00380F26"/>
    <w:rsid w:val="00381355"/>
    <w:rsid w:val="00383621"/>
    <w:rsid w:val="00383ACF"/>
    <w:rsid w:val="00383B56"/>
    <w:rsid w:val="0038765B"/>
    <w:rsid w:val="00390086"/>
    <w:rsid w:val="00391D09"/>
    <w:rsid w:val="00391E14"/>
    <w:rsid w:val="00392088"/>
    <w:rsid w:val="00392102"/>
    <w:rsid w:val="00393EC9"/>
    <w:rsid w:val="0039500C"/>
    <w:rsid w:val="00396612"/>
    <w:rsid w:val="00396D84"/>
    <w:rsid w:val="00396FF8"/>
    <w:rsid w:val="00397DF7"/>
    <w:rsid w:val="003A03AA"/>
    <w:rsid w:val="003A0582"/>
    <w:rsid w:val="003A229B"/>
    <w:rsid w:val="003A27C0"/>
    <w:rsid w:val="003A4E78"/>
    <w:rsid w:val="003A627D"/>
    <w:rsid w:val="003B02B3"/>
    <w:rsid w:val="003B0C64"/>
    <w:rsid w:val="003B2B6C"/>
    <w:rsid w:val="003B30F9"/>
    <w:rsid w:val="003B3C91"/>
    <w:rsid w:val="003B40E0"/>
    <w:rsid w:val="003B42C8"/>
    <w:rsid w:val="003B44F0"/>
    <w:rsid w:val="003B5E1F"/>
    <w:rsid w:val="003B745D"/>
    <w:rsid w:val="003B76E0"/>
    <w:rsid w:val="003C073D"/>
    <w:rsid w:val="003C17F8"/>
    <w:rsid w:val="003C34CC"/>
    <w:rsid w:val="003C3960"/>
    <w:rsid w:val="003C43C7"/>
    <w:rsid w:val="003C4993"/>
    <w:rsid w:val="003C5C9A"/>
    <w:rsid w:val="003C68D0"/>
    <w:rsid w:val="003C6F21"/>
    <w:rsid w:val="003D05F8"/>
    <w:rsid w:val="003D1B2A"/>
    <w:rsid w:val="003D211B"/>
    <w:rsid w:val="003D2E0C"/>
    <w:rsid w:val="003D2E5F"/>
    <w:rsid w:val="003D3501"/>
    <w:rsid w:val="003D40E8"/>
    <w:rsid w:val="003D4C27"/>
    <w:rsid w:val="003D73ED"/>
    <w:rsid w:val="003D7B9E"/>
    <w:rsid w:val="003E1F1E"/>
    <w:rsid w:val="003E5965"/>
    <w:rsid w:val="003E5E7C"/>
    <w:rsid w:val="003E7837"/>
    <w:rsid w:val="003F0109"/>
    <w:rsid w:val="003F0F11"/>
    <w:rsid w:val="003F1D57"/>
    <w:rsid w:val="003F271F"/>
    <w:rsid w:val="003F3800"/>
    <w:rsid w:val="003F41CF"/>
    <w:rsid w:val="003F4374"/>
    <w:rsid w:val="003F5E0A"/>
    <w:rsid w:val="003F66C0"/>
    <w:rsid w:val="003F68AF"/>
    <w:rsid w:val="003F6B41"/>
    <w:rsid w:val="00400552"/>
    <w:rsid w:val="00400799"/>
    <w:rsid w:val="0040260B"/>
    <w:rsid w:val="00404418"/>
    <w:rsid w:val="004050FC"/>
    <w:rsid w:val="00405285"/>
    <w:rsid w:val="00405FA3"/>
    <w:rsid w:val="00406129"/>
    <w:rsid w:val="004075FC"/>
    <w:rsid w:val="0040778E"/>
    <w:rsid w:val="0041020A"/>
    <w:rsid w:val="00413A60"/>
    <w:rsid w:val="0041538A"/>
    <w:rsid w:val="00415CBC"/>
    <w:rsid w:val="0041791B"/>
    <w:rsid w:val="004236CD"/>
    <w:rsid w:val="00423B40"/>
    <w:rsid w:val="00424CBD"/>
    <w:rsid w:val="00425A9F"/>
    <w:rsid w:val="00426CD7"/>
    <w:rsid w:val="00426E90"/>
    <w:rsid w:val="00427C72"/>
    <w:rsid w:val="00430474"/>
    <w:rsid w:val="00431184"/>
    <w:rsid w:val="00432D41"/>
    <w:rsid w:val="004338E5"/>
    <w:rsid w:val="004340F0"/>
    <w:rsid w:val="00436B21"/>
    <w:rsid w:val="0043720E"/>
    <w:rsid w:val="00441A53"/>
    <w:rsid w:val="0044343A"/>
    <w:rsid w:val="004439E6"/>
    <w:rsid w:val="004440B9"/>
    <w:rsid w:val="00444547"/>
    <w:rsid w:val="00446320"/>
    <w:rsid w:val="00447956"/>
    <w:rsid w:val="0045091A"/>
    <w:rsid w:val="00451373"/>
    <w:rsid w:val="0045283E"/>
    <w:rsid w:val="00455348"/>
    <w:rsid w:val="0046131A"/>
    <w:rsid w:val="0046299B"/>
    <w:rsid w:val="0046343B"/>
    <w:rsid w:val="00464B74"/>
    <w:rsid w:val="00464CC0"/>
    <w:rsid w:val="0046505B"/>
    <w:rsid w:val="00465B73"/>
    <w:rsid w:val="00465CC8"/>
    <w:rsid w:val="0046606F"/>
    <w:rsid w:val="004665B5"/>
    <w:rsid w:val="00466997"/>
    <w:rsid w:val="00466F82"/>
    <w:rsid w:val="00467107"/>
    <w:rsid w:val="00467665"/>
    <w:rsid w:val="004706A4"/>
    <w:rsid w:val="00471235"/>
    <w:rsid w:val="00471750"/>
    <w:rsid w:val="00472B51"/>
    <w:rsid w:val="00472CA3"/>
    <w:rsid w:val="00473311"/>
    <w:rsid w:val="00474E27"/>
    <w:rsid w:val="00475662"/>
    <w:rsid w:val="00480E7B"/>
    <w:rsid w:val="00480EB5"/>
    <w:rsid w:val="00480EDD"/>
    <w:rsid w:val="00481985"/>
    <w:rsid w:val="0048222D"/>
    <w:rsid w:val="00483151"/>
    <w:rsid w:val="00484387"/>
    <w:rsid w:val="00490134"/>
    <w:rsid w:val="00492063"/>
    <w:rsid w:val="00494BDC"/>
    <w:rsid w:val="00495FAB"/>
    <w:rsid w:val="00497D30"/>
    <w:rsid w:val="004A083A"/>
    <w:rsid w:val="004A16B8"/>
    <w:rsid w:val="004A24DC"/>
    <w:rsid w:val="004A3A3F"/>
    <w:rsid w:val="004A5EC2"/>
    <w:rsid w:val="004A6EE9"/>
    <w:rsid w:val="004A6F8E"/>
    <w:rsid w:val="004A773A"/>
    <w:rsid w:val="004A7F44"/>
    <w:rsid w:val="004B145D"/>
    <w:rsid w:val="004B168F"/>
    <w:rsid w:val="004B1CC4"/>
    <w:rsid w:val="004B55FF"/>
    <w:rsid w:val="004B5C7C"/>
    <w:rsid w:val="004B5CFE"/>
    <w:rsid w:val="004B69CF"/>
    <w:rsid w:val="004C3FB5"/>
    <w:rsid w:val="004C4E31"/>
    <w:rsid w:val="004C6A1D"/>
    <w:rsid w:val="004C745D"/>
    <w:rsid w:val="004D05B1"/>
    <w:rsid w:val="004D1211"/>
    <w:rsid w:val="004D1F5E"/>
    <w:rsid w:val="004D3C22"/>
    <w:rsid w:val="004D5208"/>
    <w:rsid w:val="004D5AB9"/>
    <w:rsid w:val="004D71E0"/>
    <w:rsid w:val="004D7B74"/>
    <w:rsid w:val="004D7CFA"/>
    <w:rsid w:val="004E1075"/>
    <w:rsid w:val="004E1F86"/>
    <w:rsid w:val="004E2917"/>
    <w:rsid w:val="004E2F2A"/>
    <w:rsid w:val="004E32DC"/>
    <w:rsid w:val="004E702C"/>
    <w:rsid w:val="004E73C3"/>
    <w:rsid w:val="004F04EE"/>
    <w:rsid w:val="004F09A3"/>
    <w:rsid w:val="004F3476"/>
    <w:rsid w:val="004F55AF"/>
    <w:rsid w:val="004F5608"/>
    <w:rsid w:val="004F6086"/>
    <w:rsid w:val="004F7890"/>
    <w:rsid w:val="0050152C"/>
    <w:rsid w:val="0050199A"/>
    <w:rsid w:val="00503E6A"/>
    <w:rsid w:val="0050497D"/>
    <w:rsid w:val="00506136"/>
    <w:rsid w:val="00507124"/>
    <w:rsid w:val="005074B0"/>
    <w:rsid w:val="00507F8D"/>
    <w:rsid w:val="0051101D"/>
    <w:rsid w:val="005110C1"/>
    <w:rsid w:val="005134EB"/>
    <w:rsid w:val="00516345"/>
    <w:rsid w:val="00520FF9"/>
    <w:rsid w:val="00521496"/>
    <w:rsid w:val="00523903"/>
    <w:rsid w:val="00523CE1"/>
    <w:rsid w:val="00524CAB"/>
    <w:rsid w:val="005321E3"/>
    <w:rsid w:val="00535661"/>
    <w:rsid w:val="00536A3C"/>
    <w:rsid w:val="00537916"/>
    <w:rsid w:val="00540AC8"/>
    <w:rsid w:val="00541B07"/>
    <w:rsid w:val="005436ED"/>
    <w:rsid w:val="00543AE1"/>
    <w:rsid w:val="0054503F"/>
    <w:rsid w:val="0054691B"/>
    <w:rsid w:val="005521CB"/>
    <w:rsid w:val="00552541"/>
    <w:rsid w:val="0055314D"/>
    <w:rsid w:val="00553C7F"/>
    <w:rsid w:val="00560668"/>
    <w:rsid w:val="00561427"/>
    <w:rsid w:val="0056199B"/>
    <w:rsid w:val="00563261"/>
    <w:rsid w:val="005647F3"/>
    <w:rsid w:val="00565CB0"/>
    <w:rsid w:val="00572B9D"/>
    <w:rsid w:val="005730F2"/>
    <w:rsid w:val="00573E08"/>
    <w:rsid w:val="0057477B"/>
    <w:rsid w:val="00575786"/>
    <w:rsid w:val="00580AE8"/>
    <w:rsid w:val="00580B81"/>
    <w:rsid w:val="00580F64"/>
    <w:rsid w:val="005815D6"/>
    <w:rsid w:val="00582652"/>
    <w:rsid w:val="00582897"/>
    <w:rsid w:val="005833ED"/>
    <w:rsid w:val="005852EA"/>
    <w:rsid w:val="005857FD"/>
    <w:rsid w:val="00585CEC"/>
    <w:rsid w:val="00590011"/>
    <w:rsid w:val="0059022F"/>
    <w:rsid w:val="00591EBB"/>
    <w:rsid w:val="00592EBE"/>
    <w:rsid w:val="00592EC9"/>
    <w:rsid w:val="005930B0"/>
    <w:rsid w:val="0059420C"/>
    <w:rsid w:val="00594DE2"/>
    <w:rsid w:val="005951FD"/>
    <w:rsid w:val="0059535D"/>
    <w:rsid w:val="00595392"/>
    <w:rsid w:val="00595410"/>
    <w:rsid w:val="0059577E"/>
    <w:rsid w:val="00596248"/>
    <w:rsid w:val="00596C31"/>
    <w:rsid w:val="00597171"/>
    <w:rsid w:val="005A1EAE"/>
    <w:rsid w:val="005A679B"/>
    <w:rsid w:val="005B1697"/>
    <w:rsid w:val="005B3500"/>
    <w:rsid w:val="005B3A7B"/>
    <w:rsid w:val="005B5444"/>
    <w:rsid w:val="005B7963"/>
    <w:rsid w:val="005B7AC5"/>
    <w:rsid w:val="005C03C7"/>
    <w:rsid w:val="005C0904"/>
    <w:rsid w:val="005C150F"/>
    <w:rsid w:val="005C4E3B"/>
    <w:rsid w:val="005D077A"/>
    <w:rsid w:val="005D0EBA"/>
    <w:rsid w:val="005D21BD"/>
    <w:rsid w:val="005D3FA9"/>
    <w:rsid w:val="005D6345"/>
    <w:rsid w:val="005E03EB"/>
    <w:rsid w:val="005E198A"/>
    <w:rsid w:val="005E412A"/>
    <w:rsid w:val="005E46DF"/>
    <w:rsid w:val="005E514D"/>
    <w:rsid w:val="005E6C26"/>
    <w:rsid w:val="005E7802"/>
    <w:rsid w:val="005E7FB7"/>
    <w:rsid w:val="005F0820"/>
    <w:rsid w:val="005F104B"/>
    <w:rsid w:val="005F24BB"/>
    <w:rsid w:val="005F3D89"/>
    <w:rsid w:val="005F3D98"/>
    <w:rsid w:val="005F69D9"/>
    <w:rsid w:val="0060006F"/>
    <w:rsid w:val="006019EA"/>
    <w:rsid w:val="00602C26"/>
    <w:rsid w:val="0060369D"/>
    <w:rsid w:val="00603839"/>
    <w:rsid w:val="00603B39"/>
    <w:rsid w:val="00603DFC"/>
    <w:rsid w:val="006046CD"/>
    <w:rsid w:val="0060598E"/>
    <w:rsid w:val="006066DF"/>
    <w:rsid w:val="00606A2D"/>
    <w:rsid w:val="00610EA6"/>
    <w:rsid w:val="00616623"/>
    <w:rsid w:val="0062077A"/>
    <w:rsid w:val="00622CC6"/>
    <w:rsid w:val="00624257"/>
    <w:rsid w:val="00624489"/>
    <w:rsid w:val="00624A18"/>
    <w:rsid w:val="00627B09"/>
    <w:rsid w:val="0063127A"/>
    <w:rsid w:val="00632A99"/>
    <w:rsid w:val="00633B66"/>
    <w:rsid w:val="0063421C"/>
    <w:rsid w:val="00636151"/>
    <w:rsid w:val="0064112A"/>
    <w:rsid w:val="0064137E"/>
    <w:rsid w:val="00641AC5"/>
    <w:rsid w:val="00642070"/>
    <w:rsid w:val="00644387"/>
    <w:rsid w:val="00647903"/>
    <w:rsid w:val="0065384B"/>
    <w:rsid w:val="00653BA4"/>
    <w:rsid w:val="00654932"/>
    <w:rsid w:val="00655A42"/>
    <w:rsid w:val="00656F73"/>
    <w:rsid w:val="006612D4"/>
    <w:rsid w:val="00661498"/>
    <w:rsid w:val="006625C7"/>
    <w:rsid w:val="00662727"/>
    <w:rsid w:val="006629BA"/>
    <w:rsid w:val="00665145"/>
    <w:rsid w:val="00665700"/>
    <w:rsid w:val="006664D1"/>
    <w:rsid w:val="0066673F"/>
    <w:rsid w:val="00667E2D"/>
    <w:rsid w:val="00671955"/>
    <w:rsid w:val="00674A22"/>
    <w:rsid w:val="00675C13"/>
    <w:rsid w:val="00675FB5"/>
    <w:rsid w:val="00676B30"/>
    <w:rsid w:val="00677370"/>
    <w:rsid w:val="0067788B"/>
    <w:rsid w:val="006801BD"/>
    <w:rsid w:val="0068118C"/>
    <w:rsid w:val="006817A7"/>
    <w:rsid w:val="00681DDD"/>
    <w:rsid w:val="00682074"/>
    <w:rsid w:val="00682860"/>
    <w:rsid w:val="00684A25"/>
    <w:rsid w:val="00687219"/>
    <w:rsid w:val="00690F5B"/>
    <w:rsid w:val="006910B5"/>
    <w:rsid w:val="0069218C"/>
    <w:rsid w:val="00692798"/>
    <w:rsid w:val="00692F2F"/>
    <w:rsid w:val="006950F0"/>
    <w:rsid w:val="0069632F"/>
    <w:rsid w:val="006A7169"/>
    <w:rsid w:val="006B1465"/>
    <w:rsid w:val="006B1E25"/>
    <w:rsid w:val="006B3B43"/>
    <w:rsid w:val="006B4089"/>
    <w:rsid w:val="006B47AF"/>
    <w:rsid w:val="006B4D81"/>
    <w:rsid w:val="006B7D52"/>
    <w:rsid w:val="006C1658"/>
    <w:rsid w:val="006C1AD5"/>
    <w:rsid w:val="006C1D77"/>
    <w:rsid w:val="006C2A37"/>
    <w:rsid w:val="006C2F49"/>
    <w:rsid w:val="006C3815"/>
    <w:rsid w:val="006C4100"/>
    <w:rsid w:val="006C4A02"/>
    <w:rsid w:val="006C73A5"/>
    <w:rsid w:val="006D05FE"/>
    <w:rsid w:val="006D0E1D"/>
    <w:rsid w:val="006D1EBC"/>
    <w:rsid w:val="006D44EA"/>
    <w:rsid w:val="006D468E"/>
    <w:rsid w:val="006D5398"/>
    <w:rsid w:val="006D7F25"/>
    <w:rsid w:val="006E643A"/>
    <w:rsid w:val="006E6905"/>
    <w:rsid w:val="006E6E3E"/>
    <w:rsid w:val="006E7F72"/>
    <w:rsid w:val="006F0F23"/>
    <w:rsid w:val="006F2308"/>
    <w:rsid w:val="006F26D8"/>
    <w:rsid w:val="006F2F3C"/>
    <w:rsid w:val="006F4514"/>
    <w:rsid w:val="006F4927"/>
    <w:rsid w:val="007024E7"/>
    <w:rsid w:val="00702B14"/>
    <w:rsid w:val="00703079"/>
    <w:rsid w:val="00710219"/>
    <w:rsid w:val="00711BD4"/>
    <w:rsid w:val="00711FE1"/>
    <w:rsid w:val="0071476E"/>
    <w:rsid w:val="00720191"/>
    <w:rsid w:val="00722212"/>
    <w:rsid w:val="00725EF3"/>
    <w:rsid w:val="00726D73"/>
    <w:rsid w:val="00727B81"/>
    <w:rsid w:val="007305F2"/>
    <w:rsid w:val="00731A5E"/>
    <w:rsid w:val="00732636"/>
    <w:rsid w:val="00733227"/>
    <w:rsid w:val="00734FA9"/>
    <w:rsid w:val="0073773E"/>
    <w:rsid w:val="00737A47"/>
    <w:rsid w:val="00742F51"/>
    <w:rsid w:val="00743DC1"/>
    <w:rsid w:val="00745243"/>
    <w:rsid w:val="0074609E"/>
    <w:rsid w:val="00746AAA"/>
    <w:rsid w:val="00747265"/>
    <w:rsid w:val="0074735F"/>
    <w:rsid w:val="00747F27"/>
    <w:rsid w:val="00751DC0"/>
    <w:rsid w:val="007542F8"/>
    <w:rsid w:val="007552A1"/>
    <w:rsid w:val="00755657"/>
    <w:rsid w:val="0075772E"/>
    <w:rsid w:val="00757DA2"/>
    <w:rsid w:val="00757FCA"/>
    <w:rsid w:val="0076112D"/>
    <w:rsid w:val="00761D55"/>
    <w:rsid w:val="007636C6"/>
    <w:rsid w:val="00765340"/>
    <w:rsid w:val="007655C9"/>
    <w:rsid w:val="00765D2B"/>
    <w:rsid w:val="00765E56"/>
    <w:rsid w:val="00767DE5"/>
    <w:rsid w:val="00767E41"/>
    <w:rsid w:val="007714EE"/>
    <w:rsid w:val="0077182C"/>
    <w:rsid w:val="007754BE"/>
    <w:rsid w:val="00776B7F"/>
    <w:rsid w:val="0077762E"/>
    <w:rsid w:val="00782A51"/>
    <w:rsid w:val="00783148"/>
    <w:rsid w:val="007832AC"/>
    <w:rsid w:val="00784116"/>
    <w:rsid w:val="0078645B"/>
    <w:rsid w:val="0078688E"/>
    <w:rsid w:val="00790037"/>
    <w:rsid w:val="00790D03"/>
    <w:rsid w:val="007925B8"/>
    <w:rsid w:val="007965F0"/>
    <w:rsid w:val="0079664D"/>
    <w:rsid w:val="00797B0D"/>
    <w:rsid w:val="007A00E8"/>
    <w:rsid w:val="007A0E60"/>
    <w:rsid w:val="007A1C13"/>
    <w:rsid w:val="007A1F92"/>
    <w:rsid w:val="007A3638"/>
    <w:rsid w:val="007A4656"/>
    <w:rsid w:val="007A4F2C"/>
    <w:rsid w:val="007A5CF8"/>
    <w:rsid w:val="007A618B"/>
    <w:rsid w:val="007A61AC"/>
    <w:rsid w:val="007A6470"/>
    <w:rsid w:val="007B0F4A"/>
    <w:rsid w:val="007B11B0"/>
    <w:rsid w:val="007B25BA"/>
    <w:rsid w:val="007B2673"/>
    <w:rsid w:val="007B3D34"/>
    <w:rsid w:val="007B3D36"/>
    <w:rsid w:val="007B6FB1"/>
    <w:rsid w:val="007C04E9"/>
    <w:rsid w:val="007C2017"/>
    <w:rsid w:val="007C263C"/>
    <w:rsid w:val="007C34A9"/>
    <w:rsid w:val="007C6522"/>
    <w:rsid w:val="007C7B4C"/>
    <w:rsid w:val="007D0D30"/>
    <w:rsid w:val="007D2D65"/>
    <w:rsid w:val="007D3A97"/>
    <w:rsid w:val="007D3FD4"/>
    <w:rsid w:val="007D4F92"/>
    <w:rsid w:val="007D5C95"/>
    <w:rsid w:val="007D6A4F"/>
    <w:rsid w:val="007D702C"/>
    <w:rsid w:val="007E0578"/>
    <w:rsid w:val="007E169B"/>
    <w:rsid w:val="007E31E3"/>
    <w:rsid w:val="007E3F30"/>
    <w:rsid w:val="007E66B2"/>
    <w:rsid w:val="007E7283"/>
    <w:rsid w:val="007F2E33"/>
    <w:rsid w:val="007F513F"/>
    <w:rsid w:val="007F55F2"/>
    <w:rsid w:val="00800317"/>
    <w:rsid w:val="00802487"/>
    <w:rsid w:val="00802559"/>
    <w:rsid w:val="00802DE2"/>
    <w:rsid w:val="00803A1A"/>
    <w:rsid w:val="008049E7"/>
    <w:rsid w:val="0080692B"/>
    <w:rsid w:val="00806E96"/>
    <w:rsid w:val="0080790D"/>
    <w:rsid w:val="00810D90"/>
    <w:rsid w:val="00813E0B"/>
    <w:rsid w:val="00814193"/>
    <w:rsid w:val="008143E5"/>
    <w:rsid w:val="008178DB"/>
    <w:rsid w:val="008201C8"/>
    <w:rsid w:val="008201CD"/>
    <w:rsid w:val="00820BCE"/>
    <w:rsid w:val="00821A16"/>
    <w:rsid w:val="00823660"/>
    <w:rsid w:val="008249CF"/>
    <w:rsid w:val="0082744D"/>
    <w:rsid w:val="00830C7F"/>
    <w:rsid w:val="00831BD4"/>
    <w:rsid w:val="00831CC8"/>
    <w:rsid w:val="00832732"/>
    <w:rsid w:val="00834415"/>
    <w:rsid w:val="00837412"/>
    <w:rsid w:val="00841ADF"/>
    <w:rsid w:val="00841D6C"/>
    <w:rsid w:val="00846EBF"/>
    <w:rsid w:val="008477FA"/>
    <w:rsid w:val="0085033A"/>
    <w:rsid w:val="008503D2"/>
    <w:rsid w:val="00850509"/>
    <w:rsid w:val="00850D23"/>
    <w:rsid w:val="00854939"/>
    <w:rsid w:val="00855937"/>
    <w:rsid w:val="008560DB"/>
    <w:rsid w:val="00856AA8"/>
    <w:rsid w:val="00861A8E"/>
    <w:rsid w:val="0086224B"/>
    <w:rsid w:val="00863C5F"/>
    <w:rsid w:val="0086525E"/>
    <w:rsid w:val="00870BA8"/>
    <w:rsid w:val="0087155A"/>
    <w:rsid w:val="008723C7"/>
    <w:rsid w:val="008744E3"/>
    <w:rsid w:val="00876D6E"/>
    <w:rsid w:val="00877072"/>
    <w:rsid w:val="00877519"/>
    <w:rsid w:val="00880801"/>
    <w:rsid w:val="008814C6"/>
    <w:rsid w:val="00882672"/>
    <w:rsid w:val="00882E25"/>
    <w:rsid w:val="0089180A"/>
    <w:rsid w:val="00891E83"/>
    <w:rsid w:val="00893DA8"/>
    <w:rsid w:val="008961AC"/>
    <w:rsid w:val="00897011"/>
    <w:rsid w:val="008A0ACE"/>
    <w:rsid w:val="008A1B91"/>
    <w:rsid w:val="008A37D4"/>
    <w:rsid w:val="008A402B"/>
    <w:rsid w:val="008A43C1"/>
    <w:rsid w:val="008A6440"/>
    <w:rsid w:val="008A65FD"/>
    <w:rsid w:val="008B07ED"/>
    <w:rsid w:val="008B0921"/>
    <w:rsid w:val="008B0F1C"/>
    <w:rsid w:val="008B1E94"/>
    <w:rsid w:val="008B34F5"/>
    <w:rsid w:val="008B3778"/>
    <w:rsid w:val="008B538A"/>
    <w:rsid w:val="008B6A41"/>
    <w:rsid w:val="008B7B09"/>
    <w:rsid w:val="008C2250"/>
    <w:rsid w:val="008C2A51"/>
    <w:rsid w:val="008D03D9"/>
    <w:rsid w:val="008D2D8E"/>
    <w:rsid w:val="008D398F"/>
    <w:rsid w:val="008D3A85"/>
    <w:rsid w:val="008D4C80"/>
    <w:rsid w:val="008D527C"/>
    <w:rsid w:val="008D52B0"/>
    <w:rsid w:val="008D62DC"/>
    <w:rsid w:val="008D72E5"/>
    <w:rsid w:val="008E013F"/>
    <w:rsid w:val="008E222B"/>
    <w:rsid w:val="008E5AAF"/>
    <w:rsid w:val="008E6078"/>
    <w:rsid w:val="008E67F6"/>
    <w:rsid w:val="008E682A"/>
    <w:rsid w:val="008F2E76"/>
    <w:rsid w:val="008F3D43"/>
    <w:rsid w:val="008F44ED"/>
    <w:rsid w:val="008F63F5"/>
    <w:rsid w:val="008F6DBD"/>
    <w:rsid w:val="008F6E50"/>
    <w:rsid w:val="008F71A3"/>
    <w:rsid w:val="00901776"/>
    <w:rsid w:val="00903100"/>
    <w:rsid w:val="00904730"/>
    <w:rsid w:val="009047A8"/>
    <w:rsid w:val="009048AF"/>
    <w:rsid w:val="00906723"/>
    <w:rsid w:val="00910862"/>
    <w:rsid w:val="00910EAF"/>
    <w:rsid w:val="00913524"/>
    <w:rsid w:val="00914C9E"/>
    <w:rsid w:val="00917937"/>
    <w:rsid w:val="00922B80"/>
    <w:rsid w:val="00923BB5"/>
    <w:rsid w:val="00924C85"/>
    <w:rsid w:val="00926186"/>
    <w:rsid w:val="0093010F"/>
    <w:rsid w:val="009306CC"/>
    <w:rsid w:val="009320A2"/>
    <w:rsid w:val="00934900"/>
    <w:rsid w:val="009360D2"/>
    <w:rsid w:val="00937AE1"/>
    <w:rsid w:val="0094147E"/>
    <w:rsid w:val="009420F6"/>
    <w:rsid w:val="00942944"/>
    <w:rsid w:val="0094309D"/>
    <w:rsid w:val="0094356F"/>
    <w:rsid w:val="009447A1"/>
    <w:rsid w:val="00946213"/>
    <w:rsid w:val="00946579"/>
    <w:rsid w:val="00946965"/>
    <w:rsid w:val="0095056B"/>
    <w:rsid w:val="009510C8"/>
    <w:rsid w:val="00956CC4"/>
    <w:rsid w:val="009578AE"/>
    <w:rsid w:val="00960AF8"/>
    <w:rsid w:val="009611ED"/>
    <w:rsid w:val="00961BB5"/>
    <w:rsid w:val="009620DB"/>
    <w:rsid w:val="009622B6"/>
    <w:rsid w:val="009622C7"/>
    <w:rsid w:val="009631B1"/>
    <w:rsid w:val="00963C62"/>
    <w:rsid w:val="00964268"/>
    <w:rsid w:val="00964A41"/>
    <w:rsid w:val="0096570B"/>
    <w:rsid w:val="00966007"/>
    <w:rsid w:val="00970CD1"/>
    <w:rsid w:val="00972A81"/>
    <w:rsid w:val="00973CB2"/>
    <w:rsid w:val="0097510F"/>
    <w:rsid w:val="00975785"/>
    <w:rsid w:val="00975D72"/>
    <w:rsid w:val="0097607E"/>
    <w:rsid w:val="009766E9"/>
    <w:rsid w:val="009779BE"/>
    <w:rsid w:val="009803EF"/>
    <w:rsid w:val="009818A4"/>
    <w:rsid w:val="00982E57"/>
    <w:rsid w:val="00984E4F"/>
    <w:rsid w:val="00985111"/>
    <w:rsid w:val="00985608"/>
    <w:rsid w:val="00986506"/>
    <w:rsid w:val="00986698"/>
    <w:rsid w:val="00990AF7"/>
    <w:rsid w:val="00991E21"/>
    <w:rsid w:val="009937A8"/>
    <w:rsid w:val="0099500E"/>
    <w:rsid w:val="00995F3A"/>
    <w:rsid w:val="009969B6"/>
    <w:rsid w:val="00996A64"/>
    <w:rsid w:val="00997B6B"/>
    <w:rsid w:val="009A1255"/>
    <w:rsid w:val="009A28AB"/>
    <w:rsid w:val="009A2C58"/>
    <w:rsid w:val="009A34A8"/>
    <w:rsid w:val="009A3873"/>
    <w:rsid w:val="009A431E"/>
    <w:rsid w:val="009A74C0"/>
    <w:rsid w:val="009B25A3"/>
    <w:rsid w:val="009B44A6"/>
    <w:rsid w:val="009B4B73"/>
    <w:rsid w:val="009B7172"/>
    <w:rsid w:val="009B7A8F"/>
    <w:rsid w:val="009C13DE"/>
    <w:rsid w:val="009C2EA0"/>
    <w:rsid w:val="009C3F58"/>
    <w:rsid w:val="009C4568"/>
    <w:rsid w:val="009C4E42"/>
    <w:rsid w:val="009D2A13"/>
    <w:rsid w:val="009D2A67"/>
    <w:rsid w:val="009D580C"/>
    <w:rsid w:val="009D5DC5"/>
    <w:rsid w:val="009D6378"/>
    <w:rsid w:val="009D63B8"/>
    <w:rsid w:val="009D651C"/>
    <w:rsid w:val="009D7A66"/>
    <w:rsid w:val="009E28EA"/>
    <w:rsid w:val="009E58FA"/>
    <w:rsid w:val="009E60C5"/>
    <w:rsid w:val="009E7781"/>
    <w:rsid w:val="009F0599"/>
    <w:rsid w:val="009F070A"/>
    <w:rsid w:val="009F16DF"/>
    <w:rsid w:val="009F45AB"/>
    <w:rsid w:val="009F6D92"/>
    <w:rsid w:val="00A02772"/>
    <w:rsid w:val="00A02A8D"/>
    <w:rsid w:val="00A07BA4"/>
    <w:rsid w:val="00A101C4"/>
    <w:rsid w:val="00A103F4"/>
    <w:rsid w:val="00A10D7A"/>
    <w:rsid w:val="00A127FD"/>
    <w:rsid w:val="00A12A04"/>
    <w:rsid w:val="00A12CDC"/>
    <w:rsid w:val="00A12FAD"/>
    <w:rsid w:val="00A1531A"/>
    <w:rsid w:val="00A15C21"/>
    <w:rsid w:val="00A1658E"/>
    <w:rsid w:val="00A168D4"/>
    <w:rsid w:val="00A17D94"/>
    <w:rsid w:val="00A224DA"/>
    <w:rsid w:val="00A22C9C"/>
    <w:rsid w:val="00A2364D"/>
    <w:rsid w:val="00A23B1F"/>
    <w:rsid w:val="00A24F2D"/>
    <w:rsid w:val="00A2527D"/>
    <w:rsid w:val="00A2532F"/>
    <w:rsid w:val="00A25F0A"/>
    <w:rsid w:val="00A305FE"/>
    <w:rsid w:val="00A31D30"/>
    <w:rsid w:val="00A33DE9"/>
    <w:rsid w:val="00A34913"/>
    <w:rsid w:val="00A34A1A"/>
    <w:rsid w:val="00A375A4"/>
    <w:rsid w:val="00A42D19"/>
    <w:rsid w:val="00A448AF"/>
    <w:rsid w:val="00A451E1"/>
    <w:rsid w:val="00A454A6"/>
    <w:rsid w:val="00A45C5B"/>
    <w:rsid w:val="00A4728C"/>
    <w:rsid w:val="00A50A41"/>
    <w:rsid w:val="00A50C7A"/>
    <w:rsid w:val="00A538D5"/>
    <w:rsid w:val="00A53C3E"/>
    <w:rsid w:val="00A54F5F"/>
    <w:rsid w:val="00A55672"/>
    <w:rsid w:val="00A60A8A"/>
    <w:rsid w:val="00A60C2E"/>
    <w:rsid w:val="00A60DF6"/>
    <w:rsid w:val="00A60DF9"/>
    <w:rsid w:val="00A62228"/>
    <w:rsid w:val="00A62898"/>
    <w:rsid w:val="00A63B92"/>
    <w:rsid w:val="00A67036"/>
    <w:rsid w:val="00A671F5"/>
    <w:rsid w:val="00A678EF"/>
    <w:rsid w:val="00A700EA"/>
    <w:rsid w:val="00A704CE"/>
    <w:rsid w:val="00A7151F"/>
    <w:rsid w:val="00A716C3"/>
    <w:rsid w:val="00A71FDD"/>
    <w:rsid w:val="00A72B32"/>
    <w:rsid w:val="00A73266"/>
    <w:rsid w:val="00A75D9A"/>
    <w:rsid w:val="00A809DE"/>
    <w:rsid w:val="00A80E11"/>
    <w:rsid w:val="00A828C2"/>
    <w:rsid w:val="00A840C9"/>
    <w:rsid w:val="00A8410B"/>
    <w:rsid w:val="00A8549A"/>
    <w:rsid w:val="00A854FE"/>
    <w:rsid w:val="00A86778"/>
    <w:rsid w:val="00A9056D"/>
    <w:rsid w:val="00A91804"/>
    <w:rsid w:val="00A91B7A"/>
    <w:rsid w:val="00A92162"/>
    <w:rsid w:val="00A93553"/>
    <w:rsid w:val="00A96460"/>
    <w:rsid w:val="00A97320"/>
    <w:rsid w:val="00A978D0"/>
    <w:rsid w:val="00A97E52"/>
    <w:rsid w:val="00A97FB5"/>
    <w:rsid w:val="00AA21B5"/>
    <w:rsid w:val="00AA39A5"/>
    <w:rsid w:val="00AA3F7C"/>
    <w:rsid w:val="00AA403A"/>
    <w:rsid w:val="00AA5F10"/>
    <w:rsid w:val="00AA64EE"/>
    <w:rsid w:val="00AB2DC5"/>
    <w:rsid w:val="00AB2F8F"/>
    <w:rsid w:val="00AB31EB"/>
    <w:rsid w:val="00AB352E"/>
    <w:rsid w:val="00AB3DF9"/>
    <w:rsid w:val="00AC30E1"/>
    <w:rsid w:val="00AC3D45"/>
    <w:rsid w:val="00AC3F36"/>
    <w:rsid w:val="00AC5F18"/>
    <w:rsid w:val="00AC5FD3"/>
    <w:rsid w:val="00AC6E48"/>
    <w:rsid w:val="00AC6FC5"/>
    <w:rsid w:val="00AC7433"/>
    <w:rsid w:val="00AC7705"/>
    <w:rsid w:val="00AD03BE"/>
    <w:rsid w:val="00AD0A27"/>
    <w:rsid w:val="00AD15BE"/>
    <w:rsid w:val="00AD24B3"/>
    <w:rsid w:val="00AD59D2"/>
    <w:rsid w:val="00AD5CEE"/>
    <w:rsid w:val="00AD7766"/>
    <w:rsid w:val="00AE04F2"/>
    <w:rsid w:val="00AE1868"/>
    <w:rsid w:val="00AE2CDE"/>
    <w:rsid w:val="00AE5E02"/>
    <w:rsid w:val="00AE71D6"/>
    <w:rsid w:val="00AF4A02"/>
    <w:rsid w:val="00AF63DB"/>
    <w:rsid w:val="00AF65F9"/>
    <w:rsid w:val="00AF685D"/>
    <w:rsid w:val="00AF6944"/>
    <w:rsid w:val="00AF737F"/>
    <w:rsid w:val="00B00194"/>
    <w:rsid w:val="00B01A99"/>
    <w:rsid w:val="00B01CD1"/>
    <w:rsid w:val="00B029F5"/>
    <w:rsid w:val="00B044CB"/>
    <w:rsid w:val="00B05294"/>
    <w:rsid w:val="00B113F4"/>
    <w:rsid w:val="00B1160C"/>
    <w:rsid w:val="00B11751"/>
    <w:rsid w:val="00B12115"/>
    <w:rsid w:val="00B12A70"/>
    <w:rsid w:val="00B17637"/>
    <w:rsid w:val="00B215AC"/>
    <w:rsid w:val="00B21BF3"/>
    <w:rsid w:val="00B22654"/>
    <w:rsid w:val="00B228CD"/>
    <w:rsid w:val="00B252BE"/>
    <w:rsid w:val="00B26C54"/>
    <w:rsid w:val="00B26E41"/>
    <w:rsid w:val="00B27039"/>
    <w:rsid w:val="00B27748"/>
    <w:rsid w:val="00B30C0A"/>
    <w:rsid w:val="00B37518"/>
    <w:rsid w:val="00B37D41"/>
    <w:rsid w:val="00B40940"/>
    <w:rsid w:val="00B409AA"/>
    <w:rsid w:val="00B417A3"/>
    <w:rsid w:val="00B41889"/>
    <w:rsid w:val="00B41D8E"/>
    <w:rsid w:val="00B42688"/>
    <w:rsid w:val="00B434C8"/>
    <w:rsid w:val="00B45788"/>
    <w:rsid w:val="00B46778"/>
    <w:rsid w:val="00B51AA1"/>
    <w:rsid w:val="00B51FB6"/>
    <w:rsid w:val="00B54884"/>
    <w:rsid w:val="00B54D99"/>
    <w:rsid w:val="00B560E8"/>
    <w:rsid w:val="00B574E0"/>
    <w:rsid w:val="00B65ACC"/>
    <w:rsid w:val="00B65C89"/>
    <w:rsid w:val="00B70C94"/>
    <w:rsid w:val="00B71E6F"/>
    <w:rsid w:val="00B71FD2"/>
    <w:rsid w:val="00B727BF"/>
    <w:rsid w:val="00B745C3"/>
    <w:rsid w:val="00B74F39"/>
    <w:rsid w:val="00B750A5"/>
    <w:rsid w:val="00B75D53"/>
    <w:rsid w:val="00B76585"/>
    <w:rsid w:val="00B812FE"/>
    <w:rsid w:val="00B832A2"/>
    <w:rsid w:val="00B84B20"/>
    <w:rsid w:val="00B84C79"/>
    <w:rsid w:val="00B84D93"/>
    <w:rsid w:val="00B87779"/>
    <w:rsid w:val="00B92261"/>
    <w:rsid w:val="00B929CE"/>
    <w:rsid w:val="00B92AD1"/>
    <w:rsid w:val="00B933E7"/>
    <w:rsid w:val="00B964CD"/>
    <w:rsid w:val="00B96DD7"/>
    <w:rsid w:val="00B974EB"/>
    <w:rsid w:val="00BA0418"/>
    <w:rsid w:val="00BA5D8E"/>
    <w:rsid w:val="00BB01F6"/>
    <w:rsid w:val="00BB2EBF"/>
    <w:rsid w:val="00BB313C"/>
    <w:rsid w:val="00BB4360"/>
    <w:rsid w:val="00BB4D99"/>
    <w:rsid w:val="00BB4FE7"/>
    <w:rsid w:val="00BB5149"/>
    <w:rsid w:val="00BB5C4A"/>
    <w:rsid w:val="00BC0108"/>
    <w:rsid w:val="00BC40C6"/>
    <w:rsid w:val="00BC533B"/>
    <w:rsid w:val="00BC62F3"/>
    <w:rsid w:val="00BC66A0"/>
    <w:rsid w:val="00BC6C0F"/>
    <w:rsid w:val="00BC7413"/>
    <w:rsid w:val="00BC7580"/>
    <w:rsid w:val="00BD1664"/>
    <w:rsid w:val="00BD18AC"/>
    <w:rsid w:val="00BD1D4E"/>
    <w:rsid w:val="00BD2D6C"/>
    <w:rsid w:val="00BD4645"/>
    <w:rsid w:val="00BD54CE"/>
    <w:rsid w:val="00BD5770"/>
    <w:rsid w:val="00BD59F5"/>
    <w:rsid w:val="00BD63D8"/>
    <w:rsid w:val="00BD68F8"/>
    <w:rsid w:val="00BE02BF"/>
    <w:rsid w:val="00BE2AF9"/>
    <w:rsid w:val="00BE395C"/>
    <w:rsid w:val="00BE4DFC"/>
    <w:rsid w:val="00BE592A"/>
    <w:rsid w:val="00BE6106"/>
    <w:rsid w:val="00BE63C2"/>
    <w:rsid w:val="00BE721E"/>
    <w:rsid w:val="00BE7B6B"/>
    <w:rsid w:val="00BF1929"/>
    <w:rsid w:val="00BF1BB8"/>
    <w:rsid w:val="00BF2147"/>
    <w:rsid w:val="00BF3791"/>
    <w:rsid w:val="00BF3B77"/>
    <w:rsid w:val="00BF4139"/>
    <w:rsid w:val="00BF4ECF"/>
    <w:rsid w:val="00BF67E7"/>
    <w:rsid w:val="00BF734B"/>
    <w:rsid w:val="00BF7B62"/>
    <w:rsid w:val="00C0164C"/>
    <w:rsid w:val="00C03086"/>
    <w:rsid w:val="00C03A5D"/>
    <w:rsid w:val="00C0551D"/>
    <w:rsid w:val="00C05A3D"/>
    <w:rsid w:val="00C05B15"/>
    <w:rsid w:val="00C060A5"/>
    <w:rsid w:val="00C07094"/>
    <w:rsid w:val="00C07F28"/>
    <w:rsid w:val="00C1006A"/>
    <w:rsid w:val="00C10C1B"/>
    <w:rsid w:val="00C10CB1"/>
    <w:rsid w:val="00C11AC4"/>
    <w:rsid w:val="00C138F3"/>
    <w:rsid w:val="00C143A4"/>
    <w:rsid w:val="00C15016"/>
    <w:rsid w:val="00C155E4"/>
    <w:rsid w:val="00C1637F"/>
    <w:rsid w:val="00C16FFE"/>
    <w:rsid w:val="00C178C3"/>
    <w:rsid w:val="00C17AEF"/>
    <w:rsid w:val="00C22BE5"/>
    <w:rsid w:val="00C233E3"/>
    <w:rsid w:val="00C2352C"/>
    <w:rsid w:val="00C237FB"/>
    <w:rsid w:val="00C2419A"/>
    <w:rsid w:val="00C246B6"/>
    <w:rsid w:val="00C2497A"/>
    <w:rsid w:val="00C2563C"/>
    <w:rsid w:val="00C25A92"/>
    <w:rsid w:val="00C2642F"/>
    <w:rsid w:val="00C26C9D"/>
    <w:rsid w:val="00C3091B"/>
    <w:rsid w:val="00C326EE"/>
    <w:rsid w:val="00C32A57"/>
    <w:rsid w:val="00C337F2"/>
    <w:rsid w:val="00C35250"/>
    <w:rsid w:val="00C40CA1"/>
    <w:rsid w:val="00C40CD7"/>
    <w:rsid w:val="00C429C9"/>
    <w:rsid w:val="00C42B74"/>
    <w:rsid w:val="00C440A0"/>
    <w:rsid w:val="00C45826"/>
    <w:rsid w:val="00C47718"/>
    <w:rsid w:val="00C4773C"/>
    <w:rsid w:val="00C50FBE"/>
    <w:rsid w:val="00C5289D"/>
    <w:rsid w:val="00C57641"/>
    <w:rsid w:val="00C60908"/>
    <w:rsid w:val="00C60A29"/>
    <w:rsid w:val="00C618C3"/>
    <w:rsid w:val="00C621EC"/>
    <w:rsid w:val="00C653DB"/>
    <w:rsid w:val="00C6616B"/>
    <w:rsid w:val="00C66A8F"/>
    <w:rsid w:val="00C71D0D"/>
    <w:rsid w:val="00C73BEF"/>
    <w:rsid w:val="00C75E76"/>
    <w:rsid w:val="00C7685A"/>
    <w:rsid w:val="00C76F4C"/>
    <w:rsid w:val="00C77C82"/>
    <w:rsid w:val="00C85241"/>
    <w:rsid w:val="00C87506"/>
    <w:rsid w:val="00C90567"/>
    <w:rsid w:val="00C90C6F"/>
    <w:rsid w:val="00C90E62"/>
    <w:rsid w:val="00C91E48"/>
    <w:rsid w:val="00C92197"/>
    <w:rsid w:val="00C9232F"/>
    <w:rsid w:val="00C937FC"/>
    <w:rsid w:val="00C93AFC"/>
    <w:rsid w:val="00CA1F6D"/>
    <w:rsid w:val="00CA2B61"/>
    <w:rsid w:val="00CA2D80"/>
    <w:rsid w:val="00CA47B5"/>
    <w:rsid w:val="00CA5E5F"/>
    <w:rsid w:val="00CA664F"/>
    <w:rsid w:val="00CA7706"/>
    <w:rsid w:val="00CB059C"/>
    <w:rsid w:val="00CB0690"/>
    <w:rsid w:val="00CB0D4D"/>
    <w:rsid w:val="00CB25CE"/>
    <w:rsid w:val="00CB25D5"/>
    <w:rsid w:val="00CB4BBC"/>
    <w:rsid w:val="00CB6B31"/>
    <w:rsid w:val="00CB6CF0"/>
    <w:rsid w:val="00CB6EA8"/>
    <w:rsid w:val="00CB7B4F"/>
    <w:rsid w:val="00CC0149"/>
    <w:rsid w:val="00CC0988"/>
    <w:rsid w:val="00CC2277"/>
    <w:rsid w:val="00CD0F18"/>
    <w:rsid w:val="00CD172F"/>
    <w:rsid w:val="00CD2F73"/>
    <w:rsid w:val="00CD4C64"/>
    <w:rsid w:val="00CD77DA"/>
    <w:rsid w:val="00CD79B8"/>
    <w:rsid w:val="00CD79F0"/>
    <w:rsid w:val="00CD7A56"/>
    <w:rsid w:val="00CE02C2"/>
    <w:rsid w:val="00CE15DF"/>
    <w:rsid w:val="00CE1CC3"/>
    <w:rsid w:val="00CE1D0B"/>
    <w:rsid w:val="00CE29AC"/>
    <w:rsid w:val="00CE3347"/>
    <w:rsid w:val="00CE490C"/>
    <w:rsid w:val="00CE5EBE"/>
    <w:rsid w:val="00CE5F78"/>
    <w:rsid w:val="00CE7C88"/>
    <w:rsid w:val="00CF0804"/>
    <w:rsid w:val="00CF0AFC"/>
    <w:rsid w:val="00CF1365"/>
    <w:rsid w:val="00CF18EE"/>
    <w:rsid w:val="00CF1988"/>
    <w:rsid w:val="00CF1C46"/>
    <w:rsid w:val="00CF1FCF"/>
    <w:rsid w:val="00CF2D0F"/>
    <w:rsid w:val="00CF3FD9"/>
    <w:rsid w:val="00CF576A"/>
    <w:rsid w:val="00CF6586"/>
    <w:rsid w:val="00CF6D3B"/>
    <w:rsid w:val="00CF6F93"/>
    <w:rsid w:val="00CF71E2"/>
    <w:rsid w:val="00D006ED"/>
    <w:rsid w:val="00D01458"/>
    <w:rsid w:val="00D023FC"/>
    <w:rsid w:val="00D024ED"/>
    <w:rsid w:val="00D02ACF"/>
    <w:rsid w:val="00D03D1D"/>
    <w:rsid w:val="00D03E10"/>
    <w:rsid w:val="00D10C35"/>
    <w:rsid w:val="00D110C9"/>
    <w:rsid w:val="00D132E8"/>
    <w:rsid w:val="00D13531"/>
    <w:rsid w:val="00D135B6"/>
    <w:rsid w:val="00D13E9A"/>
    <w:rsid w:val="00D14B3E"/>
    <w:rsid w:val="00D16AE5"/>
    <w:rsid w:val="00D17807"/>
    <w:rsid w:val="00D208E2"/>
    <w:rsid w:val="00D21B92"/>
    <w:rsid w:val="00D21BE3"/>
    <w:rsid w:val="00D2383E"/>
    <w:rsid w:val="00D24C1E"/>
    <w:rsid w:val="00D25451"/>
    <w:rsid w:val="00D2626A"/>
    <w:rsid w:val="00D26576"/>
    <w:rsid w:val="00D26D79"/>
    <w:rsid w:val="00D276BC"/>
    <w:rsid w:val="00D31B7A"/>
    <w:rsid w:val="00D32B17"/>
    <w:rsid w:val="00D35CB1"/>
    <w:rsid w:val="00D36271"/>
    <w:rsid w:val="00D36B35"/>
    <w:rsid w:val="00D36EE5"/>
    <w:rsid w:val="00D37F91"/>
    <w:rsid w:val="00D40DB3"/>
    <w:rsid w:val="00D411D0"/>
    <w:rsid w:val="00D41C56"/>
    <w:rsid w:val="00D41D9F"/>
    <w:rsid w:val="00D4208F"/>
    <w:rsid w:val="00D42B15"/>
    <w:rsid w:val="00D43965"/>
    <w:rsid w:val="00D43F49"/>
    <w:rsid w:val="00D442BD"/>
    <w:rsid w:val="00D4471B"/>
    <w:rsid w:val="00D44905"/>
    <w:rsid w:val="00D45C12"/>
    <w:rsid w:val="00D46301"/>
    <w:rsid w:val="00D46BDB"/>
    <w:rsid w:val="00D47A0C"/>
    <w:rsid w:val="00D50918"/>
    <w:rsid w:val="00D50D30"/>
    <w:rsid w:val="00D522A4"/>
    <w:rsid w:val="00D537F9"/>
    <w:rsid w:val="00D53B45"/>
    <w:rsid w:val="00D542C3"/>
    <w:rsid w:val="00D5452E"/>
    <w:rsid w:val="00D54E1E"/>
    <w:rsid w:val="00D54FEF"/>
    <w:rsid w:val="00D559CF"/>
    <w:rsid w:val="00D5625C"/>
    <w:rsid w:val="00D56C93"/>
    <w:rsid w:val="00D60D69"/>
    <w:rsid w:val="00D65FE4"/>
    <w:rsid w:val="00D671DF"/>
    <w:rsid w:val="00D67D6E"/>
    <w:rsid w:val="00D712D1"/>
    <w:rsid w:val="00D71910"/>
    <w:rsid w:val="00D72538"/>
    <w:rsid w:val="00D7290A"/>
    <w:rsid w:val="00D757C9"/>
    <w:rsid w:val="00D75E18"/>
    <w:rsid w:val="00D760D0"/>
    <w:rsid w:val="00D777CA"/>
    <w:rsid w:val="00D835E9"/>
    <w:rsid w:val="00D8590C"/>
    <w:rsid w:val="00D8673B"/>
    <w:rsid w:val="00D87EA9"/>
    <w:rsid w:val="00D90117"/>
    <w:rsid w:val="00D903AA"/>
    <w:rsid w:val="00D904CE"/>
    <w:rsid w:val="00D91995"/>
    <w:rsid w:val="00D919E0"/>
    <w:rsid w:val="00D9224A"/>
    <w:rsid w:val="00D9365F"/>
    <w:rsid w:val="00D95DE3"/>
    <w:rsid w:val="00D96DD1"/>
    <w:rsid w:val="00D97A12"/>
    <w:rsid w:val="00DA030A"/>
    <w:rsid w:val="00DA37E0"/>
    <w:rsid w:val="00DA4BF4"/>
    <w:rsid w:val="00DA5AB8"/>
    <w:rsid w:val="00DA7E2C"/>
    <w:rsid w:val="00DB0309"/>
    <w:rsid w:val="00DB0417"/>
    <w:rsid w:val="00DB198D"/>
    <w:rsid w:val="00DB1AE8"/>
    <w:rsid w:val="00DB3138"/>
    <w:rsid w:val="00DB3C11"/>
    <w:rsid w:val="00DB44B3"/>
    <w:rsid w:val="00DB4E79"/>
    <w:rsid w:val="00DC0165"/>
    <w:rsid w:val="00DC1B41"/>
    <w:rsid w:val="00DC1E77"/>
    <w:rsid w:val="00DC32C9"/>
    <w:rsid w:val="00DC4280"/>
    <w:rsid w:val="00DC456C"/>
    <w:rsid w:val="00DC539C"/>
    <w:rsid w:val="00DC6048"/>
    <w:rsid w:val="00DD145A"/>
    <w:rsid w:val="00DD2927"/>
    <w:rsid w:val="00DD3DD2"/>
    <w:rsid w:val="00DD4143"/>
    <w:rsid w:val="00DD4D9C"/>
    <w:rsid w:val="00DD549E"/>
    <w:rsid w:val="00DD609D"/>
    <w:rsid w:val="00DD6352"/>
    <w:rsid w:val="00DD6475"/>
    <w:rsid w:val="00DE157E"/>
    <w:rsid w:val="00DE217E"/>
    <w:rsid w:val="00DE4841"/>
    <w:rsid w:val="00DE4E07"/>
    <w:rsid w:val="00DE55E3"/>
    <w:rsid w:val="00DE5963"/>
    <w:rsid w:val="00DE6E65"/>
    <w:rsid w:val="00DE7F02"/>
    <w:rsid w:val="00DF142A"/>
    <w:rsid w:val="00DF210D"/>
    <w:rsid w:val="00DF2660"/>
    <w:rsid w:val="00DF558F"/>
    <w:rsid w:val="00DF5872"/>
    <w:rsid w:val="00DF598E"/>
    <w:rsid w:val="00E02164"/>
    <w:rsid w:val="00E0235F"/>
    <w:rsid w:val="00E0277B"/>
    <w:rsid w:val="00E06C80"/>
    <w:rsid w:val="00E12EA7"/>
    <w:rsid w:val="00E13133"/>
    <w:rsid w:val="00E138D7"/>
    <w:rsid w:val="00E13CC5"/>
    <w:rsid w:val="00E13E22"/>
    <w:rsid w:val="00E149A5"/>
    <w:rsid w:val="00E15C7E"/>
    <w:rsid w:val="00E16ADA"/>
    <w:rsid w:val="00E17D3D"/>
    <w:rsid w:val="00E208F2"/>
    <w:rsid w:val="00E223D6"/>
    <w:rsid w:val="00E24C59"/>
    <w:rsid w:val="00E2544F"/>
    <w:rsid w:val="00E2680A"/>
    <w:rsid w:val="00E268FF"/>
    <w:rsid w:val="00E26CEB"/>
    <w:rsid w:val="00E27458"/>
    <w:rsid w:val="00E312AA"/>
    <w:rsid w:val="00E318EB"/>
    <w:rsid w:val="00E31CBF"/>
    <w:rsid w:val="00E321A0"/>
    <w:rsid w:val="00E332B9"/>
    <w:rsid w:val="00E359AC"/>
    <w:rsid w:val="00E36230"/>
    <w:rsid w:val="00E36966"/>
    <w:rsid w:val="00E41A14"/>
    <w:rsid w:val="00E41D6A"/>
    <w:rsid w:val="00E43DD4"/>
    <w:rsid w:val="00E448F9"/>
    <w:rsid w:val="00E44C98"/>
    <w:rsid w:val="00E44DE8"/>
    <w:rsid w:val="00E4797F"/>
    <w:rsid w:val="00E47DF6"/>
    <w:rsid w:val="00E5015F"/>
    <w:rsid w:val="00E50E02"/>
    <w:rsid w:val="00E5348B"/>
    <w:rsid w:val="00E5350A"/>
    <w:rsid w:val="00E547C7"/>
    <w:rsid w:val="00E564B9"/>
    <w:rsid w:val="00E5666F"/>
    <w:rsid w:val="00E57533"/>
    <w:rsid w:val="00E619DF"/>
    <w:rsid w:val="00E61D86"/>
    <w:rsid w:val="00E6299A"/>
    <w:rsid w:val="00E632CF"/>
    <w:rsid w:val="00E6390B"/>
    <w:rsid w:val="00E63AD7"/>
    <w:rsid w:val="00E63E3B"/>
    <w:rsid w:val="00E655A0"/>
    <w:rsid w:val="00E66012"/>
    <w:rsid w:val="00E66209"/>
    <w:rsid w:val="00E66A44"/>
    <w:rsid w:val="00E674EE"/>
    <w:rsid w:val="00E676F8"/>
    <w:rsid w:val="00E677C0"/>
    <w:rsid w:val="00E71CA9"/>
    <w:rsid w:val="00E730EB"/>
    <w:rsid w:val="00E73653"/>
    <w:rsid w:val="00E73D65"/>
    <w:rsid w:val="00E73E2C"/>
    <w:rsid w:val="00E744A1"/>
    <w:rsid w:val="00E75993"/>
    <w:rsid w:val="00E7617C"/>
    <w:rsid w:val="00E761CE"/>
    <w:rsid w:val="00E7675A"/>
    <w:rsid w:val="00E76F78"/>
    <w:rsid w:val="00E8084B"/>
    <w:rsid w:val="00E81A94"/>
    <w:rsid w:val="00E821D4"/>
    <w:rsid w:val="00E82E46"/>
    <w:rsid w:val="00E843E6"/>
    <w:rsid w:val="00E84478"/>
    <w:rsid w:val="00E85A81"/>
    <w:rsid w:val="00E861E3"/>
    <w:rsid w:val="00E87EE4"/>
    <w:rsid w:val="00E92893"/>
    <w:rsid w:val="00E952D2"/>
    <w:rsid w:val="00E95905"/>
    <w:rsid w:val="00E966A2"/>
    <w:rsid w:val="00E96CC2"/>
    <w:rsid w:val="00EA03A3"/>
    <w:rsid w:val="00EA0A9A"/>
    <w:rsid w:val="00EA0F16"/>
    <w:rsid w:val="00EA20FF"/>
    <w:rsid w:val="00EA28CD"/>
    <w:rsid w:val="00EA5314"/>
    <w:rsid w:val="00EA5B8E"/>
    <w:rsid w:val="00EA6C8F"/>
    <w:rsid w:val="00EB0C21"/>
    <w:rsid w:val="00EB138E"/>
    <w:rsid w:val="00EB1503"/>
    <w:rsid w:val="00EB5100"/>
    <w:rsid w:val="00EB5970"/>
    <w:rsid w:val="00EB5E1F"/>
    <w:rsid w:val="00EB6187"/>
    <w:rsid w:val="00EB62C0"/>
    <w:rsid w:val="00EB68A4"/>
    <w:rsid w:val="00EB6FB9"/>
    <w:rsid w:val="00EC173F"/>
    <w:rsid w:val="00EC1FA1"/>
    <w:rsid w:val="00EC2D96"/>
    <w:rsid w:val="00EC4F34"/>
    <w:rsid w:val="00EC5EFC"/>
    <w:rsid w:val="00EC60E8"/>
    <w:rsid w:val="00EC6614"/>
    <w:rsid w:val="00ED1766"/>
    <w:rsid w:val="00ED187F"/>
    <w:rsid w:val="00ED2013"/>
    <w:rsid w:val="00ED54A0"/>
    <w:rsid w:val="00ED688E"/>
    <w:rsid w:val="00ED6C5F"/>
    <w:rsid w:val="00ED70CB"/>
    <w:rsid w:val="00EE0A1D"/>
    <w:rsid w:val="00EE2970"/>
    <w:rsid w:val="00EE399C"/>
    <w:rsid w:val="00EE3B5E"/>
    <w:rsid w:val="00EE3C36"/>
    <w:rsid w:val="00EE4640"/>
    <w:rsid w:val="00EE51EC"/>
    <w:rsid w:val="00EE6012"/>
    <w:rsid w:val="00EE6494"/>
    <w:rsid w:val="00EE7B34"/>
    <w:rsid w:val="00EF1A06"/>
    <w:rsid w:val="00EF35DB"/>
    <w:rsid w:val="00EF367E"/>
    <w:rsid w:val="00EF636E"/>
    <w:rsid w:val="00EF6A2E"/>
    <w:rsid w:val="00F01ADE"/>
    <w:rsid w:val="00F01D47"/>
    <w:rsid w:val="00F01E35"/>
    <w:rsid w:val="00F023BD"/>
    <w:rsid w:val="00F027D7"/>
    <w:rsid w:val="00F030FC"/>
    <w:rsid w:val="00F04F62"/>
    <w:rsid w:val="00F07C59"/>
    <w:rsid w:val="00F12504"/>
    <w:rsid w:val="00F126EA"/>
    <w:rsid w:val="00F13814"/>
    <w:rsid w:val="00F13D9A"/>
    <w:rsid w:val="00F15854"/>
    <w:rsid w:val="00F16FC0"/>
    <w:rsid w:val="00F20345"/>
    <w:rsid w:val="00F20690"/>
    <w:rsid w:val="00F21050"/>
    <w:rsid w:val="00F21B54"/>
    <w:rsid w:val="00F22073"/>
    <w:rsid w:val="00F23C54"/>
    <w:rsid w:val="00F23FD9"/>
    <w:rsid w:val="00F242B4"/>
    <w:rsid w:val="00F2476C"/>
    <w:rsid w:val="00F2480D"/>
    <w:rsid w:val="00F2531B"/>
    <w:rsid w:val="00F2709E"/>
    <w:rsid w:val="00F27A23"/>
    <w:rsid w:val="00F27C84"/>
    <w:rsid w:val="00F31086"/>
    <w:rsid w:val="00F315F2"/>
    <w:rsid w:val="00F33D0D"/>
    <w:rsid w:val="00F34360"/>
    <w:rsid w:val="00F34F69"/>
    <w:rsid w:val="00F36DF9"/>
    <w:rsid w:val="00F373B1"/>
    <w:rsid w:val="00F37CFB"/>
    <w:rsid w:val="00F401B0"/>
    <w:rsid w:val="00F4412A"/>
    <w:rsid w:val="00F44B14"/>
    <w:rsid w:val="00F4509F"/>
    <w:rsid w:val="00F45EAF"/>
    <w:rsid w:val="00F51084"/>
    <w:rsid w:val="00F52F44"/>
    <w:rsid w:val="00F536C4"/>
    <w:rsid w:val="00F6159E"/>
    <w:rsid w:val="00F63600"/>
    <w:rsid w:val="00F65259"/>
    <w:rsid w:val="00F676DD"/>
    <w:rsid w:val="00F70608"/>
    <w:rsid w:val="00F70D29"/>
    <w:rsid w:val="00F716E6"/>
    <w:rsid w:val="00F73CFA"/>
    <w:rsid w:val="00F76F4E"/>
    <w:rsid w:val="00F774C3"/>
    <w:rsid w:val="00F77946"/>
    <w:rsid w:val="00F87373"/>
    <w:rsid w:val="00F90E94"/>
    <w:rsid w:val="00F92769"/>
    <w:rsid w:val="00F9348C"/>
    <w:rsid w:val="00F9353E"/>
    <w:rsid w:val="00F947CC"/>
    <w:rsid w:val="00F953F9"/>
    <w:rsid w:val="00F95D91"/>
    <w:rsid w:val="00F96057"/>
    <w:rsid w:val="00F964DA"/>
    <w:rsid w:val="00F979C9"/>
    <w:rsid w:val="00FA069E"/>
    <w:rsid w:val="00FA18CB"/>
    <w:rsid w:val="00FA295D"/>
    <w:rsid w:val="00FB04AA"/>
    <w:rsid w:val="00FB2408"/>
    <w:rsid w:val="00FB38B7"/>
    <w:rsid w:val="00FB3B5A"/>
    <w:rsid w:val="00FB4233"/>
    <w:rsid w:val="00FB69BF"/>
    <w:rsid w:val="00FB734C"/>
    <w:rsid w:val="00FC0483"/>
    <w:rsid w:val="00FC1665"/>
    <w:rsid w:val="00FC1EA3"/>
    <w:rsid w:val="00FC28BB"/>
    <w:rsid w:val="00FC31AC"/>
    <w:rsid w:val="00FC31DB"/>
    <w:rsid w:val="00FC5A71"/>
    <w:rsid w:val="00FC6B6C"/>
    <w:rsid w:val="00FC7EF0"/>
    <w:rsid w:val="00FD18DE"/>
    <w:rsid w:val="00FD25F4"/>
    <w:rsid w:val="00FD2893"/>
    <w:rsid w:val="00FD2952"/>
    <w:rsid w:val="00FD45B4"/>
    <w:rsid w:val="00FD4EC4"/>
    <w:rsid w:val="00FD5F20"/>
    <w:rsid w:val="00FD64F0"/>
    <w:rsid w:val="00FE17F9"/>
    <w:rsid w:val="00FE2499"/>
    <w:rsid w:val="00FE3C86"/>
    <w:rsid w:val="00FE4EC6"/>
    <w:rsid w:val="00FF1136"/>
    <w:rsid w:val="00FF2595"/>
    <w:rsid w:val="00FF27E1"/>
    <w:rsid w:val="00FF2ED8"/>
    <w:rsid w:val="00FF3D57"/>
    <w:rsid w:val="00FF715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93FFC"/>
  <w15:docId w15:val="{1A737D66-AC56-4A50-8368-2D345F5C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151"/>
    <w:rPr>
      <w:rFonts w:ascii="Arial" w:hAnsi="Arial"/>
      <w:sz w:val="20"/>
    </w:rPr>
  </w:style>
  <w:style w:type="paragraph" w:styleId="Heading1">
    <w:name w:val="heading 1"/>
    <w:next w:val="Normal"/>
    <w:link w:val="Heading1Char"/>
    <w:uiPriority w:val="9"/>
    <w:qFormat/>
    <w:rsid w:val="00CA2D80"/>
    <w:pPr>
      <w:keepNext/>
      <w:spacing w:before="240" w:after="120" w:line="276" w:lineRule="auto"/>
      <w:outlineLvl w:val="0"/>
    </w:pPr>
    <w:rPr>
      <w:rFonts w:ascii="Arial" w:eastAsia="Times New Roman" w:hAnsi="Arial" w:cs="Arial"/>
      <w:b/>
      <w:bCs/>
      <w:color w:val="1F4E79" w:themeColor="accent5" w:themeShade="80"/>
      <w:kern w:val="28"/>
      <w:sz w:val="36"/>
      <w:szCs w:val="36"/>
    </w:rPr>
  </w:style>
  <w:style w:type="paragraph" w:styleId="Heading2">
    <w:name w:val="heading 2"/>
    <w:basedOn w:val="Heading1"/>
    <w:next w:val="Normal"/>
    <w:link w:val="Heading2Char"/>
    <w:uiPriority w:val="9"/>
    <w:unhideWhenUsed/>
    <w:qFormat/>
    <w:rsid w:val="001A6DDD"/>
    <w:pPr>
      <w:keepLines/>
      <w:spacing w:before="120"/>
      <w:outlineLvl w:val="1"/>
    </w:pPr>
    <w:rPr>
      <w:rFonts w:eastAsiaTheme="majorEastAsia" w:cstheme="majorBidi"/>
      <w:color w:val="auto"/>
      <w:sz w:val="24"/>
      <w:szCs w:val="26"/>
    </w:rPr>
  </w:style>
  <w:style w:type="paragraph" w:styleId="Heading3">
    <w:name w:val="heading 3"/>
    <w:basedOn w:val="Heading2"/>
    <w:next w:val="Normal"/>
    <w:link w:val="Heading3Char"/>
    <w:uiPriority w:val="9"/>
    <w:unhideWhenUsed/>
    <w:qFormat/>
    <w:rsid w:val="00D97A12"/>
    <w:pPr>
      <w:outlineLvl w:val="2"/>
    </w:pPr>
    <w:rPr>
      <w:b w:val="0"/>
      <w:color w:val="1F3763" w:themeColor="accent1" w:themeShade="7F"/>
      <w:szCs w:val="24"/>
    </w:rPr>
  </w:style>
  <w:style w:type="paragraph" w:styleId="Heading4">
    <w:name w:val="heading 4"/>
    <w:basedOn w:val="Normal"/>
    <w:next w:val="Normal"/>
    <w:link w:val="Heading4Char"/>
    <w:uiPriority w:val="9"/>
    <w:unhideWhenUsed/>
    <w:qFormat/>
    <w:rsid w:val="001707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5384B"/>
    <w:pPr>
      <w:keepNext/>
      <w:keepLines/>
      <w:spacing w:before="40" w:after="0"/>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unhideWhenUsed/>
    <w:qFormat/>
    <w:rsid w:val="0065384B"/>
    <w:pPr>
      <w:keepNext/>
      <w:keepLines/>
      <w:spacing w:before="40" w:after="0"/>
      <w:outlineLvl w:val="5"/>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65384B"/>
    <w:pPr>
      <w:keepNext/>
      <w:keepLines/>
      <w:spacing w:before="40" w:after="0"/>
      <w:outlineLvl w:val="6"/>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2C2"/>
  </w:style>
  <w:style w:type="paragraph" w:styleId="Footer">
    <w:name w:val="footer"/>
    <w:basedOn w:val="Normal"/>
    <w:link w:val="FooterChar"/>
    <w:uiPriority w:val="99"/>
    <w:unhideWhenUsed/>
    <w:rsid w:val="00CE0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2C2"/>
  </w:style>
  <w:style w:type="character" w:customStyle="1" w:styleId="Heading1Char">
    <w:name w:val="Heading 1 Char"/>
    <w:basedOn w:val="DefaultParagraphFont"/>
    <w:link w:val="Heading1"/>
    <w:uiPriority w:val="9"/>
    <w:rsid w:val="00CA2D80"/>
    <w:rPr>
      <w:rFonts w:ascii="Arial" w:eastAsia="Times New Roman" w:hAnsi="Arial" w:cs="Arial"/>
      <w:b/>
      <w:bCs/>
      <w:color w:val="1F4E79" w:themeColor="accent5" w:themeShade="80"/>
      <w:kern w:val="28"/>
      <w:sz w:val="36"/>
      <w:szCs w:val="36"/>
    </w:rPr>
  </w:style>
  <w:style w:type="paragraph" w:customStyle="1" w:styleId="Paragraphtext">
    <w:name w:val="Paragraph text"/>
    <w:basedOn w:val="Normal"/>
    <w:qFormat/>
    <w:rsid w:val="00CE02C2"/>
    <w:pPr>
      <w:spacing w:before="120" w:after="60" w:line="240" w:lineRule="auto"/>
    </w:pPr>
    <w:rPr>
      <w:rFonts w:eastAsia="Times New Roman" w:cs="Times New Roman"/>
      <w:color w:val="000000" w:themeColor="text1"/>
      <w:sz w:val="21"/>
      <w:szCs w:val="24"/>
    </w:rPr>
  </w:style>
  <w:style w:type="table" w:styleId="TableGrid">
    <w:name w:val="Table Grid"/>
    <w:basedOn w:val="TableNormal"/>
    <w:rsid w:val="001A6DDD"/>
    <w:pPr>
      <w:spacing w:before="120"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color w:val="auto"/>
        <w:sz w:val="20"/>
      </w:rPr>
      <w:tblPr/>
      <w:tcPr>
        <w:shd w:val="clear" w:color="auto" w:fill="D9D9D9" w:themeFill="background1" w:themeFillShade="D9"/>
      </w:tcPr>
    </w:tblStylePr>
    <w:tblStylePr w:type="firstCol">
      <w:rPr>
        <w:b/>
      </w:rPr>
    </w:tblStylePr>
  </w:style>
  <w:style w:type="character" w:styleId="Hyperlink">
    <w:name w:val="Hyperlink"/>
    <w:basedOn w:val="DefaultParagraphFont"/>
    <w:uiPriority w:val="99"/>
    <w:unhideWhenUsed/>
    <w:qFormat/>
    <w:rsid w:val="00CE02C2"/>
    <w:rPr>
      <w:color w:val="0563C1" w:themeColor="hyperlink"/>
      <w:u w:val="single"/>
    </w:rPr>
  </w:style>
  <w:style w:type="character" w:customStyle="1" w:styleId="Heading2Char">
    <w:name w:val="Heading 2 Char"/>
    <w:basedOn w:val="DefaultParagraphFont"/>
    <w:link w:val="Heading2"/>
    <w:uiPriority w:val="9"/>
    <w:rsid w:val="001A6DDD"/>
    <w:rPr>
      <w:rFonts w:ascii="Arial" w:eastAsiaTheme="majorEastAsia" w:hAnsi="Arial" w:cstheme="majorBidi"/>
      <w:b/>
      <w:bCs/>
      <w:kern w:val="28"/>
      <w:sz w:val="24"/>
      <w:szCs w:val="26"/>
    </w:rPr>
  </w:style>
  <w:style w:type="paragraph" w:styleId="ListParagraph">
    <w:name w:val="List Paragraph"/>
    <w:aliases w:val="Bullet Points_First Level,NFP GP Bulleted List,List Paragraph1,Recommendation,Figure_name,Numbered Indented Text,Bullet- First level,List NUmber,Listenabsatz1,lp1,List Paragraph11,Body text,NAST Quote,Bullet point,Bullet 1,CV text,Dot pt"/>
    <w:basedOn w:val="Normal"/>
    <w:link w:val="ListParagraphChar"/>
    <w:uiPriority w:val="34"/>
    <w:qFormat/>
    <w:rsid w:val="00CE02C2"/>
    <w:pPr>
      <w:ind w:left="720"/>
      <w:contextualSpacing/>
    </w:pPr>
  </w:style>
  <w:style w:type="character" w:styleId="Emphasis">
    <w:name w:val="Emphasis"/>
    <w:basedOn w:val="DefaultParagraphFont"/>
    <w:uiPriority w:val="20"/>
    <w:qFormat/>
    <w:rsid w:val="004B5C7C"/>
    <w:rPr>
      <w:i/>
      <w:iCs/>
    </w:rPr>
  </w:style>
  <w:style w:type="paragraph" w:styleId="NoSpacing">
    <w:name w:val="No Spacing"/>
    <w:uiPriority w:val="1"/>
    <w:qFormat/>
    <w:rsid w:val="00436B21"/>
    <w:pPr>
      <w:spacing w:after="0" w:line="240" w:lineRule="auto"/>
    </w:pPr>
    <w:rPr>
      <w:rFonts w:ascii="Arial" w:hAnsi="Arial"/>
      <w:sz w:val="20"/>
    </w:rPr>
  </w:style>
  <w:style w:type="paragraph" w:styleId="FootnoteText">
    <w:name w:val="footnote text"/>
    <w:basedOn w:val="Normal"/>
    <w:link w:val="FootnoteTextChar"/>
    <w:uiPriority w:val="99"/>
    <w:unhideWhenUsed/>
    <w:qFormat/>
    <w:rsid w:val="001A6DDD"/>
    <w:pPr>
      <w:spacing w:before="40" w:after="0" w:line="240" w:lineRule="auto"/>
    </w:pPr>
    <w:rPr>
      <w:sz w:val="18"/>
      <w:szCs w:val="20"/>
    </w:rPr>
  </w:style>
  <w:style w:type="paragraph" w:styleId="TOC1">
    <w:name w:val="toc 1"/>
    <w:basedOn w:val="Normal"/>
    <w:next w:val="Normal"/>
    <w:autoRedefine/>
    <w:uiPriority w:val="39"/>
    <w:unhideWhenUsed/>
    <w:rsid w:val="00CB6EA8"/>
    <w:pPr>
      <w:tabs>
        <w:tab w:val="right" w:leader="dot" w:pos="10460"/>
      </w:tabs>
      <w:spacing w:after="100"/>
    </w:pPr>
    <w:rPr>
      <w:rFonts w:eastAsiaTheme="minorEastAsia" w:cs="Arial"/>
      <w:b/>
      <w:bCs/>
      <w:noProof/>
      <w:lang w:val="en-US"/>
    </w:rPr>
  </w:style>
  <w:style w:type="character" w:styleId="Strong">
    <w:name w:val="Strong"/>
    <w:uiPriority w:val="22"/>
    <w:qFormat/>
    <w:rsid w:val="00E632CF"/>
    <w:rPr>
      <w:b/>
      <w:bCs/>
    </w:rPr>
  </w:style>
  <w:style w:type="character" w:customStyle="1" w:styleId="ListParagraphChar">
    <w:name w:val="List Paragraph Char"/>
    <w:aliases w:val="Bullet Points_First Level Char,NFP GP Bulleted List Char,List Paragraph1 Char,Recommendation Char,Figure_name Char,Numbered Indented Text Char,Bullet- First level Char,List NUmber Char,Listenabsatz1 Char,lp1 Char,Body text Char"/>
    <w:basedOn w:val="DefaultParagraphFont"/>
    <w:link w:val="ListParagraph"/>
    <w:uiPriority w:val="34"/>
    <w:qFormat/>
    <w:locked/>
    <w:rsid w:val="00C87506"/>
  </w:style>
  <w:style w:type="character" w:customStyle="1" w:styleId="FootnoteTextChar">
    <w:name w:val="Footnote Text Char"/>
    <w:basedOn w:val="DefaultParagraphFont"/>
    <w:link w:val="FootnoteText"/>
    <w:uiPriority w:val="99"/>
    <w:rsid w:val="001A6DDD"/>
    <w:rPr>
      <w:rFonts w:ascii="Arial" w:hAnsi="Arial"/>
      <w:sz w:val="18"/>
      <w:szCs w:val="20"/>
    </w:rPr>
  </w:style>
  <w:style w:type="paragraph" w:styleId="ListNumber">
    <w:name w:val="List Number"/>
    <w:basedOn w:val="Normal"/>
    <w:uiPriority w:val="99"/>
    <w:unhideWhenUsed/>
    <w:rsid w:val="00E12EA7"/>
    <w:pPr>
      <w:numPr>
        <w:numId w:val="174"/>
      </w:numPr>
      <w:contextualSpacing/>
    </w:pPr>
    <w:rPr>
      <w:b/>
    </w:rPr>
  </w:style>
  <w:style w:type="paragraph" w:styleId="ListBullet2">
    <w:name w:val="List Bullet 2"/>
    <w:basedOn w:val="Normal"/>
    <w:uiPriority w:val="99"/>
    <w:unhideWhenUsed/>
    <w:rsid w:val="00831CC8"/>
    <w:pPr>
      <w:numPr>
        <w:numId w:val="177"/>
      </w:numPr>
      <w:tabs>
        <w:tab w:val="clear" w:pos="643"/>
      </w:tabs>
      <w:spacing w:after="0" w:line="240" w:lineRule="auto"/>
      <w:ind w:left="312" w:hanging="255"/>
      <w:contextualSpacing/>
    </w:pPr>
    <w:rPr>
      <w:rFonts w:eastAsia="Times New Roman" w:cs="Times New Roman"/>
      <w:szCs w:val="20"/>
      <w:lang w:eastAsia="en-AU"/>
    </w:rPr>
  </w:style>
  <w:style w:type="character" w:styleId="FootnoteReference">
    <w:name w:val="footnote reference"/>
    <w:aliases w:val="(NECG) Footnote Reference"/>
    <w:basedOn w:val="DefaultParagraphFont"/>
    <w:uiPriority w:val="99"/>
    <w:unhideWhenUsed/>
    <w:rsid w:val="00B574E0"/>
    <w:rPr>
      <w:vertAlign w:val="superscript"/>
    </w:rPr>
  </w:style>
  <w:style w:type="paragraph" w:styleId="TOCHeading">
    <w:name w:val="TOC Heading"/>
    <w:basedOn w:val="Heading1"/>
    <w:next w:val="Normal"/>
    <w:uiPriority w:val="39"/>
    <w:unhideWhenUsed/>
    <w:qFormat/>
    <w:rsid w:val="00271B59"/>
    <w:pPr>
      <w:keepLines/>
      <w:spacing w:after="0" w:line="259" w:lineRule="auto"/>
      <w:outlineLvl w:val="9"/>
    </w:pPr>
    <w:rPr>
      <w:rFonts w:eastAsiaTheme="majorEastAsia" w:cstheme="majorBidi"/>
      <w:b w:val="0"/>
      <w:bCs w:val="0"/>
      <w:color w:val="2F5496" w:themeColor="accent1" w:themeShade="BF"/>
      <w:kern w:val="0"/>
      <w:sz w:val="32"/>
      <w:szCs w:val="32"/>
      <w:lang w:val="en-US"/>
    </w:rPr>
  </w:style>
  <w:style w:type="paragraph" w:styleId="TOC2">
    <w:name w:val="toc 2"/>
    <w:basedOn w:val="Normal"/>
    <w:next w:val="Normal"/>
    <w:autoRedefine/>
    <w:uiPriority w:val="39"/>
    <w:unhideWhenUsed/>
    <w:rsid w:val="00A02772"/>
    <w:pPr>
      <w:tabs>
        <w:tab w:val="right" w:leader="dot" w:pos="10460"/>
      </w:tabs>
      <w:spacing w:after="100"/>
      <w:ind w:left="220"/>
    </w:pPr>
  </w:style>
  <w:style w:type="character" w:customStyle="1" w:styleId="Heading3Char">
    <w:name w:val="Heading 3 Char"/>
    <w:basedOn w:val="DefaultParagraphFont"/>
    <w:link w:val="Heading3"/>
    <w:uiPriority w:val="9"/>
    <w:rsid w:val="00D97A12"/>
    <w:rPr>
      <w:rFonts w:ascii="Arial" w:eastAsiaTheme="majorEastAsia" w:hAnsi="Arial" w:cstheme="majorBidi"/>
      <w:bCs/>
      <w:color w:val="1F3763" w:themeColor="accent1" w:themeShade="7F"/>
      <w:kern w:val="28"/>
      <w:sz w:val="24"/>
      <w:szCs w:val="24"/>
    </w:rPr>
  </w:style>
  <w:style w:type="paragraph" w:styleId="TOC3">
    <w:name w:val="toc 3"/>
    <w:basedOn w:val="Normal"/>
    <w:next w:val="Normal"/>
    <w:autoRedefine/>
    <w:uiPriority w:val="39"/>
    <w:unhideWhenUsed/>
    <w:rsid w:val="009306CC"/>
    <w:pPr>
      <w:spacing w:after="100"/>
      <w:ind w:left="440"/>
    </w:pPr>
  </w:style>
  <w:style w:type="character" w:styleId="CommentReference">
    <w:name w:val="annotation reference"/>
    <w:basedOn w:val="DefaultParagraphFont"/>
    <w:uiPriority w:val="99"/>
    <w:semiHidden/>
    <w:unhideWhenUsed/>
    <w:rsid w:val="00A33DE9"/>
    <w:rPr>
      <w:sz w:val="16"/>
      <w:szCs w:val="16"/>
    </w:rPr>
  </w:style>
  <w:style w:type="paragraph" w:styleId="CommentText">
    <w:name w:val="annotation text"/>
    <w:basedOn w:val="Normal"/>
    <w:link w:val="CommentTextChar"/>
    <w:uiPriority w:val="99"/>
    <w:unhideWhenUsed/>
    <w:rsid w:val="00A33DE9"/>
    <w:pPr>
      <w:spacing w:line="240" w:lineRule="auto"/>
    </w:pPr>
    <w:rPr>
      <w:szCs w:val="20"/>
    </w:rPr>
  </w:style>
  <w:style w:type="character" w:customStyle="1" w:styleId="CommentTextChar">
    <w:name w:val="Comment Text Char"/>
    <w:basedOn w:val="DefaultParagraphFont"/>
    <w:link w:val="CommentText"/>
    <w:uiPriority w:val="99"/>
    <w:rsid w:val="00A33DE9"/>
    <w:rPr>
      <w:sz w:val="20"/>
      <w:szCs w:val="20"/>
    </w:rPr>
  </w:style>
  <w:style w:type="paragraph" w:styleId="CommentSubject">
    <w:name w:val="annotation subject"/>
    <w:basedOn w:val="CommentText"/>
    <w:next w:val="CommentText"/>
    <w:link w:val="CommentSubjectChar"/>
    <w:uiPriority w:val="99"/>
    <w:semiHidden/>
    <w:unhideWhenUsed/>
    <w:rsid w:val="00A33DE9"/>
    <w:rPr>
      <w:b/>
      <w:bCs/>
    </w:rPr>
  </w:style>
  <w:style w:type="character" w:customStyle="1" w:styleId="CommentSubjectChar">
    <w:name w:val="Comment Subject Char"/>
    <w:basedOn w:val="CommentTextChar"/>
    <w:link w:val="CommentSubject"/>
    <w:uiPriority w:val="99"/>
    <w:semiHidden/>
    <w:rsid w:val="00A33DE9"/>
    <w:rPr>
      <w:b/>
      <w:bCs/>
      <w:sz w:val="20"/>
      <w:szCs w:val="20"/>
    </w:rPr>
  </w:style>
  <w:style w:type="character" w:styleId="UnresolvedMention">
    <w:name w:val="Unresolved Mention"/>
    <w:basedOn w:val="DefaultParagraphFont"/>
    <w:uiPriority w:val="99"/>
    <w:semiHidden/>
    <w:unhideWhenUsed/>
    <w:rsid w:val="00242307"/>
    <w:rPr>
      <w:color w:val="605E5C"/>
      <w:shd w:val="clear" w:color="auto" w:fill="E1DFDD"/>
    </w:rPr>
  </w:style>
  <w:style w:type="paragraph" w:customStyle="1" w:styleId="Footnotes">
    <w:name w:val="Footnotes"/>
    <w:basedOn w:val="Normal"/>
    <w:autoRedefine/>
    <w:qFormat/>
    <w:rsid w:val="00BB4FE7"/>
    <w:pPr>
      <w:widowControl w:val="0"/>
      <w:autoSpaceDE w:val="0"/>
      <w:autoSpaceDN w:val="0"/>
      <w:spacing w:before="60" w:after="0" w:line="240" w:lineRule="auto"/>
      <w:ind w:right="301"/>
    </w:pPr>
    <w:rPr>
      <w:rFonts w:ascii="Helvetica" w:hAnsi="Helvetica" w:cs="HelveticaNeueLTStd-Lt"/>
      <w:sz w:val="16"/>
      <w:szCs w:val="19"/>
    </w:rPr>
  </w:style>
  <w:style w:type="character" w:customStyle="1" w:styleId="Heading4Char">
    <w:name w:val="Heading 4 Char"/>
    <w:basedOn w:val="DefaultParagraphFont"/>
    <w:link w:val="Heading4"/>
    <w:uiPriority w:val="9"/>
    <w:rsid w:val="0017070C"/>
    <w:rPr>
      <w:rFonts w:asciiTheme="majorHAnsi" w:eastAsiaTheme="majorEastAsia" w:hAnsiTheme="majorHAnsi" w:cstheme="majorBidi"/>
      <w:i/>
      <w:iCs/>
      <w:color w:val="2F5496" w:themeColor="accent1" w:themeShade="BF"/>
    </w:rPr>
  </w:style>
  <w:style w:type="paragraph" w:customStyle="1" w:styleId="TableTextleftaligned">
    <w:name w:val="Table Text (left aligned)"/>
    <w:uiPriority w:val="29"/>
    <w:rsid w:val="00BD1664"/>
    <w:pPr>
      <w:spacing w:before="120" w:after="0" w:line="240" w:lineRule="auto"/>
    </w:pPr>
    <w:rPr>
      <w:rFonts w:eastAsia="Malgun Gothic" w:cs="Times New Roman"/>
      <w:sz w:val="20"/>
      <w:szCs w:val="18"/>
    </w:rPr>
  </w:style>
  <w:style w:type="paragraph" w:customStyle="1" w:styleId="TableTextrightaligned">
    <w:name w:val="Table Text (right aligned)"/>
    <w:basedOn w:val="TableTextleftaligned"/>
    <w:uiPriority w:val="30"/>
    <w:rsid w:val="005436ED"/>
    <w:pPr>
      <w:jc w:val="right"/>
    </w:pPr>
  </w:style>
  <w:style w:type="paragraph" w:styleId="ListNumber2">
    <w:name w:val="List Number 2"/>
    <w:uiPriority w:val="99"/>
    <w:unhideWhenUsed/>
    <w:rsid w:val="001A6DDD"/>
    <w:pPr>
      <w:numPr>
        <w:numId w:val="171"/>
      </w:numPr>
      <w:spacing w:before="40" w:after="0" w:line="240" w:lineRule="auto"/>
      <w:ind w:hanging="357"/>
    </w:pPr>
    <w:rPr>
      <w:rFonts w:ascii="Arial" w:hAnsi="Arial" w:cs="Times New Roman"/>
      <w:sz w:val="20"/>
      <w:szCs w:val="24"/>
    </w:rPr>
  </w:style>
  <w:style w:type="paragraph" w:customStyle="1" w:styleId="Default">
    <w:name w:val="Default"/>
    <w:rsid w:val="001C398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E5F78"/>
    <w:pPr>
      <w:spacing w:after="0" w:line="240" w:lineRule="auto"/>
    </w:pPr>
  </w:style>
  <w:style w:type="paragraph" w:customStyle="1" w:styleId="TableParagraph">
    <w:name w:val="Table Paragraph"/>
    <w:basedOn w:val="Normal"/>
    <w:uiPriority w:val="1"/>
    <w:qFormat/>
    <w:rsid w:val="00BC40C6"/>
    <w:pPr>
      <w:widowControl w:val="0"/>
      <w:autoSpaceDE w:val="0"/>
      <w:autoSpaceDN w:val="0"/>
      <w:spacing w:before="117" w:after="0" w:line="240" w:lineRule="auto"/>
      <w:ind w:left="170"/>
    </w:pPr>
    <w:rPr>
      <w:rFonts w:eastAsia="Arial" w:cs="Arial"/>
      <w:lang w:val="en-US"/>
    </w:rPr>
  </w:style>
  <w:style w:type="paragraph" w:styleId="ListBullet3">
    <w:name w:val="List Bullet 3"/>
    <w:basedOn w:val="Normal"/>
    <w:uiPriority w:val="99"/>
    <w:unhideWhenUsed/>
    <w:rsid w:val="00831CC8"/>
    <w:pPr>
      <w:numPr>
        <w:numId w:val="178"/>
      </w:numPr>
      <w:ind w:left="641" w:hanging="357"/>
      <w:contextualSpacing/>
    </w:pPr>
  </w:style>
  <w:style w:type="paragraph" w:styleId="Title">
    <w:name w:val="Title"/>
    <w:basedOn w:val="Normal"/>
    <w:next w:val="Paragraphtext"/>
    <w:link w:val="TitleChar"/>
    <w:uiPriority w:val="10"/>
    <w:qFormat/>
    <w:rsid w:val="00EC2D96"/>
    <w:pPr>
      <w:spacing w:before="480" w:after="120" w:line="240" w:lineRule="auto"/>
      <w:contextualSpacing/>
    </w:pPr>
    <w:rPr>
      <w:rFonts w:eastAsiaTheme="majorEastAsia" w:cstheme="majorBidi"/>
      <w:color w:val="3F4A75"/>
      <w:kern w:val="28"/>
      <w:sz w:val="48"/>
      <w:szCs w:val="52"/>
    </w:rPr>
  </w:style>
  <w:style w:type="character" w:customStyle="1" w:styleId="TitleChar">
    <w:name w:val="Title Char"/>
    <w:basedOn w:val="DefaultParagraphFont"/>
    <w:link w:val="Title"/>
    <w:uiPriority w:val="10"/>
    <w:rsid w:val="00EC2D96"/>
    <w:rPr>
      <w:rFonts w:ascii="Arial" w:eastAsiaTheme="majorEastAsia" w:hAnsi="Arial" w:cstheme="majorBidi"/>
      <w:color w:val="3F4A75"/>
      <w:kern w:val="28"/>
      <w:sz w:val="48"/>
      <w:szCs w:val="52"/>
    </w:rPr>
  </w:style>
  <w:style w:type="character" w:styleId="Mention">
    <w:name w:val="Mention"/>
    <w:basedOn w:val="DefaultParagraphFont"/>
    <w:uiPriority w:val="99"/>
    <w:unhideWhenUsed/>
    <w:rsid w:val="00197BFF"/>
    <w:rPr>
      <w:color w:val="2B579A"/>
      <w:shd w:val="clear" w:color="auto" w:fill="E1DFDD"/>
    </w:rPr>
  </w:style>
  <w:style w:type="paragraph" w:customStyle="1" w:styleId="TableTextstrong">
    <w:name w:val="Table Text (strong)"/>
    <w:basedOn w:val="Normal"/>
    <w:link w:val="TableTextstrongChar"/>
    <w:qFormat/>
    <w:rsid w:val="00BD1664"/>
    <w:pPr>
      <w:spacing w:after="0" w:line="240" w:lineRule="auto"/>
      <w:jc w:val="center"/>
    </w:pPr>
    <w:rPr>
      <w:rFonts w:cs="Times New Roman"/>
      <w:b/>
      <w:szCs w:val="24"/>
    </w:rPr>
  </w:style>
  <w:style w:type="character" w:customStyle="1" w:styleId="TableTextstrongChar">
    <w:name w:val="Table Text (strong) Char"/>
    <w:basedOn w:val="DefaultParagraphFont"/>
    <w:link w:val="TableTextstrong"/>
    <w:rsid w:val="00BD1664"/>
    <w:rPr>
      <w:rFonts w:ascii="Arial" w:hAnsi="Arial" w:cs="Times New Roman"/>
      <w:b/>
      <w:sz w:val="20"/>
      <w:szCs w:val="24"/>
    </w:rPr>
  </w:style>
  <w:style w:type="paragraph" w:styleId="Subtitle">
    <w:name w:val="Subtitle"/>
    <w:basedOn w:val="Normal"/>
    <w:next w:val="Normal"/>
    <w:link w:val="SubtitleChar"/>
    <w:uiPriority w:val="11"/>
    <w:qFormat/>
    <w:rsid w:val="00D26D79"/>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26D79"/>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65384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65384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65384B"/>
    <w:rPr>
      <w:rFonts w:asciiTheme="majorHAnsi" w:eastAsiaTheme="majorEastAsia" w:hAnsiTheme="majorHAnsi" w:cstheme="majorBidi"/>
      <w:i/>
      <w:iCs/>
      <w:color w:val="1F3763" w:themeColor="accent1" w:themeShade="7F"/>
      <w:sz w:val="24"/>
      <w:szCs w:val="24"/>
    </w:rPr>
  </w:style>
  <w:style w:type="paragraph" w:customStyle="1" w:styleId="Keyactivity">
    <w:name w:val="Key activity"/>
    <w:basedOn w:val="Normal"/>
    <w:link w:val="KeyactivityChar"/>
    <w:qFormat/>
    <w:rsid w:val="00D97A12"/>
    <w:pPr>
      <w:pBdr>
        <w:top w:val="single" w:sz="18" w:space="1" w:color="009999"/>
        <w:bottom w:val="single" w:sz="18" w:space="1" w:color="009999"/>
      </w:pBdr>
      <w:spacing w:before="160"/>
    </w:pPr>
  </w:style>
  <w:style w:type="character" w:customStyle="1" w:styleId="KeyactivityChar">
    <w:name w:val="Key activity Char"/>
    <w:basedOn w:val="DefaultParagraphFont"/>
    <w:link w:val="Keyactivity"/>
    <w:rsid w:val="00D97A12"/>
    <w:rPr>
      <w:rFonts w:ascii="Arial" w:hAnsi="Arial"/>
      <w:sz w:val="20"/>
    </w:rPr>
  </w:style>
  <w:style w:type="paragraph" w:styleId="ListNumber3">
    <w:name w:val="List Number 3"/>
    <w:basedOn w:val="Normal"/>
    <w:uiPriority w:val="99"/>
    <w:unhideWhenUsed/>
    <w:rsid w:val="001A6DDD"/>
    <w:pPr>
      <w:numPr>
        <w:numId w:val="214"/>
      </w:numPr>
      <w:ind w:left="527" w:hanging="357"/>
    </w:pPr>
  </w:style>
  <w:style w:type="paragraph" w:styleId="ListNumber4">
    <w:name w:val="List Number 4"/>
    <w:basedOn w:val="Normal"/>
    <w:uiPriority w:val="99"/>
    <w:unhideWhenUsed/>
    <w:rsid w:val="00483151"/>
    <w:pPr>
      <w:numPr>
        <w:numId w:val="221"/>
      </w:numPr>
      <w:ind w:left="641" w:hanging="357"/>
      <w:contextualSpacing/>
    </w:pPr>
  </w:style>
  <w:style w:type="paragraph" w:styleId="ListNumber5">
    <w:name w:val="List Number 5"/>
    <w:basedOn w:val="Normal"/>
    <w:uiPriority w:val="99"/>
    <w:unhideWhenUsed/>
    <w:rsid w:val="00483151"/>
    <w:pPr>
      <w:numPr>
        <w:numId w:val="222"/>
      </w:numPr>
      <w:contextualSpacing/>
    </w:pPr>
  </w:style>
  <w:style w:type="character" w:styleId="IntenseEmphasis">
    <w:name w:val="Intense Emphasis"/>
    <w:basedOn w:val="DefaultParagraphFont"/>
    <w:uiPriority w:val="21"/>
    <w:qFormat/>
    <w:rsid w:val="0065384B"/>
    <w:rPr>
      <w:i/>
      <w:iCs/>
      <w:color w:val="4472C4" w:themeColor="accent1"/>
    </w:rPr>
  </w:style>
  <w:style w:type="character" w:styleId="BookTitle">
    <w:name w:val="Book Title"/>
    <w:basedOn w:val="DefaultParagraphFont"/>
    <w:uiPriority w:val="33"/>
    <w:qFormat/>
    <w:rsid w:val="0065384B"/>
    <w:rPr>
      <w:b/>
      <w:bCs/>
      <w:i/>
      <w:iCs/>
      <w:spacing w:val="5"/>
    </w:rPr>
  </w:style>
  <w:style w:type="table" w:styleId="TableGridLight">
    <w:name w:val="Grid Table Light"/>
    <w:basedOn w:val="TableNormal"/>
    <w:uiPriority w:val="40"/>
    <w:rsid w:val="00F13D9A"/>
    <w:pPr>
      <w:spacing w:after="0" w:line="240" w:lineRule="auto"/>
    </w:pPr>
    <w:rPr>
      <w:rFonts w:ascii="Arial"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tblPr/>
      <w:tcPr>
        <w:shd w:val="clear" w:color="auto" w:fill="D9D9D9" w:themeFill="background1" w:themeFillShade="D9"/>
      </w:tcPr>
    </w:tblStylePr>
    <w:tblStylePr w:type="lastRow">
      <w:pPr>
        <w:jc w:val="center"/>
      </w:pPr>
    </w:tblStylePr>
    <w:tblStylePr w:type="firstCol">
      <w:rPr>
        <w:rFonts w:ascii="Arial" w:hAnsi="Arial"/>
        <w:b/>
        <w:sz w:val="20"/>
      </w:rPr>
      <w:tblPr/>
      <w:tcPr>
        <w:shd w:val="clear" w:color="auto" w:fill="D9D9D9" w:themeFill="background1" w:themeFillShade="D9"/>
      </w:tcPr>
    </w:tblStylePr>
  </w:style>
  <w:style w:type="paragraph" w:styleId="NormalWeb">
    <w:name w:val="Normal (Web)"/>
    <w:basedOn w:val="Normal"/>
    <w:uiPriority w:val="99"/>
    <w:unhideWhenUsed/>
    <w:rsid w:val="0065384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iontext">
    <w:name w:val="Caption text"/>
    <w:basedOn w:val="Normal"/>
    <w:uiPriority w:val="40"/>
    <w:rsid w:val="00BB4FE7"/>
    <w:pPr>
      <w:spacing w:before="240" w:after="40" w:line="240" w:lineRule="auto"/>
    </w:pPr>
    <w:rPr>
      <w:rFonts w:ascii="Malgun Gothic" w:eastAsia="Times New Roman" w:hAnsi="Malgun Gothic" w:cs="Times New Roman"/>
      <w:bCs/>
      <w:i/>
      <w:sz w:val="16"/>
      <w:szCs w:val="18"/>
    </w:rPr>
  </w:style>
  <w:style w:type="paragraph" w:customStyle="1" w:styleId="Sourcetext">
    <w:name w:val="Source text"/>
    <w:basedOn w:val="Normal"/>
    <w:next w:val="Normal"/>
    <w:uiPriority w:val="41"/>
    <w:qFormat/>
    <w:rsid w:val="00BB4FE7"/>
    <w:pPr>
      <w:spacing w:before="40" w:after="240" w:line="240" w:lineRule="auto"/>
    </w:pPr>
    <w:rPr>
      <w:rFonts w:ascii="Malgun Gothic" w:eastAsia="Times New Roman" w:hAnsi="Malgun Gothic" w:cs="Times New Roman"/>
      <w:bCs/>
      <w:i/>
      <w:color w:val="5B9BD5" w:themeColor="accent5"/>
      <w:sz w:val="16"/>
      <w:szCs w:val="18"/>
    </w:rPr>
  </w:style>
  <w:style w:type="character" w:customStyle="1" w:styleId="eop">
    <w:name w:val="eop"/>
    <w:basedOn w:val="DefaultParagraphFont"/>
    <w:rsid w:val="0065384B"/>
  </w:style>
  <w:style w:type="character" w:styleId="FollowedHyperlink">
    <w:name w:val="FollowedHyperlink"/>
    <w:basedOn w:val="DefaultParagraphFont"/>
    <w:uiPriority w:val="99"/>
    <w:semiHidden/>
    <w:unhideWhenUsed/>
    <w:rsid w:val="00590011"/>
    <w:rPr>
      <w:color w:val="954F72" w:themeColor="followedHyperlink"/>
      <w:u w:val="single"/>
    </w:rPr>
  </w:style>
  <w:style w:type="paragraph" w:styleId="EndnoteText">
    <w:name w:val="endnote text"/>
    <w:basedOn w:val="Normal"/>
    <w:link w:val="EndnoteTextChar"/>
    <w:uiPriority w:val="99"/>
    <w:semiHidden/>
    <w:unhideWhenUsed/>
    <w:rsid w:val="00DE4841"/>
    <w:pPr>
      <w:spacing w:after="0" w:line="240" w:lineRule="auto"/>
    </w:pPr>
    <w:rPr>
      <w:szCs w:val="20"/>
    </w:rPr>
  </w:style>
  <w:style w:type="character" w:customStyle="1" w:styleId="EndnoteTextChar">
    <w:name w:val="Endnote Text Char"/>
    <w:basedOn w:val="DefaultParagraphFont"/>
    <w:link w:val="EndnoteText"/>
    <w:uiPriority w:val="99"/>
    <w:semiHidden/>
    <w:rsid w:val="00DE4841"/>
    <w:rPr>
      <w:sz w:val="20"/>
      <w:szCs w:val="20"/>
    </w:rPr>
  </w:style>
  <w:style w:type="character" w:styleId="EndnoteReference">
    <w:name w:val="endnote reference"/>
    <w:basedOn w:val="DefaultParagraphFont"/>
    <w:uiPriority w:val="99"/>
    <w:semiHidden/>
    <w:unhideWhenUsed/>
    <w:rsid w:val="00DE4841"/>
    <w:rPr>
      <w:vertAlign w:val="superscript"/>
    </w:rPr>
  </w:style>
  <w:style w:type="paragraph" w:styleId="ListBullet">
    <w:name w:val="List Bullet"/>
    <w:basedOn w:val="Normal"/>
    <w:uiPriority w:val="99"/>
    <w:unhideWhenUsed/>
    <w:rsid w:val="001A6DDD"/>
    <w:pPr>
      <w:numPr>
        <w:numId w:val="170"/>
      </w:numPr>
      <w:tabs>
        <w:tab w:val="clear" w:pos="360"/>
      </w:tabs>
      <w:ind w:left="52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389">
      <w:bodyDiv w:val="1"/>
      <w:marLeft w:val="0"/>
      <w:marRight w:val="0"/>
      <w:marTop w:val="0"/>
      <w:marBottom w:val="0"/>
      <w:divBdr>
        <w:top w:val="none" w:sz="0" w:space="0" w:color="auto"/>
        <w:left w:val="none" w:sz="0" w:space="0" w:color="auto"/>
        <w:bottom w:val="none" w:sz="0" w:space="0" w:color="auto"/>
        <w:right w:val="none" w:sz="0" w:space="0" w:color="auto"/>
      </w:divBdr>
    </w:div>
    <w:div w:id="40635477">
      <w:bodyDiv w:val="1"/>
      <w:marLeft w:val="0"/>
      <w:marRight w:val="0"/>
      <w:marTop w:val="0"/>
      <w:marBottom w:val="0"/>
      <w:divBdr>
        <w:top w:val="none" w:sz="0" w:space="0" w:color="auto"/>
        <w:left w:val="none" w:sz="0" w:space="0" w:color="auto"/>
        <w:bottom w:val="none" w:sz="0" w:space="0" w:color="auto"/>
        <w:right w:val="none" w:sz="0" w:space="0" w:color="auto"/>
      </w:divBdr>
    </w:div>
    <w:div w:id="228855303">
      <w:bodyDiv w:val="1"/>
      <w:marLeft w:val="0"/>
      <w:marRight w:val="0"/>
      <w:marTop w:val="0"/>
      <w:marBottom w:val="0"/>
      <w:divBdr>
        <w:top w:val="none" w:sz="0" w:space="0" w:color="auto"/>
        <w:left w:val="none" w:sz="0" w:space="0" w:color="auto"/>
        <w:bottom w:val="none" w:sz="0" w:space="0" w:color="auto"/>
        <w:right w:val="none" w:sz="0" w:space="0" w:color="auto"/>
      </w:divBdr>
    </w:div>
    <w:div w:id="424618017">
      <w:bodyDiv w:val="1"/>
      <w:marLeft w:val="0"/>
      <w:marRight w:val="0"/>
      <w:marTop w:val="0"/>
      <w:marBottom w:val="0"/>
      <w:divBdr>
        <w:top w:val="none" w:sz="0" w:space="0" w:color="auto"/>
        <w:left w:val="none" w:sz="0" w:space="0" w:color="auto"/>
        <w:bottom w:val="none" w:sz="0" w:space="0" w:color="auto"/>
        <w:right w:val="none" w:sz="0" w:space="0" w:color="auto"/>
      </w:divBdr>
    </w:div>
    <w:div w:id="428433456">
      <w:bodyDiv w:val="1"/>
      <w:marLeft w:val="0"/>
      <w:marRight w:val="0"/>
      <w:marTop w:val="0"/>
      <w:marBottom w:val="0"/>
      <w:divBdr>
        <w:top w:val="none" w:sz="0" w:space="0" w:color="auto"/>
        <w:left w:val="none" w:sz="0" w:space="0" w:color="auto"/>
        <w:bottom w:val="none" w:sz="0" w:space="0" w:color="auto"/>
        <w:right w:val="none" w:sz="0" w:space="0" w:color="auto"/>
      </w:divBdr>
    </w:div>
    <w:div w:id="428697767">
      <w:bodyDiv w:val="1"/>
      <w:marLeft w:val="0"/>
      <w:marRight w:val="0"/>
      <w:marTop w:val="0"/>
      <w:marBottom w:val="0"/>
      <w:divBdr>
        <w:top w:val="none" w:sz="0" w:space="0" w:color="auto"/>
        <w:left w:val="none" w:sz="0" w:space="0" w:color="auto"/>
        <w:bottom w:val="none" w:sz="0" w:space="0" w:color="auto"/>
        <w:right w:val="none" w:sz="0" w:space="0" w:color="auto"/>
      </w:divBdr>
    </w:div>
    <w:div w:id="435097048">
      <w:bodyDiv w:val="1"/>
      <w:marLeft w:val="0"/>
      <w:marRight w:val="0"/>
      <w:marTop w:val="0"/>
      <w:marBottom w:val="0"/>
      <w:divBdr>
        <w:top w:val="none" w:sz="0" w:space="0" w:color="auto"/>
        <w:left w:val="none" w:sz="0" w:space="0" w:color="auto"/>
        <w:bottom w:val="none" w:sz="0" w:space="0" w:color="auto"/>
        <w:right w:val="none" w:sz="0" w:space="0" w:color="auto"/>
      </w:divBdr>
    </w:div>
    <w:div w:id="473838248">
      <w:bodyDiv w:val="1"/>
      <w:marLeft w:val="0"/>
      <w:marRight w:val="0"/>
      <w:marTop w:val="0"/>
      <w:marBottom w:val="0"/>
      <w:divBdr>
        <w:top w:val="none" w:sz="0" w:space="0" w:color="auto"/>
        <w:left w:val="none" w:sz="0" w:space="0" w:color="auto"/>
        <w:bottom w:val="none" w:sz="0" w:space="0" w:color="auto"/>
        <w:right w:val="none" w:sz="0" w:space="0" w:color="auto"/>
      </w:divBdr>
    </w:div>
    <w:div w:id="474033424">
      <w:bodyDiv w:val="1"/>
      <w:marLeft w:val="0"/>
      <w:marRight w:val="0"/>
      <w:marTop w:val="0"/>
      <w:marBottom w:val="0"/>
      <w:divBdr>
        <w:top w:val="none" w:sz="0" w:space="0" w:color="auto"/>
        <w:left w:val="none" w:sz="0" w:space="0" w:color="auto"/>
        <w:bottom w:val="none" w:sz="0" w:space="0" w:color="auto"/>
        <w:right w:val="none" w:sz="0" w:space="0" w:color="auto"/>
      </w:divBdr>
    </w:div>
    <w:div w:id="532304295">
      <w:bodyDiv w:val="1"/>
      <w:marLeft w:val="0"/>
      <w:marRight w:val="0"/>
      <w:marTop w:val="0"/>
      <w:marBottom w:val="0"/>
      <w:divBdr>
        <w:top w:val="none" w:sz="0" w:space="0" w:color="auto"/>
        <w:left w:val="none" w:sz="0" w:space="0" w:color="auto"/>
        <w:bottom w:val="none" w:sz="0" w:space="0" w:color="auto"/>
        <w:right w:val="none" w:sz="0" w:space="0" w:color="auto"/>
      </w:divBdr>
    </w:div>
    <w:div w:id="537594681">
      <w:bodyDiv w:val="1"/>
      <w:marLeft w:val="0"/>
      <w:marRight w:val="0"/>
      <w:marTop w:val="0"/>
      <w:marBottom w:val="0"/>
      <w:divBdr>
        <w:top w:val="none" w:sz="0" w:space="0" w:color="auto"/>
        <w:left w:val="none" w:sz="0" w:space="0" w:color="auto"/>
        <w:bottom w:val="none" w:sz="0" w:space="0" w:color="auto"/>
        <w:right w:val="none" w:sz="0" w:space="0" w:color="auto"/>
      </w:divBdr>
    </w:div>
    <w:div w:id="573315471">
      <w:bodyDiv w:val="1"/>
      <w:marLeft w:val="0"/>
      <w:marRight w:val="0"/>
      <w:marTop w:val="0"/>
      <w:marBottom w:val="0"/>
      <w:divBdr>
        <w:top w:val="none" w:sz="0" w:space="0" w:color="auto"/>
        <w:left w:val="none" w:sz="0" w:space="0" w:color="auto"/>
        <w:bottom w:val="none" w:sz="0" w:space="0" w:color="auto"/>
        <w:right w:val="none" w:sz="0" w:space="0" w:color="auto"/>
      </w:divBdr>
    </w:div>
    <w:div w:id="613705973">
      <w:bodyDiv w:val="1"/>
      <w:marLeft w:val="0"/>
      <w:marRight w:val="0"/>
      <w:marTop w:val="0"/>
      <w:marBottom w:val="0"/>
      <w:divBdr>
        <w:top w:val="none" w:sz="0" w:space="0" w:color="auto"/>
        <w:left w:val="none" w:sz="0" w:space="0" w:color="auto"/>
        <w:bottom w:val="none" w:sz="0" w:space="0" w:color="auto"/>
        <w:right w:val="none" w:sz="0" w:space="0" w:color="auto"/>
      </w:divBdr>
    </w:div>
    <w:div w:id="660162321">
      <w:bodyDiv w:val="1"/>
      <w:marLeft w:val="0"/>
      <w:marRight w:val="0"/>
      <w:marTop w:val="0"/>
      <w:marBottom w:val="0"/>
      <w:divBdr>
        <w:top w:val="none" w:sz="0" w:space="0" w:color="auto"/>
        <w:left w:val="none" w:sz="0" w:space="0" w:color="auto"/>
        <w:bottom w:val="none" w:sz="0" w:space="0" w:color="auto"/>
        <w:right w:val="none" w:sz="0" w:space="0" w:color="auto"/>
      </w:divBdr>
    </w:div>
    <w:div w:id="670839959">
      <w:bodyDiv w:val="1"/>
      <w:marLeft w:val="0"/>
      <w:marRight w:val="0"/>
      <w:marTop w:val="0"/>
      <w:marBottom w:val="0"/>
      <w:divBdr>
        <w:top w:val="none" w:sz="0" w:space="0" w:color="auto"/>
        <w:left w:val="none" w:sz="0" w:space="0" w:color="auto"/>
        <w:bottom w:val="none" w:sz="0" w:space="0" w:color="auto"/>
        <w:right w:val="none" w:sz="0" w:space="0" w:color="auto"/>
      </w:divBdr>
    </w:div>
    <w:div w:id="680665971">
      <w:bodyDiv w:val="1"/>
      <w:marLeft w:val="0"/>
      <w:marRight w:val="0"/>
      <w:marTop w:val="0"/>
      <w:marBottom w:val="0"/>
      <w:divBdr>
        <w:top w:val="none" w:sz="0" w:space="0" w:color="auto"/>
        <w:left w:val="none" w:sz="0" w:space="0" w:color="auto"/>
        <w:bottom w:val="none" w:sz="0" w:space="0" w:color="auto"/>
        <w:right w:val="none" w:sz="0" w:space="0" w:color="auto"/>
      </w:divBdr>
    </w:div>
    <w:div w:id="771559898">
      <w:bodyDiv w:val="1"/>
      <w:marLeft w:val="0"/>
      <w:marRight w:val="0"/>
      <w:marTop w:val="0"/>
      <w:marBottom w:val="0"/>
      <w:divBdr>
        <w:top w:val="none" w:sz="0" w:space="0" w:color="auto"/>
        <w:left w:val="none" w:sz="0" w:space="0" w:color="auto"/>
        <w:bottom w:val="none" w:sz="0" w:space="0" w:color="auto"/>
        <w:right w:val="none" w:sz="0" w:space="0" w:color="auto"/>
      </w:divBdr>
    </w:div>
    <w:div w:id="799883820">
      <w:bodyDiv w:val="1"/>
      <w:marLeft w:val="0"/>
      <w:marRight w:val="0"/>
      <w:marTop w:val="0"/>
      <w:marBottom w:val="0"/>
      <w:divBdr>
        <w:top w:val="none" w:sz="0" w:space="0" w:color="auto"/>
        <w:left w:val="none" w:sz="0" w:space="0" w:color="auto"/>
        <w:bottom w:val="none" w:sz="0" w:space="0" w:color="auto"/>
        <w:right w:val="none" w:sz="0" w:space="0" w:color="auto"/>
      </w:divBdr>
    </w:div>
    <w:div w:id="911743082">
      <w:bodyDiv w:val="1"/>
      <w:marLeft w:val="0"/>
      <w:marRight w:val="0"/>
      <w:marTop w:val="0"/>
      <w:marBottom w:val="0"/>
      <w:divBdr>
        <w:top w:val="none" w:sz="0" w:space="0" w:color="auto"/>
        <w:left w:val="none" w:sz="0" w:space="0" w:color="auto"/>
        <w:bottom w:val="none" w:sz="0" w:space="0" w:color="auto"/>
        <w:right w:val="none" w:sz="0" w:space="0" w:color="auto"/>
      </w:divBdr>
    </w:div>
    <w:div w:id="965543839">
      <w:bodyDiv w:val="1"/>
      <w:marLeft w:val="0"/>
      <w:marRight w:val="0"/>
      <w:marTop w:val="0"/>
      <w:marBottom w:val="0"/>
      <w:divBdr>
        <w:top w:val="none" w:sz="0" w:space="0" w:color="auto"/>
        <w:left w:val="none" w:sz="0" w:space="0" w:color="auto"/>
        <w:bottom w:val="none" w:sz="0" w:space="0" w:color="auto"/>
        <w:right w:val="none" w:sz="0" w:space="0" w:color="auto"/>
      </w:divBdr>
    </w:div>
    <w:div w:id="973946017">
      <w:bodyDiv w:val="1"/>
      <w:marLeft w:val="0"/>
      <w:marRight w:val="0"/>
      <w:marTop w:val="0"/>
      <w:marBottom w:val="0"/>
      <w:divBdr>
        <w:top w:val="none" w:sz="0" w:space="0" w:color="auto"/>
        <w:left w:val="none" w:sz="0" w:space="0" w:color="auto"/>
        <w:bottom w:val="none" w:sz="0" w:space="0" w:color="auto"/>
        <w:right w:val="none" w:sz="0" w:space="0" w:color="auto"/>
      </w:divBdr>
    </w:div>
    <w:div w:id="1122505571">
      <w:bodyDiv w:val="1"/>
      <w:marLeft w:val="0"/>
      <w:marRight w:val="0"/>
      <w:marTop w:val="0"/>
      <w:marBottom w:val="0"/>
      <w:divBdr>
        <w:top w:val="none" w:sz="0" w:space="0" w:color="auto"/>
        <w:left w:val="none" w:sz="0" w:space="0" w:color="auto"/>
        <w:bottom w:val="none" w:sz="0" w:space="0" w:color="auto"/>
        <w:right w:val="none" w:sz="0" w:space="0" w:color="auto"/>
      </w:divBdr>
    </w:div>
    <w:div w:id="1131944602">
      <w:bodyDiv w:val="1"/>
      <w:marLeft w:val="0"/>
      <w:marRight w:val="0"/>
      <w:marTop w:val="0"/>
      <w:marBottom w:val="0"/>
      <w:divBdr>
        <w:top w:val="none" w:sz="0" w:space="0" w:color="auto"/>
        <w:left w:val="none" w:sz="0" w:space="0" w:color="auto"/>
        <w:bottom w:val="none" w:sz="0" w:space="0" w:color="auto"/>
        <w:right w:val="none" w:sz="0" w:space="0" w:color="auto"/>
      </w:divBdr>
    </w:div>
    <w:div w:id="1197040458">
      <w:bodyDiv w:val="1"/>
      <w:marLeft w:val="0"/>
      <w:marRight w:val="0"/>
      <w:marTop w:val="0"/>
      <w:marBottom w:val="0"/>
      <w:divBdr>
        <w:top w:val="none" w:sz="0" w:space="0" w:color="auto"/>
        <w:left w:val="none" w:sz="0" w:space="0" w:color="auto"/>
        <w:bottom w:val="none" w:sz="0" w:space="0" w:color="auto"/>
        <w:right w:val="none" w:sz="0" w:space="0" w:color="auto"/>
      </w:divBdr>
    </w:div>
    <w:div w:id="1216770870">
      <w:bodyDiv w:val="1"/>
      <w:marLeft w:val="0"/>
      <w:marRight w:val="0"/>
      <w:marTop w:val="0"/>
      <w:marBottom w:val="0"/>
      <w:divBdr>
        <w:top w:val="none" w:sz="0" w:space="0" w:color="auto"/>
        <w:left w:val="none" w:sz="0" w:space="0" w:color="auto"/>
        <w:bottom w:val="none" w:sz="0" w:space="0" w:color="auto"/>
        <w:right w:val="none" w:sz="0" w:space="0" w:color="auto"/>
      </w:divBdr>
    </w:div>
    <w:div w:id="1220097660">
      <w:bodyDiv w:val="1"/>
      <w:marLeft w:val="0"/>
      <w:marRight w:val="0"/>
      <w:marTop w:val="0"/>
      <w:marBottom w:val="0"/>
      <w:divBdr>
        <w:top w:val="none" w:sz="0" w:space="0" w:color="auto"/>
        <w:left w:val="none" w:sz="0" w:space="0" w:color="auto"/>
        <w:bottom w:val="none" w:sz="0" w:space="0" w:color="auto"/>
        <w:right w:val="none" w:sz="0" w:space="0" w:color="auto"/>
      </w:divBdr>
    </w:div>
    <w:div w:id="1234974290">
      <w:bodyDiv w:val="1"/>
      <w:marLeft w:val="0"/>
      <w:marRight w:val="0"/>
      <w:marTop w:val="0"/>
      <w:marBottom w:val="0"/>
      <w:divBdr>
        <w:top w:val="none" w:sz="0" w:space="0" w:color="auto"/>
        <w:left w:val="none" w:sz="0" w:space="0" w:color="auto"/>
        <w:bottom w:val="none" w:sz="0" w:space="0" w:color="auto"/>
        <w:right w:val="none" w:sz="0" w:space="0" w:color="auto"/>
      </w:divBdr>
    </w:div>
    <w:div w:id="1249464450">
      <w:bodyDiv w:val="1"/>
      <w:marLeft w:val="0"/>
      <w:marRight w:val="0"/>
      <w:marTop w:val="0"/>
      <w:marBottom w:val="0"/>
      <w:divBdr>
        <w:top w:val="none" w:sz="0" w:space="0" w:color="auto"/>
        <w:left w:val="none" w:sz="0" w:space="0" w:color="auto"/>
        <w:bottom w:val="none" w:sz="0" w:space="0" w:color="auto"/>
        <w:right w:val="none" w:sz="0" w:space="0" w:color="auto"/>
      </w:divBdr>
    </w:div>
    <w:div w:id="1268268519">
      <w:bodyDiv w:val="1"/>
      <w:marLeft w:val="0"/>
      <w:marRight w:val="0"/>
      <w:marTop w:val="0"/>
      <w:marBottom w:val="0"/>
      <w:divBdr>
        <w:top w:val="none" w:sz="0" w:space="0" w:color="auto"/>
        <w:left w:val="none" w:sz="0" w:space="0" w:color="auto"/>
        <w:bottom w:val="none" w:sz="0" w:space="0" w:color="auto"/>
        <w:right w:val="none" w:sz="0" w:space="0" w:color="auto"/>
      </w:divBdr>
    </w:div>
    <w:div w:id="1383672199">
      <w:bodyDiv w:val="1"/>
      <w:marLeft w:val="0"/>
      <w:marRight w:val="0"/>
      <w:marTop w:val="0"/>
      <w:marBottom w:val="0"/>
      <w:divBdr>
        <w:top w:val="none" w:sz="0" w:space="0" w:color="auto"/>
        <w:left w:val="none" w:sz="0" w:space="0" w:color="auto"/>
        <w:bottom w:val="none" w:sz="0" w:space="0" w:color="auto"/>
        <w:right w:val="none" w:sz="0" w:space="0" w:color="auto"/>
      </w:divBdr>
    </w:div>
    <w:div w:id="1416393956">
      <w:bodyDiv w:val="1"/>
      <w:marLeft w:val="0"/>
      <w:marRight w:val="0"/>
      <w:marTop w:val="0"/>
      <w:marBottom w:val="0"/>
      <w:divBdr>
        <w:top w:val="none" w:sz="0" w:space="0" w:color="auto"/>
        <w:left w:val="none" w:sz="0" w:space="0" w:color="auto"/>
        <w:bottom w:val="none" w:sz="0" w:space="0" w:color="auto"/>
        <w:right w:val="none" w:sz="0" w:space="0" w:color="auto"/>
      </w:divBdr>
    </w:div>
    <w:div w:id="1439450705">
      <w:bodyDiv w:val="1"/>
      <w:marLeft w:val="0"/>
      <w:marRight w:val="0"/>
      <w:marTop w:val="0"/>
      <w:marBottom w:val="0"/>
      <w:divBdr>
        <w:top w:val="none" w:sz="0" w:space="0" w:color="auto"/>
        <w:left w:val="none" w:sz="0" w:space="0" w:color="auto"/>
        <w:bottom w:val="none" w:sz="0" w:space="0" w:color="auto"/>
        <w:right w:val="none" w:sz="0" w:space="0" w:color="auto"/>
      </w:divBdr>
    </w:div>
    <w:div w:id="1442604569">
      <w:bodyDiv w:val="1"/>
      <w:marLeft w:val="0"/>
      <w:marRight w:val="0"/>
      <w:marTop w:val="0"/>
      <w:marBottom w:val="0"/>
      <w:divBdr>
        <w:top w:val="none" w:sz="0" w:space="0" w:color="auto"/>
        <w:left w:val="none" w:sz="0" w:space="0" w:color="auto"/>
        <w:bottom w:val="none" w:sz="0" w:space="0" w:color="auto"/>
        <w:right w:val="none" w:sz="0" w:space="0" w:color="auto"/>
      </w:divBdr>
    </w:div>
    <w:div w:id="1502113868">
      <w:bodyDiv w:val="1"/>
      <w:marLeft w:val="0"/>
      <w:marRight w:val="0"/>
      <w:marTop w:val="0"/>
      <w:marBottom w:val="0"/>
      <w:divBdr>
        <w:top w:val="none" w:sz="0" w:space="0" w:color="auto"/>
        <w:left w:val="none" w:sz="0" w:space="0" w:color="auto"/>
        <w:bottom w:val="none" w:sz="0" w:space="0" w:color="auto"/>
        <w:right w:val="none" w:sz="0" w:space="0" w:color="auto"/>
      </w:divBdr>
    </w:div>
    <w:div w:id="1613396360">
      <w:bodyDiv w:val="1"/>
      <w:marLeft w:val="0"/>
      <w:marRight w:val="0"/>
      <w:marTop w:val="0"/>
      <w:marBottom w:val="0"/>
      <w:divBdr>
        <w:top w:val="none" w:sz="0" w:space="0" w:color="auto"/>
        <w:left w:val="none" w:sz="0" w:space="0" w:color="auto"/>
        <w:bottom w:val="none" w:sz="0" w:space="0" w:color="auto"/>
        <w:right w:val="none" w:sz="0" w:space="0" w:color="auto"/>
      </w:divBdr>
    </w:div>
    <w:div w:id="1648169310">
      <w:bodyDiv w:val="1"/>
      <w:marLeft w:val="0"/>
      <w:marRight w:val="0"/>
      <w:marTop w:val="0"/>
      <w:marBottom w:val="0"/>
      <w:divBdr>
        <w:top w:val="none" w:sz="0" w:space="0" w:color="auto"/>
        <w:left w:val="none" w:sz="0" w:space="0" w:color="auto"/>
        <w:bottom w:val="none" w:sz="0" w:space="0" w:color="auto"/>
        <w:right w:val="none" w:sz="0" w:space="0" w:color="auto"/>
      </w:divBdr>
    </w:div>
    <w:div w:id="1685592065">
      <w:bodyDiv w:val="1"/>
      <w:marLeft w:val="0"/>
      <w:marRight w:val="0"/>
      <w:marTop w:val="0"/>
      <w:marBottom w:val="0"/>
      <w:divBdr>
        <w:top w:val="none" w:sz="0" w:space="0" w:color="auto"/>
        <w:left w:val="none" w:sz="0" w:space="0" w:color="auto"/>
        <w:bottom w:val="none" w:sz="0" w:space="0" w:color="auto"/>
        <w:right w:val="none" w:sz="0" w:space="0" w:color="auto"/>
      </w:divBdr>
    </w:div>
    <w:div w:id="1708605671">
      <w:bodyDiv w:val="1"/>
      <w:marLeft w:val="0"/>
      <w:marRight w:val="0"/>
      <w:marTop w:val="0"/>
      <w:marBottom w:val="0"/>
      <w:divBdr>
        <w:top w:val="none" w:sz="0" w:space="0" w:color="auto"/>
        <w:left w:val="none" w:sz="0" w:space="0" w:color="auto"/>
        <w:bottom w:val="none" w:sz="0" w:space="0" w:color="auto"/>
        <w:right w:val="none" w:sz="0" w:space="0" w:color="auto"/>
      </w:divBdr>
    </w:div>
    <w:div w:id="1809738543">
      <w:bodyDiv w:val="1"/>
      <w:marLeft w:val="0"/>
      <w:marRight w:val="0"/>
      <w:marTop w:val="0"/>
      <w:marBottom w:val="0"/>
      <w:divBdr>
        <w:top w:val="none" w:sz="0" w:space="0" w:color="auto"/>
        <w:left w:val="none" w:sz="0" w:space="0" w:color="auto"/>
        <w:bottom w:val="none" w:sz="0" w:space="0" w:color="auto"/>
        <w:right w:val="none" w:sz="0" w:space="0" w:color="auto"/>
      </w:divBdr>
    </w:div>
    <w:div w:id="1824198505">
      <w:bodyDiv w:val="1"/>
      <w:marLeft w:val="0"/>
      <w:marRight w:val="0"/>
      <w:marTop w:val="0"/>
      <w:marBottom w:val="0"/>
      <w:divBdr>
        <w:top w:val="none" w:sz="0" w:space="0" w:color="auto"/>
        <w:left w:val="none" w:sz="0" w:space="0" w:color="auto"/>
        <w:bottom w:val="none" w:sz="0" w:space="0" w:color="auto"/>
        <w:right w:val="none" w:sz="0" w:space="0" w:color="auto"/>
      </w:divBdr>
    </w:div>
    <w:div w:id="1838180790">
      <w:bodyDiv w:val="1"/>
      <w:marLeft w:val="0"/>
      <w:marRight w:val="0"/>
      <w:marTop w:val="0"/>
      <w:marBottom w:val="0"/>
      <w:divBdr>
        <w:top w:val="none" w:sz="0" w:space="0" w:color="auto"/>
        <w:left w:val="none" w:sz="0" w:space="0" w:color="auto"/>
        <w:bottom w:val="none" w:sz="0" w:space="0" w:color="auto"/>
        <w:right w:val="none" w:sz="0" w:space="0" w:color="auto"/>
      </w:divBdr>
    </w:div>
    <w:div w:id="1844667078">
      <w:bodyDiv w:val="1"/>
      <w:marLeft w:val="0"/>
      <w:marRight w:val="0"/>
      <w:marTop w:val="0"/>
      <w:marBottom w:val="0"/>
      <w:divBdr>
        <w:top w:val="none" w:sz="0" w:space="0" w:color="auto"/>
        <w:left w:val="none" w:sz="0" w:space="0" w:color="auto"/>
        <w:bottom w:val="none" w:sz="0" w:space="0" w:color="auto"/>
        <w:right w:val="none" w:sz="0" w:space="0" w:color="auto"/>
      </w:divBdr>
    </w:div>
    <w:div w:id="1860584241">
      <w:bodyDiv w:val="1"/>
      <w:marLeft w:val="0"/>
      <w:marRight w:val="0"/>
      <w:marTop w:val="0"/>
      <w:marBottom w:val="0"/>
      <w:divBdr>
        <w:top w:val="none" w:sz="0" w:space="0" w:color="auto"/>
        <w:left w:val="none" w:sz="0" w:space="0" w:color="auto"/>
        <w:bottom w:val="none" w:sz="0" w:space="0" w:color="auto"/>
        <w:right w:val="none" w:sz="0" w:space="0" w:color="auto"/>
      </w:divBdr>
    </w:div>
    <w:div w:id="1950241115">
      <w:bodyDiv w:val="1"/>
      <w:marLeft w:val="0"/>
      <w:marRight w:val="0"/>
      <w:marTop w:val="0"/>
      <w:marBottom w:val="0"/>
      <w:divBdr>
        <w:top w:val="none" w:sz="0" w:space="0" w:color="auto"/>
        <w:left w:val="none" w:sz="0" w:space="0" w:color="auto"/>
        <w:bottom w:val="none" w:sz="0" w:space="0" w:color="auto"/>
        <w:right w:val="none" w:sz="0" w:space="0" w:color="auto"/>
      </w:divBdr>
    </w:div>
    <w:div w:id="1966236539">
      <w:bodyDiv w:val="1"/>
      <w:marLeft w:val="0"/>
      <w:marRight w:val="0"/>
      <w:marTop w:val="0"/>
      <w:marBottom w:val="0"/>
      <w:divBdr>
        <w:top w:val="none" w:sz="0" w:space="0" w:color="auto"/>
        <w:left w:val="none" w:sz="0" w:space="0" w:color="auto"/>
        <w:bottom w:val="none" w:sz="0" w:space="0" w:color="auto"/>
        <w:right w:val="none" w:sz="0" w:space="0" w:color="auto"/>
      </w:divBdr>
    </w:div>
    <w:div w:id="2037080399">
      <w:bodyDiv w:val="1"/>
      <w:marLeft w:val="0"/>
      <w:marRight w:val="0"/>
      <w:marTop w:val="0"/>
      <w:marBottom w:val="0"/>
      <w:divBdr>
        <w:top w:val="none" w:sz="0" w:space="0" w:color="auto"/>
        <w:left w:val="none" w:sz="0" w:space="0" w:color="auto"/>
        <w:bottom w:val="none" w:sz="0" w:space="0" w:color="auto"/>
        <w:right w:val="none" w:sz="0" w:space="0" w:color="auto"/>
      </w:divBdr>
    </w:div>
    <w:div w:id="207153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gov.au/our-work/first-nations-health-funding-transition-program-fnhft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gov.sharepoint.com/:w:/r/sites/about-business/_layouts/15/Doc.aspx?sourcedoc=%7B9fa84a56-25cb-441c-842b-ac7f0d2e697f%7D&amp;action=default&amp;mobileredirect=true" TargetMode="External"/><Relationship Id="rId5" Type="http://schemas.openxmlformats.org/officeDocument/2006/relationships/webSettings" Target="webSettings.xml"/><Relationship Id="rId15" Type="http://schemas.openxmlformats.org/officeDocument/2006/relationships/hyperlink" Target="http://www.health.gov.au" TargetMode="External"/><Relationship Id="rId10" Type="http://schemas.openxmlformats.org/officeDocument/2006/relationships/hyperlink" Target="https://healthgov.sharepoint.com/:w:/r/sites/about-business/_layouts/15/Doc.aspx?sourcedoc=%7B4fd1ed81-540a-41b2-9ffb-3e4d29e66925%7D&amp;action=default&amp;mobileredirect=tr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dcceew.gov.au/sites/default/files/documents/climate-risk-management-organisation-applicationguide.pdf" TargetMode="External"/><Relationship Id="rId13" Type="http://schemas.openxmlformats.org/officeDocument/2006/relationships/hyperlink" Target="https://www.health.gov.au/sites/default/files/documents/2022/06/national-aboriginal-and-torres-strait-islander-health-plan-2021-2031.pdf" TargetMode="External"/><Relationship Id="rId18" Type="http://schemas.openxmlformats.org/officeDocument/2006/relationships/hyperlink" Target="https://www.health.gov.au/resources/collections/medical-indemnity-universal-cover-annual-reports?language=en" TargetMode="External"/><Relationship Id="rId26" Type="http://schemas.openxmlformats.org/officeDocument/2006/relationships/hyperlink" Target="http://www.sportaus.gov.au/media-centre/news/ascs-national-ausplay-survey-goes-online" TargetMode="External"/><Relationship Id="rId3" Type="http://schemas.openxmlformats.org/officeDocument/2006/relationships/hyperlink" Target="https://www.apsc.gov.au/publication/aps-strategic-commissioning-framework" TargetMode="External"/><Relationship Id="rId21" Type="http://schemas.openxmlformats.org/officeDocument/2006/relationships/hyperlink" Target="https://www.pbs.gov.au/info/industry/listing/elements/pbac-meetings" TargetMode="External"/><Relationship Id="rId7" Type="http://schemas.openxmlformats.org/officeDocument/2006/relationships/hyperlink" Target="https://www.apsc.gov.au/initiatives-and-programs/workforce-information/research-analysis-and-publications/state-service/state-service-report-2023/operating-context/aps-net-zero-commitment" TargetMode="External"/><Relationship Id="rId12" Type="http://schemas.openxmlformats.org/officeDocument/2006/relationships/hyperlink" Target="https://www.closingthegap.gov.au/national-agreement" TargetMode="External"/><Relationship Id="rId17" Type="http://schemas.openxmlformats.org/officeDocument/2006/relationships/hyperlink" Target="https://meteor.aihw.gov.au/content/740851" TargetMode="External"/><Relationship Id="rId25" Type="http://schemas.openxmlformats.org/officeDocument/2006/relationships/hyperlink" Target="http://www.clearinghouseforsport.gov.au/research/ausplay/results" TargetMode="External"/><Relationship Id="rId2" Type="http://schemas.openxmlformats.org/officeDocument/2006/relationships/hyperlink" Target="https://www.apsreform.gov.au/about-aps-reform" TargetMode="External"/><Relationship Id="rId16" Type="http://schemas.openxmlformats.org/officeDocument/2006/relationships/hyperlink" Target="https://www.health.gov.au/sites/default/files/documents/2022/03/national-obesity-strategy-2022-2032_0.pdf" TargetMode="External"/><Relationship Id="rId20" Type="http://schemas.openxmlformats.org/officeDocument/2006/relationships/hyperlink" Target="https://www.pbs.gov.au/medicinestatus/home.html" TargetMode="External"/><Relationship Id="rId1" Type="http://schemas.openxmlformats.org/officeDocument/2006/relationships/hyperlink" Target="https://www.iso.org/obp/ui" TargetMode="External"/><Relationship Id="rId6" Type="http://schemas.openxmlformats.org/officeDocument/2006/relationships/hyperlink" Target="https://www.health.gov.au/our-work/first-nations-health-funding-transition-program-fnhftp" TargetMode="External"/><Relationship Id="rId11" Type="http://schemas.openxmlformats.org/officeDocument/2006/relationships/hyperlink" Target="https://www.anao.gov.au/work/performance-statements-audit/audits-of-the-annual-performance-statements-ofaustralian-government-entities-2022-23" TargetMode="External"/><Relationship Id="rId24" Type="http://schemas.openxmlformats.org/officeDocument/2006/relationships/hyperlink" Target="https://www.health.gov.au/sites/default/files/2023-07/department-of-health-and-aged-care-data-strategy-2022-25.pdf" TargetMode="External"/><Relationship Id="rId5" Type="http://schemas.openxmlformats.org/officeDocument/2006/relationships/hyperlink" Target="https://www.closingthegap.gov.au/national-agreement/priority-reforms" TargetMode="External"/><Relationship Id="rId15" Type="http://schemas.openxmlformats.org/officeDocument/2006/relationships/hyperlink" Target="https://www.health.gov.au/sites/default/files/documents/2021/12/national-preventive-health-strategy-2021-2030_1.pdf" TargetMode="External"/><Relationship Id="rId23" Type="http://schemas.openxmlformats.org/officeDocument/2006/relationships/hyperlink" Target="https://www.royalcommission.gov.au/aged-care" TargetMode="External"/><Relationship Id="rId10" Type="http://schemas.openxmlformats.org/officeDocument/2006/relationships/hyperlink" Target="https://www.health.gov.au/resources/publications/national-health-and-climate-strategy?language=en" TargetMode="External"/><Relationship Id="rId19" Type="http://schemas.openxmlformats.org/officeDocument/2006/relationships/hyperlink" Target="https://www.legislation.gov.au/Details/F2023N00172" TargetMode="External"/><Relationship Id="rId4" Type="http://schemas.openxmlformats.org/officeDocument/2006/relationships/hyperlink" Target="https://www.apsc.gov.au/initiatives-and-programs/aps-workforce-strategy-2025" TargetMode="External"/><Relationship Id="rId9" Type="http://schemas.openxmlformats.org/officeDocument/2006/relationships/hyperlink" Target="https://www.dcceew.gov.au/sites/default/files/documents/climate-risk-management.pdf" TargetMode="External"/><Relationship Id="rId14" Type="http://schemas.openxmlformats.org/officeDocument/2006/relationships/hyperlink" Target="https://www.health.gov.au/sites/default/files/2023-11/national-strategy-for-the-elimination-of-cervical-cancer-in-australia.pdf" TargetMode="External"/><Relationship Id="rId22" Type="http://schemas.openxmlformats.org/officeDocument/2006/relationships/hyperlink" Target="https://www.myagedcare.gov.au/" TargetMode="External"/><Relationship Id="rId27" Type="http://schemas.openxmlformats.org/officeDocument/2006/relationships/hyperlink" Target="http://www.clearinghouseforsport.gov.au/research/ausplay/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7B3D-F048-4B15-B344-22122FC9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22823</Words>
  <Characters>133291</Characters>
  <Application>Microsoft Office Word</Application>
  <DocSecurity>0</DocSecurity>
  <Lines>4039</Lines>
  <Paragraphs>1976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2024–25</dc:title>
  <dc:subject>About the department</dc:subject>
  <dc:creator>Australian Government Department of Health and Aged Care</dc:creator>
  <cp:keywords/>
  <dc:description/>
  <cp:lastModifiedBy>MASCHKE, Elvia</cp:lastModifiedBy>
  <cp:revision>2</cp:revision>
  <dcterms:created xsi:type="dcterms:W3CDTF">2024-08-29T11:51:00Z</dcterms:created>
  <dcterms:modified xsi:type="dcterms:W3CDTF">2024-08-29T11:51:00Z</dcterms:modified>
</cp:coreProperties>
</file>