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7B007" w14:textId="5880C308" w:rsidR="00BA2732" w:rsidRPr="00D779CD" w:rsidRDefault="00A6495E" w:rsidP="000F62F8">
      <w:pPr>
        <w:pStyle w:val="Title"/>
        <w:spacing w:before="1080"/>
        <w:rPr>
          <w:sz w:val="44"/>
          <w:szCs w:val="44"/>
        </w:rPr>
      </w:pPr>
      <w:r w:rsidRPr="00D779CD">
        <w:rPr>
          <w:sz w:val="44"/>
          <w:szCs w:val="44"/>
        </w:rPr>
        <w:t>60</w:t>
      </w:r>
      <w:r w:rsidR="08C36F78" w:rsidRPr="00D779CD">
        <w:rPr>
          <w:sz w:val="44"/>
          <w:szCs w:val="44"/>
        </w:rPr>
        <w:t>-</w:t>
      </w:r>
      <w:r w:rsidR="00830E90">
        <w:rPr>
          <w:sz w:val="44"/>
          <w:szCs w:val="44"/>
        </w:rPr>
        <w:t>d</w:t>
      </w:r>
      <w:r w:rsidRPr="00D779CD">
        <w:rPr>
          <w:sz w:val="44"/>
          <w:szCs w:val="44"/>
        </w:rPr>
        <w:t xml:space="preserve">ay </w:t>
      </w:r>
      <w:r w:rsidR="00830E90">
        <w:rPr>
          <w:sz w:val="44"/>
          <w:szCs w:val="44"/>
        </w:rPr>
        <w:t>p</w:t>
      </w:r>
      <w:r w:rsidR="1A22AC9F" w:rsidRPr="00D779CD">
        <w:rPr>
          <w:sz w:val="44"/>
          <w:szCs w:val="44"/>
        </w:rPr>
        <w:t>rescriptions</w:t>
      </w:r>
      <w:r w:rsidR="007822E3" w:rsidRPr="00D779CD">
        <w:rPr>
          <w:sz w:val="44"/>
          <w:szCs w:val="44"/>
        </w:rPr>
        <w:t xml:space="preserve"> </w:t>
      </w:r>
      <w:r w:rsidRPr="00D779CD">
        <w:rPr>
          <w:sz w:val="44"/>
          <w:szCs w:val="44"/>
        </w:rPr>
        <w:t xml:space="preserve">in </w:t>
      </w:r>
      <w:r w:rsidR="00830E90">
        <w:rPr>
          <w:sz w:val="44"/>
          <w:szCs w:val="44"/>
        </w:rPr>
        <w:t>r</w:t>
      </w:r>
      <w:r w:rsidRPr="00D779CD">
        <w:rPr>
          <w:sz w:val="44"/>
          <w:szCs w:val="44"/>
        </w:rPr>
        <w:t xml:space="preserve">esidential </w:t>
      </w:r>
      <w:r w:rsidR="00830E90">
        <w:rPr>
          <w:sz w:val="44"/>
          <w:szCs w:val="44"/>
        </w:rPr>
        <w:t>a</w:t>
      </w:r>
      <w:r w:rsidRPr="00D779CD">
        <w:rPr>
          <w:sz w:val="44"/>
          <w:szCs w:val="44"/>
        </w:rPr>
        <w:t xml:space="preserve">ged </w:t>
      </w:r>
      <w:r w:rsidR="00830E90">
        <w:rPr>
          <w:sz w:val="44"/>
          <w:szCs w:val="44"/>
        </w:rPr>
        <w:t>c</w:t>
      </w:r>
      <w:r w:rsidRPr="00D779CD">
        <w:rPr>
          <w:sz w:val="44"/>
          <w:szCs w:val="44"/>
        </w:rPr>
        <w:t xml:space="preserve">are </w:t>
      </w:r>
      <w:r w:rsidR="00830E90">
        <w:rPr>
          <w:sz w:val="44"/>
          <w:szCs w:val="44"/>
        </w:rPr>
        <w:t>o</w:t>
      </w:r>
      <w:r w:rsidRPr="00D779CD">
        <w:rPr>
          <w:sz w:val="44"/>
          <w:szCs w:val="44"/>
        </w:rPr>
        <w:t>verview and FAQs</w:t>
      </w:r>
    </w:p>
    <w:p w14:paraId="6D18DCAC" w14:textId="79AE12A2" w:rsidR="00B53987" w:rsidRPr="00E0455C" w:rsidRDefault="009D4772" w:rsidP="00B53987">
      <w:pPr>
        <w:rPr>
          <w:sz w:val="18"/>
          <w:szCs w:val="18"/>
        </w:rPr>
      </w:pPr>
      <w:r>
        <w:rPr>
          <w:sz w:val="18"/>
          <w:szCs w:val="18"/>
        </w:rPr>
        <w:t>Sunday</w:t>
      </w:r>
      <w:r w:rsidRPr="00E0455C">
        <w:rPr>
          <w:sz w:val="18"/>
          <w:szCs w:val="18"/>
        </w:rPr>
        <w:t xml:space="preserve"> </w:t>
      </w:r>
      <w:r w:rsidR="00D10CF7" w:rsidRPr="00E0455C">
        <w:rPr>
          <w:sz w:val="18"/>
          <w:szCs w:val="18"/>
        </w:rPr>
        <w:t xml:space="preserve">1 </w:t>
      </w:r>
      <w:r>
        <w:rPr>
          <w:sz w:val="18"/>
          <w:szCs w:val="18"/>
        </w:rPr>
        <w:t>September</w:t>
      </w:r>
      <w:r w:rsidRPr="00E0455C">
        <w:rPr>
          <w:sz w:val="18"/>
          <w:szCs w:val="18"/>
        </w:rPr>
        <w:t xml:space="preserve"> </w:t>
      </w:r>
      <w:r w:rsidR="00D10CF7" w:rsidRPr="00E0455C">
        <w:rPr>
          <w:sz w:val="18"/>
          <w:szCs w:val="18"/>
        </w:rPr>
        <w:t>202</w:t>
      </w:r>
      <w:r w:rsidR="00F924EE">
        <w:rPr>
          <w:sz w:val="18"/>
          <w:szCs w:val="18"/>
        </w:rPr>
        <w:t>4</w:t>
      </w:r>
    </w:p>
    <w:p w14:paraId="1488D9DC" w14:textId="682AB247" w:rsidR="00D779CD" w:rsidRDefault="00A6495E" w:rsidP="00F924EE">
      <w:pPr>
        <w:pStyle w:val="Intropara0"/>
        <w:spacing w:before="240" w:line="276" w:lineRule="auto"/>
        <w:rPr>
          <w:color w:val="auto"/>
          <w:sz w:val="22"/>
          <w:szCs w:val="20"/>
        </w:rPr>
      </w:pPr>
      <w:r w:rsidRPr="00D779CD">
        <w:rPr>
          <w:color w:val="auto"/>
          <w:sz w:val="22"/>
          <w:szCs w:val="20"/>
        </w:rPr>
        <w:t>You may be wondering how the new 60</w:t>
      </w:r>
      <w:r w:rsidR="1DC42841" w:rsidRPr="00D779CD">
        <w:rPr>
          <w:color w:val="auto"/>
          <w:sz w:val="22"/>
          <w:szCs w:val="20"/>
        </w:rPr>
        <w:t>-</w:t>
      </w:r>
      <w:r w:rsidR="00F924EE">
        <w:rPr>
          <w:color w:val="auto"/>
          <w:sz w:val="22"/>
          <w:szCs w:val="20"/>
        </w:rPr>
        <w:t>d</w:t>
      </w:r>
      <w:r w:rsidRPr="00D779CD">
        <w:rPr>
          <w:color w:val="auto"/>
          <w:sz w:val="22"/>
          <w:szCs w:val="20"/>
        </w:rPr>
        <w:t xml:space="preserve">ay </w:t>
      </w:r>
      <w:r w:rsidR="66CBE982" w:rsidRPr="00D779CD">
        <w:rPr>
          <w:color w:val="auto"/>
          <w:sz w:val="22"/>
          <w:szCs w:val="20"/>
        </w:rPr>
        <w:t>prescriptions</w:t>
      </w:r>
      <w:r w:rsidRPr="00D779CD">
        <w:rPr>
          <w:color w:val="auto"/>
          <w:sz w:val="22"/>
          <w:szCs w:val="20"/>
        </w:rPr>
        <w:t xml:space="preserve"> will impact Residential Aged Care </w:t>
      </w:r>
      <w:r w:rsidR="6FC20BB4" w:rsidRPr="00D779CD">
        <w:rPr>
          <w:color w:val="auto"/>
          <w:sz w:val="22"/>
          <w:szCs w:val="20"/>
        </w:rPr>
        <w:t>Homes</w:t>
      </w:r>
      <w:r w:rsidR="00D34D37" w:rsidRPr="00D779CD">
        <w:rPr>
          <w:color w:val="auto"/>
          <w:sz w:val="22"/>
          <w:szCs w:val="20"/>
        </w:rPr>
        <w:t xml:space="preserve"> (RACH)</w:t>
      </w:r>
      <w:r w:rsidRPr="00D779CD">
        <w:rPr>
          <w:color w:val="auto"/>
          <w:sz w:val="22"/>
          <w:szCs w:val="20"/>
        </w:rPr>
        <w:t xml:space="preserve">, </w:t>
      </w:r>
      <w:r w:rsidR="00D23EF7" w:rsidRPr="00D779CD">
        <w:rPr>
          <w:color w:val="auto"/>
          <w:sz w:val="22"/>
          <w:szCs w:val="20"/>
        </w:rPr>
        <w:t xml:space="preserve">their </w:t>
      </w:r>
      <w:r w:rsidRPr="00D779CD">
        <w:rPr>
          <w:color w:val="auto"/>
          <w:sz w:val="22"/>
          <w:szCs w:val="20"/>
        </w:rPr>
        <w:t xml:space="preserve">supplying pharmacies, and residents. </w:t>
      </w:r>
      <w:r w:rsidR="47661EC9" w:rsidRPr="00D779CD">
        <w:rPr>
          <w:color w:val="auto"/>
          <w:sz w:val="22"/>
          <w:szCs w:val="20"/>
        </w:rPr>
        <w:t>Below is</w:t>
      </w:r>
      <w:r w:rsidRPr="00D779CD">
        <w:rPr>
          <w:color w:val="auto"/>
          <w:sz w:val="22"/>
          <w:szCs w:val="20"/>
        </w:rPr>
        <w:t xml:space="preserve"> an overview </w:t>
      </w:r>
      <w:r w:rsidR="00D23EF7" w:rsidRPr="00D779CD">
        <w:rPr>
          <w:color w:val="auto"/>
          <w:sz w:val="22"/>
          <w:szCs w:val="20"/>
        </w:rPr>
        <w:t>of how 60</w:t>
      </w:r>
      <w:r w:rsidR="6785D0D9" w:rsidRPr="00D779CD">
        <w:rPr>
          <w:color w:val="auto"/>
          <w:sz w:val="22"/>
          <w:szCs w:val="20"/>
        </w:rPr>
        <w:t>-</w:t>
      </w:r>
      <w:r w:rsidR="6FCD4EA1" w:rsidRPr="00D779CD">
        <w:rPr>
          <w:color w:val="auto"/>
          <w:sz w:val="22"/>
          <w:szCs w:val="20"/>
        </w:rPr>
        <w:t>day prescriptions</w:t>
      </w:r>
      <w:r w:rsidR="00D23EF7" w:rsidRPr="00D779CD">
        <w:rPr>
          <w:color w:val="auto"/>
          <w:sz w:val="22"/>
          <w:szCs w:val="20"/>
        </w:rPr>
        <w:t xml:space="preserve"> work in </w:t>
      </w:r>
      <w:r w:rsidR="009423AD" w:rsidRPr="00D779CD">
        <w:rPr>
          <w:color w:val="auto"/>
          <w:sz w:val="22"/>
          <w:szCs w:val="20"/>
        </w:rPr>
        <w:t>RACH</w:t>
      </w:r>
      <w:r w:rsidR="00D23EF7" w:rsidRPr="00D779CD">
        <w:rPr>
          <w:color w:val="auto"/>
          <w:sz w:val="22"/>
          <w:szCs w:val="20"/>
        </w:rPr>
        <w:t xml:space="preserve">, including services that are using an electronic </w:t>
      </w:r>
      <w:r w:rsidR="51A59DB0" w:rsidRPr="00D779CD">
        <w:rPr>
          <w:color w:val="auto"/>
          <w:sz w:val="22"/>
          <w:szCs w:val="20"/>
        </w:rPr>
        <w:t xml:space="preserve">or paper </w:t>
      </w:r>
      <w:r w:rsidR="00D23EF7" w:rsidRPr="00D779CD">
        <w:rPr>
          <w:color w:val="auto"/>
          <w:sz w:val="22"/>
          <w:szCs w:val="20"/>
        </w:rPr>
        <w:t>National Residential Medication Chart (NRMC)</w:t>
      </w:r>
      <w:r w:rsidR="1D94D5D0" w:rsidRPr="00D779CD">
        <w:rPr>
          <w:color w:val="auto"/>
          <w:sz w:val="22"/>
          <w:szCs w:val="20"/>
        </w:rPr>
        <w:t>.</w:t>
      </w:r>
    </w:p>
    <w:p w14:paraId="60D3F8C8" w14:textId="3E1AA9B7" w:rsidR="00A6495E" w:rsidRPr="00D779CD" w:rsidRDefault="00A6495E" w:rsidP="2D01F264">
      <w:pPr>
        <w:pStyle w:val="Heading1"/>
      </w:pPr>
      <w:r w:rsidRPr="00D779CD">
        <w:t>Overview of 60</w:t>
      </w:r>
      <w:r w:rsidR="3355E23D" w:rsidRPr="00D779CD">
        <w:t>-</w:t>
      </w:r>
      <w:r w:rsidR="04CF7476" w:rsidRPr="00D779CD">
        <w:t>day prescriptions</w:t>
      </w:r>
      <w:r w:rsidRPr="00D779CD">
        <w:t xml:space="preserve"> in RAC</w:t>
      </w:r>
      <w:r w:rsidR="651065D7" w:rsidRPr="00D779CD">
        <w:t>Hs</w:t>
      </w:r>
    </w:p>
    <w:p w14:paraId="4228D454" w14:textId="252CF579" w:rsidR="39E65179" w:rsidRPr="00D779CD" w:rsidRDefault="00F924EE" w:rsidP="000C0A9C">
      <w:pPr>
        <w:pStyle w:val="Tabletextleft"/>
      </w:pPr>
      <w:r>
        <w:t>Since</w:t>
      </w:r>
      <w:r w:rsidR="39E65179" w:rsidRPr="00D779CD">
        <w:t xml:space="preserve"> 1 September 2023, many patients living with a</w:t>
      </w:r>
      <w:r>
        <w:t xml:space="preserve"> stable </w:t>
      </w:r>
      <w:r w:rsidR="39E65179" w:rsidRPr="00D779CD">
        <w:t xml:space="preserve">ongoing health condition </w:t>
      </w:r>
      <w:r>
        <w:t xml:space="preserve">have been </w:t>
      </w:r>
      <w:r w:rsidR="39E65179" w:rsidRPr="00D779CD">
        <w:t xml:space="preserve">able to receive twice the medication </w:t>
      </w:r>
      <w:r>
        <w:t>on</w:t>
      </w:r>
      <w:r w:rsidR="39E65179" w:rsidRPr="00D779CD">
        <w:t xml:space="preserve"> a single prescription.</w:t>
      </w:r>
      <w:r w:rsidR="7A68A914" w:rsidRPr="00D779CD">
        <w:t xml:space="preserve"> </w:t>
      </w:r>
      <w:r>
        <w:t>Prescribers</w:t>
      </w:r>
      <w:r w:rsidR="7A68A914" w:rsidRPr="00D779CD">
        <w:t xml:space="preserve"> have the option to prescribe </w:t>
      </w:r>
      <w:r>
        <w:t>available</w:t>
      </w:r>
      <w:r w:rsidR="009E15D6" w:rsidRPr="00D779CD">
        <w:t xml:space="preserve"> </w:t>
      </w:r>
      <w:r w:rsidR="7A68A914" w:rsidRPr="00D779CD">
        <w:t xml:space="preserve">medicines for either 30 or 60-day prescriptions (according to their professional clinical judgement) for any consumer, including </w:t>
      </w:r>
      <w:r w:rsidR="44E08FE4" w:rsidRPr="00D779CD">
        <w:t>those li</w:t>
      </w:r>
      <w:r w:rsidR="0B3AC7B5" w:rsidRPr="00D779CD">
        <w:t xml:space="preserve">ving in </w:t>
      </w:r>
      <w:r w:rsidR="2B0F91E9" w:rsidRPr="00D779CD">
        <w:t>residential aged care homes.</w:t>
      </w:r>
      <w:r w:rsidR="5DE87E38" w:rsidRPr="00D779CD">
        <w:t xml:space="preserve"> </w:t>
      </w:r>
      <w:r w:rsidR="2B191708" w:rsidRPr="00D779CD">
        <w:t xml:space="preserve"> </w:t>
      </w:r>
    </w:p>
    <w:p w14:paraId="23BDF17B" w14:textId="3A8AE954" w:rsidR="020F653B" w:rsidRPr="00D779CD" w:rsidRDefault="020F653B" w:rsidP="000C0A9C">
      <w:pPr>
        <w:pStyle w:val="Tabletextleft"/>
      </w:pPr>
      <w:r w:rsidRPr="00D779CD">
        <w:t xml:space="preserve">The use of 60-day prescriptions does not affect the way medicines are prescribed in residential </w:t>
      </w:r>
      <w:r w:rsidRPr="00BF1A36">
        <w:t xml:space="preserve">aged care. New </w:t>
      </w:r>
      <w:r w:rsidR="0008219E" w:rsidRPr="00BF1A36">
        <w:t>Pharmaceutical Benefits Scheme (</w:t>
      </w:r>
      <w:r w:rsidR="00F56025" w:rsidRPr="00BF1A36">
        <w:t>PBS</w:t>
      </w:r>
      <w:r w:rsidR="0008219E" w:rsidRPr="00BF1A36">
        <w:t>)</w:t>
      </w:r>
      <w:r w:rsidRPr="00BF1A36">
        <w:t xml:space="preserve"> Item Codes </w:t>
      </w:r>
      <w:r w:rsidR="00652CE7" w:rsidRPr="00BF1A36">
        <w:t xml:space="preserve">have </w:t>
      </w:r>
      <w:r w:rsidR="00EE1B96" w:rsidRPr="00BF1A36">
        <w:t xml:space="preserve">been </w:t>
      </w:r>
      <w:r w:rsidRPr="00BF1A36">
        <w:t xml:space="preserve">created for medicines that are on the </w:t>
      </w:r>
      <w:hyperlink r:id="rId11">
        <w:r w:rsidRPr="00BF1A36">
          <w:rPr>
            <w:rStyle w:val="Hyperlink"/>
            <w:rFonts w:cs="Arial"/>
            <w:lang w:val="en"/>
          </w:rPr>
          <w:t xml:space="preserve">medicine list </w:t>
        </w:r>
        <w:r w:rsidRPr="00BF1A36">
          <w:t>for increased dispensing quantities</w:t>
        </w:r>
      </w:hyperlink>
      <w:r w:rsidRPr="00BF1A36">
        <w:t>.</w:t>
      </w:r>
      <w:r w:rsidRPr="00D779CD">
        <w:t xml:space="preserve"> When prescribing one of these medicines the prescriber will need to enter the </w:t>
      </w:r>
      <w:r w:rsidR="00865B25" w:rsidRPr="00D779CD">
        <w:t xml:space="preserve">PBS </w:t>
      </w:r>
      <w:r w:rsidRPr="00D779CD">
        <w:t>Item Code that corresponds to the supply quantity (</w:t>
      </w:r>
      <w:proofErr w:type="spellStart"/>
      <w:r w:rsidRPr="00D779CD">
        <w:t>ie</w:t>
      </w:r>
      <w:proofErr w:type="spellEnd"/>
      <w:r w:rsidRPr="00D779CD">
        <w:t>. 60</w:t>
      </w:r>
      <w:r w:rsidR="0B5B196C" w:rsidRPr="00D779CD">
        <w:t>-</w:t>
      </w:r>
      <w:r w:rsidRPr="00D779CD">
        <w:t>day or 30</w:t>
      </w:r>
      <w:r w:rsidR="44EDE6BC" w:rsidRPr="00D779CD">
        <w:t>-</w:t>
      </w:r>
      <w:r w:rsidRPr="00D779CD">
        <w:t>day</w:t>
      </w:r>
      <w:r w:rsidR="0071B039" w:rsidRPr="00D779CD">
        <w:t xml:space="preserve">) on the prescription or medication chart. </w:t>
      </w:r>
    </w:p>
    <w:p w14:paraId="660BB8FC" w14:textId="5BC14113" w:rsidR="00DC24BE" w:rsidRDefault="42A0534F" w:rsidP="00F924EE">
      <w:pPr>
        <w:pStyle w:val="Tabletextleft"/>
      </w:pPr>
      <w:r w:rsidRPr="00D779CD">
        <w:t xml:space="preserve">Where </w:t>
      </w:r>
      <w:r w:rsidR="00D55A97" w:rsidRPr="00D779CD">
        <w:t xml:space="preserve">the medicine is </w:t>
      </w:r>
      <w:r w:rsidRPr="00D779CD">
        <w:t xml:space="preserve">prescribed </w:t>
      </w:r>
      <w:r w:rsidR="516684B0" w:rsidRPr="00D779CD">
        <w:t xml:space="preserve">and dispensed </w:t>
      </w:r>
      <w:r w:rsidR="00D55A97" w:rsidRPr="00D779CD">
        <w:t xml:space="preserve">from a medication chart </w:t>
      </w:r>
      <w:r w:rsidRPr="00D779CD">
        <w:t xml:space="preserve">for a resident in aged care, the pharmacist can re-dispense a further 60-day supply, </w:t>
      </w:r>
      <w:r w:rsidR="3D01F1EF" w:rsidRPr="00D779CD">
        <w:t>once the previous 60-day supply of medicine has been administered to the resident. This can occur as many times as necessary</w:t>
      </w:r>
      <w:r w:rsidR="6742445F" w:rsidRPr="00D779CD">
        <w:t xml:space="preserve"> to ensure continuous administration</w:t>
      </w:r>
      <w:r w:rsidR="3D01F1EF" w:rsidRPr="00D779CD">
        <w:t xml:space="preserve"> for </w:t>
      </w:r>
      <w:r w:rsidR="5D0825CF" w:rsidRPr="00D779CD">
        <w:t xml:space="preserve">either </w:t>
      </w:r>
      <w:r w:rsidR="3D01F1EF" w:rsidRPr="00D779CD">
        <w:t xml:space="preserve">the duration of the chart or </w:t>
      </w:r>
      <w:r w:rsidR="3D862411" w:rsidRPr="00D779CD">
        <w:t>in accordance with the resident’s prescription and repeats.</w:t>
      </w:r>
    </w:p>
    <w:p w14:paraId="263A8845" w14:textId="7123170A" w:rsidR="00D23EF7" w:rsidRPr="001F7CA7" w:rsidRDefault="00F00448" w:rsidP="00D779CD">
      <w:pPr>
        <w:pStyle w:val="Heading1"/>
      </w:pPr>
      <w:r w:rsidRPr="00D779CD">
        <w:t xml:space="preserve">Frequently </w:t>
      </w:r>
      <w:r w:rsidR="00044313">
        <w:t>a</w:t>
      </w:r>
      <w:r w:rsidRPr="00D779CD">
        <w:t xml:space="preserve">sked </w:t>
      </w:r>
      <w:r w:rsidR="00044313">
        <w:t>q</w:t>
      </w:r>
      <w:r w:rsidRPr="00D779CD">
        <w:t>uestions</w:t>
      </w:r>
    </w:p>
    <w:p w14:paraId="0685F82D" w14:textId="1CE3B4E2" w:rsidR="00703D2F" w:rsidRPr="00D779CD" w:rsidRDefault="00703D2F" w:rsidP="00703D2F">
      <w:pPr>
        <w:pStyle w:val="Heading3"/>
        <w:spacing w:line="259" w:lineRule="auto"/>
        <w:rPr>
          <w:iCs/>
          <w:sz w:val="34"/>
          <w:szCs w:val="34"/>
        </w:rPr>
      </w:pPr>
      <w:r w:rsidRPr="00D779CD">
        <w:rPr>
          <w:iCs/>
          <w:sz w:val="34"/>
          <w:szCs w:val="34"/>
        </w:rPr>
        <w:t xml:space="preserve">What </w:t>
      </w:r>
      <w:r w:rsidR="00F924EE">
        <w:rPr>
          <w:iCs/>
          <w:sz w:val="34"/>
          <w:szCs w:val="34"/>
        </w:rPr>
        <w:t>m</w:t>
      </w:r>
      <w:r w:rsidRPr="00D779CD">
        <w:rPr>
          <w:iCs/>
          <w:sz w:val="34"/>
          <w:szCs w:val="34"/>
        </w:rPr>
        <w:t>edicines are in scope for 60-</w:t>
      </w:r>
      <w:r w:rsidR="00F924EE">
        <w:rPr>
          <w:iCs/>
          <w:sz w:val="34"/>
          <w:szCs w:val="34"/>
        </w:rPr>
        <w:t>d</w:t>
      </w:r>
      <w:r w:rsidRPr="00D779CD">
        <w:rPr>
          <w:iCs/>
          <w:sz w:val="34"/>
          <w:szCs w:val="34"/>
        </w:rPr>
        <w:t xml:space="preserve">ay </w:t>
      </w:r>
      <w:r w:rsidR="00D779CD" w:rsidRPr="00D779CD">
        <w:rPr>
          <w:iCs/>
          <w:sz w:val="34"/>
          <w:szCs w:val="34"/>
        </w:rPr>
        <w:t>p</w:t>
      </w:r>
      <w:r w:rsidRPr="00D779CD">
        <w:rPr>
          <w:iCs/>
          <w:sz w:val="34"/>
          <w:szCs w:val="34"/>
        </w:rPr>
        <w:t>rescri</w:t>
      </w:r>
      <w:r w:rsidR="00F924EE">
        <w:rPr>
          <w:iCs/>
          <w:sz w:val="34"/>
          <w:szCs w:val="34"/>
        </w:rPr>
        <w:t>ptions</w:t>
      </w:r>
      <w:r w:rsidRPr="00D779CD">
        <w:rPr>
          <w:iCs/>
          <w:sz w:val="34"/>
          <w:szCs w:val="34"/>
        </w:rPr>
        <w:t>?</w:t>
      </w:r>
    </w:p>
    <w:p w14:paraId="6ACFF1E7" w14:textId="75C870B9" w:rsidR="00AE507E" w:rsidRPr="00D779CD" w:rsidRDefault="009D4772" w:rsidP="001F7CA7">
      <w:pPr>
        <w:spacing w:before="60" w:after="60"/>
        <w:rPr>
          <w:szCs w:val="22"/>
        </w:rPr>
      </w:pPr>
      <w:r w:rsidRPr="009D4772">
        <w:rPr>
          <w:szCs w:val="22"/>
        </w:rPr>
        <w:t>60-day prescriptions have been introduced gradually in 3 stages over 12 months. The first stage was introduced on 1 September 2023. The second stage started from 1 March 2024 and the third stage is now available from 1 September 2024. </w:t>
      </w:r>
      <w:r w:rsidR="00703D2F" w:rsidRPr="00D779CD">
        <w:rPr>
          <w:szCs w:val="22"/>
        </w:rPr>
        <w:t xml:space="preserve"> </w:t>
      </w:r>
    </w:p>
    <w:p w14:paraId="63F25B7A" w14:textId="4328F452" w:rsidR="00D779CD" w:rsidRPr="00F924EE" w:rsidRDefault="00703D2F" w:rsidP="00F924EE">
      <w:pPr>
        <w:spacing w:before="60" w:after="60"/>
        <w:rPr>
          <w:color w:val="auto"/>
          <w:sz w:val="20"/>
          <w:szCs w:val="20"/>
        </w:rPr>
      </w:pPr>
      <w:r w:rsidRPr="00D779CD">
        <w:rPr>
          <w:rFonts w:cs="Arial"/>
          <w:szCs w:val="22"/>
        </w:rPr>
        <w:t>S</w:t>
      </w:r>
      <w:r w:rsidRPr="00D779CD">
        <w:rPr>
          <w:szCs w:val="22"/>
        </w:rPr>
        <w:t>tage</w:t>
      </w:r>
      <w:r w:rsidRPr="00D779CD">
        <w:rPr>
          <w:rFonts w:cs="Arial"/>
          <w:szCs w:val="22"/>
        </w:rPr>
        <w:t xml:space="preserve"> </w:t>
      </w:r>
      <w:r w:rsidR="00F924EE">
        <w:rPr>
          <w:rFonts w:cs="Arial"/>
          <w:szCs w:val="22"/>
        </w:rPr>
        <w:t>o</w:t>
      </w:r>
      <w:r w:rsidRPr="00D779CD">
        <w:rPr>
          <w:rFonts w:cs="Arial"/>
          <w:szCs w:val="22"/>
        </w:rPr>
        <w:t>ne</w:t>
      </w:r>
      <w:r w:rsidRPr="00D779CD">
        <w:rPr>
          <w:szCs w:val="22"/>
        </w:rPr>
        <w:t xml:space="preserve"> </w:t>
      </w:r>
      <w:r w:rsidRPr="00D779CD">
        <w:rPr>
          <w:rFonts w:cs="Arial"/>
          <w:szCs w:val="22"/>
        </w:rPr>
        <w:t>commence</w:t>
      </w:r>
      <w:r w:rsidR="00F924EE">
        <w:rPr>
          <w:rFonts w:cs="Arial"/>
          <w:szCs w:val="22"/>
        </w:rPr>
        <w:t>d</w:t>
      </w:r>
      <w:r w:rsidRPr="00D779CD">
        <w:rPr>
          <w:rFonts w:cs="Arial"/>
          <w:szCs w:val="22"/>
        </w:rPr>
        <w:t xml:space="preserve"> on 1 September 2023</w:t>
      </w:r>
      <w:r w:rsidR="00F924EE">
        <w:rPr>
          <w:rFonts w:cs="Arial"/>
          <w:szCs w:val="22"/>
        </w:rPr>
        <w:t xml:space="preserve"> and stage 2 commenced on 1 March 2024</w:t>
      </w:r>
      <w:r w:rsidRPr="00D779CD">
        <w:rPr>
          <w:rFonts w:cs="Arial"/>
          <w:szCs w:val="22"/>
        </w:rPr>
        <w:t>, enabling 60</w:t>
      </w:r>
      <w:r w:rsidR="00F924EE">
        <w:rPr>
          <w:rFonts w:cs="Arial"/>
          <w:szCs w:val="22"/>
        </w:rPr>
        <w:t>-d</w:t>
      </w:r>
      <w:r w:rsidRPr="00D779CD">
        <w:rPr>
          <w:rFonts w:cs="Arial"/>
          <w:szCs w:val="22"/>
        </w:rPr>
        <w:t>ay prescri</w:t>
      </w:r>
      <w:r w:rsidR="00F924EE">
        <w:rPr>
          <w:rFonts w:cs="Arial"/>
          <w:szCs w:val="22"/>
        </w:rPr>
        <w:t>ptions</w:t>
      </w:r>
      <w:r w:rsidRPr="00D779CD">
        <w:rPr>
          <w:rFonts w:cs="Arial"/>
          <w:szCs w:val="22"/>
        </w:rPr>
        <w:t xml:space="preserve"> for </w:t>
      </w:r>
      <w:r w:rsidR="00F924EE">
        <w:rPr>
          <w:rFonts w:cs="Arial"/>
          <w:szCs w:val="22"/>
        </w:rPr>
        <w:t xml:space="preserve">almost 200 </w:t>
      </w:r>
      <w:r w:rsidRPr="00D779CD">
        <w:rPr>
          <w:rFonts w:cs="Arial"/>
          <w:szCs w:val="22"/>
        </w:rPr>
        <w:t>medicines</w:t>
      </w:r>
      <w:r w:rsidRPr="00D779CD">
        <w:rPr>
          <w:szCs w:val="22"/>
        </w:rPr>
        <w:t>.</w:t>
      </w:r>
      <w:r w:rsidR="00853653">
        <w:rPr>
          <w:szCs w:val="22"/>
        </w:rPr>
        <w:t xml:space="preserve"> </w:t>
      </w:r>
      <w:r w:rsidR="009D4772" w:rsidRPr="009D4772">
        <w:rPr>
          <w:szCs w:val="22"/>
        </w:rPr>
        <w:t>Many people can now get twice the medication on a single prescription. From September 2024 this will apply to almost 300 medicines on the Pharmaceutical Benefits Scheme (PBS).</w:t>
      </w:r>
      <w:r w:rsidR="00F73950">
        <w:rPr>
          <w:szCs w:val="22"/>
        </w:rPr>
        <w:t xml:space="preserve"> </w:t>
      </w:r>
      <w:r w:rsidRPr="00D779CD">
        <w:rPr>
          <w:szCs w:val="22"/>
        </w:rPr>
        <w:t xml:space="preserve"> A full list of the medicines which are </w:t>
      </w:r>
      <w:r w:rsidR="00F924EE">
        <w:rPr>
          <w:szCs w:val="22"/>
        </w:rPr>
        <w:t>included</w:t>
      </w:r>
      <w:r w:rsidRPr="00D779CD">
        <w:rPr>
          <w:szCs w:val="22"/>
        </w:rPr>
        <w:t xml:space="preserve"> for 60-day prescri</w:t>
      </w:r>
      <w:r w:rsidR="00F924EE">
        <w:rPr>
          <w:szCs w:val="22"/>
        </w:rPr>
        <w:t xml:space="preserve">ptions </w:t>
      </w:r>
      <w:r w:rsidRPr="00D779CD">
        <w:rPr>
          <w:szCs w:val="22"/>
        </w:rPr>
        <w:t>is available on the</w:t>
      </w:r>
      <w:r w:rsidR="00511416">
        <w:rPr>
          <w:szCs w:val="22"/>
        </w:rPr>
        <w:t xml:space="preserve"> </w:t>
      </w:r>
      <w:hyperlink r:id="rId12" w:history="1">
        <w:r w:rsidRPr="009F5358">
          <w:rPr>
            <w:rStyle w:val="Hyperlink"/>
            <w:rFonts w:cs="Arial"/>
            <w:lang w:val="en"/>
          </w:rPr>
          <w:t>PBS website</w:t>
        </w:r>
      </w:hyperlink>
      <w:r w:rsidR="00D779CD" w:rsidRPr="009F5358">
        <w:rPr>
          <w:rStyle w:val="Hyperlink"/>
          <w:rFonts w:cs="Arial"/>
          <w:color w:val="auto"/>
          <w:u w:val="none"/>
          <w:lang w:val="en"/>
        </w:rPr>
        <w:t>.</w:t>
      </w:r>
    </w:p>
    <w:p w14:paraId="65B71963" w14:textId="669EF187" w:rsidR="00703D2F" w:rsidRPr="00D779CD" w:rsidRDefault="00703D2F" w:rsidP="00DC24BE">
      <w:pPr>
        <w:pStyle w:val="Heading3"/>
        <w:spacing w:line="276" w:lineRule="auto"/>
        <w:rPr>
          <w:iCs/>
          <w:sz w:val="34"/>
          <w:szCs w:val="34"/>
        </w:rPr>
      </w:pPr>
      <w:r w:rsidRPr="00D779CD">
        <w:rPr>
          <w:iCs/>
          <w:sz w:val="34"/>
          <w:szCs w:val="34"/>
        </w:rPr>
        <w:t>Does 60-</w:t>
      </w:r>
      <w:r w:rsidR="00F924EE">
        <w:rPr>
          <w:iCs/>
          <w:sz w:val="34"/>
          <w:szCs w:val="34"/>
        </w:rPr>
        <w:t>d</w:t>
      </w:r>
      <w:r w:rsidRPr="00D779CD">
        <w:rPr>
          <w:iCs/>
          <w:sz w:val="34"/>
          <w:szCs w:val="34"/>
        </w:rPr>
        <w:t xml:space="preserve">ay </w:t>
      </w:r>
      <w:r w:rsidR="00F924EE">
        <w:rPr>
          <w:iCs/>
          <w:sz w:val="34"/>
          <w:szCs w:val="34"/>
        </w:rPr>
        <w:t>p</w:t>
      </w:r>
      <w:r w:rsidRPr="00D779CD">
        <w:rPr>
          <w:iCs/>
          <w:sz w:val="34"/>
          <w:szCs w:val="34"/>
        </w:rPr>
        <w:t>rescribing automatically apply to in-scope medicines?</w:t>
      </w:r>
    </w:p>
    <w:p w14:paraId="6081FC95" w14:textId="7B66992A" w:rsidR="00D779CD" w:rsidRPr="00D779CD" w:rsidRDefault="00703D2F" w:rsidP="00F924EE">
      <w:pPr>
        <w:spacing w:before="60" w:after="60"/>
        <w:rPr>
          <w:szCs w:val="22"/>
        </w:rPr>
      </w:pPr>
      <w:r w:rsidRPr="00D779CD">
        <w:rPr>
          <w:szCs w:val="22"/>
        </w:rPr>
        <w:t xml:space="preserve">No, 60-day </w:t>
      </w:r>
      <w:r w:rsidR="00073562" w:rsidRPr="00D779CD">
        <w:rPr>
          <w:szCs w:val="22"/>
        </w:rPr>
        <w:t>prescribing</w:t>
      </w:r>
      <w:r w:rsidRPr="00D779CD">
        <w:rPr>
          <w:szCs w:val="22"/>
        </w:rPr>
        <w:t xml:space="preserve"> does not automatically apply to medicines in scope. Prescribers must assess their patient to determine whether a 60-day supply of an in-scope medicine is appropriate. If a prescriber </w:t>
      </w:r>
      <w:r w:rsidRPr="00D779CD">
        <w:rPr>
          <w:szCs w:val="22"/>
        </w:rPr>
        <w:lastRenderedPageBreak/>
        <w:t>believes it is appropriate for their patient to receive 60-day supply of an eligible medicine, the prescriber must indicate on a new prescription that 60-day supply should occur.</w:t>
      </w:r>
    </w:p>
    <w:p w14:paraId="018FE0F4" w14:textId="0042F24F" w:rsidR="113E93EE" w:rsidRPr="00D779CD" w:rsidRDefault="113E93EE" w:rsidP="006A701A">
      <w:pPr>
        <w:spacing w:before="180" w:after="60"/>
        <w:rPr>
          <w:rFonts w:cs="Arial"/>
          <w:b/>
          <w:bCs/>
          <w:iCs/>
          <w:color w:val="358189"/>
          <w:sz w:val="34"/>
          <w:szCs w:val="34"/>
        </w:rPr>
      </w:pPr>
      <w:r w:rsidRPr="00D779CD">
        <w:rPr>
          <w:rFonts w:cs="Arial"/>
          <w:b/>
          <w:bCs/>
          <w:iCs/>
          <w:color w:val="358189"/>
          <w:sz w:val="34"/>
          <w:szCs w:val="34"/>
        </w:rPr>
        <w:t xml:space="preserve">How will 60-day prescriptions be managed through National Residential Medication Charts (paper and electronic)?  </w:t>
      </w:r>
    </w:p>
    <w:p w14:paraId="346C1FB9" w14:textId="5C8F59DE" w:rsidR="1C865AAE" w:rsidRPr="00DC24BE" w:rsidRDefault="1C865AAE" w:rsidP="00DC24BE">
      <w:pPr>
        <w:spacing w:before="60" w:after="60"/>
        <w:rPr>
          <w:szCs w:val="22"/>
        </w:rPr>
      </w:pPr>
      <w:r w:rsidRPr="00DC24BE">
        <w:rPr>
          <w:szCs w:val="22"/>
        </w:rPr>
        <w:t xml:space="preserve">The paper-based National Residential Medication Chart (NRMC) and </w:t>
      </w:r>
      <w:r w:rsidR="2D5563A4" w:rsidRPr="00DC24BE">
        <w:rPr>
          <w:szCs w:val="22"/>
        </w:rPr>
        <w:t xml:space="preserve">transitional </w:t>
      </w:r>
      <w:r w:rsidRPr="00DC24BE">
        <w:rPr>
          <w:szCs w:val="22"/>
        </w:rPr>
        <w:t xml:space="preserve">electronic NRMC are valid for 4 months and allow for ongoing supply of most medicines for the duration of the chart. By allowing ongoing supply, these charts remove the requirement for repeat prescriptions. Pharmacists can dispense a single maximum PBS quantity as many times as necessary to ensure ongoing supply and administration of that medicine to the resident, for either the duration of the chart or a shorter duration as specified by the prescriber. </w:t>
      </w:r>
    </w:p>
    <w:p w14:paraId="19A42732" w14:textId="28064F9A" w:rsidR="12C19F7F" w:rsidRPr="00DC24BE" w:rsidRDefault="12C19F7F" w:rsidP="00DC24BE">
      <w:pPr>
        <w:spacing w:before="60" w:after="60"/>
        <w:rPr>
          <w:szCs w:val="22"/>
        </w:rPr>
      </w:pPr>
      <w:r w:rsidRPr="00DC24BE">
        <w:rPr>
          <w:szCs w:val="22"/>
        </w:rPr>
        <w:t xml:space="preserve">Pharmacists will </w:t>
      </w:r>
      <w:r w:rsidR="615FE01D" w:rsidRPr="00DC24BE">
        <w:rPr>
          <w:szCs w:val="22"/>
        </w:rPr>
        <w:t xml:space="preserve">be able </w:t>
      </w:r>
      <w:r w:rsidR="00702891" w:rsidRPr="00DC24BE">
        <w:rPr>
          <w:szCs w:val="22"/>
        </w:rPr>
        <w:t xml:space="preserve">to </w:t>
      </w:r>
      <w:r w:rsidRPr="00DC24BE">
        <w:rPr>
          <w:szCs w:val="22"/>
        </w:rPr>
        <w:t xml:space="preserve">dispense a 60-day supply in the same way all other medicines are dispensed for residents. Once the </w:t>
      </w:r>
      <w:r w:rsidR="1431C3B1" w:rsidRPr="00DC24BE">
        <w:rPr>
          <w:szCs w:val="22"/>
        </w:rPr>
        <w:t xml:space="preserve">majority of the </w:t>
      </w:r>
      <w:r w:rsidRPr="00DC24BE">
        <w:rPr>
          <w:szCs w:val="22"/>
        </w:rPr>
        <w:t xml:space="preserve">60-day supply of medicine has been </w:t>
      </w:r>
      <w:r w:rsidR="3AC1B55A" w:rsidRPr="00DC24BE">
        <w:rPr>
          <w:szCs w:val="22"/>
        </w:rPr>
        <w:t xml:space="preserve">provided to the </w:t>
      </w:r>
      <w:r w:rsidRPr="00DC24BE">
        <w:rPr>
          <w:szCs w:val="22"/>
        </w:rPr>
        <w:t>resident, the pharmacist can re-dispense a further 60-day supply, and so on for the duration of the resident’s medication chart</w:t>
      </w:r>
      <w:r w:rsidR="1A985A15" w:rsidRPr="00DC24BE">
        <w:rPr>
          <w:szCs w:val="22"/>
        </w:rPr>
        <w:t>.</w:t>
      </w:r>
    </w:p>
    <w:p w14:paraId="49F45B48" w14:textId="2A0EE93A" w:rsidR="00D779CD" w:rsidRPr="00F924EE" w:rsidRDefault="1C865AAE" w:rsidP="00F924EE">
      <w:pPr>
        <w:spacing w:before="60" w:after="60"/>
        <w:rPr>
          <w:szCs w:val="22"/>
        </w:rPr>
      </w:pPr>
      <w:r w:rsidRPr="00DC24BE">
        <w:rPr>
          <w:szCs w:val="22"/>
        </w:rPr>
        <w:t>This means that if a prescriber determines a 60-day dispense of an eligible medicine is appropriate for their patient (as they are stable on the medication for the treatment of a chronic disease), the medicine could potentially only be dispensed twice during the NRMC/</w:t>
      </w:r>
      <w:proofErr w:type="spellStart"/>
      <w:r w:rsidRPr="00DC24BE">
        <w:rPr>
          <w:szCs w:val="22"/>
        </w:rPr>
        <w:t>eNRMC</w:t>
      </w:r>
      <w:proofErr w:type="spellEnd"/>
      <w:r w:rsidRPr="00DC24BE">
        <w:rPr>
          <w:szCs w:val="22"/>
        </w:rPr>
        <w:t xml:space="preserve"> validity period (rather than four times), reducing the out-of-pocket costs for the resident</w:t>
      </w:r>
      <w:r w:rsidR="00F04D6E" w:rsidRPr="00DC24BE">
        <w:rPr>
          <w:szCs w:val="22"/>
        </w:rPr>
        <w:t>.</w:t>
      </w:r>
    </w:p>
    <w:p w14:paraId="10C36B63" w14:textId="76F902FB" w:rsidR="007822E3" w:rsidRPr="00D779CD" w:rsidRDefault="00F00448" w:rsidP="00B105BF">
      <w:pPr>
        <w:spacing w:before="180" w:after="60"/>
        <w:rPr>
          <w:rFonts w:cs="Arial"/>
          <w:b/>
          <w:bCs/>
          <w:iCs/>
          <w:color w:val="358189"/>
          <w:sz w:val="34"/>
          <w:szCs w:val="34"/>
        </w:rPr>
      </w:pPr>
      <w:r w:rsidRPr="00D779CD">
        <w:rPr>
          <w:rFonts w:cs="Arial"/>
          <w:b/>
          <w:bCs/>
          <w:iCs/>
          <w:color w:val="358189"/>
          <w:sz w:val="34"/>
          <w:szCs w:val="34"/>
        </w:rPr>
        <w:t xml:space="preserve">Will all </w:t>
      </w:r>
      <w:r w:rsidR="036937AC" w:rsidRPr="00D779CD">
        <w:rPr>
          <w:rFonts w:cs="Arial"/>
          <w:b/>
          <w:bCs/>
          <w:iCs/>
          <w:color w:val="358189"/>
          <w:sz w:val="34"/>
          <w:szCs w:val="34"/>
        </w:rPr>
        <w:t xml:space="preserve">existing </w:t>
      </w:r>
      <w:r w:rsidR="5672AF9E" w:rsidRPr="00D779CD">
        <w:rPr>
          <w:rFonts w:cs="Arial"/>
          <w:b/>
          <w:bCs/>
          <w:iCs/>
          <w:color w:val="358189"/>
          <w:sz w:val="34"/>
          <w:szCs w:val="34"/>
        </w:rPr>
        <w:t xml:space="preserve">medication chart </w:t>
      </w:r>
      <w:r w:rsidR="036937AC" w:rsidRPr="00D779CD">
        <w:rPr>
          <w:rFonts w:cs="Arial"/>
          <w:b/>
          <w:bCs/>
          <w:iCs/>
          <w:color w:val="358189"/>
          <w:sz w:val="34"/>
          <w:szCs w:val="34"/>
        </w:rPr>
        <w:t>prescriptions</w:t>
      </w:r>
      <w:r w:rsidR="4E158F84" w:rsidRPr="00D779CD">
        <w:rPr>
          <w:rFonts w:cs="Arial"/>
          <w:b/>
          <w:bCs/>
          <w:iCs/>
          <w:color w:val="358189"/>
          <w:sz w:val="34"/>
          <w:szCs w:val="34"/>
        </w:rPr>
        <w:t xml:space="preserve"> (including NRMC/</w:t>
      </w:r>
      <w:proofErr w:type="spellStart"/>
      <w:r w:rsidR="4E158F84" w:rsidRPr="00D779CD">
        <w:rPr>
          <w:rFonts w:cs="Arial"/>
          <w:b/>
          <w:bCs/>
          <w:iCs/>
          <w:color w:val="358189"/>
          <w:sz w:val="34"/>
          <w:szCs w:val="34"/>
        </w:rPr>
        <w:t>eNRMC</w:t>
      </w:r>
      <w:proofErr w:type="spellEnd"/>
      <w:r w:rsidR="4E158F84" w:rsidRPr="00D779CD">
        <w:rPr>
          <w:rFonts w:cs="Arial"/>
          <w:b/>
          <w:bCs/>
          <w:iCs/>
          <w:color w:val="358189"/>
          <w:sz w:val="34"/>
          <w:szCs w:val="34"/>
        </w:rPr>
        <w:t>)</w:t>
      </w:r>
      <w:r w:rsidR="036937AC" w:rsidRPr="00D779CD">
        <w:rPr>
          <w:rFonts w:cs="Arial"/>
          <w:b/>
          <w:bCs/>
          <w:iCs/>
          <w:color w:val="358189"/>
          <w:sz w:val="34"/>
          <w:szCs w:val="34"/>
        </w:rPr>
        <w:t xml:space="preserve"> for </w:t>
      </w:r>
      <w:r w:rsidRPr="00D779CD">
        <w:rPr>
          <w:rFonts w:cs="Arial"/>
          <w:b/>
          <w:bCs/>
          <w:iCs/>
          <w:color w:val="358189"/>
          <w:sz w:val="34"/>
          <w:szCs w:val="34"/>
        </w:rPr>
        <w:t>medicines</w:t>
      </w:r>
      <w:r w:rsidR="2E9AA175" w:rsidRPr="00D779CD">
        <w:rPr>
          <w:rFonts w:cs="Arial"/>
          <w:b/>
          <w:bCs/>
          <w:iCs/>
          <w:color w:val="358189"/>
          <w:sz w:val="34"/>
          <w:szCs w:val="34"/>
        </w:rPr>
        <w:t xml:space="preserve"> on the 60-day supply list </w:t>
      </w:r>
      <w:r w:rsidRPr="00D779CD">
        <w:rPr>
          <w:rFonts w:cs="Arial"/>
          <w:b/>
          <w:bCs/>
          <w:iCs/>
          <w:color w:val="358189"/>
          <w:sz w:val="34"/>
          <w:szCs w:val="34"/>
        </w:rPr>
        <w:t>automatically become 60</w:t>
      </w:r>
      <w:r w:rsidR="002438E0" w:rsidRPr="00D779CD">
        <w:rPr>
          <w:rFonts w:cs="Arial"/>
          <w:b/>
          <w:bCs/>
          <w:iCs/>
          <w:color w:val="358189"/>
          <w:sz w:val="34"/>
          <w:szCs w:val="34"/>
        </w:rPr>
        <w:t>-</w:t>
      </w:r>
      <w:r w:rsidRPr="00D779CD">
        <w:rPr>
          <w:rFonts w:cs="Arial"/>
          <w:b/>
          <w:bCs/>
          <w:iCs/>
          <w:color w:val="358189"/>
          <w:sz w:val="34"/>
          <w:szCs w:val="34"/>
        </w:rPr>
        <w:t>day supply?</w:t>
      </w:r>
    </w:p>
    <w:p w14:paraId="00746070" w14:textId="19163169" w:rsidR="00D779CD" w:rsidRPr="00F924EE" w:rsidRDefault="007822E3" w:rsidP="00F924EE">
      <w:pPr>
        <w:spacing w:before="60" w:after="60"/>
        <w:rPr>
          <w:szCs w:val="22"/>
        </w:rPr>
      </w:pPr>
      <w:r w:rsidRPr="00C956C7">
        <w:rPr>
          <w:szCs w:val="22"/>
        </w:rPr>
        <w:t xml:space="preserve">No. </w:t>
      </w:r>
      <w:r w:rsidR="202E8AF4" w:rsidRPr="00C956C7">
        <w:rPr>
          <w:szCs w:val="22"/>
        </w:rPr>
        <w:t xml:space="preserve">Prescribers </w:t>
      </w:r>
      <w:r w:rsidRPr="00C956C7">
        <w:rPr>
          <w:szCs w:val="22"/>
        </w:rPr>
        <w:t xml:space="preserve">will need to </w:t>
      </w:r>
      <w:r w:rsidR="3BC39FE9" w:rsidRPr="00C956C7">
        <w:rPr>
          <w:szCs w:val="22"/>
        </w:rPr>
        <w:t>generate a new prescription or medication chart prescription</w:t>
      </w:r>
      <w:r w:rsidR="5429A331" w:rsidRPr="00C956C7">
        <w:rPr>
          <w:szCs w:val="22"/>
        </w:rPr>
        <w:t>, indicating that 60</w:t>
      </w:r>
      <w:r w:rsidR="000C2E46" w:rsidRPr="00C956C7">
        <w:rPr>
          <w:szCs w:val="22"/>
        </w:rPr>
        <w:t>-</w:t>
      </w:r>
      <w:r w:rsidR="5429A331" w:rsidRPr="00C956C7">
        <w:rPr>
          <w:szCs w:val="22"/>
        </w:rPr>
        <w:t>day supply of the medicine should occur for the patient.</w:t>
      </w:r>
      <w:r w:rsidR="3BC39FE9" w:rsidRPr="00C956C7">
        <w:rPr>
          <w:szCs w:val="22"/>
        </w:rPr>
        <w:t xml:space="preserve"> </w:t>
      </w:r>
      <w:r w:rsidR="5A903995" w:rsidRPr="00C956C7">
        <w:rPr>
          <w:szCs w:val="22"/>
        </w:rPr>
        <w:t>In electronic prescribing systems, this is done by selecting the</w:t>
      </w:r>
      <w:r w:rsidR="00593599" w:rsidRPr="00C956C7">
        <w:rPr>
          <w:szCs w:val="22"/>
        </w:rPr>
        <w:t xml:space="preserve"> corresponding 60-day supply </w:t>
      </w:r>
      <w:r w:rsidR="00DA070F" w:rsidRPr="00C956C7">
        <w:rPr>
          <w:szCs w:val="22"/>
        </w:rPr>
        <w:t xml:space="preserve">PBS </w:t>
      </w:r>
      <w:r w:rsidR="00593599" w:rsidRPr="00C956C7">
        <w:rPr>
          <w:szCs w:val="22"/>
        </w:rPr>
        <w:t xml:space="preserve">Item Code </w:t>
      </w:r>
      <w:r w:rsidR="13717122" w:rsidRPr="00C956C7">
        <w:rPr>
          <w:szCs w:val="22"/>
        </w:rPr>
        <w:t xml:space="preserve">as part of the usual prescribing process. </w:t>
      </w:r>
      <w:r w:rsidR="00593599" w:rsidRPr="00C956C7">
        <w:rPr>
          <w:szCs w:val="22"/>
        </w:rPr>
        <w:t xml:space="preserve"> </w:t>
      </w:r>
      <w:r w:rsidR="002E15FD" w:rsidRPr="00C956C7">
        <w:rPr>
          <w:szCs w:val="22"/>
        </w:rPr>
        <w:t>This is a good opportunity to review other prescribed medicines.</w:t>
      </w:r>
    </w:p>
    <w:p w14:paraId="466875F7" w14:textId="0D8405EB" w:rsidR="00F00448" w:rsidRPr="00D779CD" w:rsidRDefault="007822E3" w:rsidP="00116661">
      <w:pPr>
        <w:pStyle w:val="Heading3"/>
        <w:spacing w:line="259" w:lineRule="auto"/>
        <w:rPr>
          <w:iCs/>
          <w:sz w:val="34"/>
          <w:szCs w:val="34"/>
        </w:rPr>
      </w:pPr>
      <w:r w:rsidRPr="00D779CD">
        <w:rPr>
          <w:iCs/>
          <w:sz w:val="34"/>
          <w:szCs w:val="34"/>
        </w:rPr>
        <w:t xml:space="preserve">How do prescribers use an </w:t>
      </w:r>
      <w:proofErr w:type="spellStart"/>
      <w:r w:rsidRPr="00D779CD">
        <w:rPr>
          <w:iCs/>
          <w:sz w:val="34"/>
          <w:szCs w:val="34"/>
        </w:rPr>
        <w:t>eNRMC</w:t>
      </w:r>
      <w:proofErr w:type="spellEnd"/>
      <w:r w:rsidRPr="00D779CD">
        <w:rPr>
          <w:iCs/>
          <w:sz w:val="34"/>
          <w:szCs w:val="34"/>
        </w:rPr>
        <w:t xml:space="preserve"> for 60</w:t>
      </w:r>
      <w:r w:rsidR="32FF3EEF" w:rsidRPr="00D779CD">
        <w:rPr>
          <w:iCs/>
          <w:sz w:val="34"/>
          <w:szCs w:val="34"/>
        </w:rPr>
        <w:t>-</w:t>
      </w:r>
      <w:r w:rsidR="28E0EBA8" w:rsidRPr="00D779CD">
        <w:rPr>
          <w:iCs/>
          <w:sz w:val="34"/>
          <w:szCs w:val="34"/>
        </w:rPr>
        <w:t>day prescriptions</w:t>
      </w:r>
      <w:r w:rsidR="00F00448" w:rsidRPr="00D779CD">
        <w:rPr>
          <w:iCs/>
          <w:sz w:val="34"/>
          <w:szCs w:val="34"/>
        </w:rPr>
        <w:t>? W</w:t>
      </w:r>
      <w:r w:rsidRPr="00D779CD">
        <w:rPr>
          <w:iCs/>
          <w:sz w:val="34"/>
          <w:szCs w:val="34"/>
        </w:rPr>
        <w:t>i</w:t>
      </w:r>
      <w:r w:rsidR="00F00448" w:rsidRPr="00D779CD">
        <w:rPr>
          <w:iCs/>
          <w:sz w:val="34"/>
          <w:szCs w:val="34"/>
        </w:rPr>
        <w:t xml:space="preserve">ll </w:t>
      </w:r>
      <w:r w:rsidRPr="00D779CD">
        <w:rPr>
          <w:iCs/>
          <w:sz w:val="34"/>
          <w:szCs w:val="34"/>
        </w:rPr>
        <w:t>they</w:t>
      </w:r>
      <w:r w:rsidR="00F00448" w:rsidRPr="00D779CD">
        <w:rPr>
          <w:iCs/>
          <w:sz w:val="34"/>
          <w:szCs w:val="34"/>
        </w:rPr>
        <w:t xml:space="preserve"> have to stop using </w:t>
      </w:r>
      <w:r w:rsidRPr="00D779CD">
        <w:rPr>
          <w:iCs/>
          <w:sz w:val="34"/>
          <w:szCs w:val="34"/>
        </w:rPr>
        <w:t xml:space="preserve">the </w:t>
      </w:r>
      <w:proofErr w:type="spellStart"/>
      <w:r w:rsidRPr="00D779CD">
        <w:rPr>
          <w:iCs/>
          <w:sz w:val="34"/>
          <w:szCs w:val="34"/>
        </w:rPr>
        <w:t>e</w:t>
      </w:r>
      <w:r w:rsidR="00F00448" w:rsidRPr="00D779CD">
        <w:rPr>
          <w:iCs/>
          <w:sz w:val="34"/>
          <w:szCs w:val="34"/>
        </w:rPr>
        <w:t>NRMC</w:t>
      </w:r>
      <w:proofErr w:type="spellEnd"/>
      <w:r w:rsidR="00F00448" w:rsidRPr="00D779CD">
        <w:rPr>
          <w:iCs/>
          <w:sz w:val="34"/>
          <w:szCs w:val="34"/>
        </w:rPr>
        <w:t xml:space="preserve"> and write </w:t>
      </w:r>
      <w:r w:rsidRPr="00D779CD">
        <w:rPr>
          <w:iCs/>
          <w:sz w:val="34"/>
          <w:szCs w:val="34"/>
        </w:rPr>
        <w:t>individual prescriptions</w:t>
      </w:r>
      <w:r w:rsidR="00F00448" w:rsidRPr="00D779CD">
        <w:rPr>
          <w:iCs/>
          <w:sz w:val="34"/>
          <w:szCs w:val="34"/>
        </w:rPr>
        <w:t>?</w:t>
      </w:r>
    </w:p>
    <w:p w14:paraId="713964DA" w14:textId="2F8F7BA3" w:rsidR="00D779CD" w:rsidRPr="00D779CD" w:rsidRDefault="002438E0" w:rsidP="000C0A9C">
      <w:pPr>
        <w:pStyle w:val="Tabletextleft"/>
      </w:pPr>
      <w:r w:rsidRPr="00D779CD">
        <w:t>The 60</w:t>
      </w:r>
      <w:r w:rsidR="3273B0B1" w:rsidRPr="00D779CD">
        <w:t>-</w:t>
      </w:r>
      <w:r w:rsidR="2E50204E" w:rsidRPr="00D779CD">
        <w:t>day prescriptions</w:t>
      </w:r>
      <w:r w:rsidRPr="00D779CD">
        <w:t xml:space="preserve"> do not affect the way medicines are prescribed using a medication chart. New </w:t>
      </w:r>
      <w:r w:rsidR="00175BB6" w:rsidRPr="00D779CD">
        <w:t>PBS</w:t>
      </w:r>
      <w:r w:rsidRPr="00D779CD">
        <w:t xml:space="preserve"> Item Codes </w:t>
      </w:r>
      <w:r w:rsidR="00175BB6" w:rsidRPr="00D779CD">
        <w:t>have been</w:t>
      </w:r>
      <w:r w:rsidRPr="00D779CD">
        <w:t xml:space="preserve"> created for medicines that are on the medicine list for increased dispensing quantities. When prescribing a medicine, the prescriber will need to enter the Item Code that corresponds to the supply quantity (</w:t>
      </w:r>
      <w:proofErr w:type="spellStart"/>
      <w:r w:rsidRPr="00D779CD">
        <w:t>ie</w:t>
      </w:r>
      <w:proofErr w:type="spellEnd"/>
      <w:r w:rsidRPr="00D779CD">
        <w:t xml:space="preserve">. 60 day or 30 day) that they wish to prescribe. </w:t>
      </w:r>
      <w:r w:rsidR="002E15FD" w:rsidRPr="00D779CD">
        <w:t xml:space="preserve">Prescribers </w:t>
      </w:r>
      <w:r w:rsidR="002E15FD" w:rsidRPr="00D779CD">
        <w:rPr>
          <w:i/>
          <w:iCs/>
        </w:rPr>
        <w:t>do not</w:t>
      </w:r>
      <w:r w:rsidR="002E15FD" w:rsidRPr="00D779CD">
        <w:t xml:space="preserve"> need to stop using the </w:t>
      </w:r>
      <w:proofErr w:type="spellStart"/>
      <w:r w:rsidR="002E15FD" w:rsidRPr="00D779CD">
        <w:t>eNRMC</w:t>
      </w:r>
      <w:proofErr w:type="spellEnd"/>
      <w:r w:rsidR="002E15FD" w:rsidRPr="00D779CD">
        <w:t xml:space="preserve"> and write individual prescriptions.</w:t>
      </w:r>
    </w:p>
    <w:p w14:paraId="6B36C045" w14:textId="056BA420" w:rsidR="0DF13BE3" w:rsidRPr="00D779CD" w:rsidRDefault="0DF13BE3" w:rsidP="2D01F264">
      <w:pPr>
        <w:pStyle w:val="Heading3"/>
        <w:rPr>
          <w:iCs/>
          <w:sz w:val="34"/>
          <w:szCs w:val="34"/>
        </w:rPr>
      </w:pPr>
      <w:r w:rsidRPr="00D779CD">
        <w:rPr>
          <w:iCs/>
          <w:sz w:val="34"/>
          <w:szCs w:val="34"/>
        </w:rPr>
        <w:t>Can a pharmacist choose between dispensing a 60-day supply or a 30-day supply?</w:t>
      </w:r>
    </w:p>
    <w:p w14:paraId="4885703B" w14:textId="6D9EF3DD" w:rsidR="00F924EE" w:rsidRPr="00D779CD" w:rsidRDefault="0DF13BE3" w:rsidP="00F924EE">
      <w:pPr>
        <w:spacing w:before="60" w:after="60"/>
        <w:rPr>
          <w:rFonts w:cs="Arial"/>
          <w:szCs w:val="22"/>
        </w:rPr>
      </w:pPr>
      <w:r w:rsidRPr="00D779CD">
        <w:rPr>
          <w:rFonts w:cs="Arial"/>
          <w:szCs w:val="22"/>
        </w:rPr>
        <w:t>Pharmacists will not be responsible for deciding whether to dispense a 60 or 30-day supply. They will only be able to dispense and claim against the Item Code indicated in the prescription. The Item Code specifies whether the medication is to be dispensed as a 60-day supply.</w:t>
      </w:r>
    </w:p>
    <w:p w14:paraId="51B27F3F" w14:textId="3091BFB9" w:rsidR="005E0D6B" w:rsidRPr="00D779CD" w:rsidRDefault="005E0D6B" w:rsidP="004B3005">
      <w:pPr>
        <w:spacing w:before="180" w:after="60"/>
        <w:rPr>
          <w:rFonts w:cs="Arial"/>
          <w:b/>
          <w:bCs/>
          <w:iCs/>
          <w:color w:val="358189"/>
          <w:sz w:val="34"/>
          <w:szCs w:val="34"/>
        </w:rPr>
      </w:pPr>
      <w:r w:rsidRPr="00D779CD">
        <w:rPr>
          <w:rFonts w:cs="Arial"/>
          <w:b/>
          <w:bCs/>
          <w:iCs/>
          <w:color w:val="358189"/>
          <w:sz w:val="34"/>
          <w:szCs w:val="34"/>
        </w:rPr>
        <w:t>How do you manage medicine supply where a chart has expired</w:t>
      </w:r>
      <w:r w:rsidR="00B758E0" w:rsidRPr="00D779CD">
        <w:rPr>
          <w:rFonts w:cs="Arial"/>
          <w:b/>
          <w:bCs/>
          <w:iCs/>
          <w:color w:val="358189"/>
          <w:sz w:val="34"/>
          <w:szCs w:val="34"/>
        </w:rPr>
        <w:t>?</w:t>
      </w:r>
    </w:p>
    <w:p w14:paraId="41F15455" w14:textId="0AA5C83E" w:rsidR="00D779CD" w:rsidRPr="00F924EE" w:rsidRDefault="000E3DD4" w:rsidP="00F924EE">
      <w:pPr>
        <w:spacing w:before="60" w:after="60"/>
        <w:rPr>
          <w:rFonts w:cs="Arial"/>
          <w:szCs w:val="22"/>
        </w:rPr>
      </w:pPr>
      <w:r w:rsidRPr="00D779CD">
        <w:rPr>
          <w:rFonts w:cs="Arial"/>
          <w:szCs w:val="22"/>
        </w:rPr>
        <w:lastRenderedPageBreak/>
        <w:t xml:space="preserve">A valid </w:t>
      </w:r>
      <w:r w:rsidR="001B1BD5" w:rsidRPr="00D779CD">
        <w:rPr>
          <w:rFonts w:cs="Arial"/>
          <w:szCs w:val="22"/>
        </w:rPr>
        <w:t xml:space="preserve">PBS prescription or </w:t>
      </w:r>
      <w:r w:rsidRPr="00D779CD">
        <w:rPr>
          <w:rFonts w:cs="Arial"/>
          <w:szCs w:val="22"/>
        </w:rPr>
        <w:t xml:space="preserve">medication chart </w:t>
      </w:r>
      <w:r w:rsidR="001B1BD5" w:rsidRPr="00D779CD">
        <w:rPr>
          <w:rFonts w:cs="Arial"/>
          <w:szCs w:val="22"/>
        </w:rPr>
        <w:t xml:space="preserve">prescription </w:t>
      </w:r>
      <w:r w:rsidRPr="00D779CD">
        <w:rPr>
          <w:rFonts w:cs="Arial"/>
          <w:szCs w:val="22"/>
        </w:rPr>
        <w:t xml:space="preserve">must be </w:t>
      </w:r>
      <w:r w:rsidR="001B1BD5" w:rsidRPr="00D779CD">
        <w:rPr>
          <w:rFonts w:cs="Arial"/>
          <w:szCs w:val="22"/>
        </w:rPr>
        <w:t xml:space="preserve">used for any </w:t>
      </w:r>
      <w:r w:rsidR="000409D1" w:rsidRPr="00D779CD">
        <w:rPr>
          <w:rFonts w:cs="Arial"/>
          <w:szCs w:val="22"/>
        </w:rPr>
        <w:t>PBS medicine supply</w:t>
      </w:r>
      <w:r w:rsidR="004F0C04" w:rsidRPr="00D779CD">
        <w:rPr>
          <w:rFonts w:cs="Arial"/>
          <w:szCs w:val="22"/>
        </w:rPr>
        <w:t xml:space="preserve"> or administration</w:t>
      </w:r>
      <w:r w:rsidR="000409D1" w:rsidRPr="00D779CD">
        <w:rPr>
          <w:rFonts w:cs="Arial"/>
          <w:szCs w:val="22"/>
        </w:rPr>
        <w:t>.</w:t>
      </w:r>
      <w:r w:rsidR="004B4776" w:rsidRPr="00D779CD">
        <w:rPr>
          <w:rFonts w:cs="Arial"/>
          <w:szCs w:val="22"/>
        </w:rPr>
        <w:t xml:space="preserve"> </w:t>
      </w:r>
      <w:r w:rsidR="009A667E" w:rsidRPr="00D779CD">
        <w:rPr>
          <w:rFonts w:cs="Arial"/>
          <w:szCs w:val="22"/>
        </w:rPr>
        <w:t xml:space="preserve">Where </w:t>
      </w:r>
      <w:r w:rsidR="00BA7854" w:rsidRPr="00D779CD">
        <w:rPr>
          <w:rFonts w:cs="Arial"/>
          <w:szCs w:val="22"/>
        </w:rPr>
        <w:t>a</w:t>
      </w:r>
      <w:r w:rsidR="00170E1E" w:rsidRPr="00D779CD">
        <w:rPr>
          <w:rFonts w:cs="Arial"/>
          <w:szCs w:val="22"/>
        </w:rPr>
        <w:t xml:space="preserve"> </w:t>
      </w:r>
      <w:r w:rsidR="009A667E" w:rsidRPr="00D779CD">
        <w:rPr>
          <w:rFonts w:cs="Arial"/>
          <w:szCs w:val="22"/>
        </w:rPr>
        <w:t xml:space="preserve">medication chart has </w:t>
      </w:r>
      <w:r w:rsidR="00170E1E" w:rsidRPr="00D779CD">
        <w:rPr>
          <w:rFonts w:cs="Arial"/>
          <w:szCs w:val="22"/>
        </w:rPr>
        <w:t>expired, but the 60-day supply of medicines has not yet been exhausted for a patient</w:t>
      </w:r>
      <w:r w:rsidR="009A667E" w:rsidRPr="00D779CD">
        <w:rPr>
          <w:rFonts w:cs="Arial"/>
          <w:szCs w:val="22"/>
        </w:rPr>
        <w:t xml:space="preserve">, the supply may continue so long as </w:t>
      </w:r>
      <w:r w:rsidR="00157625" w:rsidRPr="00D779CD">
        <w:rPr>
          <w:rFonts w:cs="Arial"/>
          <w:szCs w:val="22"/>
        </w:rPr>
        <w:t xml:space="preserve">the medicine has been re-prescribed on </w:t>
      </w:r>
      <w:r w:rsidR="009A667E" w:rsidRPr="00D779CD">
        <w:rPr>
          <w:rFonts w:cs="Arial"/>
          <w:szCs w:val="22"/>
        </w:rPr>
        <w:t xml:space="preserve">a valid PBS </w:t>
      </w:r>
      <w:r w:rsidR="00157625" w:rsidRPr="00D779CD">
        <w:rPr>
          <w:rFonts w:cs="Arial"/>
          <w:szCs w:val="22"/>
        </w:rPr>
        <w:t>medication chart prescription</w:t>
      </w:r>
      <w:r w:rsidR="00EE1191" w:rsidRPr="00D779CD">
        <w:rPr>
          <w:rFonts w:cs="Arial"/>
          <w:szCs w:val="22"/>
        </w:rPr>
        <w:t>.</w:t>
      </w:r>
      <w:r w:rsidR="0074718B" w:rsidRPr="00D779CD">
        <w:rPr>
          <w:rFonts w:cs="Arial"/>
          <w:szCs w:val="22"/>
        </w:rPr>
        <w:t xml:space="preserve"> </w:t>
      </w:r>
      <w:r w:rsidR="00352F70" w:rsidRPr="00D779CD">
        <w:rPr>
          <w:rFonts w:cs="Arial"/>
          <w:szCs w:val="22"/>
        </w:rPr>
        <w:t>Administration of medication which no longer holds a valid medication chart prescription must be ceased.</w:t>
      </w:r>
      <w:r w:rsidR="002E15FD" w:rsidRPr="00D779CD">
        <w:rPr>
          <w:rFonts w:cs="Arial"/>
          <w:szCs w:val="22"/>
        </w:rPr>
        <w:t xml:space="preserve"> This is no different to a 30-day supply of medicines that hasn’t been exhausted when a medication chart expires.</w:t>
      </w:r>
    </w:p>
    <w:p w14:paraId="7BC32CCC" w14:textId="47C86748" w:rsidR="0DF13BE3" w:rsidRPr="00D779CD" w:rsidRDefault="0DF13BE3" w:rsidP="004B3005">
      <w:pPr>
        <w:spacing w:before="180" w:after="60"/>
        <w:rPr>
          <w:rFonts w:cs="Arial"/>
          <w:b/>
          <w:bCs/>
          <w:iCs/>
          <w:color w:val="358189"/>
          <w:sz w:val="34"/>
          <w:szCs w:val="34"/>
        </w:rPr>
      </w:pPr>
      <w:r w:rsidRPr="00D779CD">
        <w:rPr>
          <w:rFonts w:cs="Arial"/>
          <w:b/>
          <w:bCs/>
          <w:iCs/>
          <w:color w:val="358189"/>
          <w:sz w:val="34"/>
          <w:szCs w:val="34"/>
        </w:rPr>
        <w:t xml:space="preserve">How will pharmacists track and manage 60-day supply for residents who receive Dose Administration Aids?  </w:t>
      </w:r>
    </w:p>
    <w:p w14:paraId="5C622016" w14:textId="14FFBB6E" w:rsidR="00D779CD" w:rsidRPr="00D779CD" w:rsidRDefault="78F0A183" w:rsidP="00F924EE">
      <w:pPr>
        <w:spacing w:before="60" w:after="60"/>
        <w:rPr>
          <w:rFonts w:cs="Arial"/>
          <w:szCs w:val="22"/>
        </w:rPr>
      </w:pPr>
      <w:r w:rsidRPr="00D779CD">
        <w:rPr>
          <w:rFonts w:cs="Arial"/>
          <w:szCs w:val="22"/>
        </w:rPr>
        <w:t>Pharmacists wh</w:t>
      </w:r>
      <w:r w:rsidR="4B8B34BA" w:rsidRPr="00D779CD">
        <w:rPr>
          <w:rFonts w:cs="Arial"/>
          <w:szCs w:val="22"/>
        </w:rPr>
        <w:t>ich</w:t>
      </w:r>
      <w:r w:rsidRPr="00D779CD">
        <w:rPr>
          <w:rFonts w:cs="Arial"/>
          <w:szCs w:val="22"/>
        </w:rPr>
        <w:t xml:space="preserve"> pack dose administration aids for residential aged care will need to track the packing of a 60-day </w:t>
      </w:r>
      <w:r w:rsidR="379586B5" w:rsidRPr="00D779CD">
        <w:rPr>
          <w:rFonts w:cs="Arial"/>
          <w:szCs w:val="22"/>
        </w:rPr>
        <w:t xml:space="preserve">medicine </w:t>
      </w:r>
      <w:r w:rsidRPr="00D779CD">
        <w:rPr>
          <w:rFonts w:cs="Arial"/>
          <w:szCs w:val="22"/>
        </w:rPr>
        <w:t xml:space="preserve">supply in the same way all other medicines are tracked </w:t>
      </w:r>
      <w:r w:rsidR="5400F2E8" w:rsidRPr="00D779CD">
        <w:rPr>
          <w:rFonts w:cs="Arial"/>
          <w:szCs w:val="22"/>
        </w:rPr>
        <w:t>and</w:t>
      </w:r>
      <w:r w:rsidRPr="00D779CD">
        <w:rPr>
          <w:rFonts w:cs="Arial"/>
          <w:szCs w:val="22"/>
        </w:rPr>
        <w:t xml:space="preserve"> pack</w:t>
      </w:r>
      <w:r w:rsidR="2726ED45" w:rsidRPr="00D779CD">
        <w:rPr>
          <w:rFonts w:cs="Arial"/>
          <w:szCs w:val="22"/>
        </w:rPr>
        <w:t xml:space="preserve">ed. Pharmacists should only dispense and claim a further supply </w:t>
      </w:r>
      <w:r w:rsidR="18D938AC" w:rsidRPr="00D779CD">
        <w:rPr>
          <w:rFonts w:cs="Arial"/>
          <w:szCs w:val="22"/>
        </w:rPr>
        <w:t xml:space="preserve">once </w:t>
      </w:r>
      <w:proofErr w:type="gramStart"/>
      <w:r w:rsidR="18D938AC" w:rsidRPr="00D779CD">
        <w:rPr>
          <w:rFonts w:cs="Arial"/>
          <w:szCs w:val="22"/>
        </w:rPr>
        <w:t>the majority of</w:t>
      </w:r>
      <w:proofErr w:type="gramEnd"/>
      <w:r w:rsidR="18D938AC" w:rsidRPr="00D779CD">
        <w:rPr>
          <w:rFonts w:cs="Arial"/>
          <w:szCs w:val="22"/>
        </w:rPr>
        <w:t xml:space="preserve"> the previous supply has been provided to the resident.</w:t>
      </w:r>
      <w:r w:rsidR="2726ED45" w:rsidRPr="00D779CD">
        <w:rPr>
          <w:rFonts w:cs="Arial"/>
          <w:szCs w:val="22"/>
        </w:rPr>
        <w:t xml:space="preserve"> </w:t>
      </w:r>
      <w:r w:rsidR="002E15FD" w:rsidRPr="00D779CD">
        <w:rPr>
          <w:rFonts w:cs="Arial"/>
          <w:szCs w:val="22"/>
        </w:rPr>
        <w:t>This is no different to a 30-day supply of medicines.</w:t>
      </w:r>
    </w:p>
    <w:p w14:paraId="2AB50685" w14:textId="6C55274E" w:rsidR="00EE1B96" w:rsidRPr="00D779CD" w:rsidRDefault="00EE1B96" w:rsidP="00145E1E">
      <w:pPr>
        <w:spacing w:before="180" w:after="60"/>
        <w:rPr>
          <w:rFonts w:cs="Arial"/>
          <w:b/>
          <w:bCs/>
          <w:iCs/>
          <w:color w:val="358189"/>
          <w:sz w:val="34"/>
          <w:szCs w:val="34"/>
        </w:rPr>
      </w:pPr>
      <w:r w:rsidRPr="00D779CD">
        <w:rPr>
          <w:rFonts w:cs="Arial"/>
          <w:b/>
          <w:bCs/>
          <w:iCs/>
          <w:color w:val="358189"/>
          <w:sz w:val="34"/>
          <w:szCs w:val="34"/>
        </w:rPr>
        <w:t>Where can I find more information about 60</w:t>
      </w:r>
      <w:r w:rsidR="00F924EE">
        <w:rPr>
          <w:rFonts w:cs="Arial"/>
          <w:b/>
          <w:bCs/>
          <w:iCs/>
          <w:color w:val="358189"/>
          <w:sz w:val="34"/>
          <w:szCs w:val="34"/>
        </w:rPr>
        <w:t>-d</w:t>
      </w:r>
      <w:r w:rsidRPr="00D779CD">
        <w:rPr>
          <w:rFonts w:cs="Arial"/>
          <w:b/>
          <w:bCs/>
          <w:iCs/>
          <w:color w:val="358189"/>
          <w:sz w:val="34"/>
          <w:szCs w:val="34"/>
        </w:rPr>
        <w:t xml:space="preserve">ay </w:t>
      </w:r>
      <w:r w:rsidR="00F924EE">
        <w:rPr>
          <w:rFonts w:cs="Arial"/>
          <w:b/>
          <w:bCs/>
          <w:iCs/>
          <w:color w:val="358189"/>
          <w:sz w:val="34"/>
          <w:szCs w:val="34"/>
        </w:rPr>
        <w:t>p</w:t>
      </w:r>
      <w:r w:rsidRPr="00D779CD">
        <w:rPr>
          <w:rFonts w:cs="Arial"/>
          <w:b/>
          <w:bCs/>
          <w:iCs/>
          <w:color w:val="358189"/>
          <w:sz w:val="34"/>
          <w:szCs w:val="34"/>
        </w:rPr>
        <w:t>rescri</w:t>
      </w:r>
      <w:r w:rsidR="00F924EE">
        <w:rPr>
          <w:rFonts w:cs="Arial"/>
          <w:b/>
          <w:bCs/>
          <w:iCs/>
          <w:color w:val="358189"/>
          <w:sz w:val="34"/>
          <w:szCs w:val="34"/>
        </w:rPr>
        <w:t>ptions</w:t>
      </w:r>
      <w:r w:rsidRPr="00D779CD">
        <w:rPr>
          <w:rFonts w:cs="Arial"/>
          <w:b/>
          <w:bCs/>
          <w:iCs/>
          <w:color w:val="358189"/>
          <w:sz w:val="34"/>
          <w:szCs w:val="34"/>
        </w:rPr>
        <w:t xml:space="preserve">? </w:t>
      </w:r>
    </w:p>
    <w:p w14:paraId="78D6D4BA" w14:textId="30A17740" w:rsidR="00EE1B96" w:rsidRPr="00FE6574" w:rsidRDefault="006D2198" w:rsidP="00FA26D6">
      <w:pPr>
        <w:pStyle w:val="NormalWeb"/>
        <w:spacing w:before="60" w:beforeAutospacing="0" w:after="240" w:afterAutospacing="0"/>
        <w:rPr>
          <w:rFonts w:ascii="Arial" w:hAnsi="Arial" w:cs="Arial"/>
          <w:sz w:val="22"/>
          <w:szCs w:val="22"/>
        </w:rPr>
      </w:pPr>
      <w:r w:rsidRPr="00FE6574">
        <w:rPr>
          <w:rFonts w:ascii="Arial" w:hAnsi="Arial" w:cs="Arial"/>
          <w:sz w:val="22"/>
          <w:szCs w:val="22"/>
        </w:rPr>
        <w:t xml:space="preserve">More information concerning 60-day prescriptions of PBS medicines is available on the Department of Health and Aged Care’s </w:t>
      </w:r>
      <w:hyperlink r:id="rId13" w:history="1">
        <w:r w:rsidRPr="00FE6574">
          <w:rPr>
            <w:rStyle w:val="Hyperlink"/>
            <w:rFonts w:ascii="Arial" w:hAnsi="Arial" w:cs="Arial"/>
            <w:sz w:val="22"/>
            <w:szCs w:val="22"/>
            <w:lang w:val="en" w:eastAsia="en-US"/>
          </w:rPr>
          <w:t>website</w:t>
        </w:r>
      </w:hyperlink>
      <w:r w:rsidRPr="00FE6574">
        <w:rPr>
          <w:rStyle w:val="Hyperlink"/>
          <w:rFonts w:ascii="Arial" w:hAnsi="Arial" w:cs="Arial"/>
          <w:color w:val="auto"/>
          <w:sz w:val="22"/>
          <w:szCs w:val="22"/>
          <w:u w:val="none"/>
          <w:lang w:val="en" w:eastAsia="en-US"/>
        </w:rPr>
        <w:t>.</w:t>
      </w:r>
    </w:p>
    <w:p w14:paraId="681A1413" w14:textId="77777777" w:rsidR="007822E3" w:rsidRPr="00145E1E" w:rsidRDefault="007822E3" w:rsidP="00145E1E">
      <w:pPr>
        <w:pStyle w:val="Boxheading"/>
        <w:spacing w:before="0" w:after="120"/>
        <w:ind w:left="0"/>
        <w:rPr>
          <w:rFonts w:eastAsiaTheme="minorHAnsi"/>
          <w:b w:val="0"/>
          <w:bCs w:val="0"/>
          <w:caps w:val="0"/>
          <w:sz w:val="28"/>
          <w:szCs w:val="24"/>
          <w:lang w:val="en-AU"/>
        </w:rPr>
      </w:pPr>
      <w:r w:rsidRPr="00145E1E">
        <w:rPr>
          <w:rFonts w:eastAsiaTheme="minorHAnsi"/>
          <w:b w:val="0"/>
          <w:bCs w:val="0"/>
          <w:caps w:val="0"/>
          <w:sz w:val="28"/>
          <w:szCs w:val="24"/>
          <w:lang w:val="en-AU"/>
        </w:rPr>
        <w:t>Contact</w:t>
      </w:r>
    </w:p>
    <w:p w14:paraId="4B81032E" w14:textId="0FFFECC3" w:rsidR="007822E3" w:rsidRPr="00984077" w:rsidRDefault="007822E3" w:rsidP="00145E1E">
      <w:pPr>
        <w:pStyle w:val="Boxtype"/>
        <w:spacing w:after="0"/>
        <w:ind w:left="0"/>
        <w:rPr>
          <w:szCs w:val="22"/>
        </w:rPr>
      </w:pPr>
      <w:r w:rsidRPr="00984077">
        <w:rPr>
          <w:szCs w:val="22"/>
        </w:rPr>
        <w:t>If you have any other questions regarding 60</w:t>
      </w:r>
      <w:r w:rsidR="00F924EE">
        <w:rPr>
          <w:szCs w:val="22"/>
        </w:rPr>
        <w:t>-day prescriptions</w:t>
      </w:r>
      <w:r w:rsidRPr="00984077">
        <w:rPr>
          <w:szCs w:val="22"/>
        </w:rPr>
        <w:t xml:space="preserve"> and the use of medication charts in RAC</w:t>
      </w:r>
      <w:r w:rsidR="003D786E" w:rsidRPr="00984077">
        <w:rPr>
          <w:szCs w:val="22"/>
        </w:rPr>
        <w:t>H</w:t>
      </w:r>
      <w:r w:rsidRPr="00984077">
        <w:rPr>
          <w:szCs w:val="22"/>
        </w:rPr>
        <w:t xml:space="preserve">s, please contact the </w:t>
      </w:r>
      <w:r w:rsidR="00F924EE">
        <w:rPr>
          <w:szCs w:val="22"/>
        </w:rPr>
        <w:t>d</w:t>
      </w:r>
      <w:r w:rsidRPr="00984077">
        <w:rPr>
          <w:szCs w:val="22"/>
        </w:rPr>
        <w:t xml:space="preserve">epartment on </w:t>
      </w:r>
      <w:hyperlink r:id="rId14">
        <w:r w:rsidRPr="00984077">
          <w:rPr>
            <w:rStyle w:val="Hyperlink"/>
            <w:szCs w:val="22"/>
          </w:rPr>
          <w:t>eNRMC@health.gov.au</w:t>
        </w:r>
      </w:hyperlink>
      <w:r w:rsidRPr="00984077">
        <w:rPr>
          <w:szCs w:val="22"/>
        </w:rPr>
        <w:t xml:space="preserve">. </w:t>
      </w:r>
    </w:p>
    <w:sectPr w:rsidR="007822E3" w:rsidRPr="00984077" w:rsidSect="00A57FCA">
      <w:headerReference w:type="default" r:id="rId15"/>
      <w:footerReference w:type="default" r:id="rId16"/>
      <w:headerReference w:type="first" r:id="rId17"/>
      <w:footerReference w:type="first" r:id="rId18"/>
      <w:type w:val="continuous"/>
      <w:pgSz w:w="11906" w:h="16838"/>
      <w:pgMar w:top="720" w:right="720" w:bottom="720" w:left="720" w:header="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509B" w14:textId="77777777" w:rsidR="005454F6" w:rsidRDefault="005454F6" w:rsidP="006B56BB">
      <w:r>
        <w:separator/>
      </w:r>
    </w:p>
    <w:p w14:paraId="72C80D5E" w14:textId="77777777" w:rsidR="005454F6" w:rsidRDefault="005454F6"/>
  </w:endnote>
  <w:endnote w:type="continuationSeparator" w:id="0">
    <w:p w14:paraId="7A653E18" w14:textId="77777777" w:rsidR="005454F6" w:rsidRDefault="005454F6" w:rsidP="006B56BB">
      <w:r>
        <w:continuationSeparator/>
      </w:r>
    </w:p>
    <w:p w14:paraId="190C2285" w14:textId="77777777" w:rsidR="005454F6" w:rsidRDefault="005454F6"/>
  </w:endnote>
  <w:endnote w:type="continuationNotice" w:id="1">
    <w:p w14:paraId="4E77CACB" w14:textId="77777777" w:rsidR="005454F6" w:rsidRDefault="005454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BECE8" w14:textId="61F52FF6" w:rsidR="00B53987" w:rsidRDefault="004C1BCD" w:rsidP="00B53987">
    <w:pPr>
      <w:pStyle w:val="Footer"/>
    </w:pPr>
    <w:r>
      <w:t xml:space="preserve">Department of Health and Aged Care </w:t>
    </w:r>
    <w:r w:rsidR="00B53987">
      <w:t>–</w:t>
    </w:r>
    <w:r w:rsidR="00C128F8">
      <w:t xml:space="preserve"> 60-Day Prescribing in Residential Aged Care </w:t>
    </w:r>
    <w:sdt>
      <w:sdtPr>
        <w:rPr>
          <w:color w:val="2B579A"/>
          <w:shd w:val="clear" w:color="auto" w:fill="E6E6E6"/>
        </w:rPr>
        <w:id w:val="-183903453"/>
        <w:docPartObj>
          <w:docPartGallery w:val="Page Numbers (Bottom of Page)"/>
          <w:docPartUnique/>
        </w:docPartObj>
      </w:sdtPr>
      <w:sdtEndPr>
        <w:rPr>
          <w:color w:val="auto"/>
          <w:shd w:val="clear" w:color="auto" w:fill="auto"/>
        </w:rPr>
      </w:sdtEndPr>
      <w:sdtContent>
        <w:r w:rsidR="00B53987" w:rsidRPr="006A7974">
          <w:tab/>
        </w:r>
        <w:r w:rsidR="00B53987" w:rsidRPr="006A7974">
          <w:fldChar w:fldCharType="begin"/>
        </w:r>
        <w:r w:rsidR="00B53987" w:rsidRPr="006A7974">
          <w:instrText xml:space="preserve"> PAGE   \* MERGEFORMAT </w:instrText>
        </w:r>
        <w:r w:rsidR="00B53987" w:rsidRPr="006A7974">
          <w:fldChar w:fldCharType="separate"/>
        </w:r>
        <w:r w:rsidR="00B53987" w:rsidRPr="006A7974">
          <w:t>1</w:t>
        </w:r>
        <w:r w:rsidR="00B53987" w:rsidRPr="006A7974">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CF4B" w14:textId="42222E1F" w:rsidR="00B53987" w:rsidRDefault="00B53987" w:rsidP="00164902">
    <w:pPr>
      <w:pStyle w:val="Title"/>
    </w:pPr>
    <w:r w:rsidRPr="00164902">
      <w:rPr>
        <w:rFonts w:eastAsia="Times New Roman" w:cs="Times New Roman"/>
        <w:b w:val="0"/>
        <w:color w:val="auto"/>
        <w:kern w:val="0"/>
        <w:sz w:val="20"/>
        <w:szCs w:val="24"/>
      </w:rPr>
      <w:t xml:space="preserve">Department of Health </w:t>
    </w:r>
    <w:r w:rsidR="004C1BCD" w:rsidRPr="00164902">
      <w:rPr>
        <w:rFonts w:eastAsia="Times New Roman" w:cs="Times New Roman"/>
        <w:b w:val="0"/>
        <w:color w:val="auto"/>
        <w:kern w:val="0"/>
        <w:sz w:val="20"/>
        <w:szCs w:val="24"/>
      </w:rPr>
      <w:t xml:space="preserve">and Aged Care </w:t>
    </w:r>
    <w:r w:rsidRPr="00164902">
      <w:rPr>
        <w:rFonts w:eastAsia="Times New Roman" w:cs="Times New Roman"/>
        <w:b w:val="0"/>
        <w:color w:val="auto"/>
        <w:kern w:val="0"/>
        <w:sz w:val="20"/>
        <w:szCs w:val="24"/>
      </w:rPr>
      <w:t xml:space="preserve">– </w:t>
    </w:r>
    <w:r w:rsidR="00164902" w:rsidRPr="00164902">
      <w:rPr>
        <w:rFonts w:eastAsia="Times New Roman" w:cs="Times New Roman"/>
        <w:b w:val="0"/>
        <w:color w:val="auto"/>
        <w:kern w:val="0"/>
        <w:sz w:val="20"/>
        <w:szCs w:val="24"/>
      </w:rPr>
      <w:t>60-Day Prescriptions in Residential Aged Care</w:t>
    </w:r>
    <w:sdt>
      <w:sdtPr>
        <w:rPr>
          <w:rFonts w:eastAsia="Times New Roman" w:cs="Times New Roman"/>
          <w:b w:val="0"/>
          <w:color w:val="auto"/>
          <w:kern w:val="0"/>
          <w:sz w:val="20"/>
          <w:szCs w:val="24"/>
        </w:rPr>
        <w:id w:val="-178737789"/>
        <w:docPartObj>
          <w:docPartGallery w:val="Page Numbers (Bottom of Page)"/>
          <w:docPartUnique/>
        </w:docPartObj>
      </w:sdtPr>
      <w:sdtEndPr/>
      <w:sdtContent>
        <w:r w:rsidR="00164902">
          <w:rPr>
            <w:rFonts w:eastAsia="Times New Roman" w:cs="Times New Roman"/>
            <w:b w:val="0"/>
            <w:color w:val="auto"/>
            <w:kern w:val="0"/>
            <w:sz w:val="20"/>
            <w:szCs w:val="24"/>
          </w:rPr>
          <w:tab/>
        </w:r>
        <w:r w:rsidR="00C128F8">
          <w:rPr>
            <w:rFonts w:eastAsia="Times New Roman" w:cs="Times New Roman"/>
            <w:b w:val="0"/>
            <w:color w:val="auto"/>
            <w:kern w:val="0"/>
            <w:sz w:val="20"/>
            <w:szCs w:val="24"/>
          </w:rPr>
          <w:t xml:space="preserve">            </w:t>
        </w:r>
        <w:r w:rsidRPr="00164902">
          <w:rPr>
            <w:rFonts w:eastAsia="Times New Roman" w:cs="Times New Roman"/>
            <w:b w:val="0"/>
            <w:color w:val="auto"/>
            <w:kern w:val="0"/>
            <w:sz w:val="20"/>
            <w:szCs w:val="24"/>
          </w:rPr>
          <w:tab/>
        </w:r>
        <w:r w:rsidRPr="00164902">
          <w:rPr>
            <w:rFonts w:eastAsia="Times New Roman" w:cs="Times New Roman"/>
            <w:b w:val="0"/>
            <w:color w:val="auto"/>
            <w:kern w:val="0"/>
            <w:sz w:val="20"/>
            <w:szCs w:val="24"/>
          </w:rPr>
          <w:fldChar w:fldCharType="begin"/>
        </w:r>
        <w:r w:rsidRPr="00164902">
          <w:rPr>
            <w:rFonts w:eastAsia="Times New Roman" w:cs="Times New Roman"/>
            <w:b w:val="0"/>
            <w:color w:val="auto"/>
            <w:kern w:val="0"/>
            <w:sz w:val="20"/>
            <w:szCs w:val="24"/>
          </w:rPr>
          <w:instrText xml:space="preserve"> PAGE   \* MERGEFORMAT </w:instrText>
        </w:r>
        <w:r w:rsidRPr="00164902">
          <w:rPr>
            <w:rFonts w:eastAsia="Times New Roman" w:cs="Times New Roman"/>
            <w:b w:val="0"/>
            <w:color w:val="auto"/>
            <w:kern w:val="0"/>
            <w:sz w:val="20"/>
            <w:szCs w:val="24"/>
          </w:rPr>
          <w:fldChar w:fldCharType="separate"/>
        </w:r>
        <w:r w:rsidRPr="00164902">
          <w:rPr>
            <w:rFonts w:eastAsia="Times New Roman" w:cs="Times New Roman"/>
            <w:b w:val="0"/>
            <w:color w:val="auto"/>
            <w:kern w:val="0"/>
            <w:sz w:val="20"/>
            <w:szCs w:val="24"/>
          </w:rPr>
          <w:t>2</w:t>
        </w:r>
        <w:r w:rsidRPr="00164902">
          <w:rPr>
            <w:rFonts w:eastAsia="Times New Roman" w:cs="Times New Roman"/>
            <w:b w:val="0"/>
            <w:color w:val="auto"/>
            <w:kern w:val="0"/>
            <w:sz w:val="20"/>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87697" w14:textId="77777777" w:rsidR="005454F6" w:rsidRDefault="005454F6" w:rsidP="006B56BB">
      <w:r>
        <w:separator/>
      </w:r>
    </w:p>
    <w:p w14:paraId="7F7A5039" w14:textId="77777777" w:rsidR="005454F6" w:rsidRDefault="005454F6"/>
  </w:footnote>
  <w:footnote w:type="continuationSeparator" w:id="0">
    <w:p w14:paraId="3A18DD10" w14:textId="77777777" w:rsidR="005454F6" w:rsidRDefault="005454F6" w:rsidP="006B56BB">
      <w:r>
        <w:continuationSeparator/>
      </w:r>
    </w:p>
    <w:p w14:paraId="66E58008" w14:textId="77777777" w:rsidR="005454F6" w:rsidRDefault="005454F6"/>
  </w:footnote>
  <w:footnote w:type="continuationNotice" w:id="1">
    <w:p w14:paraId="43E79192" w14:textId="77777777" w:rsidR="005454F6" w:rsidRDefault="005454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F92F" w14:textId="77777777" w:rsidR="008E0C77" w:rsidRDefault="008E0C77"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CC559" w14:textId="3794617D" w:rsidR="00D779CD" w:rsidRDefault="001F7CA7">
    <w:pPr>
      <w:pStyle w:val="Header"/>
      <w:rPr>
        <w:noProof/>
      </w:rPr>
    </w:pPr>
    <w:r>
      <w:rPr>
        <w:noProof/>
      </w:rPr>
      <w:t xml:space="preserve"> </w:t>
    </w:r>
  </w:p>
  <w:p w14:paraId="5FF5578C" w14:textId="38E80C30" w:rsidR="00B53987" w:rsidRDefault="00A57FCA">
    <w:pPr>
      <w:pStyle w:val="Header"/>
    </w:pPr>
    <w:r>
      <w:rPr>
        <w:noProof/>
      </w:rPr>
      <w:drawing>
        <wp:anchor distT="0" distB="0" distL="114300" distR="114300" simplePos="0" relativeHeight="251658240" behindDoc="1" locked="0" layoutInCell="1" allowOverlap="1" wp14:anchorId="0F33CEE8" wp14:editId="26D997D5">
          <wp:simplePos x="0" y="0"/>
          <wp:positionH relativeFrom="column">
            <wp:posOffset>-157480</wp:posOffset>
          </wp:positionH>
          <wp:positionV relativeFrom="paragraph">
            <wp:posOffset>85725</wp:posOffset>
          </wp:positionV>
          <wp:extent cx="3133725" cy="704850"/>
          <wp:effectExtent l="0" t="0" r="9525" b="0"/>
          <wp:wrapNone/>
          <wp:docPr id="1" name="Picture 1" descr="Australian Government Department of Health and Aged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Health and Aged Care logo"/>
                  <pic:cNvPicPr/>
                </pic:nvPicPr>
                <pic:blipFill>
                  <a:blip r:embed="rId1">
                    <a:extLst>
                      <a:ext uri="{28A0092B-C50C-407E-A947-70E740481C1C}">
                        <a14:useLocalDpi xmlns:a14="http://schemas.microsoft.com/office/drawing/2010/main" val="0"/>
                      </a:ext>
                    </a:extLst>
                  </a:blip>
                  <a:stretch>
                    <a:fillRect/>
                  </a:stretch>
                </pic:blipFill>
                <pic:spPr>
                  <a:xfrm>
                    <a:off x="0" y="0"/>
                    <a:ext cx="3133725" cy="704850"/>
                  </a:xfrm>
                  <a:prstGeom prst="rect">
                    <a:avLst/>
                  </a:prstGeom>
                </pic:spPr>
              </pic:pic>
            </a:graphicData>
          </a:graphic>
        </wp:anchor>
      </w:drawing>
    </w:r>
    <w:r w:rsidR="00D779CD">
      <w:rPr>
        <w:noProof/>
      </w:rPr>
      <w:drawing>
        <wp:anchor distT="0" distB="0" distL="114300" distR="114300" simplePos="0" relativeHeight="251658241" behindDoc="0" locked="0" layoutInCell="1" allowOverlap="1" wp14:anchorId="6B1561AF" wp14:editId="04A29D60">
          <wp:simplePos x="0" y="0"/>
          <wp:positionH relativeFrom="margin">
            <wp:align>center</wp:align>
          </wp:positionH>
          <wp:positionV relativeFrom="paragraph">
            <wp:posOffset>856120</wp:posOffset>
          </wp:positionV>
          <wp:extent cx="6621780" cy="85725"/>
          <wp:effectExtent l="0" t="0" r="7620" b="952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21780" cy="85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B722292C">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428187210">
    <w:abstractNumId w:val="7"/>
  </w:num>
  <w:num w:numId="2" w16cid:durableId="2105878216">
    <w:abstractNumId w:val="15"/>
  </w:num>
  <w:num w:numId="3" w16cid:durableId="671226532">
    <w:abstractNumId w:val="17"/>
  </w:num>
  <w:num w:numId="4" w16cid:durableId="1506937884">
    <w:abstractNumId w:val="8"/>
  </w:num>
  <w:num w:numId="5" w16cid:durableId="1265769880">
    <w:abstractNumId w:val="8"/>
    <w:lvlOverride w:ilvl="0">
      <w:startOverride w:val="1"/>
    </w:lvlOverride>
  </w:num>
  <w:num w:numId="6" w16cid:durableId="1288003406">
    <w:abstractNumId w:val="9"/>
  </w:num>
  <w:num w:numId="7" w16cid:durableId="1551646069">
    <w:abstractNumId w:val="13"/>
  </w:num>
  <w:num w:numId="8" w16cid:durableId="407311294">
    <w:abstractNumId w:val="16"/>
  </w:num>
  <w:num w:numId="9" w16cid:durableId="1855923538">
    <w:abstractNumId w:val="5"/>
  </w:num>
  <w:num w:numId="10" w16cid:durableId="788933602">
    <w:abstractNumId w:val="4"/>
  </w:num>
  <w:num w:numId="11" w16cid:durableId="5327513">
    <w:abstractNumId w:val="3"/>
  </w:num>
  <w:num w:numId="12" w16cid:durableId="344138758">
    <w:abstractNumId w:val="2"/>
  </w:num>
  <w:num w:numId="13" w16cid:durableId="1879080393">
    <w:abstractNumId w:val="6"/>
  </w:num>
  <w:num w:numId="14" w16cid:durableId="1399593633">
    <w:abstractNumId w:val="1"/>
  </w:num>
  <w:num w:numId="15" w16cid:durableId="1336497471">
    <w:abstractNumId w:val="0"/>
  </w:num>
  <w:num w:numId="16" w16cid:durableId="1887570050">
    <w:abstractNumId w:val="18"/>
  </w:num>
  <w:num w:numId="17" w16cid:durableId="803278780">
    <w:abstractNumId w:val="10"/>
  </w:num>
  <w:num w:numId="18" w16cid:durableId="364212072">
    <w:abstractNumId w:val="11"/>
  </w:num>
  <w:num w:numId="19" w16cid:durableId="808983311">
    <w:abstractNumId w:val="12"/>
  </w:num>
  <w:num w:numId="20" w16cid:durableId="1108499705">
    <w:abstractNumId w:val="10"/>
  </w:num>
  <w:num w:numId="21" w16cid:durableId="2135168833">
    <w:abstractNumId w:val="12"/>
  </w:num>
  <w:num w:numId="22" w16cid:durableId="1331519124">
    <w:abstractNumId w:val="18"/>
  </w:num>
  <w:num w:numId="23" w16cid:durableId="768160667">
    <w:abstractNumId w:val="15"/>
  </w:num>
  <w:num w:numId="24" w16cid:durableId="501624301">
    <w:abstractNumId w:val="17"/>
  </w:num>
  <w:num w:numId="25" w16cid:durableId="1331903733">
    <w:abstractNumId w:val="8"/>
  </w:num>
  <w:num w:numId="26" w16cid:durableId="3502300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3E4"/>
    <w:rsid w:val="00003743"/>
    <w:rsid w:val="000047B4"/>
    <w:rsid w:val="00005712"/>
    <w:rsid w:val="00007FD8"/>
    <w:rsid w:val="00010846"/>
    <w:rsid w:val="000117F8"/>
    <w:rsid w:val="0001460F"/>
    <w:rsid w:val="00022629"/>
    <w:rsid w:val="000231E9"/>
    <w:rsid w:val="00026139"/>
    <w:rsid w:val="00026B71"/>
    <w:rsid w:val="00027601"/>
    <w:rsid w:val="00033321"/>
    <w:rsid w:val="000338E5"/>
    <w:rsid w:val="00033ECC"/>
    <w:rsid w:val="0003422F"/>
    <w:rsid w:val="000409D1"/>
    <w:rsid w:val="00044313"/>
    <w:rsid w:val="00046FF0"/>
    <w:rsid w:val="00050176"/>
    <w:rsid w:val="00050342"/>
    <w:rsid w:val="00055A69"/>
    <w:rsid w:val="00067456"/>
    <w:rsid w:val="00071506"/>
    <w:rsid w:val="0007154F"/>
    <w:rsid w:val="00071CCA"/>
    <w:rsid w:val="00073562"/>
    <w:rsid w:val="00081AB1"/>
    <w:rsid w:val="0008219E"/>
    <w:rsid w:val="00083445"/>
    <w:rsid w:val="00085960"/>
    <w:rsid w:val="00090316"/>
    <w:rsid w:val="000910FA"/>
    <w:rsid w:val="00093981"/>
    <w:rsid w:val="000B067A"/>
    <w:rsid w:val="000B1540"/>
    <w:rsid w:val="000B1E53"/>
    <w:rsid w:val="000B33FD"/>
    <w:rsid w:val="000B4ABA"/>
    <w:rsid w:val="000C0A9C"/>
    <w:rsid w:val="000C2E46"/>
    <w:rsid w:val="000C4B16"/>
    <w:rsid w:val="000C50C3"/>
    <w:rsid w:val="000C5E14"/>
    <w:rsid w:val="000D21F6"/>
    <w:rsid w:val="000D4500"/>
    <w:rsid w:val="000D7AEA"/>
    <w:rsid w:val="000E2C66"/>
    <w:rsid w:val="000E3DD4"/>
    <w:rsid w:val="000F123C"/>
    <w:rsid w:val="000F2FED"/>
    <w:rsid w:val="000F62F8"/>
    <w:rsid w:val="0010616D"/>
    <w:rsid w:val="00110478"/>
    <w:rsid w:val="00116661"/>
    <w:rsid w:val="0011711B"/>
    <w:rsid w:val="00117F8A"/>
    <w:rsid w:val="00121B9B"/>
    <w:rsid w:val="00122ADC"/>
    <w:rsid w:val="00130F59"/>
    <w:rsid w:val="00132973"/>
    <w:rsid w:val="00133EC0"/>
    <w:rsid w:val="00141CE5"/>
    <w:rsid w:val="00144908"/>
    <w:rsid w:val="00145E1E"/>
    <w:rsid w:val="00156D96"/>
    <w:rsid w:val="001571C7"/>
    <w:rsid w:val="00157625"/>
    <w:rsid w:val="00161094"/>
    <w:rsid w:val="00162302"/>
    <w:rsid w:val="00164902"/>
    <w:rsid w:val="00170E1E"/>
    <w:rsid w:val="00175BB6"/>
    <w:rsid w:val="0017665C"/>
    <w:rsid w:val="00177AD2"/>
    <w:rsid w:val="001815A8"/>
    <w:rsid w:val="001840FA"/>
    <w:rsid w:val="00190079"/>
    <w:rsid w:val="00191447"/>
    <w:rsid w:val="00191F3D"/>
    <w:rsid w:val="0019622E"/>
    <w:rsid w:val="001966A7"/>
    <w:rsid w:val="001A4627"/>
    <w:rsid w:val="001A4979"/>
    <w:rsid w:val="001A63E4"/>
    <w:rsid w:val="001B15D3"/>
    <w:rsid w:val="001B1BD5"/>
    <w:rsid w:val="001B3443"/>
    <w:rsid w:val="001C0326"/>
    <w:rsid w:val="001C192F"/>
    <w:rsid w:val="001C3C42"/>
    <w:rsid w:val="001D7869"/>
    <w:rsid w:val="001E18D8"/>
    <w:rsid w:val="001F0CF0"/>
    <w:rsid w:val="001F428F"/>
    <w:rsid w:val="001F7CA7"/>
    <w:rsid w:val="002026CD"/>
    <w:rsid w:val="002033FC"/>
    <w:rsid w:val="002044BB"/>
    <w:rsid w:val="00210B09"/>
    <w:rsid w:val="00210C9E"/>
    <w:rsid w:val="00211840"/>
    <w:rsid w:val="00212CF5"/>
    <w:rsid w:val="002172C3"/>
    <w:rsid w:val="00220E5F"/>
    <w:rsid w:val="002212B5"/>
    <w:rsid w:val="00226668"/>
    <w:rsid w:val="00233809"/>
    <w:rsid w:val="00234BF3"/>
    <w:rsid w:val="00240046"/>
    <w:rsid w:val="002438E0"/>
    <w:rsid w:val="0024797F"/>
    <w:rsid w:val="0025119E"/>
    <w:rsid w:val="00251269"/>
    <w:rsid w:val="002535C0"/>
    <w:rsid w:val="00256110"/>
    <w:rsid w:val="002579FE"/>
    <w:rsid w:val="00260552"/>
    <w:rsid w:val="0026311C"/>
    <w:rsid w:val="0026668C"/>
    <w:rsid w:val="00266AC1"/>
    <w:rsid w:val="0027178C"/>
    <w:rsid w:val="002719FA"/>
    <w:rsid w:val="00271E83"/>
    <w:rsid w:val="00272668"/>
    <w:rsid w:val="0027330B"/>
    <w:rsid w:val="002803AD"/>
    <w:rsid w:val="00282052"/>
    <w:rsid w:val="002831A3"/>
    <w:rsid w:val="0028519E"/>
    <w:rsid w:val="002856A5"/>
    <w:rsid w:val="002872ED"/>
    <w:rsid w:val="002905C2"/>
    <w:rsid w:val="002959E2"/>
    <w:rsid w:val="00295AF2"/>
    <w:rsid w:val="00295C91"/>
    <w:rsid w:val="00297151"/>
    <w:rsid w:val="002A525C"/>
    <w:rsid w:val="002B20E6"/>
    <w:rsid w:val="002B42A3"/>
    <w:rsid w:val="002C0CDD"/>
    <w:rsid w:val="002C38C4"/>
    <w:rsid w:val="002E15FD"/>
    <w:rsid w:val="002E1A1D"/>
    <w:rsid w:val="002E4081"/>
    <w:rsid w:val="002E5B78"/>
    <w:rsid w:val="002F3AE3"/>
    <w:rsid w:val="002F4F43"/>
    <w:rsid w:val="0030464B"/>
    <w:rsid w:val="0030786C"/>
    <w:rsid w:val="003233DE"/>
    <w:rsid w:val="0032466B"/>
    <w:rsid w:val="003330EB"/>
    <w:rsid w:val="003339F3"/>
    <w:rsid w:val="0033713F"/>
    <w:rsid w:val="003415FD"/>
    <w:rsid w:val="003429F0"/>
    <w:rsid w:val="00345958"/>
    <w:rsid w:val="00345A82"/>
    <w:rsid w:val="0035097A"/>
    <w:rsid w:val="00352F70"/>
    <w:rsid w:val="003540A4"/>
    <w:rsid w:val="00357BCC"/>
    <w:rsid w:val="00360E4E"/>
    <w:rsid w:val="00370AAA"/>
    <w:rsid w:val="0037480A"/>
    <w:rsid w:val="00375F77"/>
    <w:rsid w:val="003776E5"/>
    <w:rsid w:val="00381BBE"/>
    <w:rsid w:val="00382903"/>
    <w:rsid w:val="00382E03"/>
    <w:rsid w:val="003846FF"/>
    <w:rsid w:val="003857D4"/>
    <w:rsid w:val="00385AD4"/>
    <w:rsid w:val="00387924"/>
    <w:rsid w:val="0039384D"/>
    <w:rsid w:val="00395C23"/>
    <w:rsid w:val="003A138B"/>
    <w:rsid w:val="003A2E4F"/>
    <w:rsid w:val="003A4438"/>
    <w:rsid w:val="003A5013"/>
    <w:rsid w:val="003A5078"/>
    <w:rsid w:val="003A5BEE"/>
    <w:rsid w:val="003A62DD"/>
    <w:rsid w:val="003A775A"/>
    <w:rsid w:val="003B213A"/>
    <w:rsid w:val="003B43AD"/>
    <w:rsid w:val="003B6582"/>
    <w:rsid w:val="003B7F73"/>
    <w:rsid w:val="003C0FEC"/>
    <w:rsid w:val="003C2AC8"/>
    <w:rsid w:val="003D033A"/>
    <w:rsid w:val="003D17F9"/>
    <w:rsid w:val="003D2D88"/>
    <w:rsid w:val="003D41EA"/>
    <w:rsid w:val="003D4850"/>
    <w:rsid w:val="003D535A"/>
    <w:rsid w:val="003D622B"/>
    <w:rsid w:val="003D786E"/>
    <w:rsid w:val="003E5265"/>
    <w:rsid w:val="003F0955"/>
    <w:rsid w:val="003F5F4D"/>
    <w:rsid w:val="003F646F"/>
    <w:rsid w:val="00400F00"/>
    <w:rsid w:val="00404F8B"/>
    <w:rsid w:val="00405256"/>
    <w:rsid w:val="00410031"/>
    <w:rsid w:val="00415C81"/>
    <w:rsid w:val="00432378"/>
    <w:rsid w:val="00440D65"/>
    <w:rsid w:val="004435E6"/>
    <w:rsid w:val="004450D7"/>
    <w:rsid w:val="00447D08"/>
    <w:rsid w:val="00447E31"/>
    <w:rsid w:val="00453923"/>
    <w:rsid w:val="00454B9B"/>
    <w:rsid w:val="00457858"/>
    <w:rsid w:val="00460B0B"/>
    <w:rsid w:val="00461023"/>
    <w:rsid w:val="00462FAC"/>
    <w:rsid w:val="00464631"/>
    <w:rsid w:val="00464B79"/>
    <w:rsid w:val="00467BBF"/>
    <w:rsid w:val="0048593C"/>
    <w:rsid w:val="004867E2"/>
    <w:rsid w:val="004870DF"/>
    <w:rsid w:val="004929A9"/>
    <w:rsid w:val="004A78D9"/>
    <w:rsid w:val="004B105A"/>
    <w:rsid w:val="004B3005"/>
    <w:rsid w:val="004B4776"/>
    <w:rsid w:val="004C1BCD"/>
    <w:rsid w:val="004C6BCF"/>
    <w:rsid w:val="004D4F09"/>
    <w:rsid w:val="004D58BF"/>
    <w:rsid w:val="004E410F"/>
    <w:rsid w:val="004E4335"/>
    <w:rsid w:val="004F0650"/>
    <w:rsid w:val="004F0C04"/>
    <w:rsid w:val="004F13EE"/>
    <w:rsid w:val="004F1AA1"/>
    <w:rsid w:val="004F2022"/>
    <w:rsid w:val="004F7C05"/>
    <w:rsid w:val="00501C94"/>
    <w:rsid w:val="00502DA0"/>
    <w:rsid w:val="00506390"/>
    <w:rsid w:val="00506432"/>
    <w:rsid w:val="005069B5"/>
    <w:rsid w:val="00506E82"/>
    <w:rsid w:val="00511416"/>
    <w:rsid w:val="00514BEA"/>
    <w:rsid w:val="0052051D"/>
    <w:rsid w:val="0053014B"/>
    <w:rsid w:val="005454F6"/>
    <w:rsid w:val="00545EE6"/>
    <w:rsid w:val="005550E7"/>
    <w:rsid w:val="005564FB"/>
    <w:rsid w:val="005572C7"/>
    <w:rsid w:val="005650ED"/>
    <w:rsid w:val="00566DD1"/>
    <w:rsid w:val="00575754"/>
    <w:rsid w:val="00581FBA"/>
    <w:rsid w:val="00591E20"/>
    <w:rsid w:val="00593599"/>
    <w:rsid w:val="00595408"/>
    <w:rsid w:val="00595E84"/>
    <w:rsid w:val="00596233"/>
    <w:rsid w:val="005A0C59"/>
    <w:rsid w:val="005A2E77"/>
    <w:rsid w:val="005A32F8"/>
    <w:rsid w:val="005A48EB"/>
    <w:rsid w:val="005A6CFB"/>
    <w:rsid w:val="005A704B"/>
    <w:rsid w:val="005C5AEB"/>
    <w:rsid w:val="005D24F1"/>
    <w:rsid w:val="005E0A3F"/>
    <w:rsid w:val="005E0D6B"/>
    <w:rsid w:val="005E6883"/>
    <w:rsid w:val="005E772F"/>
    <w:rsid w:val="005F4ECA"/>
    <w:rsid w:val="0060187C"/>
    <w:rsid w:val="0060415B"/>
    <w:rsid w:val="006041BE"/>
    <w:rsid w:val="006043C7"/>
    <w:rsid w:val="00624B52"/>
    <w:rsid w:val="00630794"/>
    <w:rsid w:val="00631DF4"/>
    <w:rsid w:val="00634175"/>
    <w:rsid w:val="006408AC"/>
    <w:rsid w:val="00640E68"/>
    <w:rsid w:val="00646E55"/>
    <w:rsid w:val="006511B6"/>
    <w:rsid w:val="00652CE7"/>
    <w:rsid w:val="00657FF8"/>
    <w:rsid w:val="00660149"/>
    <w:rsid w:val="00670D99"/>
    <w:rsid w:val="00670E2B"/>
    <w:rsid w:val="006734BB"/>
    <w:rsid w:val="0067697A"/>
    <w:rsid w:val="006821EB"/>
    <w:rsid w:val="00697798"/>
    <w:rsid w:val="006A701A"/>
    <w:rsid w:val="006A7974"/>
    <w:rsid w:val="006B2286"/>
    <w:rsid w:val="006B56BB"/>
    <w:rsid w:val="006B79BA"/>
    <w:rsid w:val="006C77A8"/>
    <w:rsid w:val="006D18AF"/>
    <w:rsid w:val="006D2198"/>
    <w:rsid w:val="006D4098"/>
    <w:rsid w:val="006D48FA"/>
    <w:rsid w:val="006D7681"/>
    <w:rsid w:val="006D7A07"/>
    <w:rsid w:val="006D7B2E"/>
    <w:rsid w:val="006E02EA"/>
    <w:rsid w:val="006E0968"/>
    <w:rsid w:val="006E2AF6"/>
    <w:rsid w:val="006EF3E0"/>
    <w:rsid w:val="00701275"/>
    <w:rsid w:val="00702891"/>
    <w:rsid w:val="007033D9"/>
    <w:rsid w:val="00703D2F"/>
    <w:rsid w:val="007058EB"/>
    <w:rsid w:val="00707F56"/>
    <w:rsid w:val="00713558"/>
    <w:rsid w:val="0071B039"/>
    <w:rsid w:val="00720D08"/>
    <w:rsid w:val="007233E3"/>
    <w:rsid w:val="007263B9"/>
    <w:rsid w:val="00726C95"/>
    <w:rsid w:val="007334F8"/>
    <w:rsid w:val="007339CD"/>
    <w:rsid w:val="007359D8"/>
    <w:rsid w:val="007362D4"/>
    <w:rsid w:val="0074718B"/>
    <w:rsid w:val="0076672A"/>
    <w:rsid w:val="0076E166"/>
    <w:rsid w:val="00775E45"/>
    <w:rsid w:val="007761C3"/>
    <w:rsid w:val="00776E74"/>
    <w:rsid w:val="007822E3"/>
    <w:rsid w:val="00785169"/>
    <w:rsid w:val="007954AB"/>
    <w:rsid w:val="00795CA0"/>
    <w:rsid w:val="007A14C5"/>
    <w:rsid w:val="007A4A10"/>
    <w:rsid w:val="007B1760"/>
    <w:rsid w:val="007C1FDC"/>
    <w:rsid w:val="007C6D9C"/>
    <w:rsid w:val="007C7DDB"/>
    <w:rsid w:val="007D2CC7"/>
    <w:rsid w:val="007D673D"/>
    <w:rsid w:val="007D6B33"/>
    <w:rsid w:val="007E0E0A"/>
    <w:rsid w:val="007E0FB8"/>
    <w:rsid w:val="007E4D09"/>
    <w:rsid w:val="007F2220"/>
    <w:rsid w:val="007F4B3E"/>
    <w:rsid w:val="008127AF"/>
    <w:rsid w:val="00812B46"/>
    <w:rsid w:val="00814645"/>
    <w:rsid w:val="00815700"/>
    <w:rsid w:val="0082246B"/>
    <w:rsid w:val="00823696"/>
    <w:rsid w:val="0082407F"/>
    <w:rsid w:val="008264EB"/>
    <w:rsid w:val="00826B8F"/>
    <w:rsid w:val="00830E90"/>
    <w:rsid w:val="00831E8A"/>
    <w:rsid w:val="00835C76"/>
    <w:rsid w:val="008376E2"/>
    <w:rsid w:val="00843049"/>
    <w:rsid w:val="0084660D"/>
    <w:rsid w:val="0085209B"/>
    <w:rsid w:val="00853653"/>
    <w:rsid w:val="00856B66"/>
    <w:rsid w:val="008601AC"/>
    <w:rsid w:val="00861A5F"/>
    <w:rsid w:val="00863B05"/>
    <w:rsid w:val="008644AD"/>
    <w:rsid w:val="00865735"/>
    <w:rsid w:val="00865B25"/>
    <w:rsid w:val="00865DDB"/>
    <w:rsid w:val="00867538"/>
    <w:rsid w:val="00873D90"/>
    <w:rsid w:val="00873FC8"/>
    <w:rsid w:val="00884C63"/>
    <w:rsid w:val="00885908"/>
    <w:rsid w:val="008864B7"/>
    <w:rsid w:val="0089428F"/>
    <w:rsid w:val="0089677E"/>
    <w:rsid w:val="008A7438"/>
    <w:rsid w:val="008B1334"/>
    <w:rsid w:val="008B25C7"/>
    <w:rsid w:val="008B630E"/>
    <w:rsid w:val="008C0278"/>
    <w:rsid w:val="008C24E9"/>
    <w:rsid w:val="008D0533"/>
    <w:rsid w:val="008D1C78"/>
    <w:rsid w:val="008D42CB"/>
    <w:rsid w:val="008D48C9"/>
    <w:rsid w:val="008D6381"/>
    <w:rsid w:val="008E0C77"/>
    <w:rsid w:val="008E625F"/>
    <w:rsid w:val="008F264D"/>
    <w:rsid w:val="009040E9"/>
    <w:rsid w:val="009074E1"/>
    <w:rsid w:val="009112F7"/>
    <w:rsid w:val="009122AF"/>
    <w:rsid w:val="00912D54"/>
    <w:rsid w:val="0091389F"/>
    <w:rsid w:val="0091674A"/>
    <w:rsid w:val="00920567"/>
    <w:rsid w:val="009208F7"/>
    <w:rsid w:val="00921649"/>
    <w:rsid w:val="00922517"/>
    <w:rsid w:val="00922722"/>
    <w:rsid w:val="009261E6"/>
    <w:rsid w:val="009268E1"/>
    <w:rsid w:val="009271EE"/>
    <w:rsid w:val="009344AE"/>
    <w:rsid w:val="009344DE"/>
    <w:rsid w:val="009423AD"/>
    <w:rsid w:val="00945E7F"/>
    <w:rsid w:val="009543E5"/>
    <w:rsid w:val="009557C1"/>
    <w:rsid w:val="00960D6E"/>
    <w:rsid w:val="00974B59"/>
    <w:rsid w:val="00976452"/>
    <w:rsid w:val="0098340B"/>
    <w:rsid w:val="00984077"/>
    <w:rsid w:val="00986830"/>
    <w:rsid w:val="009924C3"/>
    <w:rsid w:val="00993102"/>
    <w:rsid w:val="009A667E"/>
    <w:rsid w:val="009B1570"/>
    <w:rsid w:val="009B38E6"/>
    <w:rsid w:val="009B7AC7"/>
    <w:rsid w:val="009C0E62"/>
    <w:rsid w:val="009C6F10"/>
    <w:rsid w:val="009D148F"/>
    <w:rsid w:val="009D3D70"/>
    <w:rsid w:val="009D4772"/>
    <w:rsid w:val="009E15D6"/>
    <w:rsid w:val="009E6F7E"/>
    <w:rsid w:val="009E7A57"/>
    <w:rsid w:val="009F4803"/>
    <w:rsid w:val="009F4F6A"/>
    <w:rsid w:val="009F5358"/>
    <w:rsid w:val="009F59F1"/>
    <w:rsid w:val="009F5A80"/>
    <w:rsid w:val="00A12B48"/>
    <w:rsid w:val="00A13EB5"/>
    <w:rsid w:val="00A16E36"/>
    <w:rsid w:val="00A20BF7"/>
    <w:rsid w:val="00A24961"/>
    <w:rsid w:val="00A24B10"/>
    <w:rsid w:val="00A277EF"/>
    <w:rsid w:val="00A30E9B"/>
    <w:rsid w:val="00A4512D"/>
    <w:rsid w:val="00A50244"/>
    <w:rsid w:val="00A5193F"/>
    <w:rsid w:val="00A57F16"/>
    <w:rsid w:val="00A57FCA"/>
    <w:rsid w:val="00A627D7"/>
    <w:rsid w:val="00A6495E"/>
    <w:rsid w:val="00A656C7"/>
    <w:rsid w:val="00A705AF"/>
    <w:rsid w:val="00A719F6"/>
    <w:rsid w:val="00A72454"/>
    <w:rsid w:val="00A77696"/>
    <w:rsid w:val="00A80557"/>
    <w:rsid w:val="00A81D33"/>
    <w:rsid w:val="00A8341C"/>
    <w:rsid w:val="00A930AE"/>
    <w:rsid w:val="00AA1A95"/>
    <w:rsid w:val="00AA260F"/>
    <w:rsid w:val="00AB1EE7"/>
    <w:rsid w:val="00AB4111"/>
    <w:rsid w:val="00AB4B37"/>
    <w:rsid w:val="00AB5762"/>
    <w:rsid w:val="00AC2679"/>
    <w:rsid w:val="00AC4BE4"/>
    <w:rsid w:val="00AD05E6"/>
    <w:rsid w:val="00AD0D3F"/>
    <w:rsid w:val="00AE1D7D"/>
    <w:rsid w:val="00AE2A8B"/>
    <w:rsid w:val="00AE3F64"/>
    <w:rsid w:val="00AE507E"/>
    <w:rsid w:val="00AF7386"/>
    <w:rsid w:val="00AF7934"/>
    <w:rsid w:val="00B00B81"/>
    <w:rsid w:val="00B01A77"/>
    <w:rsid w:val="00B04580"/>
    <w:rsid w:val="00B04B09"/>
    <w:rsid w:val="00B05F0B"/>
    <w:rsid w:val="00B105BF"/>
    <w:rsid w:val="00B16A51"/>
    <w:rsid w:val="00B32222"/>
    <w:rsid w:val="00B3618D"/>
    <w:rsid w:val="00B36233"/>
    <w:rsid w:val="00B41F86"/>
    <w:rsid w:val="00B42851"/>
    <w:rsid w:val="00B45AC7"/>
    <w:rsid w:val="00B47EF6"/>
    <w:rsid w:val="00B5372F"/>
    <w:rsid w:val="00B53987"/>
    <w:rsid w:val="00B61129"/>
    <w:rsid w:val="00B67E7F"/>
    <w:rsid w:val="00B758E0"/>
    <w:rsid w:val="00B839B2"/>
    <w:rsid w:val="00B94252"/>
    <w:rsid w:val="00B9715A"/>
    <w:rsid w:val="00BA14BE"/>
    <w:rsid w:val="00BA2732"/>
    <w:rsid w:val="00BA293D"/>
    <w:rsid w:val="00BA49BC"/>
    <w:rsid w:val="00BA56B7"/>
    <w:rsid w:val="00BA7854"/>
    <w:rsid w:val="00BA7A1E"/>
    <w:rsid w:val="00BB2F6C"/>
    <w:rsid w:val="00BB3875"/>
    <w:rsid w:val="00BB5860"/>
    <w:rsid w:val="00BB6AAD"/>
    <w:rsid w:val="00BC4A19"/>
    <w:rsid w:val="00BC4E6D"/>
    <w:rsid w:val="00BD0617"/>
    <w:rsid w:val="00BD20F2"/>
    <w:rsid w:val="00BD2E9B"/>
    <w:rsid w:val="00BD31FC"/>
    <w:rsid w:val="00BD7FB2"/>
    <w:rsid w:val="00BF1A36"/>
    <w:rsid w:val="00C00930"/>
    <w:rsid w:val="00C060AD"/>
    <w:rsid w:val="00C113BF"/>
    <w:rsid w:val="00C128F8"/>
    <w:rsid w:val="00C2176E"/>
    <w:rsid w:val="00C23430"/>
    <w:rsid w:val="00C27D67"/>
    <w:rsid w:val="00C4631F"/>
    <w:rsid w:val="00C47CDE"/>
    <w:rsid w:val="00C50E16"/>
    <w:rsid w:val="00C55258"/>
    <w:rsid w:val="00C82EEB"/>
    <w:rsid w:val="00C956C7"/>
    <w:rsid w:val="00C971DC"/>
    <w:rsid w:val="00CA16B7"/>
    <w:rsid w:val="00CA62AE"/>
    <w:rsid w:val="00CB5B1A"/>
    <w:rsid w:val="00CB76D0"/>
    <w:rsid w:val="00CC220B"/>
    <w:rsid w:val="00CC279C"/>
    <w:rsid w:val="00CC5C43"/>
    <w:rsid w:val="00CD02AE"/>
    <w:rsid w:val="00CD2A4F"/>
    <w:rsid w:val="00CE03CA"/>
    <w:rsid w:val="00CE22F1"/>
    <w:rsid w:val="00CE50F2"/>
    <w:rsid w:val="00CE60D1"/>
    <w:rsid w:val="00CE6502"/>
    <w:rsid w:val="00CF61E3"/>
    <w:rsid w:val="00CF7D3C"/>
    <w:rsid w:val="00CF7D45"/>
    <w:rsid w:val="00D01F09"/>
    <w:rsid w:val="00D10CF7"/>
    <w:rsid w:val="00D147EB"/>
    <w:rsid w:val="00D23EF7"/>
    <w:rsid w:val="00D317AD"/>
    <w:rsid w:val="00D34667"/>
    <w:rsid w:val="00D34D37"/>
    <w:rsid w:val="00D37A9C"/>
    <w:rsid w:val="00D401E1"/>
    <w:rsid w:val="00D408B4"/>
    <w:rsid w:val="00D44330"/>
    <w:rsid w:val="00D524C8"/>
    <w:rsid w:val="00D54177"/>
    <w:rsid w:val="00D55A97"/>
    <w:rsid w:val="00D65CAE"/>
    <w:rsid w:val="00D70E24"/>
    <w:rsid w:val="00D72B61"/>
    <w:rsid w:val="00D779CD"/>
    <w:rsid w:val="00DA070F"/>
    <w:rsid w:val="00DA122E"/>
    <w:rsid w:val="00DA3D1D"/>
    <w:rsid w:val="00DB6286"/>
    <w:rsid w:val="00DB645F"/>
    <w:rsid w:val="00DB76E9"/>
    <w:rsid w:val="00DC0A67"/>
    <w:rsid w:val="00DC1D5E"/>
    <w:rsid w:val="00DC24BE"/>
    <w:rsid w:val="00DC3DF8"/>
    <w:rsid w:val="00DC5220"/>
    <w:rsid w:val="00DD2061"/>
    <w:rsid w:val="00DD7DAB"/>
    <w:rsid w:val="00DE3355"/>
    <w:rsid w:val="00DE3FB0"/>
    <w:rsid w:val="00DE6D7C"/>
    <w:rsid w:val="00DF0C60"/>
    <w:rsid w:val="00DF486F"/>
    <w:rsid w:val="00DF5B5B"/>
    <w:rsid w:val="00DF6249"/>
    <w:rsid w:val="00DF7619"/>
    <w:rsid w:val="00E042D8"/>
    <w:rsid w:val="00E0455C"/>
    <w:rsid w:val="00E05EAA"/>
    <w:rsid w:val="00E07EE7"/>
    <w:rsid w:val="00E1103B"/>
    <w:rsid w:val="00E17B44"/>
    <w:rsid w:val="00E20F27"/>
    <w:rsid w:val="00E22443"/>
    <w:rsid w:val="00E23E02"/>
    <w:rsid w:val="00E25B1F"/>
    <w:rsid w:val="00E2730D"/>
    <w:rsid w:val="00E27FEA"/>
    <w:rsid w:val="00E37A0A"/>
    <w:rsid w:val="00E4086F"/>
    <w:rsid w:val="00E43B3C"/>
    <w:rsid w:val="00E45978"/>
    <w:rsid w:val="00E50188"/>
    <w:rsid w:val="00E50BB3"/>
    <w:rsid w:val="00E515CB"/>
    <w:rsid w:val="00E52260"/>
    <w:rsid w:val="00E53F69"/>
    <w:rsid w:val="00E60D9F"/>
    <w:rsid w:val="00E639B6"/>
    <w:rsid w:val="00E6434B"/>
    <w:rsid w:val="00E6463D"/>
    <w:rsid w:val="00E72497"/>
    <w:rsid w:val="00E72E9B"/>
    <w:rsid w:val="00E850C3"/>
    <w:rsid w:val="00E87DF2"/>
    <w:rsid w:val="00E9462E"/>
    <w:rsid w:val="00EA1C94"/>
    <w:rsid w:val="00EA470E"/>
    <w:rsid w:val="00EA47A7"/>
    <w:rsid w:val="00EA57EB"/>
    <w:rsid w:val="00EB3226"/>
    <w:rsid w:val="00EC213A"/>
    <w:rsid w:val="00EC7744"/>
    <w:rsid w:val="00ED0DAD"/>
    <w:rsid w:val="00ED0F46"/>
    <w:rsid w:val="00ED22A2"/>
    <w:rsid w:val="00ED2373"/>
    <w:rsid w:val="00ED7CFE"/>
    <w:rsid w:val="00EE1191"/>
    <w:rsid w:val="00EE15EA"/>
    <w:rsid w:val="00EE1B96"/>
    <w:rsid w:val="00EE3E8A"/>
    <w:rsid w:val="00EE5DC8"/>
    <w:rsid w:val="00EF58B8"/>
    <w:rsid w:val="00EF6ECA"/>
    <w:rsid w:val="00F00448"/>
    <w:rsid w:val="00F024E1"/>
    <w:rsid w:val="00F0373C"/>
    <w:rsid w:val="00F04D6E"/>
    <w:rsid w:val="00F06C10"/>
    <w:rsid w:val="00F0714D"/>
    <w:rsid w:val="00F1096F"/>
    <w:rsid w:val="00F12589"/>
    <w:rsid w:val="00F12595"/>
    <w:rsid w:val="00F134D9"/>
    <w:rsid w:val="00F1403D"/>
    <w:rsid w:val="00F1463F"/>
    <w:rsid w:val="00F21302"/>
    <w:rsid w:val="00F2430D"/>
    <w:rsid w:val="00F321DE"/>
    <w:rsid w:val="00F33679"/>
    <w:rsid w:val="00F33777"/>
    <w:rsid w:val="00F34CDD"/>
    <w:rsid w:val="00F377B0"/>
    <w:rsid w:val="00F37C13"/>
    <w:rsid w:val="00F40648"/>
    <w:rsid w:val="00F423E1"/>
    <w:rsid w:val="00F47DA2"/>
    <w:rsid w:val="00F519FC"/>
    <w:rsid w:val="00F56025"/>
    <w:rsid w:val="00F6239D"/>
    <w:rsid w:val="00F62D1D"/>
    <w:rsid w:val="00F6309F"/>
    <w:rsid w:val="00F715D2"/>
    <w:rsid w:val="00F72332"/>
    <w:rsid w:val="00F7274F"/>
    <w:rsid w:val="00F73950"/>
    <w:rsid w:val="00F74E84"/>
    <w:rsid w:val="00F76FA8"/>
    <w:rsid w:val="00F924EE"/>
    <w:rsid w:val="00F93F08"/>
    <w:rsid w:val="00F94CED"/>
    <w:rsid w:val="00FA02BB"/>
    <w:rsid w:val="00FA26D6"/>
    <w:rsid w:val="00FA2CEE"/>
    <w:rsid w:val="00FA30E8"/>
    <w:rsid w:val="00FA318C"/>
    <w:rsid w:val="00FB3594"/>
    <w:rsid w:val="00FB6F92"/>
    <w:rsid w:val="00FC026E"/>
    <w:rsid w:val="00FC5124"/>
    <w:rsid w:val="00FC5564"/>
    <w:rsid w:val="00FD4731"/>
    <w:rsid w:val="00FD6768"/>
    <w:rsid w:val="00FE3C20"/>
    <w:rsid w:val="00FE6574"/>
    <w:rsid w:val="00FF0AB0"/>
    <w:rsid w:val="00FF28AC"/>
    <w:rsid w:val="00FF777D"/>
    <w:rsid w:val="00FF7F62"/>
    <w:rsid w:val="012ACCD6"/>
    <w:rsid w:val="020F653B"/>
    <w:rsid w:val="0212B1C7"/>
    <w:rsid w:val="026BFF28"/>
    <w:rsid w:val="02F18C50"/>
    <w:rsid w:val="036937AC"/>
    <w:rsid w:val="03857516"/>
    <w:rsid w:val="048D5CB1"/>
    <w:rsid w:val="04B7CA7D"/>
    <w:rsid w:val="04CF7476"/>
    <w:rsid w:val="05426503"/>
    <w:rsid w:val="054A5289"/>
    <w:rsid w:val="05790048"/>
    <w:rsid w:val="06C45868"/>
    <w:rsid w:val="07427E53"/>
    <w:rsid w:val="0752CD1B"/>
    <w:rsid w:val="07EF6B3F"/>
    <w:rsid w:val="0815E457"/>
    <w:rsid w:val="0883B8B8"/>
    <w:rsid w:val="08C36F78"/>
    <w:rsid w:val="08DB40AC"/>
    <w:rsid w:val="091197DE"/>
    <w:rsid w:val="097D1AB9"/>
    <w:rsid w:val="098D89F7"/>
    <w:rsid w:val="09B094AF"/>
    <w:rsid w:val="09CBCCAB"/>
    <w:rsid w:val="0A7A1F15"/>
    <w:rsid w:val="0AB69593"/>
    <w:rsid w:val="0AE98514"/>
    <w:rsid w:val="0B3AC7B5"/>
    <w:rsid w:val="0B5B196C"/>
    <w:rsid w:val="0BC9E150"/>
    <w:rsid w:val="0C5BFBAA"/>
    <w:rsid w:val="0C6E95E6"/>
    <w:rsid w:val="0C6FC3AF"/>
    <w:rsid w:val="0C82E839"/>
    <w:rsid w:val="0C986E96"/>
    <w:rsid w:val="0CA24117"/>
    <w:rsid w:val="0D35315D"/>
    <w:rsid w:val="0D96E09B"/>
    <w:rsid w:val="0DB1BFD7"/>
    <w:rsid w:val="0DCEB172"/>
    <w:rsid w:val="0DF13BE3"/>
    <w:rsid w:val="0E52A783"/>
    <w:rsid w:val="0F1E279C"/>
    <w:rsid w:val="0FD00F58"/>
    <w:rsid w:val="108D0530"/>
    <w:rsid w:val="10CE815D"/>
    <w:rsid w:val="113E93EE"/>
    <w:rsid w:val="1152B75C"/>
    <w:rsid w:val="117D2528"/>
    <w:rsid w:val="1276E3A3"/>
    <w:rsid w:val="129B83D5"/>
    <w:rsid w:val="12A22295"/>
    <w:rsid w:val="12BCFFD3"/>
    <w:rsid w:val="12C19F7F"/>
    <w:rsid w:val="13717122"/>
    <w:rsid w:val="13A86B16"/>
    <w:rsid w:val="1431C3B1"/>
    <w:rsid w:val="1584BE00"/>
    <w:rsid w:val="16355C8A"/>
    <w:rsid w:val="172EA4CD"/>
    <w:rsid w:val="17DB213D"/>
    <w:rsid w:val="17FCBE1D"/>
    <w:rsid w:val="18133E0B"/>
    <w:rsid w:val="18D938AC"/>
    <w:rsid w:val="191CC618"/>
    <w:rsid w:val="192DBE3C"/>
    <w:rsid w:val="1947F5C0"/>
    <w:rsid w:val="19A15F6A"/>
    <w:rsid w:val="19AF0E6C"/>
    <w:rsid w:val="1A22AC9F"/>
    <w:rsid w:val="1A985A15"/>
    <w:rsid w:val="1B18022E"/>
    <w:rsid w:val="1B3D2FCB"/>
    <w:rsid w:val="1BA07A8C"/>
    <w:rsid w:val="1C865AAE"/>
    <w:rsid w:val="1D94D5D0"/>
    <w:rsid w:val="1DC42841"/>
    <w:rsid w:val="1F9CFFC0"/>
    <w:rsid w:val="1FB8BEBD"/>
    <w:rsid w:val="1FEB7351"/>
    <w:rsid w:val="202E8AF4"/>
    <w:rsid w:val="203C97B9"/>
    <w:rsid w:val="206FACD0"/>
    <w:rsid w:val="20C0CDB8"/>
    <w:rsid w:val="220B7D31"/>
    <w:rsid w:val="24B5F00D"/>
    <w:rsid w:val="25A326AF"/>
    <w:rsid w:val="2662A25B"/>
    <w:rsid w:val="2694383D"/>
    <w:rsid w:val="2726ED45"/>
    <w:rsid w:val="28E0EBA8"/>
    <w:rsid w:val="2901673B"/>
    <w:rsid w:val="2960A1C6"/>
    <w:rsid w:val="297D2CC9"/>
    <w:rsid w:val="298B0E9C"/>
    <w:rsid w:val="2A3BC345"/>
    <w:rsid w:val="2A67AFFE"/>
    <w:rsid w:val="2A7A4C96"/>
    <w:rsid w:val="2B086AFA"/>
    <w:rsid w:val="2B0F91E9"/>
    <w:rsid w:val="2B191708"/>
    <w:rsid w:val="2B36137E"/>
    <w:rsid w:val="2C21E8EB"/>
    <w:rsid w:val="2C2DEE2B"/>
    <w:rsid w:val="2CC07637"/>
    <w:rsid w:val="2D01F264"/>
    <w:rsid w:val="2D02462A"/>
    <w:rsid w:val="2D5563A4"/>
    <w:rsid w:val="2DBEBECA"/>
    <w:rsid w:val="2E12D8C8"/>
    <w:rsid w:val="2E50204E"/>
    <w:rsid w:val="2E9AA175"/>
    <w:rsid w:val="301ED8F7"/>
    <w:rsid w:val="305C5FE8"/>
    <w:rsid w:val="3193E75A"/>
    <w:rsid w:val="3273B0B1"/>
    <w:rsid w:val="3287AA4D"/>
    <w:rsid w:val="32FF3EEF"/>
    <w:rsid w:val="3355E23D"/>
    <w:rsid w:val="3389A0C9"/>
    <w:rsid w:val="3597A6D3"/>
    <w:rsid w:val="36CBA16C"/>
    <w:rsid w:val="36D76F02"/>
    <w:rsid w:val="378DAB1D"/>
    <w:rsid w:val="379586B5"/>
    <w:rsid w:val="383A4BA3"/>
    <w:rsid w:val="390C7133"/>
    <w:rsid w:val="39E65179"/>
    <w:rsid w:val="3AB02F1A"/>
    <w:rsid w:val="3AC1B55A"/>
    <w:rsid w:val="3BC39FE9"/>
    <w:rsid w:val="3BDD7A39"/>
    <w:rsid w:val="3C44B50A"/>
    <w:rsid w:val="3C9D5C5B"/>
    <w:rsid w:val="3CF43EBF"/>
    <w:rsid w:val="3D01F1EF"/>
    <w:rsid w:val="3D1EAC8B"/>
    <w:rsid w:val="3D794A9A"/>
    <w:rsid w:val="3D862411"/>
    <w:rsid w:val="3ED6B351"/>
    <w:rsid w:val="3EFF9126"/>
    <w:rsid w:val="3F83D213"/>
    <w:rsid w:val="402BDF81"/>
    <w:rsid w:val="4045AF30"/>
    <w:rsid w:val="41133850"/>
    <w:rsid w:val="413224AE"/>
    <w:rsid w:val="42A0534F"/>
    <w:rsid w:val="431A136E"/>
    <w:rsid w:val="438752B4"/>
    <w:rsid w:val="442863A1"/>
    <w:rsid w:val="44E08FE4"/>
    <w:rsid w:val="44E1DEB7"/>
    <w:rsid w:val="44EDE6BC"/>
    <w:rsid w:val="46955579"/>
    <w:rsid w:val="473F3A64"/>
    <w:rsid w:val="47661EC9"/>
    <w:rsid w:val="48197F79"/>
    <w:rsid w:val="49B52B94"/>
    <w:rsid w:val="49D8273D"/>
    <w:rsid w:val="4A91F0C6"/>
    <w:rsid w:val="4AA12547"/>
    <w:rsid w:val="4B8B34BA"/>
    <w:rsid w:val="4C11138C"/>
    <w:rsid w:val="4CBCB49F"/>
    <w:rsid w:val="4D0A6289"/>
    <w:rsid w:val="4D91542F"/>
    <w:rsid w:val="4D91CD14"/>
    <w:rsid w:val="4DB61D8A"/>
    <w:rsid w:val="4E158F84"/>
    <w:rsid w:val="4E571783"/>
    <w:rsid w:val="4EB2BF84"/>
    <w:rsid w:val="4ED0A0B6"/>
    <w:rsid w:val="50A947CB"/>
    <w:rsid w:val="51359468"/>
    <w:rsid w:val="514FC84C"/>
    <w:rsid w:val="516684B0"/>
    <w:rsid w:val="51A59DB0"/>
    <w:rsid w:val="523182D6"/>
    <w:rsid w:val="52E04461"/>
    <w:rsid w:val="5375641A"/>
    <w:rsid w:val="53A411D9"/>
    <w:rsid w:val="53FD5C3F"/>
    <w:rsid w:val="5400F2E8"/>
    <w:rsid w:val="5429A331"/>
    <w:rsid w:val="54363F7C"/>
    <w:rsid w:val="543E876B"/>
    <w:rsid w:val="546D352A"/>
    <w:rsid w:val="5479F9ED"/>
    <w:rsid w:val="5497D4CC"/>
    <w:rsid w:val="550E21FC"/>
    <w:rsid w:val="552EA763"/>
    <w:rsid w:val="55DA57CC"/>
    <w:rsid w:val="5653A4D0"/>
    <w:rsid w:val="566488CD"/>
    <w:rsid w:val="5672AF9E"/>
    <w:rsid w:val="56DFD8CE"/>
    <w:rsid w:val="585D24B3"/>
    <w:rsid w:val="58C88ABE"/>
    <w:rsid w:val="59083DCB"/>
    <w:rsid w:val="5911F88E"/>
    <w:rsid w:val="59463BB0"/>
    <w:rsid w:val="5A414AC1"/>
    <w:rsid w:val="5A903995"/>
    <w:rsid w:val="5ABC4F93"/>
    <w:rsid w:val="5B737B1B"/>
    <w:rsid w:val="5B8CA378"/>
    <w:rsid w:val="5C1B6121"/>
    <w:rsid w:val="5CA356C3"/>
    <w:rsid w:val="5D0825CF"/>
    <w:rsid w:val="5D52E1A5"/>
    <w:rsid w:val="5DE569B1"/>
    <w:rsid w:val="5DE87E38"/>
    <w:rsid w:val="5E17C68D"/>
    <w:rsid w:val="5E289CBD"/>
    <w:rsid w:val="5E458E58"/>
    <w:rsid w:val="5EBA4FE8"/>
    <w:rsid w:val="5F0CE5FB"/>
    <w:rsid w:val="609EB3D5"/>
    <w:rsid w:val="60B83011"/>
    <w:rsid w:val="61284643"/>
    <w:rsid w:val="6150B206"/>
    <w:rsid w:val="615FE01D"/>
    <w:rsid w:val="61603D7F"/>
    <w:rsid w:val="61F1F0AA"/>
    <w:rsid w:val="621BDF44"/>
    <w:rsid w:val="628E2EE0"/>
    <w:rsid w:val="62B8DAD4"/>
    <w:rsid w:val="62BA0ACA"/>
    <w:rsid w:val="63D0FC98"/>
    <w:rsid w:val="64F75BCE"/>
    <w:rsid w:val="650CE2E4"/>
    <w:rsid w:val="651065D7"/>
    <w:rsid w:val="651A5D61"/>
    <w:rsid w:val="65224AE7"/>
    <w:rsid w:val="65227F5E"/>
    <w:rsid w:val="668D7D7B"/>
    <w:rsid w:val="66A53FB3"/>
    <w:rsid w:val="66A8B432"/>
    <w:rsid w:val="66BE4FBF"/>
    <w:rsid w:val="66CBE982"/>
    <w:rsid w:val="6742445F"/>
    <w:rsid w:val="6785D0D9"/>
    <w:rsid w:val="6859EBA9"/>
    <w:rsid w:val="6A0221FB"/>
    <w:rsid w:val="6A472A77"/>
    <w:rsid w:val="6B27768F"/>
    <w:rsid w:val="6B5F9F2E"/>
    <w:rsid w:val="6B899EE5"/>
    <w:rsid w:val="6BCD350E"/>
    <w:rsid w:val="6C267F74"/>
    <w:rsid w:val="6CC0F801"/>
    <w:rsid w:val="6CDC3BE4"/>
    <w:rsid w:val="6ECA7F65"/>
    <w:rsid w:val="6F04D5D0"/>
    <w:rsid w:val="6FA70550"/>
    <w:rsid w:val="6FC20BB4"/>
    <w:rsid w:val="6FCD4EA1"/>
    <w:rsid w:val="70288AA2"/>
    <w:rsid w:val="70D50968"/>
    <w:rsid w:val="72FF3FF4"/>
    <w:rsid w:val="752C4138"/>
    <w:rsid w:val="7547A2BC"/>
    <w:rsid w:val="7562DC7D"/>
    <w:rsid w:val="7624441E"/>
    <w:rsid w:val="7636E0B6"/>
    <w:rsid w:val="76DC610F"/>
    <w:rsid w:val="76FB5710"/>
    <w:rsid w:val="7720B34E"/>
    <w:rsid w:val="77DDA3CF"/>
    <w:rsid w:val="78646DB5"/>
    <w:rsid w:val="789A7D3F"/>
    <w:rsid w:val="78F0A183"/>
    <w:rsid w:val="7A68A914"/>
    <w:rsid w:val="7B0262C1"/>
    <w:rsid w:val="7B90AE6D"/>
    <w:rsid w:val="7BACF064"/>
    <w:rsid w:val="7C14CFC0"/>
    <w:rsid w:val="7C8F45AF"/>
    <w:rsid w:val="7DB18EC9"/>
    <w:rsid w:val="7EDB1104"/>
    <w:rsid w:val="7EE49126"/>
    <w:rsid w:val="7F8B6918"/>
    <w:rsid w:val="7F8EFC74"/>
    <w:rsid w:val="7FB0CB77"/>
    <w:rsid w:val="7FC6E6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B5BF7"/>
  <w15:docId w15:val="{88099AEB-EC4D-4F7C-A64C-F23C1FC3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A719F6"/>
    <w:pPr>
      <w:numPr>
        <w:numId w:val="20"/>
      </w:numPr>
      <w:tabs>
        <w:tab w:val="left" w:pos="340"/>
        <w:tab w:val="left" w:pos="680"/>
      </w:tabs>
      <w:spacing w:before="60" w:after="60"/>
    </w:pPr>
  </w:style>
  <w:style w:type="paragraph" w:styleId="ListParagraph">
    <w:name w:val="List Paragraph"/>
    <w:basedOn w:val="Normal"/>
    <w:uiPriority w:val="34"/>
    <w:rsid w:val="00A719F6"/>
    <w:pPr>
      <w:ind w:left="720"/>
      <w:contextualSpacing/>
    </w:pPr>
  </w:style>
  <w:style w:type="paragraph" w:styleId="ListNumber3">
    <w:name w:val="List Number 3"/>
    <w:aliases w:val="List Third Level"/>
    <w:basedOn w:val="ListNumber2"/>
    <w:rsid w:val="00A719F6"/>
    <w:pPr>
      <w:numPr>
        <w:numId w:val="23"/>
      </w:numPr>
      <w:tabs>
        <w:tab w:val="num" w:pos="1440"/>
      </w:tabs>
    </w:pPr>
    <w:rPr>
      <w:rFonts w:eastAsia="Cambria"/>
      <w:color w:val="auto"/>
      <w:szCs w:val="22"/>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3"/>
      </w:numPr>
    </w:p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0C0A9C"/>
    <w:pPr>
      <w:spacing w:before="120" w:after="120" w:line="276" w:lineRule="auto"/>
    </w:pPr>
    <w:rPr>
      <w:rFonts w:ascii="Arial" w:hAnsi="Arial"/>
      <w:color w:val="000000" w:themeColor="text1"/>
      <w:sz w:val="22"/>
      <w:szCs w:val="22"/>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styleId="UnresolvedMention">
    <w:name w:val="Unresolved Mention"/>
    <w:basedOn w:val="DefaultParagraphFont"/>
    <w:uiPriority w:val="99"/>
    <w:semiHidden/>
    <w:unhideWhenUsed/>
    <w:rsid w:val="007822E3"/>
    <w:rPr>
      <w:color w:val="605E5C"/>
      <w:shd w:val="clear" w:color="auto" w:fill="E1DFDD"/>
    </w:rPr>
  </w:style>
  <w:style w:type="paragraph" w:styleId="Revision">
    <w:name w:val="Revision"/>
    <w:hidden/>
    <w:uiPriority w:val="99"/>
    <w:semiHidden/>
    <w:rsid w:val="009423AD"/>
    <w:rPr>
      <w:rFonts w:ascii="Arial" w:hAnsi="Arial"/>
      <w:color w:val="000000" w:themeColor="text1"/>
      <w:sz w:val="22"/>
      <w:szCs w:val="24"/>
      <w:lang w:eastAsia="en-US"/>
    </w:rPr>
  </w:style>
  <w:style w:type="character" w:styleId="Mention">
    <w:name w:val="Mention"/>
    <w:basedOn w:val="DefaultParagraphFont"/>
    <w:uiPriority w:val="99"/>
    <w:unhideWhenUsed/>
    <w:rsid w:val="004E410F"/>
    <w:rPr>
      <w:color w:val="2B579A"/>
      <w:shd w:val="clear" w:color="auto" w:fill="E6E6E6"/>
    </w:rPr>
  </w:style>
  <w:style w:type="paragraph" w:styleId="CommentText">
    <w:name w:val="annotation text"/>
    <w:basedOn w:val="Normal"/>
    <w:link w:val="CommentTextChar"/>
    <w:unhideWhenUsed/>
    <w:rsid w:val="004E410F"/>
    <w:pPr>
      <w:spacing w:line="240" w:lineRule="auto"/>
    </w:pPr>
    <w:rPr>
      <w:sz w:val="20"/>
      <w:szCs w:val="20"/>
    </w:rPr>
  </w:style>
  <w:style w:type="character" w:customStyle="1" w:styleId="CommentTextChar">
    <w:name w:val="Comment Text Char"/>
    <w:basedOn w:val="DefaultParagraphFont"/>
    <w:link w:val="CommentText"/>
    <w:rsid w:val="004E410F"/>
    <w:rPr>
      <w:rFonts w:ascii="Arial" w:hAnsi="Arial"/>
      <w:color w:val="000000" w:themeColor="text1"/>
      <w:lang w:eastAsia="en-US"/>
    </w:rPr>
  </w:style>
  <w:style w:type="character" w:styleId="CommentReference">
    <w:name w:val="annotation reference"/>
    <w:basedOn w:val="DefaultParagraphFont"/>
    <w:semiHidden/>
    <w:unhideWhenUsed/>
    <w:rsid w:val="004E410F"/>
    <w:rPr>
      <w:sz w:val="16"/>
      <w:szCs w:val="16"/>
    </w:rPr>
  </w:style>
  <w:style w:type="paragraph" w:styleId="CommentSubject">
    <w:name w:val="annotation subject"/>
    <w:basedOn w:val="CommentText"/>
    <w:next w:val="CommentText"/>
    <w:link w:val="CommentSubjectChar"/>
    <w:semiHidden/>
    <w:unhideWhenUsed/>
    <w:rsid w:val="002E15FD"/>
    <w:rPr>
      <w:b/>
      <w:bCs/>
    </w:rPr>
  </w:style>
  <w:style w:type="character" w:customStyle="1" w:styleId="CommentSubjectChar">
    <w:name w:val="Comment Subject Char"/>
    <w:basedOn w:val="CommentTextChar"/>
    <w:link w:val="CommentSubject"/>
    <w:semiHidden/>
    <w:rsid w:val="002E15FD"/>
    <w:rPr>
      <w:rFonts w:ascii="Arial" w:hAnsi="Arial"/>
      <w:b/>
      <w:bCs/>
      <w:color w:val="000000" w:themeColor="text1"/>
      <w:lang w:eastAsia="en-US"/>
    </w:rPr>
  </w:style>
  <w:style w:type="character" w:styleId="FollowedHyperlink">
    <w:name w:val="FollowedHyperlink"/>
    <w:basedOn w:val="DefaultParagraphFont"/>
    <w:semiHidden/>
    <w:unhideWhenUsed/>
    <w:rsid w:val="009D47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67755">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53075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our-work/60-day-prescript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our-work/60-day-dispensing/pbs-medicines-current-item-code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our-work/60-day-dispensing/pbs-medicines-current-item-cod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RMC@health.gov.a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3" ma:contentTypeDescription="Create a new document." ma:contentTypeScope="" ma:versionID="88fd0306e2f0088e8295d9ec365d1b9f">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49c8057a83da34ae8a7b24a792588798"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642748-eb5e-49ca-a2c1-ad11f348f04d}"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ce55e6e-06dd-4e73-9374-e006fe8d8563" xsi:nil="true"/>
    <lcf76f155ced4ddcb4097134ff3c332f xmlns="8d7b5d65-6a7b-4d29-8058-532dd865f9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customXml/itemProps3.xml><?xml version="1.0" encoding="utf-8"?>
<ds:datastoreItem xmlns:ds="http://schemas.openxmlformats.org/officeDocument/2006/customXml" ds:itemID="{52DEB2EA-A94A-4699-BF04-4739713021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8d7b5d65-6a7b-4d29-8058-532dd865f99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ce55e6e-06dd-4e73-9374-e006fe8d85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1120</Words>
  <Characters>6061</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60-day prescriptions in residential aged care – overview and FAQs</vt:lpstr>
    </vt:vector>
  </TitlesOfParts>
  <Company/>
  <LinksUpToDate>false</LinksUpToDate>
  <CharactersWithSpaces>7164</CharactersWithSpaces>
  <SharedDoc>false</SharedDoc>
  <HLinks>
    <vt:vector size="24" baseType="variant">
      <vt:variant>
        <vt:i4>7405592</vt:i4>
      </vt:variant>
      <vt:variant>
        <vt:i4>9</vt:i4>
      </vt:variant>
      <vt:variant>
        <vt:i4>0</vt:i4>
      </vt:variant>
      <vt:variant>
        <vt:i4>5</vt:i4>
      </vt:variant>
      <vt:variant>
        <vt:lpwstr>mailto:eNRMC@health.gov.au</vt:lpwstr>
      </vt:variant>
      <vt:variant>
        <vt:lpwstr/>
      </vt:variant>
      <vt:variant>
        <vt:i4>7929913</vt:i4>
      </vt:variant>
      <vt:variant>
        <vt:i4>6</vt:i4>
      </vt:variant>
      <vt:variant>
        <vt:i4>0</vt:i4>
      </vt:variant>
      <vt:variant>
        <vt:i4>5</vt:i4>
      </vt:variant>
      <vt:variant>
        <vt:lpwstr>https://www.health.gov.au/our-work/60-day-prescriptions</vt:lpwstr>
      </vt:variant>
      <vt:variant>
        <vt:lpwstr/>
      </vt:variant>
      <vt:variant>
        <vt:i4>5963845</vt:i4>
      </vt:variant>
      <vt:variant>
        <vt:i4>3</vt:i4>
      </vt:variant>
      <vt:variant>
        <vt:i4>0</vt:i4>
      </vt:variant>
      <vt:variant>
        <vt:i4>5</vt:i4>
      </vt:variant>
      <vt:variant>
        <vt:lpwstr>https://www.health.gov.au/our-work/60-day-dispensing/pbs-medicines-current-item-codes</vt:lpwstr>
      </vt:variant>
      <vt:variant>
        <vt:lpwstr/>
      </vt:variant>
      <vt:variant>
        <vt:i4>5963845</vt:i4>
      </vt:variant>
      <vt:variant>
        <vt:i4>0</vt:i4>
      </vt:variant>
      <vt:variant>
        <vt:i4>0</vt:i4>
      </vt:variant>
      <vt:variant>
        <vt:i4>5</vt:i4>
      </vt:variant>
      <vt:variant>
        <vt:lpwstr>https://www.health.gov.au/our-work/60-day-dispensing/pbs-medicines-current-item-codes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60-day prescriptions in residential aged care – overview and FAQs</dc:title>
  <dc:subject>Cheaper medicines</dc:subject>
  <dc:creator>Australian Government Department of Health and Aged Care</dc:creator>
  <cp:keywords>medicines; aged care;</cp:keywords>
  <cp:lastModifiedBy>BAKER, Lucy</cp:lastModifiedBy>
  <cp:revision>4</cp:revision>
  <dcterms:created xsi:type="dcterms:W3CDTF">2024-08-28T04:04:00Z</dcterms:created>
  <dcterms:modified xsi:type="dcterms:W3CDTF">2024-08-30T05:40:00Z</dcterms:modified>
</cp:coreProperties>
</file>