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82FA1D" w14:textId="5965EC58" w:rsidR="000322E7" w:rsidRPr="00082B27" w:rsidRDefault="005E4A5A" w:rsidP="00082B27">
      <w:pPr>
        <w:pStyle w:val="Heading1"/>
      </w:pPr>
      <w:bookmarkStart w:id="0" w:name="_Hlk145925808"/>
      <w:r w:rsidRPr="00082B27">
        <w:t xml:space="preserve">60-Day </w:t>
      </w:r>
      <w:bookmarkEnd w:id="0"/>
      <w:r w:rsidR="00472CCE" w:rsidRPr="00082B27">
        <w:t xml:space="preserve">Prescriptions </w:t>
      </w:r>
      <w:r w:rsidR="003A1875" w:rsidRPr="00082B27">
        <w:t xml:space="preserve">- Dispensing </w:t>
      </w:r>
      <w:r w:rsidR="00D719B6" w:rsidRPr="00082B27">
        <w:t>Frequently Asked Questions</w:t>
      </w:r>
    </w:p>
    <w:p w14:paraId="50ABC28C" w14:textId="59193241" w:rsidR="00740EEB" w:rsidRPr="00082B27" w:rsidRDefault="00740EEB" w:rsidP="00082B27">
      <w:pPr>
        <w:pStyle w:val="Heading2"/>
      </w:pPr>
      <w:bookmarkStart w:id="1" w:name="_Hlk145925952"/>
      <w:r w:rsidRPr="00120ABA">
        <w:t xml:space="preserve">What is the maximum number of repeats allowed on each medicine as part of 60-day </w:t>
      </w:r>
      <w:r w:rsidR="00472CCE">
        <w:t>prescriptions</w:t>
      </w:r>
      <w:r w:rsidRPr="00120ABA">
        <w:t>?</w:t>
      </w:r>
    </w:p>
    <w:p w14:paraId="68536087" w14:textId="46DCDE02" w:rsidR="00740EEB" w:rsidRPr="005343B6" w:rsidRDefault="00740EEB" w:rsidP="005343B6">
      <w:bookmarkStart w:id="2" w:name="_Hlk145925988"/>
      <w:bookmarkEnd w:id="1"/>
      <w:r w:rsidRPr="005343B6">
        <w:t xml:space="preserve">The maximum number of repeats allowed on each medicine included as part of 60-day </w:t>
      </w:r>
      <w:r w:rsidR="00472CCE" w:rsidRPr="005343B6">
        <w:t xml:space="preserve">prescriptions </w:t>
      </w:r>
      <w:r w:rsidRPr="005343B6">
        <w:t>remains the same as the corresponding 30-day items (excluding anti-depressants recommended in the measure). For a prescription allowing 5 repeats this may provide patients up to 12 months’ supply of medicine from one prescription.</w:t>
      </w:r>
    </w:p>
    <w:bookmarkEnd w:id="2"/>
    <w:p w14:paraId="72C3C816" w14:textId="3427377F" w:rsidR="00800043" w:rsidRPr="00120ABA" w:rsidRDefault="00145605" w:rsidP="00082B27">
      <w:pPr>
        <w:pStyle w:val="Heading2"/>
      </w:pPr>
      <w:r>
        <w:t>Is</w:t>
      </w:r>
      <w:r w:rsidRPr="00120ABA">
        <w:t xml:space="preserve"> </w:t>
      </w:r>
      <w:r w:rsidR="00800043" w:rsidRPr="00120ABA">
        <w:t>prescribing and dispensing software updated for 60</w:t>
      </w:r>
      <w:r w:rsidR="00F16E5B">
        <w:t>-</w:t>
      </w:r>
      <w:r w:rsidR="00800043" w:rsidRPr="00120ABA">
        <w:t xml:space="preserve">day </w:t>
      </w:r>
      <w:r w:rsidR="00F16E5B">
        <w:t>prescriptions</w:t>
      </w:r>
      <w:r w:rsidR="00F16E5B" w:rsidRPr="00120ABA">
        <w:t xml:space="preserve"> </w:t>
      </w:r>
      <w:r w:rsidR="00800043" w:rsidRPr="00120ABA">
        <w:t>to allow options to choose between 30- and 60-day quantities?</w:t>
      </w:r>
    </w:p>
    <w:p w14:paraId="3DEF7E1B" w14:textId="2197C8BA" w:rsidR="007F1602" w:rsidRPr="005343B6" w:rsidRDefault="007F1602" w:rsidP="005343B6">
      <w:r w:rsidRPr="005343B6">
        <w:t xml:space="preserve">Yes, the </w:t>
      </w:r>
      <w:r w:rsidR="003530FD" w:rsidRPr="005343B6">
        <w:t>d</w:t>
      </w:r>
      <w:r w:rsidRPr="005343B6">
        <w:t xml:space="preserve">epartment </w:t>
      </w:r>
      <w:r w:rsidR="00860578" w:rsidRPr="005343B6">
        <w:t>liais</w:t>
      </w:r>
      <w:r w:rsidR="00860578">
        <w:t>es</w:t>
      </w:r>
      <w:r w:rsidR="00860578" w:rsidRPr="005343B6">
        <w:t xml:space="preserve"> </w:t>
      </w:r>
      <w:r w:rsidRPr="005343B6">
        <w:t xml:space="preserve">with the software vendors through the usual process for monthly listing changes to ensure prescribing and dispensing software </w:t>
      </w:r>
      <w:r w:rsidR="00860578">
        <w:t>is</w:t>
      </w:r>
      <w:r w:rsidR="00860578" w:rsidRPr="005343B6">
        <w:t xml:space="preserve"> </w:t>
      </w:r>
      <w:r w:rsidRPr="005343B6">
        <w:t xml:space="preserve">updated to allow for </w:t>
      </w:r>
      <w:r w:rsidRPr="005343B6">
        <w:br/>
        <w:t>60-day prescriptions.</w:t>
      </w:r>
    </w:p>
    <w:p w14:paraId="5CDBAE8A" w14:textId="381AE81B" w:rsidR="00800043" w:rsidRPr="005343B6" w:rsidRDefault="007F1602" w:rsidP="005343B6">
      <w:r w:rsidRPr="005343B6">
        <w:t>The medicines that are included in 60</w:t>
      </w:r>
      <w:r w:rsidR="00C67619" w:rsidRPr="005343B6">
        <w:t>-</w:t>
      </w:r>
      <w:r w:rsidRPr="005343B6">
        <w:t>day</w:t>
      </w:r>
      <w:r w:rsidR="00C67619" w:rsidRPr="005343B6">
        <w:t xml:space="preserve"> </w:t>
      </w:r>
      <w:r w:rsidRPr="005343B6">
        <w:t xml:space="preserve">prescriptions have a </w:t>
      </w:r>
      <w:r w:rsidR="00737079">
        <w:t xml:space="preserve">Pharmaceutical </w:t>
      </w:r>
      <w:r w:rsidR="00C82D9F">
        <w:t>Benefits Sche</w:t>
      </w:r>
      <w:r w:rsidR="00A40AF8">
        <w:t>me (</w:t>
      </w:r>
      <w:r w:rsidRPr="005343B6">
        <w:t>PBS</w:t>
      </w:r>
      <w:r w:rsidR="00A40AF8">
        <w:t>)</w:t>
      </w:r>
      <w:r w:rsidRPr="005343B6">
        <w:t xml:space="preserve"> item code for 60-day supply and a different PBS item code for 30-day supply, allowing prescribers to choose the most suitable option for their patients</w:t>
      </w:r>
      <w:r w:rsidR="00800043" w:rsidRPr="005343B6">
        <w:t>.</w:t>
      </w:r>
    </w:p>
    <w:p w14:paraId="27739BBE" w14:textId="26AB5EF0" w:rsidR="00EE1838" w:rsidRPr="00120ABA" w:rsidRDefault="00860578" w:rsidP="00082B27">
      <w:pPr>
        <w:pStyle w:val="Heading2"/>
      </w:pPr>
      <w:r>
        <w:t>What is the</w:t>
      </w:r>
      <w:r w:rsidR="00EE1838" w:rsidRPr="00120ABA">
        <w:t xml:space="preserve"> early supply rule </w:t>
      </w:r>
      <w:r>
        <w:t>and how does it apply to 60-day prescriptions?</w:t>
      </w:r>
    </w:p>
    <w:p w14:paraId="192A9A72" w14:textId="20A4C02A" w:rsidR="00EE1838" w:rsidRPr="005343B6" w:rsidRDefault="00EE1838" w:rsidP="005343B6">
      <w:r w:rsidRPr="005343B6">
        <w:t>The PBS Safety Net early supply rule means that for some PBS medicines a repeat supply of the same medicine within less than a specified interval will fall outside the Safety Net.</w:t>
      </w:r>
    </w:p>
    <w:p w14:paraId="1273D9C3" w14:textId="1765DB61" w:rsidR="00EE1838" w:rsidRPr="005343B6" w:rsidRDefault="00EE1838" w:rsidP="005343B6">
      <w:r w:rsidRPr="005343B6">
        <w:t>The</w:t>
      </w:r>
      <w:r w:rsidR="00030B29">
        <w:t xml:space="preserve"> Pharmaceutical </w:t>
      </w:r>
      <w:r w:rsidR="00737079">
        <w:t>B</w:t>
      </w:r>
      <w:r w:rsidR="00030B29">
        <w:t>enefits Adv</w:t>
      </w:r>
      <w:r w:rsidR="00737079">
        <w:t>i</w:t>
      </w:r>
      <w:r w:rsidR="00030B29">
        <w:t xml:space="preserve">sory Committee </w:t>
      </w:r>
      <w:r w:rsidR="00737079">
        <w:t>(</w:t>
      </w:r>
      <w:r w:rsidRPr="005343B6">
        <w:t>PBAC</w:t>
      </w:r>
      <w:r w:rsidR="00737079">
        <w:t>)</w:t>
      </w:r>
      <w:r w:rsidRPr="005343B6">
        <w:t xml:space="preserve"> recommended that a 50-day Safety Net Rule be applied to 60-day script items to discourage stockpiling and reduce the quantity of unused medicines in the community.</w:t>
      </w:r>
      <w:r w:rsidR="00F15110" w:rsidRPr="005343B6">
        <w:t xml:space="preserve"> </w:t>
      </w:r>
    </w:p>
    <w:p w14:paraId="138CC531" w14:textId="79FE0AB6" w:rsidR="00472CCE" w:rsidRPr="005343B6" w:rsidRDefault="00472CCE" w:rsidP="005343B6">
      <w:r w:rsidRPr="005343B6">
        <w:t xml:space="preserve">From 1 December 2023, the PBS Safety Net early supply rule for 60-day prescriptions </w:t>
      </w:r>
      <w:r w:rsidR="00860578">
        <w:t xml:space="preserve">was </w:t>
      </w:r>
      <w:r w:rsidRPr="005343B6">
        <w:t>extended from within 20 days, to within 50 days of a previous supply of a 60-day prescription of the same medicine or any brand of an equivalent medicine to the same person.</w:t>
      </w:r>
    </w:p>
    <w:p w14:paraId="071BA12C" w14:textId="6C4F2DFD" w:rsidR="00472CCE" w:rsidRPr="005343B6" w:rsidRDefault="00472CCE" w:rsidP="005343B6">
      <w:r w:rsidRPr="005343B6">
        <w:t>If the previous supply of the same medicine was not a 60-day prescription, the early supply period remains 20 days.</w:t>
      </w:r>
    </w:p>
    <w:p w14:paraId="51D5E1A7" w14:textId="480A3CE5" w:rsidR="00E07A2A" w:rsidRPr="00120ABA" w:rsidRDefault="00BA1054" w:rsidP="00082B27">
      <w:pPr>
        <w:pStyle w:val="Heading2"/>
      </w:pPr>
      <w:r w:rsidRPr="00120ABA">
        <w:t>W</w:t>
      </w:r>
      <w:r w:rsidR="00E07A2A" w:rsidRPr="00120ABA">
        <w:t xml:space="preserve">ill patients be impacted by medicine shortages if I prescribe the 60-day items? </w:t>
      </w:r>
    </w:p>
    <w:p w14:paraId="3DDB10BA" w14:textId="77777777" w:rsidR="00860578" w:rsidRPr="00860578" w:rsidRDefault="00860578" w:rsidP="00860578">
      <w:pPr>
        <w:pStyle w:val="Heading2"/>
        <w:shd w:val="clear" w:color="auto" w:fill="FFFFFF" w:themeFill="background1"/>
        <w:spacing w:before="0" w:after="0"/>
        <w:rPr>
          <w:b w:val="0"/>
          <w:bCs/>
          <w:color w:val="313131"/>
          <w:sz w:val="22"/>
          <w:szCs w:val="22"/>
        </w:rPr>
      </w:pPr>
      <w:r w:rsidRPr="00860578">
        <w:rPr>
          <w:b w:val="0"/>
          <w:color w:val="313131"/>
          <w:sz w:val="22"/>
          <w:szCs w:val="22"/>
        </w:rPr>
        <w:t xml:space="preserve">Moving to 60-day prescriptions is not expected to increase medicine shortages. Consumers will still purchase the same amount of medicine each year. While eligible people can now get twice the </w:t>
      </w:r>
      <w:r w:rsidRPr="00860578">
        <w:rPr>
          <w:b w:val="0"/>
          <w:color w:val="313131"/>
          <w:sz w:val="22"/>
          <w:szCs w:val="22"/>
        </w:rPr>
        <w:lastRenderedPageBreak/>
        <w:t xml:space="preserve">medication on a single prescription, this will last them for a longer period of time. This means overall demand for medicines will stay the same. </w:t>
      </w:r>
    </w:p>
    <w:p w14:paraId="181D8F1B" w14:textId="77777777" w:rsidR="00860578" w:rsidRDefault="00860578" w:rsidP="00860578">
      <w:pPr>
        <w:pStyle w:val="NormalWeb"/>
        <w:shd w:val="clear" w:color="auto" w:fill="FFFFFF"/>
        <w:rPr>
          <w:rFonts w:ascii="Arial" w:hAnsi="Arial" w:cs="Arial"/>
          <w:color w:val="313131"/>
          <w:sz w:val="22"/>
          <w:szCs w:val="22"/>
        </w:rPr>
      </w:pPr>
      <w:r w:rsidRPr="00860578">
        <w:rPr>
          <w:rFonts w:ascii="Arial" w:hAnsi="Arial" w:cs="Arial"/>
          <w:color w:val="313131"/>
          <w:sz w:val="22"/>
          <w:szCs w:val="22"/>
        </w:rPr>
        <w:t xml:space="preserve">Most medicines recommended by PBAC for 60-day prescriptions are not in short supply in Australia. If shortages do occur, alternative brands and/or strengths of the same medicine are usually available. We have monitored the list of recommended medicines for inclusion in each stage to reduce the risk of shortage. </w:t>
      </w:r>
    </w:p>
    <w:p w14:paraId="37184C8A" w14:textId="77777777" w:rsidR="00860578" w:rsidRPr="004A41C8" w:rsidRDefault="00860578" w:rsidP="00860578">
      <w:pPr>
        <w:spacing w:before="100" w:beforeAutospacing="1" w:after="100" w:afterAutospacing="1" w:line="240" w:lineRule="auto"/>
        <w:rPr>
          <w:rFonts w:eastAsia="Times New Roman" w:cs="Arial"/>
          <w:color w:val="313131"/>
          <w:lang w:eastAsia="en-AU"/>
        </w:rPr>
      </w:pPr>
      <w:r w:rsidRPr="004A41C8">
        <w:rPr>
          <w:rFonts w:eastAsia="Times New Roman" w:cs="Arial"/>
          <w:color w:val="313131"/>
          <w:lang w:eastAsia="en-AU"/>
        </w:rPr>
        <w:t>Pharmaceutical companies must tell the Therapeutic Goods Administration (TGA) of expected </w:t>
      </w:r>
      <w:hyperlink r:id="rId8">
        <w:r w:rsidRPr="004A41C8">
          <w:rPr>
            <w:rFonts w:eastAsia="Times New Roman" w:cs="Arial"/>
            <w:color w:val="0000FF"/>
            <w:u w:val="single"/>
            <w:lang w:eastAsia="en-AU"/>
          </w:rPr>
          <w:t>medicine shortages</w:t>
        </w:r>
      </w:hyperlink>
      <w:r w:rsidRPr="004A41C8">
        <w:rPr>
          <w:rFonts w:eastAsia="Times New Roman" w:cs="Arial"/>
          <w:color w:val="313131"/>
          <w:lang w:eastAsia="en-AU"/>
        </w:rPr>
        <w:t>. This means any medicine supply not likely to meet normal or expected consumer demand at any point during the next 6 months. The </w:t>
      </w:r>
      <w:hyperlink r:id="rId9" w:history="1">
        <w:r w:rsidRPr="004A41C8">
          <w:rPr>
            <w:rFonts w:eastAsia="Times New Roman" w:cs="Arial"/>
            <w:color w:val="0000FF"/>
            <w:u w:val="single"/>
            <w:lang w:eastAsia="en-AU"/>
          </w:rPr>
          <w:t>Medicines Supply Security Guarantee</w:t>
        </w:r>
      </w:hyperlink>
      <w:r w:rsidRPr="004A41C8">
        <w:rPr>
          <w:rFonts w:eastAsia="Times New Roman" w:cs="Arial"/>
          <w:lang w:eastAsia="en-AU"/>
        </w:rPr>
        <w:t xml:space="preserve"> </w:t>
      </w:r>
      <w:r w:rsidRPr="004A41C8">
        <w:rPr>
          <w:rFonts w:eastAsia="Times New Roman" w:cs="Arial"/>
          <w:color w:val="313131"/>
          <w:lang w:eastAsia="en-AU"/>
        </w:rPr>
        <w:t>changes commenced on 1 July 2023. Medicine manufacturers must have more stock onshore for some brands of PBS medicine, helping ensure</w:t>
      </w:r>
      <w:r w:rsidRPr="004A41C8">
        <w:rPr>
          <w:rFonts w:eastAsia="Times New Roman" w:cs="Arial"/>
          <w:sz w:val="24"/>
          <w:szCs w:val="24"/>
          <w:lang w:eastAsia="en-AU"/>
        </w:rPr>
        <w:t xml:space="preserve"> </w:t>
      </w:r>
      <w:r w:rsidRPr="004A41C8">
        <w:rPr>
          <w:rFonts w:eastAsia="Times New Roman" w:cs="Arial"/>
          <w:lang w:eastAsia="en-AU"/>
        </w:rPr>
        <w:t>any temporary rise in demand for those brands is met.</w:t>
      </w:r>
    </w:p>
    <w:p w14:paraId="3A3D0ADF" w14:textId="77777777" w:rsidR="00860578" w:rsidRPr="004A41C8" w:rsidRDefault="00860578" w:rsidP="00860578">
      <w:pPr>
        <w:spacing w:before="100" w:beforeAutospacing="1" w:after="100" w:afterAutospacing="1" w:line="240" w:lineRule="auto"/>
        <w:rPr>
          <w:rFonts w:eastAsia="Times New Roman" w:cs="Arial"/>
          <w:color w:val="313131"/>
          <w:lang w:eastAsia="en-AU"/>
        </w:rPr>
      </w:pPr>
      <w:r w:rsidRPr="004A41C8">
        <w:rPr>
          <w:rFonts w:eastAsia="Times New Roman" w:cs="Arial"/>
          <w:color w:val="313131"/>
          <w:lang w:eastAsia="en-AU"/>
        </w:rPr>
        <w:t>Wholesalers must deliver to any pharmacy in 24 hours (excluding weekends or public holidays) if they are running low on medicine. This applies for most medicines.</w:t>
      </w:r>
    </w:p>
    <w:p w14:paraId="500A545C" w14:textId="77777777" w:rsidR="008C2135" w:rsidRPr="001363E3" w:rsidRDefault="008C2135" w:rsidP="006D08AD">
      <w:pPr>
        <w:pStyle w:val="Heading2"/>
      </w:pPr>
      <w:r w:rsidRPr="001363E3">
        <w:t xml:space="preserve">Does a pharmacist have the discretion to alter a double quantity prescription, to a single quantity where there is a medicine shortage? </w:t>
      </w:r>
    </w:p>
    <w:p w14:paraId="63308097" w14:textId="42E122DC" w:rsidR="00905A01" w:rsidRDefault="008C2135" w:rsidP="00412D32">
      <w:pPr>
        <w:pStyle w:val="ListBullet"/>
        <w:numPr>
          <w:ilvl w:val="0"/>
          <w:numId w:val="0"/>
        </w:numPr>
      </w:pPr>
      <w:r w:rsidRPr="001363E3">
        <w:t>Community pharmacists play an important role in assisting patients to access medicines when there is a supply shortage. </w:t>
      </w:r>
      <w:r w:rsidR="001B544C" w:rsidRPr="001363E3">
        <w:t xml:space="preserve">A pharmacist cannot automatically </w:t>
      </w:r>
      <w:r w:rsidR="000F40FF" w:rsidRPr="001363E3">
        <w:t>change a 60-day prescription (double quantity)</w:t>
      </w:r>
      <w:r w:rsidR="00F35821" w:rsidRPr="001363E3">
        <w:t xml:space="preserve"> </w:t>
      </w:r>
      <w:r w:rsidR="000F40FF" w:rsidRPr="001363E3">
        <w:t>to a 30-day (single quantity) prescription</w:t>
      </w:r>
      <w:r w:rsidR="008C1CD5" w:rsidRPr="001363E3">
        <w:t>. P</w:t>
      </w:r>
      <w:r w:rsidR="00965921" w:rsidRPr="001363E3">
        <w:t xml:space="preserve">harmacists </w:t>
      </w:r>
      <w:r w:rsidR="00620B35" w:rsidRPr="001363E3">
        <w:t>have flexibility</w:t>
      </w:r>
      <w:r w:rsidR="00523F9C" w:rsidRPr="001363E3">
        <w:t xml:space="preserve"> in amending a prescription</w:t>
      </w:r>
      <w:r w:rsidR="00412BBC" w:rsidRPr="001363E3">
        <w:t xml:space="preserve"> after</w:t>
      </w:r>
      <w:r w:rsidR="003D4173" w:rsidRPr="001363E3">
        <w:t xml:space="preserve"> first </w:t>
      </w:r>
      <w:r w:rsidR="00412BBC" w:rsidRPr="001363E3">
        <w:t xml:space="preserve">calling </w:t>
      </w:r>
      <w:r w:rsidR="002476E6" w:rsidRPr="001363E3">
        <w:t>a prescriber to agree on the best cours</w:t>
      </w:r>
      <w:r w:rsidR="003E7218" w:rsidRPr="001363E3">
        <w:t>e</w:t>
      </w:r>
      <w:r w:rsidR="002476E6" w:rsidRPr="001363E3">
        <w:t xml:space="preserve"> of action in a </w:t>
      </w:r>
      <w:r w:rsidR="003E7218" w:rsidRPr="001363E3">
        <w:t>particular</w:t>
      </w:r>
      <w:r w:rsidR="002476E6" w:rsidRPr="001363E3">
        <w:t xml:space="preserve"> individual </w:t>
      </w:r>
      <w:r w:rsidR="00B43FF9" w:rsidRPr="001363E3">
        <w:t>circumstance</w:t>
      </w:r>
      <w:r w:rsidR="00F35821" w:rsidRPr="001363E3">
        <w:t xml:space="preserve">. </w:t>
      </w:r>
      <w:r w:rsidR="00B43FF9" w:rsidRPr="001363E3">
        <w:t>This is</w:t>
      </w:r>
      <w:r w:rsidR="00A50D32" w:rsidRPr="001363E3">
        <w:t xml:space="preserve"> an established practice consistent with good dispensing</w:t>
      </w:r>
      <w:r w:rsidR="00B43FF9" w:rsidRPr="001363E3">
        <w:t xml:space="preserve"> </w:t>
      </w:r>
      <w:r w:rsidR="00C84D53" w:rsidRPr="001363E3">
        <w:t>and not changed by 60-day prescriptions.</w:t>
      </w:r>
    </w:p>
    <w:p w14:paraId="1F35D6B0" w14:textId="28A73C8E" w:rsidR="002C311D" w:rsidRPr="00631EDE" w:rsidRDefault="00964BEC" w:rsidP="00324789">
      <w:pPr>
        <w:pStyle w:val="pf0"/>
        <w:rPr>
          <w:rFonts w:ascii="Arial" w:eastAsiaTheme="minorHAnsi" w:hAnsi="Arial" w:cs="Arial"/>
          <w:b/>
          <w:iCs/>
          <w:color w:val="FF0000"/>
          <w:kern w:val="28"/>
          <w:sz w:val="28"/>
          <w:szCs w:val="26"/>
          <w:lang w:eastAsia="en-US"/>
        </w:rPr>
      </w:pPr>
      <w:r>
        <w:rPr>
          <w:rFonts w:ascii="Arial" w:eastAsiaTheme="minorHAnsi" w:hAnsi="Arial" w:cs="Arial"/>
          <w:b/>
          <w:iCs/>
          <w:color w:val="358189"/>
          <w:kern w:val="28"/>
          <w:sz w:val="28"/>
          <w:szCs w:val="26"/>
          <w:lang w:eastAsia="en-US"/>
        </w:rPr>
        <w:t xml:space="preserve">Is </w:t>
      </w:r>
      <w:r w:rsidR="003A793C" w:rsidRPr="001363E3">
        <w:rPr>
          <w:rFonts w:ascii="Arial" w:eastAsiaTheme="minorHAnsi" w:hAnsi="Arial" w:cs="Arial"/>
          <w:b/>
          <w:iCs/>
          <w:color w:val="358189"/>
          <w:kern w:val="28"/>
          <w:sz w:val="28"/>
          <w:szCs w:val="26"/>
          <w:lang w:eastAsia="en-US"/>
        </w:rPr>
        <w:t xml:space="preserve">the full list of </w:t>
      </w:r>
      <w:r w:rsidR="005D4624" w:rsidRPr="001363E3">
        <w:rPr>
          <w:rFonts w:ascii="Arial" w:eastAsiaTheme="minorHAnsi" w:hAnsi="Arial" w:cs="Arial"/>
          <w:b/>
          <w:iCs/>
          <w:color w:val="358189"/>
          <w:kern w:val="28"/>
          <w:sz w:val="28"/>
          <w:szCs w:val="26"/>
          <w:lang w:eastAsia="en-US"/>
        </w:rPr>
        <w:t>PBAC</w:t>
      </w:r>
      <w:r w:rsidR="00B217E7" w:rsidRPr="001363E3">
        <w:rPr>
          <w:rFonts w:ascii="Arial" w:eastAsiaTheme="minorHAnsi" w:hAnsi="Arial" w:cs="Arial"/>
          <w:b/>
          <w:iCs/>
          <w:color w:val="358189"/>
          <w:kern w:val="28"/>
          <w:sz w:val="28"/>
          <w:szCs w:val="26"/>
          <w:lang w:eastAsia="en-US"/>
        </w:rPr>
        <w:t xml:space="preserve"> </w:t>
      </w:r>
      <w:r w:rsidR="00F66BCD" w:rsidRPr="001363E3">
        <w:rPr>
          <w:rFonts w:ascii="Arial" w:eastAsiaTheme="minorHAnsi" w:hAnsi="Arial" w:cs="Arial"/>
          <w:b/>
          <w:iCs/>
          <w:color w:val="358189"/>
          <w:kern w:val="28"/>
          <w:sz w:val="28"/>
          <w:szCs w:val="26"/>
          <w:lang w:eastAsia="en-US"/>
        </w:rPr>
        <w:t>recommende</w:t>
      </w:r>
      <w:r w:rsidR="00E81E9A" w:rsidRPr="001363E3">
        <w:rPr>
          <w:rFonts w:ascii="Arial" w:eastAsiaTheme="minorHAnsi" w:hAnsi="Arial" w:cs="Arial"/>
          <w:b/>
          <w:iCs/>
          <w:color w:val="358189"/>
          <w:kern w:val="28"/>
          <w:sz w:val="28"/>
          <w:szCs w:val="26"/>
          <w:lang w:eastAsia="en-US"/>
        </w:rPr>
        <w:t xml:space="preserve">d </w:t>
      </w:r>
      <w:r w:rsidR="00E62177" w:rsidRPr="001363E3">
        <w:rPr>
          <w:rFonts w:ascii="Arial" w:eastAsiaTheme="minorHAnsi" w:hAnsi="Arial" w:cs="Arial"/>
          <w:b/>
          <w:iCs/>
          <w:color w:val="358189"/>
          <w:kern w:val="28"/>
          <w:sz w:val="28"/>
          <w:szCs w:val="26"/>
          <w:lang w:eastAsia="en-US"/>
        </w:rPr>
        <w:t>medicines</w:t>
      </w:r>
      <w:r w:rsidR="003A793C">
        <w:rPr>
          <w:rFonts w:ascii="Arial" w:eastAsiaTheme="minorHAnsi" w:hAnsi="Arial" w:cs="Arial"/>
          <w:b/>
          <w:iCs/>
          <w:color w:val="FF0000"/>
          <w:kern w:val="28"/>
          <w:sz w:val="28"/>
          <w:szCs w:val="26"/>
          <w:lang w:eastAsia="en-US"/>
        </w:rPr>
        <w:t xml:space="preserve"> </w:t>
      </w:r>
      <w:hyperlink r:id="rId10" w:history="1">
        <w:r w:rsidR="003A793C" w:rsidRPr="004E0389">
          <w:rPr>
            <w:rStyle w:val="Hyperlink"/>
            <w:rFonts w:ascii="Arial" w:eastAsiaTheme="minorHAnsi" w:hAnsi="Arial" w:cs="Arial"/>
            <w:b/>
            <w:iCs/>
            <w:kern w:val="28"/>
            <w:sz w:val="28"/>
            <w:szCs w:val="26"/>
            <w:lang w:eastAsia="en-US"/>
          </w:rPr>
          <w:t>from December 2022</w:t>
        </w:r>
      </w:hyperlink>
      <w:r w:rsidR="00E62177" w:rsidRPr="00631EDE">
        <w:rPr>
          <w:rFonts w:ascii="Arial" w:eastAsiaTheme="minorHAnsi" w:hAnsi="Arial" w:cs="Arial"/>
          <w:b/>
          <w:iCs/>
          <w:color w:val="FF0000"/>
          <w:kern w:val="28"/>
          <w:sz w:val="28"/>
          <w:szCs w:val="26"/>
          <w:lang w:eastAsia="en-US"/>
        </w:rPr>
        <w:t xml:space="preserve"> </w:t>
      </w:r>
      <w:r w:rsidR="00E81E9A" w:rsidRPr="001363E3">
        <w:rPr>
          <w:rFonts w:ascii="Arial" w:eastAsiaTheme="minorHAnsi" w:hAnsi="Arial" w:cs="Arial"/>
          <w:b/>
          <w:iCs/>
          <w:color w:val="358189"/>
          <w:kern w:val="28"/>
          <w:sz w:val="28"/>
          <w:szCs w:val="26"/>
          <w:lang w:eastAsia="en-US"/>
        </w:rPr>
        <w:t>for 60-day prescriptions available</w:t>
      </w:r>
      <w:r w:rsidR="00F1725F" w:rsidRPr="001363E3">
        <w:rPr>
          <w:rFonts w:ascii="Arial" w:eastAsiaTheme="minorHAnsi" w:hAnsi="Arial" w:cs="Arial"/>
          <w:b/>
          <w:iCs/>
          <w:color w:val="358189"/>
          <w:kern w:val="28"/>
          <w:sz w:val="28"/>
          <w:szCs w:val="26"/>
          <w:lang w:eastAsia="en-US"/>
        </w:rPr>
        <w:t>?</w:t>
      </w:r>
    </w:p>
    <w:p w14:paraId="7E87F813" w14:textId="2ABBE609" w:rsidR="00610BB7" w:rsidRPr="001363E3" w:rsidRDefault="003A793C" w:rsidP="00324789">
      <w:pPr>
        <w:pStyle w:val="pf0"/>
        <w:rPr>
          <w:rFonts w:ascii="Arial" w:eastAsiaTheme="minorHAnsi" w:hAnsi="Arial" w:cstheme="minorBidi"/>
          <w:sz w:val="22"/>
          <w:szCs w:val="22"/>
          <w:lang w:eastAsia="en-US"/>
        </w:rPr>
      </w:pPr>
      <w:r w:rsidRPr="001363E3">
        <w:rPr>
          <w:rFonts w:ascii="Arial" w:eastAsiaTheme="minorHAnsi" w:hAnsi="Arial" w:cstheme="minorBidi"/>
          <w:sz w:val="22"/>
          <w:szCs w:val="22"/>
          <w:lang w:eastAsia="en-US"/>
        </w:rPr>
        <w:t>S</w:t>
      </w:r>
      <w:r w:rsidR="00610BB7" w:rsidRPr="001363E3">
        <w:rPr>
          <w:rFonts w:ascii="Arial" w:eastAsiaTheme="minorHAnsi" w:hAnsi="Arial" w:cstheme="minorBidi"/>
          <w:sz w:val="22"/>
          <w:szCs w:val="22"/>
          <w:lang w:eastAsia="en-US"/>
        </w:rPr>
        <w:t xml:space="preserve">ome medicines recommended by </w:t>
      </w:r>
      <w:r w:rsidRPr="001363E3">
        <w:rPr>
          <w:rFonts w:ascii="Arial" w:eastAsiaTheme="minorHAnsi" w:hAnsi="Arial" w:cstheme="minorBidi"/>
          <w:sz w:val="22"/>
          <w:szCs w:val="22"/>
          <w:lang w:eastAsia="en-US"/>
        </w:rPr>
        <w:t xml:space="preserve">the </w:t>
      </w:r>
      <w:r w:rsidR="00610BB7" w:rsidRPr="001363E3">
        <w:rPr>
          <w:rFonts w:ascii="Arial" w:eastAsiaTheme="minorHAnsi" w:hAnsi="Arial" w:cstheme="minorBidi"/>
          <w:sz w:val="22"/>
          <w:szCs w:val="22"/>
          <w:lang w:eastAsia="en-US"/>
        </w:rPr>
        <w:t xml:space="preserve">PBAC </w:t>
      </w:r>
      <w:r w:rsidRPr="001363E3">
        <w:rPr>
          <w:rFonts w:ascii="Arial" w:eastAsiaTheme="minorHAnsi" w:hAnsi="Arial" w:cstheme="minorBidi"/>
          <w:sz w:val="22"/>
          <w:szCs w:val="22"/>
          <w:lang w:eastAsia="en-US"/>
        </w:rPr>
        <w:t>for inclusion in 60-day prescriptions in</w:t>
      </w:r>
      <w:r>
        <w:rPr>
          <w:rFonts w:ascii="Arial" w:eastAsiaTheme="minorHAnsi" w:hAnsi="Arial" w:cstheme="minorBidi"/>
          <w:color w:val="FF0000"/>
          <w:sz w:val="22"/>
          <w:szCs w:val="22"/>
          <w:lang w:eastAsia="en-US"/>
        </w:rPr>
        <w:t xml:space="preserve"> </w:t>
      </w:r>
      <w:hyperlink r:id="rId11" w:history="1">
        <w:r w:rsidRPr="003A793C">
          <w:rPr>
            <w:rStyle w:val="Hyperlink"/>
            <w:rFonts w:ascii="Arial" w:eastAsiaTheme="minorHAnsi" w:hAnsi="Arial" w:cstheme="minorBidi"/>
            <w:sz w:val="22"/>
            <w:szCs w:val="22"/>
            <w:lang w:eastAsia="en-US"/>
          </w:rPr>
          <w:t>December 2022</w:t>
        </w:r>
      </w:hyperlink>
      <w:r>
        <w:rPr>
          <w:rFonts w:ascii="Arial" w:eastAsiaTheme="minorHAnsi" w:hAnsi="Arial" w:cstheme="minorBidi"/>
          <w:color w:val="FF0000"/>
          <w:sz w:val="22"/>
          <w:szCs w:val="22"/>
          <w:lang w:eastAsia="en-US"/>
        </w:rPr>
        <w:t xml:space="preserve"> </w:t>
      </w:r>
      <w:r w:rsidR="00964BEC">
        <w:rPr>
          <w:rFonts w:ascii="Arial" w:eastAsiaTheme="minorHAnsi" w:hAnsi="Arial" w:cstheme="minorBidi"/>
          <w:sz w:val="22"/>
          <w:szCs w:val="22"/>
          <w:lang w:eastAsia="en-US"/>
        </w:rPr>
        <w:t>are</w:t>
      </w:r>
      <w:r w:rsidR="00964BEC" w:rsidRPr="001363E3">
        <w:rPr>
          <w:rFonts w:ascii="Arial" w:eastAsiaTheme="minorHAnsi" w:hAnsi="Arial" w:cstheme="minorBidi"/>
          <w:sz w:val="22"/>
          <w:szCs w:val="22"/>
          <w:lang w:eastAsia="en-US"/>
        </w:rPr>
        <w:t xml:space="preserve"> </w:t>
      </w:r>
      <w:r w:rsidR="00610BB7" w:rsidRPr="001363E3">
        <w:rPr>
          <w:rFonts w:ascii="Arial" w:eastAsiaTheme="minorHAnsi" w:hAnsi="Arial" w:cstheme="minorBidi"/>
          <w:sz w:val="22"/>
          <w:szCs w:val="22"/>
          <w:lang w:eastAsia="en-US"/>
        </w:rPr>
        <w:t xml:space="preserve">not available for 60-day prescriptions from 1 September 2024 due to pre-existing shortages. </w:t>
      </w:r>
    </w:p>
    <w:p w14:paraId="41EEB4A2" w14:textId="77777777" w:rsidR="004A41C8" w:rsidRPr="00C729E1" w:rsidRDefault="004A41C8" w:rsidP="004A41C8">
      <w:pPr>
        <w:rPr>
          <w:rFonts w:eastAsia="Times New Roman" w:cs="Arial"/>
          <w:color w:val="313131"/>
          <w:lang w:eastAsia="en-AU"/>
        </w:rPr>
      </w:pPr>
      <w:r w:rsidRPr="00C729E1">
        <w:rPr>
          <w:rFonts w:eastAsia="Times New Roman" w:cs="Arial"/>
          <w:color w:val="313131"/>
          <w:lang w:eastAsia="en-AU"/>
        </w:rPr>
        <w:t>More medicines can continue to become available for 60-day prescriptions after they have been deemed suitable and recommended by the PBAC, as part of routine monthly changes to the PBS.</w:t>
      </w:r>
    </w:p>
    <w:p w14:paraId="273C5BFC" w14:textId="4A3157F0" w:rsidR="00B83BF3" w:rsidRPr="001363E3" w:rsidRDefault="00324789" w:rsidP="001363E3">
      <w:pPr>
        <w:pStyle w:val="pf0"/>
        <w:rPr>
          <w:rFonts w:ascii="Arial" w:eastAsiaTheme="minorHAnsi" w:hAnsi="Arial" w:cstheme="minorBidi"/>
          <w:sz w:val="22"/>
          <w:szCs w:val="22"/>
          <w:lang w:eastAsia="en-US"/>
        </w:rPr>
      </w:pPr>
      <w:r w:rsidRPr="001363E3">
        <w:rPr>
          <w:rFonts w:ascii="Arial" w:eastAsiaTheme="minorHAnsi" w:hAnsi="Arial" w:cstheme="minorBidi"/>
          <w:sz w:val="22"/>
          <w:szCs w:val="22"/>
          <w:lang w:eastAsia="en-US"/>
        </w:rPr>
        <w:t>The department monitor</w:t>
      </w:r>
      <w:r w:rsidR="005D1DFB" w:rsidRPr="001363E3">
        <w:rPr>
          <w:rFonts w:ascii="Arial" w:eastAsiaTheme="minorHAnsi" w:hAnsi="Arial" w:cstheme="minorBidi"/>
          <w:sz w:val="22"/>
          <w:szCs w:val="22"/>
          <w:lang w:eastAsia="en-US"/>
        </w:rPr>
        <w:t xml:space="preserve">s </w:t>
      </w:r>
      <w:r w:rsidRPr="001363E3">
        <w:rPr>
          <w:rFonts w:ascii="Arial" w:eastAsiaTheme="minorHAnsi" w:hAnsi="Arial" w:cstheme="minorBidi"/>
          <w:sz w:val="22"/>
          <w:szCs w:val="22"/>
          <w:lang w:eastAsia="en-US"/>
        </w:rPr>
        <w:t>changes to the PBS schedule and medicines shortages reported to the T</w:t>
      </w:r>
      <w:r w:rsidR="0093520F" w:rsidRPr="001363E3">
        <w:rPr>
          <w:rFonts w:ascii="Arial" w:eastAsiaTheme="minorHAnsi" w:hAnsi="Arial" w:cstheme="minorBidi"/>
          <w:sz w:val="22"/>
          <w:szCs w:val="22"/>
          <w:lang w:eastAsia="en-US"/>
        </w:rPr>
        <w:t xml:space="preserve">herapeutic </w:t>
      </w:r>
      <w:r w:rsidRPr="001363E3">
        <w:rPr>
          <w:rFonts w:ascii="Arial" w:eastAsiaTheme="minorHAnsi" w:hAnsi="Arial" w:cstheme="minorBidi"/>
          <w:sz w:val="22"/>
          <w:szCs w:val="22"/>
          <w:lang w:eastAsia="en-US"/>
        </w:rPr>
        <w:t>G</w:t>
      </w:r>
      <w:r w:rsidR="0093520F" w:rsidRPr="001363E3">
        <w:rPr>
          <w:rFonts w:ascii="Arial" w:eastAsiaTheme="minorHAnsi" w:hAnsi="Arial" w:cstheme="minorBidi"/>
          <w:sz w:val="22"/>
          <w:szCs w:val="22"/>
          <w:lang w:eastAsia="en-US"/>
        </w:rPr>
        <w:t>oods Administration</w:t>
      </w:r>
      <w:r w:rsidR="00893F62" w:rsidRPr="001363E3">
        <w:rPr>
          <w:rFonts w:ascii="Arial" w:eastAsiaTheme="minorHAnsi" w:hAnsi="Arial" w:cstheme="minorBidi"/>
          <w:sz w:val="22"/>
          <w:szCs w:val="22"/>
          <w:lang w:eastAsia="en-US"/>
        </w:rPr>
        <w:t xml:space="preserve"> (TGA)</w:t>
      </w:r>
      <w:r w:rsidRPr="001363E3">
        <w:rPr>
          <w:rFonts w:ascii="Arial" w:eastAsiaTheme="minorHAnsi" w:hAnsi="Arial" w:cstheme="minorBidi"/>
          <w:sz w:val="22"/>
          <w:szCs w:val="22"/>
          <w:lang w:eastAsia="en-US"/>
        </w:rPr>
        <w:t xml:space="preserve">. </w:t>
      </w:r>
      <w:r w:rsidR="005D2601" w:rsidRPr="001363E3">
        <w:rPr>
          <w:rFonts w:ascii="Arial" w:eastAsiaTheme="minorHAnsi" w:hAnsi="Arial" w:cstheme="minorBidi"/>
          <w:sz w:val="22"/>
          <w:szCs w:val="22"/>
          <w:lang w:eastAsia="en-US"/>
        </w:rPr>
        <w:t>This reduces the risk that medicines are in shortage or at risk of shortage at the time of implementation</w:t>
      </w:r>
      <w:r w:rsidR="008F5446" w:rsidRPr="001363E3">
        <w:rPr>
          <w:rFonts w:ascii="Arial" w:eastAsiaTheme="minorHAnsi" w:hAnsi="Arial" w:cstheme="minorBidi"/>
          <w:sz w:val="22"/>
          <w:szCs w:val="22"/>
          <w:lang w:eastAsia="en-US"/>
        </w:rPr>
        <w:t>.</w:t>
      </w:r>
    </w:p>
    <w:p w14:paraId="49FF075C" w14:textId="0BECF103" w:rsidR="00692869" w:rsidRPr="001363E3" w:rsidRDefault="00692869" w:rsidP="00692869">
      <w:pPr>
        <w:pStyle w:val="NormalWeb"/>
        <w:spacing w:after="120" w:afterAutospacing="0"/>
        <w:rPr>
          <w:rFonts w:ascii="Arial" w:eastAsiaTheme="minorHAnsi" w:hAnsi="Arial" w:cstheme="minorBidi"/>
          <w:sz w:val="22"/>
          <w:szCs w:val="22"/>
          <w:lang w:eastAsia="en-US"/>
        </w:rPr>
      </w:pPr>
      <w:r w:rsidRPr="001363E3">
        <w:rPr>
          <w:rFonts w:ascii="Arial" w:eastAsiaTheme="minorHAnsi" w:hAnsi="Arial" w:cstheme="minorBidi"/>
          <w:sz w:val="22"/>
          <w:szCs w:val="22"/>
          <w:lang w:eastAsia="en-US"/>
        </w:rPr>
        <w:t xml:space="preserve">The approach to the inclusion of medicines in Stage Three of 60-day prescriptions </w:t>
      </w:r>
      <w:r w:rsidR="00F12082">
        <w:rPr>
          <w:rFonts w:ascii="Arial" w:eastAsiaTheme="minorHAnsi" w:hAnsi="Arial" w:cstheme="minorBidi"/>
          <w:sz w:val="22"/>
          <w:szCs w:val="22"/>
          <w:lang w:eastAsia="en-US"/>
        </w:rPr>
        <w:t>wa</w:t>
      </w:r>
      <w:r w:rsidR="00584497" w:rsidRPr="001363E3">
        <w:rPr>
          <w:rFonts w:ascii="Arial" w:eastAsiaTheme="minorHAnsi" w:hAnsi="Arial" w:cstheme="minorBidi"/>
          <w:sz w:val="22"/>
          <w:szCs w:val="22"/>
          <w:lang w:eastAsia="en-US"/>
        </w:rPr>
        <w:t xml:space="preserve">s </w:t>
      </w:r>
      <w:r w:rsidRPr="001363E3">
        <w:rPr>
          <w:rFonts w:ascii="Arial" w:eastAsiaTheme="minorHAnsi" w:hAnsi="Arial" w:cstheme="minorBidi"/>
          <w:sz w:val="22"/>
          <w:szCs w:val="22"/>
          <w:lang w:eastAsia="en-US"/>
        </w:rPr>
        <w:t xml:space="preserve">consistent with earlier </w:t>
      </w:r>
      <w:r w:rsidR="00F979CB" w:rsidRPr="001363E3">
        <w:rPr>
          <w:rFonts w:ascii="Arial" w:eastAsiaTheme="minorHAnsi" w:hAnsi="Arial" w:cstheme="minorBidi"/>
          <w:sz w:val="22"/>
          <w:szCs w:val="22"/>
          <w:lang w:eastAsia="en-US"/>
        </w:rPr>
        <w:t xml:space="preserve">stages, with </w:t>
      </w:r>
      <w:r w:rsidR="001F7780" w:rsidRPr="001363E3">
        <w:rPr>
          <w:rFonts w:ascii="Arial" w:eastAsiaTheme="minorHAnsi" w:hAnsi="Arial" w:cstheme="minorBidi"/>
          <w:sz w:val="22"/>
          <w:szCs w:val="22"/>
          <w:lang w:eastAsia="en-US"/>
        </w:rPr>
        <w:t>a minor adjustment</w:t>
      </w:r>
      <w:r w:rsidRPr="001363E3">
        <w:rPr>
          <w:rFonts w:ascii="Arial" w:eastAsiaTheme="minorHAnsi" w:hAnsi="Arial" w:cstheme="minorBidi"/>
          <w:sz w:val="22"/>
          <w:szCs w:val="22"/>
          <w:lang w:eastAsia="en-US"/>
        </w:rPr>
        <w:t>. To eliminate confusion where some strengths or forms of a medicine are available for 60-day prescriptions and others are not, the department implement</w:t>
      </w:r>
      <w:r w:rsidR="00F12082">
        <w:rPr>
          <w:rFonts w:ascii="Arial" w:eastAsiaTheme="minorHAnsi" w:hAnsi="Arial" w:cstheme="minorBidi"/>
          <w:sz w:val="22"/>
          <w:szCs w:val="22"/>
          <w:lang w:eastAsia="en-US"/>
        </w:rPr>
        <w:t>ed</w:t>
      </w:r>
      <w:r w:rsidRPr="001363E3">
        <w:rPr>
          <w:rFonts w:ascii="Arial" w:eastAsiaTheme="minorHAnsi" w:hAnsi="Arial" w:cstheme="minorBidi"/>
          <w:sz w:val="22"/>
          <w:szCs w:val="22"/>
          <w:lang w:eastAsia="en-US"/>
        </w:rPr>
        <w:t xml:space="preserve"> strengths and forms of medicines in Stage Three that </w:t>
      </w:r>
      <w:r w:rsidR="00F12082">
        <w:rPr>
          <w:rFonts w:ascii="Arial" w:eastAsiaTheme="minorHAnsi" w:hAnsi="Arial" w:cstheme="minorBidi"/>
          <w:sz w:val="22"/>
          <w:szCs w:val="22"/>
          <w:lang w:eastAsia="en-US"/>
        </w:rPr>
        <w:t>were</w:t>
      </w:r>
      <w:r w:rsidRPr="001363E3">
        <w:rPr>
          <w:rFonts w:ascii="Arial" w:eastAsiaTheme="minorHAnsi" w:hAnsi="Arial" w:cstheme="minorBidi"/>
          <w:sz w:val="22"/>
          <w:szCs w:val="22"/>
          <w:lang w:eastAsia="en-US"/>
        </w:rPr>
        <w:t xml:space="preserve"> in shortage where all the other strengths and forms of that medicine ha</w:t>
      </w:r>
      <w:r w:rsidR="00F12082">
        <w:rPr>
          <w:rFonts w:ascii="Arial" w:eastAsiaTheme="minorHAnsi" w:hAnsi="Arial" w:cstheme="minorBidi"/>
          <w:sz w:val="22"/>
          <w:szCs w:val="22"/>
          <w:lang w:eastAsia="en-US"/>
        </w:rPr>
        <w:t>d</w:t>
      </w:r>
      <w:r w:rsidR="00A42E9C" w:rsidRPr="001363E3">
        <w:rPr>
          <w:rFonts w:ascii="Arial" w:eastAsiaTheme="minorHAnsi" w:hAnsi="Arial" w:cstheme="minorBidi"/>
          <w:sz w:val="22"/>
          <w:szCs w:val="22"/>
          <w:lang w:eastAsia="en-US"/>
        </w:rPr>
        <w:t xml:space="preserve"> already </w:t>
      </w:r>
      <w:r w:rsidRPr="001363E3">
        <w:rPr>
          <w:rFonts w:ascii="Arial" w:eastAsiaTheme="minorHAnsi" w:hAnsi="Arial" w:cstheme="minorBidi"/>
          <w:sz w:val="22"/>
          <w:szCs w:val="22"/>
          <w:lang w:eastAsia="en-US"/>
        </w:rPr>
        <w:t>been implemented or are suitable for implementation.</w:t>
      </w:r>
    </w:p>
    <w:p w14:paraId="36D2F1C4" w14:textId="4BD19284" w:rsidR="001F72BA" w:rsidRDefault="001F72BA" w:rsidP="001F72BA">
      <w:pPr>
        <w:pStyle w:val="NormalWeb"/>
        <w:rPr>
          <w:rFonts w:ascii="Arial" w:hAnsi="Arial" w:cstheme="minorBidi"/>
          <w:sz w:val="22"/>
          <w:szCs w:val="22"/>
          <w:lang w:eastAsia="en-US"/>
        </w:rPr>
      </w:pPr>
      <w:r w:rsidRPr="001363E3">
        <w:rPr>
          <w:rFonts w:ascii="Arial" w:eastAsiaTheme="minorHAnsi" w:hAnsi="Arial" w:cstheme="minorBidi"/>
          <w:sz w:val="22"/>
          <w:szCs w:val="22"/>
          <w:lang w:eastAsia="en-US"/>
        </w:rPr>
        <w:t>Medicines recommended by the</w:t>
      </w:r>
      <w:r w:rsidR="00C016C1" w:rsidRPr="001363E3">
        <w:rPr>
          <w:rFonts w:ascii="Arial" w:eastAsiaTheme="minorHAnsi" w:hAnsi="Arial" w:cstheme="minorBidi"/>
          <w:sz w:val="22"/>
          <w:szCs w:val="22"/>
          <w:lang w:eastAsia="en-US"/>
        </w:rPr>
        <w:t xml:space="preserve"> </w:t>
      </w:r>
      <w:r w:rsidRPr="001363E3">
        <w:rPr>
          <w:rFonts w:ascii="Arial" w:eastAsiaTheme="minorHAnsi" w:hAnsi="Arial" w:cstheme="minorBidi"/>
          <w:sz w:val="22"/>
          <w:szCs w:val="22"/>
          <w:lang w:eastAsia="en-US"/>
        </w:rPr>
        <w:t xml:space="preserve">PBAC in December 2022 </w:t>
      </w:r>
      <w:r w:rsidR="006F6593" w:rsidRPr="001363E3">
        <w:rPr>
          <w:rFonts w:ascii="Arial" w:eastAsiaTheme="minorHAnsi" w:hAnsi="Arial" w:cstheme="minorBidi"/>
          <w:sz w:val="22"/>
          <w:szCs w:val="22"/>
          <w:lang w:eastAsia="en-US"/>
        </w:rPr>
        <w:t xml:space="preserve">that </w:t>
      </w:r>
      <w:r w:rsidRPr="001363E3">
        <w:rPr>
          <w:rFonts w:ascii="Arial" w:eastAsiaTheme="minorHAnsi" w:hAnsi="Arial" w:cstheme="minorBidi"/>
          <w:sz w:val="22"/>
          <w:szCs w:val="22"/>
          <w:lang w:eastAsia="en-US"/>
        </w:rPr>
        <w:t>remain</w:t>
      </w:r>
      <w:r w:rsidR="00466059" w:rsidRPr="001363E3">
        <w:rPr>
          <w:rFonts w:ascii="Arial" w:eastAsiaTheme="minorHAnsi" w:hAnsi="Arial" w:cstheme="minorBidi"/>
          <w:sz w:val="22"/>
          <w:szCs w:val="22"/>
          <w:lang w:eastAsia="en-US"/>
        </w:rPr>
        <w:t xml:space="preserve"> </w:t>
      </w:r>
      <w:r w:rsidRPr="001363E3">
        <w:rPr>
          <w:rFonts w:ascii="Arial" w:eastAsiaTheme="minorHAnsi" w:hAnsi="Arial" w:cstheme="minorBidi"/>
          <w:sz w:val="22"/>
          <w:szCs w:val="22"/>
          <w:lang w:eastAsia="en-US"/>
        </w:rPr>
        <w:t xml:space="preserve">in long term shortage will continue to be monitored. Consistent with standard processes, the department will seek </w:t>
      </w:r>
      <w:r w:rsidR="00944392" w:rsidRPr="001363E3">
        <w:rPr>
          <w:rFonts w:ascii="Arial" w:eastAsiaTheme="minorHAnsi" w:hAnsi="Arial" w:cstheme="minorBidi"/>
          <w:sz w:val="22"/>
          <w:szCs w:val="22"/>
          <w:lang w:eastAsia="en-US"/>
        </w:rPr>
        <w:t xml:space="preserve">the </w:t>
      </w:r>
      <w:r w:rsidRPr="001363E3">
        <w:rPr>
          <w:rFonts w:ascii="Arial" w:eastAsiaTheme="minorHAnsi" w:hAnsi="Arial" w:cstheme="minorBidi"/>
          <w:sz w:val="22"/>
          <w:szCs w:val="22"/>
          <w:lang w:eastAsia="en-US"/>
        </w:rPr>
        <w:t>PBAC</w:t>
      </w:r>
      <w:r w:rsidR="00944392" w:rsidRPr="001363E3">
        <w:rPr>
          <w:rFonts w:ascii="Arial" w:eastAsiaTheme="minorHAnsi" w:hAnsi="Arial" w:cstheme="minorBidi"/>
          <w:sz w:val="22"/>
          <w:szCs w:val="22"/>
          <w:lang w:eastAsia="en-US"/>
        </w:rPr>
        <w:t>’s</w:t>
      </w:r>
      <w:r w:rsidRPr="001363E3">
        <w:rPr>
          <w:rFonts w:ascii="Arial" w:eastAsiaTheme="minorHAnsi" w:hAnsi="Arial" w:cstheme="minorBidi"/>
          <w:sz w:val="22"/>
          <w:szCs w:val="22"/>
          <w:lang w:eastAsia="en-US"/>
        </w:rPr>
        <w:t xml:space="preserve"> </w:t>
      </w:r>
      <w:r w:rsidRPr="001363E3">
        <w:rPr>
          <w:rFonts w:ascii="Arial" w:eastAsiaTheme="minorHAnsi" w:hAnsi="Arial" w:cstheme="minorBidi"/>
          <w:sz w:val="22"/>
          <w:szCs w:val="22"/>
          <w:lang w:eastAsia="en-US"/>
        </w:rPr>
        <w:lastRenderedPageBreak/>
        <w:t>advice on retaining the December 2022 recommendations for unimplemented P</w:t>
      </w:r>
      <w:r w:rsidR="00DC2D47" w:rsidRPr="001363E3">
        <w:rPr>
          <w:rFonts w:ascii="Arial" w:eastAsiaTheme="minorHAnsi" w:hAnsi="Arial" w:cstheme="minorBidi"/>
          <w:sz w:val="22"/>
          <w:szCs w:val="22"/>
          <w:lang w:eastAsia="en-US"/>
        </w:rPr>
        <w:t xml:space="preserve">BS </w:t>
      </w:r>
      <w:r w:rsidRPr="001363E3">
        <w:rPr>
          <w:rFonts w:ascii="Arial" w:eastAsiaTheme="minorHAnsi" w:hAnsi="Arial" w:cstheme="minorBidi"/>
          <w:sz w:val="22"/>
          <w:szCs w:val="22"/>
          <w:lang w:eastAsia="en-US"/>
        </w:rPr>
        <w:t>items at its</w:t>
      </w:r>
      <w:r w:rsidRPr="00A65837">
        <w:rPr>
          <w:rFonts w:ascii="Arial" w:hAnsi="Arial" w:cstheme="minorBidi"/>
          <w:color w:val="FF0000"/>
          <w:sz w:val="22"/>
          <w:szCs w:val="22"/>
          <w:lang w:eastAsia="en-US"/>
        </w:rPr>
        <w:t xml:space="preserve"> </w:t>
      </w:r>
      <w:r w:rsidRPr="001363E3">
        <w:rPr>
          <w:rFonts w:ascii="Arial" w:eastAsiaTheme="minorHAnsi" w:hAnsi="Arial" w:cstheme="minorBidi"/>
          <w:sz w:val="22"/>
          <w:szCs w:val="22"/>
          <w:lang w:eastAsia="en-US"/>
        </w:rPr>
        <w:t>December 2024 meeting. Sponsors of medicines in long-term shortage will be consulted prior to this consideration.</w:t>
      </w:r>
    </w:p>
    <w:p w14:paraId="68760DB5" w14:textId="688D9CA3" w:rsidR="001F72BA" w:rsidRPr="001363E3" w:rsidRDefault="003A4D69" w:rsidP="005343B6">
      <w:pPr>
        <w:pStyle w:val="Heading2"/>
      </w:pPr>
      <w:r w:rsidRPr="001363E3">
        <w:t xml:space="preserve">Where is further information on medicine </w:t>
      </w:r>
      <w:r w:rsidR="00FD66DB" w:rsidRPr="001363E3">
        <w:t>shortages</w:t>
      </w:r>
      <w:r w:rsidRPr="001363E3">
        <w:t xml:space="preserve"> available</w:t>
      </w:r>
      <w:r w:rsidR="00FD66DB" w:rsidRPr="001363E3">
        <w:t>?</w:t>
      </w:r>
    </w:p>
    <w:p w14:paraId="589B88B3" w14:textId="406F70B3" w:rsidR="008401F9" w:rsidRPr="001363E3" w:rsidRDefault="008401F9" w:rsidP="008401F9">
      <w:pPr>
        <w:rPr>
          <w:rFonts w:ascii="Calibri" w:hAnsi="Calibri" w:cs="Calibri"/>
          <w:sz w:val="24"/>
          <w:szCs w:val="24"/>
        </w:rPr>
      </w:pPr>
      <w:r w:rsidRPr="001363E3">
        <w:t xml:space="preserve">For further information about medicine shortages, including management actions and information for pharmacists and prescribers, visit </w:t>
      </w:r>
      <w:hyperlink r:id="rId12" w:history="1">
        <w:r w:rsidRPr="001363E3">
          <w:rPr>
            <w:rStyle w:val="Hyperlink"/>
            <w:rFonts w:cs="Arial"/>
          </w:rPr>
          <w:t>www.tga.gov.au/safety/shortages</w:t>
        </w:r>
      </w:hyperlink>
      <w:r w:rsidRPr="001363E3">
        <w:t xml:space="preserve"> or contact the TGA’s Medicines Shortages Section at </w:t>
      </w:r>
      <w:hyperlink r:id="rId13" w:history="1">
        <w:r w:rsidRPr="001363E3">
          <w:rPr>
            <w:rStyle w:val="Hyperlink"/>
            <w:rFonts w:cs="Arial"/>
          </w:rPr>
          <w:t>medicine.shortages@health.gov.au</w:t>
        </w:r>
      </w:hyperlink>
      <w:r w:rsidRPr="001363E3">
        <w:t xml:space="preserve">. Pharmacists and prescribers can also subscribe to alerts about medicine shortages at </w:t>
      </w:r>
      <w:hyperlink r:id="rId14" w:history="1">
        <w:r w:rsidRPr="001363E3">
          <w:rPr>
            <w:rStyle w:val="Hyperlink"/>
            <w:rFonts w:cs="Arial"/>
          </w:rPr>
          <w:t>www.tga.gov.au/news/subscribe-updates</w:t>
        </w:r>
      </w:hyperlink>
      <w:r w:rsidRPr="001363E3">
        <w:t>.</w:t>
      </w:r>
    </w:p>
    <w:p w14:paraId="3AC1ED85" w14:textId="7E639DBF" w:rsidR="008401F9" w:rsidRPr="001363E3" w:rsidRDefault="008401F9" w:rsidP="008401F9">
      <w:pPr>
        <w:rPr>
          <w:lang w:eastAsia="en-AU"/>
        </w:rPr>
      </w:pPr>
      <w:r w:rsidRPr="001363E3">
        <w:t>The TGA’s Medicine Shortages Strategy Section (MSSS) conducted a public consultation and market research survey to better understand the nature, extent and urgency of problems currently affecting the supply of medicines in Australia, including their impacts on community pharmacists. Th</w:t>
      </w:r>
      <w:r w:rsidRPr="001363E3">
        <w:rPr>
          <w:lang w:eastAsia="en-AU"/>
        </w:rPr>
        <w:t xml:space="preserve">e consultation and survey findings are now available on the TGA Consultation Hub at: </w:t>
      </w:r>
      <w:hyperlink r:id="rId15" w:history="1">
        <w:r w:rsidR="00F12082">
          <w:rPr>
            <w:rStyle w:val="Hyperlink"/>
            <w:rFonts w:cs="Arial"/>
          </w:rPr>
          <w:t>www.consultations.tga.gov.au/tga/medicine-shortages-australia</w:t>
        </w:r>
      </w:hyperlink>
      <w:r w:rsidRPr="001363E3">
        <w:rPr>
          <w:lang w:eastAsia="en-AU"/>
        </w:rPr>
        <w:t xml:space="preserve">. </w:t>
      </w:r>
    </w:p>
    <w:p w14:paraId="3CC1C85B" w14:textId="401FAFEC" w:rsidR="008401F9" w:rsidRPr="001363E3" w:rsidRDefault="008401F9" w:rsidP="008401F9">
      <w:r w:rsidRPr="001363E3">
        <w:rPr>
          <w:lang w:eastAsia="en-AU"/>
        </w:rPr>
        <w:t>The findings will be used</w:t>
      </w:r>
      <w:r w:rsidRPr="001363E3">
        <w:rPr>
          <w:rStyle w:val="ui-provider"/>
        </w:rPr>
        <w:t xml:space="preserve"> to develop a workplan for potential future reform. </w:t>
      </w:r>
      <w:r w:rsidRPr="001363E3">
        <w:t xml:space="preserve">You may wish to contact the MSSS for more information about this work at </w:t>
      </w:r>
      <w:hyperlink r:id="rId16" w:history="1">
        <w:r w:rsidRPr="001363E3">
          <w:rPr>
            <w:rStyle w:val="Hyperlink"/>
            <w:rFonts w:cs="Arial"/>
          </w:rPr>
          <w:t>shortages.strategy@health.gov.au</w:t>
        </w:r>
      </w:hyperlink>
      <w:r w:rsidRPr="001363E3">
        <w:t xml:space="preserve">. </w:t>
      </w:r>
    </w:p>
    <w:p w14:paraId="1F88D38A" w14:textId="25AC9252" w:rsidR="00AD455B" w:rsidRPr="00120ABA" w:rsidRDefault="00AD455B" w:rsidP="005343B6">
      <w:pPr>
        <w:pStyle w:val="Heading2"/>
      </w:pPr>
      <w:r w:rsidRPr="00120ABA">
        <w:t>What actions should the pharmacist take if a patient presents a prescription for a 60-day quantity of medicine where the stock on hand has a shorter expiry than 60 days?</w:t>
      </w:r>
    </w:p>
    <w:p w14:paraId="5F2816FE" w14:textId="000B6D60" w:rsidR="00AD455B" w:rsidRPr="00350D1D" w:rsidRDefault="00AD455B" w:rsidP="005343B6">
      <w:pPr>
        <w:pStyle w:val="ListBullet"/>
      </w:pPr>
      <w:r w:rsidRPr="00350D1D">
        <w:t xml:space="preserve">As part of good dispensing practice, medicines should not be supplied after their expiry date or so close to their expiry date that this date is likely to occur before the medicines are used by </w:t>
      </w:r>
      <w:r w:rsidR="003F449C">
        <w:t>patients</w:t>
      </w:r>
      <w:r w:rsidRPr="00350D1D">
        <w:t>.</w:t>
      </w:r>
    </w:p>
    <w:p w14:paraId="47D1E65E" w14:textId="1143574C" w:rsidR="00AD455B" w:rsidRPr="00350D1D" w:rsidRDefault="00AD455B" w:rsidP="005343B6">
      <w:pPr>
        <w:pStyle w:val="ListBullet"/>
      </w:pPr>
      <w:r w:rsidRPr="00350D1D">
        <w:t xml:space="preserve">The 60-day </w:t>
      </w:r>
      <w:r w:rsidR="003400AF">
        <w:t>prescription</w:t>
      </w:r>
      <w:r w:rsidR="003400AF" w:rsidRPr="00350D1D">
        <w:t xml:space="preserve"> </w:t>
      </w:r>
      <w:r w:rsidRPr="00350D1D">
        <w:t xml:space="preserve">policy means that patients </w:t>
      </w:r>
      <w:r w:rsidR="00450C0B">
        <w:t xml:space="preserve">will be able to receive </w:t>
      </w:r>
      <w:r w:rsidR="00472CCE">
        <w:t xml:space="preserve">twice the medication on a single prescription </w:t>
      </w:r>
      <w:r w:rsidRPr="00350D1D">
        <w:t xml:space="preserve">where their prescriber considers that it is clinically appropriate to do so. If stock is low or has a short expiry date, patients should not be negatively impacted. </w:t>
      </w:r>
    </w:p>
    <w:p w14:paraId="5A7F6D94" w14:textId="5F78BDB3" w:rsidR="00AD455B" w:rsidRPr="00350D1D" w:rsidRDefault="00AD455B" w:rsidP="005343B6">
      <w:pPr>
        <w:pStyle w:val="ListBullet"/>
      </w:pPr>
      <w:r w:rsidRPr="00350D1D">
        <w:t>If a pharmacy is experiencing low stock with a sufficient expiry date, it may dispense the full amount (</w:t>
      </w:r>
      <w:r w:rsidR="003530FD">
        <w:t>2</w:t>
      </w:r>
      <w:r w:rsidRPr="00350D1D">
        <w:t xml:space="preserve"> packs) according to the prescription and order in a second pack with a longer expiry date from the medicine wholesaler. The patient would then collect the second box of medicine when the pharmacy receives it. Ideally, this should only be done if the stock can be supplied within the current claim period.</w:t>
      </w:r>
    </w:p>
    <w:p w14:paraId="659BA0E7" w14:textId="3612539F" w:rsidR="00AD455B" w:rsidRPr="00350D1D" w:rsidRDefault="00AD455B" w:rsidP="00D8133E">
      <w:pPr>
        <w:pStyle w:val="ListBullet"/>
        <w:rPr>
          <w:rFonts w:cs="Arial"/>
        </w:rPr>
      </w:pPr>
      <w:r w:rsidRPr="00350D1D">
        <w:rPr>
          <w:rFonts w:cs="Arial"/>
        </w:rPr>
        <w:t xml:space="preserve">The issue of expiry dates is broader than for 60-day </w:t>
      </w:r>
      <w:r w:rsidR="00A57099">
        <w:rPr>
          <w:rFonts w:cs="Arial"/>
        </w:rPr>
        <w:t>prescription</w:t>
      </w:r>
      <w:r w:rsidR="00A57099" w:rsidRPr="00350D1D">
        <w:rPr>
          <w:rFonts w:cs="Arial"/>
        </w:rPr>
        <w:t xml:space="preserve"> </w:t>
      </w:r>
      <w:r w:rsidRPr="00350D1D">
        <w:rPr>
          <w:rFonts w:cs="Arial"/>
        </w:rPr>
        <w:t>items. The TGA’s “</w:t>
      </w:r>
      <w:hyperlink r:id="rId17" w:history="1">
        <w:r w:rsidRPr="00350D1D">
          <w:rPr>
            <w:rStyle w:val="Hyperlink"/>
            <w:rFonts w:cs="Arial"/>
          </w:rPr>
          <w:t>Australian code of good wholesaling practice for medicines in schedules 2, 3, 4 &amp; 8</w:t>
        </w:r>
      </w:hyperlink>
      <w:r w:rsidRPr="00350D1D">
        <w:rPr>
          <w:rFonts w:cs="Arial"/>
        </w:rPr>
        <w:t>” provides advice on stock handling and stock control</w:t>
      </w:r>
      <w:r w:rsidR="00207A16">
        <w:rPr>
          <w:rFonts w:cs="Arial"/>
        </w:rPr>
        <w:t>:</w:t>
      </w:r>
    </w:p>
    <w:p w14:paraId="1E78AB77" w14:textId="77777777" w:rsidR="00AD455B" w:rsidRPr="00350D1D" w:rsidRDefault="00AD455B" w:rsidP="00B01ECD">
      <w:pPr>
        <w:pStyle w:val="ListBullet2"/>
      </w:pPr>
      <w:r w:rsidRPr="00350D1D">
        <w:t>(4.4) There should be a system to ensure stock rotation, with regular checks that the system is operating correctly, such as a stock cycle counting program.</w:t>
      </w:r>
    </w:p>
    <w:p w14:paraId="1656BD23" w14:textId="0758CBFB" w:rsidR="00AD455B" w:rsidRPr="00350D1D" w:rsidRDefault="00AD455B" w:rsidP="00B01ECD">
      <w:pPr>
        <w:pStyle w:val="ListBullet2"/>
      </w:pPr>
      <w:r w:rsidRPr="00350D1D">
        <w:t xml:space="preserve">(4.7) Medicines bearing an expiry date should not be received or supplied after their expiry date or so close to their expiry date that this date is likely to occur before the medicines are used by the </w:t>
      </w:r>
      <w:r w:rsidR="00450C0B">
        <w:t>patient</w:t>
      </w:r>
      <w:r w:rsidRPr="00350D1D">
        <w:t>. Such medicines should be withdrawn from sale and quarantined pending disposal in accordance with agreements between wholesaler and supplier or sponsor.</w:t>
      </w:r>
    </w:p>
    <w:p w14:paraId="18A2B771" w14:textId="5A902ADD" w:rsidR="00AD455B" w:rsidRPr="00350D1D" w:rsidRDefault="00207A16" w:rsidP="00B01ECD">
      <w:pPr>
        <w:pStyle w:val="ListBullet2"/>
      </w:pPr>
      <w:r>
        <w:t xml:space="preserve">(4.9) </w:t>
      </w:r>
      <w:r w:rsidR="00AD455B" w:rsidRPr="00350D1D">
        <w:t xml:space="preserve">Upon stock arrival at the wholesaler, it should be inspected and examined for correctness against order, acceptable period of time before stock expiry date and absence of </w:t>
      </w:r>
      <w:r w:rsidR="00AD455B" w:rsidRPr="00350D1D">
        <w:lastRenderedPageBreak/>
        <w:t xml:space="preserve">damage or evidence of tampering. Pharmacists should check any agreements with their wholesaler about the supply of stock, the required minimum expiry dates and expired stock. </w:t>
      </w:r>
    </w:p>
    <w:p w14:paraId="33E49E04" w14:textId="776B3417" w:rsidR="00BA1054" w:rsidRPr="00120ABA" w:rsidRDefault="00BA1054" w:rsidP="005343B6">
      <w:pPr>
        <w:pStyle w:val="Heading2"/>
      </w:pPr>
      <w:r w:rsidRPr="00120ABA">
        <w:t xml:space="preserve">How will the outcomes of 60-day </w:t>
      </w:r>
      <w:r w:rsidR="00FA70B8">
        <w:t>prescriptions</w:t>
      </w:r>
      <w:r w:rsidR="00FA70B8" w:rsidRPr="00120ABA">
        <w:t xml:space="preserve"> </w:t>
      </w:r>
      <w:r w:rsidRPr="00120ABA">
        <w:t>be measured and evaluated after implementation?</w:t>
      </w:r>
      <w:r w:rsidRPr="00120ABA">
        <w:softHyphen/>
      </w:r>
    </w:p>
    <w:p w14:paraId="6625929C" w14:textId="1BF5B7B1" w:rsidR="005B5C39" w:rsidRPr="005343B6" w:rsidRDefault="005B5C39" w:rsidP="005906F6">
      <w:r w:rsidRPr="005343B6">
        <w:t xml:space="preserve">The Department of Health and Aged Care will develop a comprehensive evaluation framework that will monitor risks and provide mitigation strategies should unforeseen circumstances arise. The framework will utilise existing PBS evaluation processes and existing data sources (e.g. PBS claims data) where possible, and implement specific evaluation processes as required. </w:t>
      </w:r>
      <w:r w:rsidR="00E7498B" w:rsidRPr="005343B6">
        <w:t>More information on the comprehensive evaluation framework is available as part of the impact analysis</w:t>
      </w:r>
      <w:r w:rsidR="00207A16" w:rsidRPr="005343B6">
        <w:t>:</w:t>
      </w:r>
      <w:r w:rsidR="00E7498B" w:rsidRPr="005343B6">
        <w:t xml:space="preserve"> </w:t>
      </w:r>
      <w:hyperlink r:id="rId18" w:history="1">
        <w:r w:rsidR="00054E27" w:rsidRPr="00350D1D">
          <w:rPr>
            <w:rStyle w:val="Hyperlink"/>
            <w:rFonts w:cs="Arial"/>
          </w:rPr>
          <w:t>oia.pmc.gov.au/published-impact-analyses-and-reports/lowering-costs-medicines-through-changes-maximum-dispensing</w:t>
        </w:r>
      </w:hyperlink>
      <w:r w:rsidR="00054E27" w:rsidRPr="005343B6">
        <w:t>.</w:t>
      </w:r>
    </w:p>
    <w:p w14:paraId="4E4C7FB3" w14:textId="781EBB32" w:rsidR="00CD0A58" w:rsidRPr="000F03C7" w:rsidRDefault="00CD0A58" w:rsidP="005343B6">
      <w:pPr>
        <w:pStyle w:val="Heading2"/>
      </w:pPr>
      <w:r w:rsidRPr="000F03C7">
        <w:t xml:space="preserve">What if patients want to see their doctor before 12 months? Do prescribers have to write a </w:t>
      </w:r>
      <w:r w:rsidR="003400AF">
        <w:t xml:space="preserve">60-day </w:t>
      </w:r>
      <w:r w:rsidRPr="000F03C7">
        <w:t>prescription with the maximum quantity and repeats?</w:t>
      </w:r>
    </w:p>
    <w:p w14:paraId="4BFCA669" w14:textId="77777777" w:rsidR="007F1602" w:rsidRPr="005343B6" w:rsidRDefault="007F1602" w:rsidP="005343B6">
      <w:r w:rsidRPr="005343B6">
        <w:t xml:space="preserve">Since 1 September 2023, prescribers have been able to prescribe 60-day supply items for patients. Patients will need to consult their prescriber about whether it is suitable to receive a prescription for the 60-day quantity for their medicine/s. A prescription for the 60-day supply is required before this larger quantity can be dispensed. </w:t>
      </w:r>
    </w:p>
    <w:p w14:paraId="148FDFAE" w14:textId="10930E3B" w:rsidR="00CD0A58" w:rsidRPr="005343B6" w:rsidRDefault="00CD0A58" w:rsidP="005343B6">
      <w:r w:rsidRPr="005343B6">
        <w:t xml:space="preserve">Doctors retain full clinical discretion over what quantity of medicine is prescribed for their patients, based on their assessment of </w:t>
      </w:r>
      <w:r w:rsidR="00C729E1">
        <w:t>their</w:t>
      </w:r>
      <w:r w:rsidRPr="005343B6">
        <w:t xml:space="preserve"> patient at that time. </w:t>
      </w:r>
    </w:p>
    <w:p w14:paraId="6E84D8F8" w14:textId="77777777" w:rsidR="00CD0A58" w:rsidRPr="005343B6" w:rsidRDefault="00CD0A58" w:rsidP="005343B6">
      <w:r w:rsidRPr="005343B6">
        <w:t>For example, a doctor may choose to write a 30-day rather than a 60-day prescription or may choose to write a 60-day prescription with an appropriate number of repeats, depending on their clinical assessment of patient needs.</w:t>
      </w:r>
    </w:p>
    <w:p w14:paraId="79849C39" w14:textId="77777777" w:rsidR="00CD0A58" w:rsidRPr="005343B6" w:rsidRDefault="00CD0A58" w:rsidP="005343B6">
      <w:r w:rsidRPr="005343B6">
        <w:t>As with all PBS listed medicines, the prescriber must be satisfied that the patient meets the eligibility requirements for the subsidy.</w:t>
      </w:r>
    </w:p>
    <w:p w14:paraId="6F6A39E7" w14:textId="7495AD7F" w:rsidR="00CD0A58" w:rsidRPr="005343B6" w:rsidRDefault="00CD0A58" w:rsidP="005343B6">
      <w:r w:rsidRPr="005343B6">
        <w:t>The PBS restriction for all items with increased 60-day quantities include</w:t>
      </w:r>
      <w:r w:rsidR="00C729E1">
        <w:t>s</w:t>
      </w:r>
      <w:r w:rsidRPr="005343B6">
        <w:t xml:space="preserve"> an additional clinical criterion: “The </w:t>
      </w:r>
      <w:r w:rsidR="0063564D" w:rsidRPr="005343B6">
        <w:t xml:space="preserve">patient’s </w:t>
      </w:r>
      <w:r w:rsidRPr="005343B6">
        <w:t xml:space="preserve">condition must be stable </w:t>
      </w:r>
      <w:r w:rsidR="0063564D" w:rsidRPr="005343B6">
        <w:t xml:space="preserve">and suitable </w:t>
      </w:r>
      <w:r w:rsidRPr="005343B6">
        <w:t xml:space="preserve">for the </w:t>
      </w:r>
      <w:r w:rsidR="0063564D" w:rsidRPr="005343B6">
        <w:t>increased</w:t>
      </w:r>
      <w:r w:rsidRPr="005343B6">
        <w:t xml:space="preserve"> maximum quantity </w:t>
      </w:r>
      <w:r w:rsidR="0063564D" w:rsidRPr="005343B6">
        <w:t>measure</w:t>
      </w:r>
      <w:r w:rsidRPr="005343B6">
        <w:t>”.</w:t>
      </w:r>
    </w:p>
    <w:p w14:paraId="593C5538" w14:textId="27850DD4" w:rsidR="00CD0A58" w:rsidRPr="005343B6" w:rsidRDefault="00CD0A58" w:rsidP="005343B6">
      <w:r w:rsidRPr="005343B6">
        <w:t xml:space="preserve">If a prescriber feels the maximum quantity or number of repeats should be increased for a particular patient, usually where higher than normal dosages are required, they must apply for prior approval from Services Australia. They can do so by calling the Services Australia Telephone Authority Applications </w:t>
      </w:r>
      <w:r w:rsidR="00207A16" w:rsidRPr="005343B6">
        <w:t>f</w:t>
      </w:r>
      <w:r w:rsidRPr="005343B6">
        <w:t>ree</w:t>
      </w:r>
      <w:r w:rsidR="00207A16" w:rsidRPr="005343B6">
        <w:t xml:space="preserve"> </w:t>
      </w:r>
      <w:r w:rsidRPr="005343B6">
        <w:t>call service (1800 888 333), or using the </w:t>
      </w:r>
      <w:hyperlink r:id="rId19" w:tgtFrame="_blank" w:tooltip="Services Australia PBS authorities website" w:history="1">
        <w:r w:rsidRPr="00350D1D">
          <w:rPr>
            <w:rStyle w:val="Hyperlink"/>
            <w:rFonts w:cs="Arial"/>
            <w:lang w:eastAsia="en-AU"/>
          </w:rPr>
          <w:t>Services Australia PBS authorities website</w:t>
        </w:r>
      </w:hyperlink>
      <w:r w:rsidRPr="005343B6">
        <w:t>.</w:t>
      </w:r>
    </w:p>
    <w:p w14:paraId="7A9E1A62" w14:textId="77777777" w:rsidR="00CD0A58" w:rsidRPr="005343B6" w:rsidRDefault="00CD0A58" w:rsidP="005343B6">
      <w:r w:rsidRPr="005343B6">
        <w:t>Increases will not be approved when the PBS restriction contains the administrative advice that no increase in the maximum quantity or number of repeats will be approved.</w:t>
      </w:r>
    </w:p>
    <w:p w14:paraId="1E672806" w14:textId="1F76711A" w:rsidR="00CD0A58" w:rsidRPr="005343B6" w:rsidRDefault="00CD0A58" w:rsidP="005343B6">
      <w:r w:rsidRPr="005343B6">
        <w:t xml:space="preserve">Patients </w:t>
      </w:r>
      <w:r w:rsidR="00207A16" w:rsidRPr="005343B6">
        <w:t xml:space="preserve">can </w:t>
      </w:r>
      <w:r w:rsidRPr="005343B6">
        <w:t>still visit their doctor at frequent intervals if clinically appropriate.</w:t>
      </w:r>
    </w:p>
    <w:p w14:paraId="6DB2638D" w14:textId="50286699" w:rsidR="00A4379B" w:rsidRPr="000F03C7" w:rsidRDefault="00C729E1" w:rsidP="005343B6">
      <w:pPr>
        <w:pStyle w:val="Heading2"/>
      </w:pPr>
      <w:r>
        <w:lastRenderedPageBreak/>
        <w:t>Are</w:t>
      </w:r>
      <w:r w:rsidRPr="000F03C7">
        <w:t xml:space="preserve"> </w:t>
      </w:r>
      <w:r w:rsidR="00A4379B" w:rsidRPr="000F03C7">
        <w:t xml:space="preserve">prescribers able to write an Authority prescription for an increased quantity of medicine for patients who take a higher dose as part of 60-day </w:t>
      </w:r>
      <w:r w:rsidR="00FA70B8">
        <w:t>prescriptions</w:t>
      </w:r>
      <w:r w:rsidR="00A4379B" w:rsidRPr="000F03C7">
        <w:t>?</w:t>
      </w:r>
    </w:p>
    <w:p w14:paraId="19870C41" w14:textId="769BB4FB" w:rsidR="00E07A2A" w:rsidRPr="005343B6" w:rsidRDefault="00E07A2A" w:rsidP="005343B6">
      <w:r w:rsidRPr="005343B6">
        <w:t>Most Pharmaceutical Benefits Scheme (PBS) medicines are listed with a quantity that allows a maximum of 30</w:t>
      </w:r>
      <w:r w:rsidR="003A7697" w:rsidRPr="005343B6">
        <w:t>-</w:t>
      </w:r>
      <w:r w:rsidRPr="005343B6">
        <w:t xml:space="preserve">days supply at the usual dosage recommended in the </w:t>
      </w:r>
      <w:r w:rsidR="00207A16" w:rsidRPr="005343B6">
        <w:t>p</w:t>
      </w:r>
      <w:r w:rsidRPr="005343B6">
        <w:t>roduct</w:t>
      </w:r>
      <w:r w:rsidR="00207A16" w:rsidRPr="005343B6">
        <w:t xml:space="preserve"> i</w:t>
      </w:r>
      <w:r w:rsidRPr="005343B6">
        <w:t>nformation.</w:t>
      </w:r>
    </w:p>
    <w:p w14:paraId="37099D3A" w14:textId="6C97AFE4" w:rsidR="00E07A2A" w:rsidRPr="005343B6" w:rsidRDefault="00E07A2A" w:rsidP="005343B6">
      <w:r w:rsidRPr="005343B6">
        <w:t xml:space="preserve">If a prescriber feels the maximum quantity or number of repeats should be increased for a particular patient, usually where higher than normal dosages are required, they must apply for prior approval from Services Australia. They can do so by calling the Services Australia Telephone Authority Applications </w:t>
      </w:r>
      <w:r w:rsidR="006735AA" w:rsidRPr="005343B6">
        <w:t>f</w:t>
      </w:r>
      <w:r w:rsidRPr="005343B6">
        <w:t>ree</w:t>
      </w:r>
      <w:r w:rsidR="006735AA" w:rsidRPr="005343B6">
        <w:t xml:space="preserve"> </w:t>
      </w:r>
      <w:r w:rsidRPr="005343B6">
        <w:t>call service (1800 888 333), or using the </w:t>
      </w:r>
      <w:hyperlink r:id="rId20" w:tgtFrame="_blank" w:tooltip="Services Australia PBS authorities website" w:history="1">
        <w:r w:rsidRPr="00350D1D">
          <w:rPr>
            <w:rStyle w:val="Hyperlink"/>
            <w:rFonts w:cs="Arial"/>
            <w:lang w:eastAsia="en-AU"/>
          </w:rPr>
          <w:t>Services Australia PBS authorities website</w:t>
        </w:r>
      </w:hyperlink>
      <w:r w:rsidRPr="005343B6">
        <w:t>.</w:t>
      </w:r>
    </w:p>
    <w:p w14:paraId="4E2B79F8" w14:textId="3F1F9166" w:rsidR="00E07A2A" w:rsidRPr="005343B6" w:rsidRDefault="00E07A2A" w:rsidP="005343B6">
      <w:r w:rsidRPr="005343B6">
        <w:t>The authorised quantity of medicine will be dispensed</w:t>
      </w:r>
      <w:r w:rsidR="00C729E1">
        <w:t>,</w:t>
      </w:r>
      <w:r w:rsidRPr="005343B6">
        <w:t xml:space="preserve"> </w:t>
      </w:r>
      <w:r w:rsidR="00C729E1">
        <w:t>t</w:t>
      </w:r>
      <w:r w:rsidRPr="005343B6">
        <w:t xml:space="preserve">his also applies to medicines </w:t>
      </w:r>
      <w:r w:rsidR="00C729E1">
        <w:t>available for</w:t>
      </w:r>
      <w:r w:rsidRPr="005343B6">
        <w:t xml:space="preserve"> 60-day prescri</w:t>
      </w:r>
      <w:r w:rsidR="003A7697" w:rsidRPr="005343B6">
        <w:t>ptions</w:t>
      </w:r>
      <w:r w:rsidR="00C729E1">
        <w:t xml:space="preserve"> </w:t>
      </w:r>
      <w:r w:rsidRPr="005343B6">
        <w:t>providing tw</w:t>
      </w:r>
      <w:r w:rsidR="003A7697" w:rsidRPr="005343B6">
        <w:t>ice the medication on a single prescription.</w:t>
      </w:r>
      <w:r w:rsidRPr="005343B6">
        <w:t xml:space="preserve"> </w:t>
      </w:r>
    </w:p>
    <w:p w14:paraId="1802572A" w14:textId="2D822C31" w:rsidR="00E07A2A" w:rsidRPr="005343B6" w:rsidRDefault="00E07A2A" w:rsidP="005343B6">
      <w:r w:rsidRPr="005343B6">
        <w:t xml:space="preserve">Approvals for increased maximum quantities and/or repeats will not be granted if the PBS restriction for that medicine includes the advice that ‘increased maximum quantities and repeats will not be authorised’. </w:t>
      </w:r>
    </w:p>
    <w:p w14:paraId="64613E54" w14:textId="4C389D2C" w:rsidR="00A4379B" w:rsidRPr="000F03C7" w:rsidRDefault="00A4379B" w:rsidP="005343B6">
      <w:pPr>
        <w:pStyle w:val="Heading2"/>
      </w:pPr>
      <w:r w:rsidRPr="000F03C7">
        <w:t xml:space="preserve">Can a regulation 24/49 prescription be written for medicines included in 60-day </w:t>
      </w:r>
      <w:r w:rsidR="00FA70B8">
        <w:t xml:space="preserve">prescriptions </w:t>
      </w:r>
      <w:r w:rsidRPr="000F03C7">
        <w:t xml:space="preserve">allowing </w:t>
      </w:r>
      <w:r w:rsidR="00B66E80">
        <w:t>patients</w:t>
      </w:r>
      <w:r w:rsidR="00B66E80" w:rsidRPr="000F03C7">
        <w:t xml:space="preserve"> </w:t>
      </w:r>
      <w:r w:rsidRPr="000F03C7">
        <w:t>to receive 12-months’ supply?</w:t>
      </w:r>
    </w:p>
    <w:p w14:paraId="3166BA37" w14:textId="77777777" w:rsidR="00A4379B" w:rsidRPr="005343B6" w:rsidRDefault="00A4379B" w:rsidP="005343B6">
      <w:r w:rsidRPr="005343B6">
        <w:t>The special provisions (Regulation 49, previously Regulation 24) regarding supply of more than one repeat of a prescription at the same time under certain conditions are unchanged for increased dispensing quantities PBS items.</w:t>
      </w:r>
    </w:p>
    <w:p w14:paraId="4D02A613" w14:textId="77777777" w:rsidR="00A4379B" w:rsidRPr="005343B6" w:rsidRDefault="00A4379B" w:rsidP="005343B6">
      <w:r w:rsidRPr="005343B6">
        <w:t xml:space="preserve">In certain circumstances, a PBS prescription can be endorsed by the prescriber for “one supply” to allow the quantities for the original prescription and repeats to be supplied at the same time. </w:t>
      </w:r>
    </w:p>
    <w:p w14:paraId="79A9F56D" w14:textId="3919D7B0" w:rsidR="00A4379B" w:rsidRPr="005343B6" w:rsidRDefault="00A4379B" w:rsidP="005343B6">
      <w:r w:rsidRPr="005343B6">
        <w:t xml:space="preserve">The </w:t>
      </w:r>
      <w:r w:rsidR="00C729E1">
        <w:t>prescriber</w:t>
      </w:r>
      <w:r w:rsidRPr="005343B6">
        <w:t xml:space="preserve"> must first be satisfied all the following conditions apply:</w:t>
      </w:r>
    </w:p>
    <w:p w14:paraId="08393E3A" w14:textId="77777777" w:rsidR="00A4379B" w:rsidRPr="00350D1D" w:rsidRDefault="00A4379B" w:rsidP="005343B6">
      <w:pPr>
        <w:pStyle w:val="ListBullet"/>
      </w:pPr>
      <w:r w:rsidRPr="00350D1D">
        <w:t>the maximum PBS quantity is insufficient for the patient's treatment; AND</w:t>
      </w:r>
    </w:p>
    <w:p w14:paraId="1714F2A4" w14:textId="1D0B0F0F" w:rsidR="00A4379B" w:rsidRPr="00350D1D" w:rsidRDefault="00A4379B" w:rsidP="005343B6">
      <w:pPr>
        <w:pStyle w:val="ListBullet"/>
      </w:pPr>
      <w:r w:rsidRPr="00350D1D">
        <w:t xml:space="preserve">the patient has a </w:t>
      </w:r>
      <w:r w:rsidR="003A7697">
        <w:t>stable ongoing health condition</w:t>
      </w:r>
      <w:r w:rsidRPr="00350D1D">
        <w:t xml:space="preserve"> or lives in a remote area where access to PBS supplies is limited; AND</w:t>
      </w:r>
    </w:p>
    <w:p w14:paraId="19AD4091" w14:textId="77777777" w:rsidR="00A4379B" w:rsidRPr="00350D1D" w:rsidRDefault="00A4379B" w:rsidP="005343B6">
      <w:pPr>
        <w:pStyle w:val="ListBullet"/>
      </w:pPr>
      <w:r w:rsidRPr="00350D1D">
        <w:t>the patient would suffer great hardship trying to get the pharmaceutical benefit on separate occasions.</w:t>
      </w:r>
    </w:p>
    <w:p w14:paraId="2B24A568" w14:textId="503227EF" w:rsidR="00A4379B" w:rsidRPr="000F03C7" w:rsidRDefault="00A4379B" w:rsidP="005343B6">
      <w:pPr>
        <w:pStyle w:val="Heading2"/>
      </w:pPr>
      <w:r w:rsidRPr="000F03C7">
        <w:t xml:space="preserve">How do brand price premiums and special patient contributions apply to medicines included in 60-day </w:t>
      </w:r>
      <w:r w:rsidR="00FA70B8">
        <w:t>presc</w:t>
      </w:r>
      <w:r w:rsidR="00C90423">
        <w:t>riptions</w:t>
      </w:r>
      <w:r w:rsidRPr="000F03C7">
        <w:t>?</w:t>
      </w:r>
    </w:p>
    <w:p w14:paraId="3B4C5B91" w14:textId="4BF98F67" w:rsidR="00A4379B" w:rsidRPr="005343B6" w:rsidRDefault="00A4379B" w:rsidP="005343B6">
      <w:r w:rsidRPr="005343B6">
        <w:t xml:space="preserve">A brand price premium is an extra charge that applies to some brands of PBS medicines, which is set by the medicine supplier. The premiums and special contributions that apply to </w:t>
      </w:r>
      <w:r w:rsidR="003A7697" w:rsidRPr="005343B6">
        <w:t xml:space="preserve">30-day </w:t>
      </w:r>
      <w:r w:rsidRPr="005343B6">
        <w:t xml:space="preserve">maximum dispensed quantity PBS items also apply to </w:t>
      </w:r>
      <w:r w:rsidR="00E07A2A" w:rsidRPr="005343B6">
        <w:t xml:space="preserve">60-day </w:t>
      </w:r>
      <w:r w:rsidRPr="005343B6">
        <w:t>PBS items.</w:t>
      </w:r>
    </w:p>
    <w:p w14:paraId="42D84D1D" w14:textId="2CB772C9" w:rsidR="00A4379B" w:rsidRPr="005343B6" w:rsidRDefault="00A100AC" w:rsidP="005343B6">
      <w:r w:rsidRPr="005343B6">
        <w:t>B</w:t>
      </w:r>
      <w:r w:rsidR="00A4379B" w:rsidRPr="005343B6">
        <w:t xml:space="preserve">rand price premiums apply to each pack of medicine (usually </w:t>
      </w:r>
      <w:r w:rsidR="0063564D" w:rsidRPr="005343B6">
        <w:t>30-day</w:t>
      </w:r>
      <w:r w:rsidR="00A4379B" w:rsidRPr="005343B6">
        <w:t>s</w:t>
      </w:r>
      <w:r w:rsidR="0063564D" w:rsidRPr="005343B6">
        <w:t>’</w:t>
      </w:r>
      <w:r w:rsidR="00A4379B" w:rsidRPr="005343B6">
        <w:t xml:space="preserve"> supply) and therefore where a brand price premium applies, </w:t>
      </w:r>
      <w:r w:rsidR="003530FD" w:rsidRPr="005343B6">
        <w:t>2</w:t>
      </w:r>
      <w:r w:rsidR="00A4379B" w:rsidRPr="005343B6">
        <w:t xml:space="preserve"> packs (usually </w:t>
      </w:r>
      <w:r w:rsidR="0063564D" w:rsidRPr="005343B6">
        <w:t>60-day</w:t>
      </w:r>
      <w:r w:rsidR="00A4379B" w:rsidRPr="005343B6">
        <w:t xml:space="preserve">s’ supply) of medicines would attract </w:t>
      </w:r>
      <w:r w:rsidR="003530FD" w:rsidRPr="005343B6">
        <w:t>2</w:t>
      </w:r>
      <w:r w:rsidR="00A4379B" w:rsidRPr="005343B6">
        <w:t xml:space="preserve"> brand price premiums.</w:t>
      </w:r>
    </w:p>
    <w:p w14:paraId="7B11A2DE" w14:textId="0B1EC648" w:rsidR="00A4379B" w:rsidRPr="000F03C7" w:rsidRDefault="00A4379B" w:rsidP="005343B6">
      <w:pPr>
        <w:pStyle w:val="Heading2"/>
      </w:pPr>
      <w:r w:rsidRPr="000F03C7">
        <w:lastRenderedPageBreak/>
        <w:t>Are prescribers expecting an increase in demand for appointments due to</w:t>
      </w:r>
      <w:r w:rsidR="004B09C1">
        <w:t xml:space="preserve"> </w:t>
      </w:r>
      <w:r w:rsidRPr="000F03C7">
        <w:t xml:space="preserve">60-day </w:t>
      </w:r>
      <w:r w:rsidR="007F1602">
        <w:t>prescriptions</w:t>
      </w:r>
      <w:r w:rsidRPr="000F03C7">
        <w:t>?</w:t>
      </w:r>
      <w:r w:rsidRPr="000F03C7">
        <w:softHyphen/>
      </w:r>
    </w:p>
    <w:p w14:paraId="127AAE7B" w14:textId="36A975AC" w:rsidR="00A4379B" w:rsidRPr="005343B6" w:rsidRDefault="00A4379B" w:rsidP="005343B6">
      <w:r w:rsidRPr="005343B6">
        <w:t xml:space="preserve">It is expected patients would take the opportunity at their </w:t>
      </w:r>
      <w:r w:rsidR="007235C5" w:rsidRPr="005343B6">
        <w:t xml:space="preserve">regular </w:t>
      </w:r>
      <w:r w:rsidRPr="005343B6">
        <w:t xml:space="preserve">appointment to discuss 60-day </w:t>
      </w:r>
      <w:r w:rsidR="007F1602" w:rsidRPr="005343B6">
        <w:t>prescriptions</w:t>
      </w:r>
      <w:r w:rsidRPr="005343B6">
        <w:t xml:space="preserve"> with their prescriber. </w:t>
      </w:r>
    </w:p>
    <w:p w14:paraId="03FE08A8" w14:textId="1E142632" w:rsidR="00A4379B" w:rsidRPr="005343B6" w:rsidRDefault="00A4379B" w:rsidP="005343B6">
      <w:r w:rsidRPr="005343B6">
        <w:t>Current PBS prescriptions providing 30</w:t>
      </w:r>
      <w:r w:rsidR="00A100AC" w:rsidRPr="005343B6">
        <w:t>-</w:t>
      </w:r>
      <w:r w:rsidRPr="005343B6">
        <w:t>days</w:t>
      </w:r>
      <w:r w:rsidR="00E07A2A" w:rsidRPr="005343B6">
        <w:t>’</w:t>
      </w:r>
      <w:r w:rsidRPr="005343B6">
        <w:t xml:space="preserve"> supply of medicine per dispensing are valid for 12 months from the date of prescribing. Patients can continue to use these prescription</w:t>
      </w:r>
      <w:r w:rsidR="00E07A2A" w:rsidRPr="005343B6">
        <w:t>s</w:t>
      </w:r>
      <w:r w:rsidRPr="005343B6">
        <w:t xml:space="preserve"> for all remaining repeats before returning to their doctor for consideration of a new prescription under the </w:t>
      </w:r>
      <w:r w:rsidR="004B09C1">
        <w:t xml:space="preserve">60-day prescription </w:t>
      </w:r>
      <w:r w:rsidRPr="005343B6">
        <w:t>policy.</w:t>
      </w:r>
    </w:p>
    <w:p w14:paraId="58455500" w14:textId="060A166C" w:rsidR="00A4379B" w:rsidRPr="000F03C7" w:rsidRDefault="00894184" w:rsidP="005343B6">
      <w:pPr>
        <w:pStyle w:val="Heading2"/>
      </w:pPr>
      <w:r w:rsidRPr="000F03C7">
        <w:t xml:space="preserve">Who </w:t>
      </w:r>
      <w:r w:rsidR="004B09C1">
        <w:t>is</w:t>
      </w:r>
      <w:r w:rsidRPr="000F03C7">
        <w:t xml:space="preserve"> suited to 60-day prescriptions?</w:t>
      </w:r>
    </w:p>
    <w:p w14:paraId="1887E001" w14:textId="77777777" w:rsidR="007F1602" w:rsidRPr="00D8133E" w:rsidRDefault="007F1602" w:rsidP="00D8133E">
      <w:r w:rsidRPr="00D8133E">
        <w:t>The Pharmaceutical Benefits Advisory Committee (PBAC) recommended that a patient’s condition must be stable and suitable for the increased maximum dispensed quantity measure.</w:t>
      </w:r>
    </w:p>
    <w:p w14:paraId="2FA93B44" w14:textId="77777777" w:rsidR="007F1602" w:rsidRPr="005343B6" w:rsidRDefault="007F1602" w:rsidP="005343B6">
      <w:r w:rsidRPr="005343B6">
        <w:t>Many patients can now receive twice the medication on a single prescription.</w:t>
      </w:r>
    </w:p>
    <w:p w14:paraId="0A535C53" w14:textId="4C0AE0EF" w:rsidR="007F1602" w:rsidRPr="005343B6" w:rsidRDefault="007F1602" w:rsidP="005343B6">
      <w:r w:rsidRPr="005343B6">
        <w:t xml:space="preserve">Patients will need to discuss with their </w:t>
      </w:r>
      <w:r w:rsidR="004B09C1">
        <w:t>prescriber</w:t>
      </w:r>
      <w:r w:rsidRPr="005343B6">
        <w:t xml:space="preserve"> whether the medicines they are taking are included on the PBS schedule and allow for the 60-day quantity. </w:t>
      </w:r>
    </w:p>
    <w:p w14:paraId="3B098D9B" w14:textId="58641766" w:rsidR="007F1602" w:rsidRPr="005343B6" w:rsidRDefault="007F1602" w:rsidP="005343B6">
      <w:r w:rsidRPr="005343B6">
        <w:t>A patient</w:t>
      </w:r>
      <w:r w:rsidR="004B09C1">
        <w:t>’</w:t>
      </w:r>
      <w:r w:rsidRPr="005343B6">
        <w:t>s doctor</w:t>
      </w:r>
      <w:r w:rsidR="004B09C1">
        <w:t>,</w:t>
      </w:r>
      <w:r w:rsidRPr="005343B6">
        <w:t xml:space="preserve"> nurse practitioner</w:t>
      </w:r>
      <w:r w:rsidR="004B09C1">
        <w:t xml:space="preserve"> or optometrist</w:t>
      </w:r>
      <w:r w:rsidRPr="005343B6">
        <w:t xml:space="preserve"> may decide that it is safe and suitable for a patient with a stable ongoing health condition to receive a new prescription with a 60-day quantity for some or all their medicines. </w:t>
      </w:r>
    </w:p>
    <w:p w14:paraId="788A48A6" w14:textId="12E29773" w:rsidR="007F1602" w:rsidRPr="005343B6" w:rsidRDefault="007F1602" w:rsidP="005343B6">
      <w:r w:rsidRPr="005343B6">
        <w:t>Once the PBS item with increased dispensing quantities for a patient’s medicine is included on the PBS schedule, the doctor</w:t>
      </w:r>
      <w:r w:rsidR="004B09C1">
        <w:t>,</w:t>
      </w:r>
      <w:r w:rsidRPr="005343B6">
        <w:t xml:space="preserve"> nurse practitioner</w:t>
      </w:r>
      <w:r w:rsidR="004B09C1">
        <w:t>, or optometrist</w:t>
      </w:r>
      <w:r w:rsidRPr="005343B6">
        <w:t xml:space="preserve"> may write a new prescription with the higher dispensed quantity.</w:t>
      </w:r>
    </w:p>
    <w:p w14:paraId="41C613D8" w14:textId="27431A7C" w:rsidR="00894184" w:rsidRPr="005343B6" w:rsidRDefault="007F1602" w:rsidP="005343B6">
      <w:r w:rsidRPr="005343B6">
        <w:t>It is important to remember that the doctor</w:t>
      </w:r>
      <w:r w:rsidR="004B09C1">
        <w:t>,</w:t>
      </w:r>
      <w:r w:rsidRPr="005343B6">
        <w:t xml:space="preserve"> nurse practitioner</w:t>
      </w:r>
      <w:r w:rsidR="004B09C1">
        <w:t>, or optometrist</w:t>
      </w:r>
      <w:r w:rsidRPr="005343B6">
        <w:t xml:space="preserve"> still needs to use their best professional judgement to decide </w:t>
      </w:r>
      <w:r w:rsidR="004B09C1" w:rsidRPr="004B09C1">
        <w:t>what quantity of medicine is prescribed for their patients based on their assessment of their patient’s condition at the time.</w:t>
      </w:r>
      <w:r w:rsidRPr="005343B6">
        <w:t xml:space="preserve"> </w:t>
      </w:r>
    </w:p>
    <w:p w14:paraId="73CEE83C" w14:textId="27DD7052" w:rsidR="007F1602" w:rsidRPr="005343B6" w:rsidRDefault="007F1602" w:rsidP="00F64242">
      <w:pPr>
        <w:pStyle w:val="Heading2"/>
      </w:pPr>
      <w:r w:rsidRPr="005343B6">
        <w:t xml:space="preserve">Do patients require a </w:t>
      </w:r>
      <w:r w:rsidR="007502CC" w:rsidRPr="005343B6">
        <w:t>c</w:t>
      </w:r>
      <w:r w:rsidRPr="005343B6">
        <w:t xml:space="preserve">oncession </w:t>
      </w:r>
      <w:r w:rsidR="007502CC" w:rsidRPr="005343B6">
        <w:t>c</w:t>
      </w:r>
      <w:r w:rsidRPr="005343B6">
        <w:t>ard to be eligible for a 60-day prescription?</w:t>
      </w:r>
    </w:p>
    <w:p w14:paraId="63B04CD1" w14:textId="1D525908" w:rsidR="007F1602" w:rsidRPr="005343B6" w:rsidRDefault="007F1602" w:rsidP="005343B6">
      <w:r w:rsidRPr="005343B6">
        <w:t xml:space="preserve">Patients do not need a concession card to access a 60-day prescription. Doctors retain full clinical discretion over </w:t>
      </w:r>
      <w:bookmarkStart w:id="3" w:name="_Hlk175921023"/>
      <w:r w:rsidRPr="005343B6">
        <w:t>what quantity of medicine is prescribed for their patients based on their assessment of their patient’s condition at the time.</w:t>
      </w:r>
    </w:p>
    <w:bookmarkEnd w:id="3"/>
    <w:p w14:paraId="205BFCCE" w14:textId="0A743103" w:rsidR="00894184" w:rsidRPr="000F03C7" w:rsidRDefault="00894184" w:rsidP="005343B6">
      <w:pPr>
        <w:pStyle w:val="Heading2"/>
      </w:pPr>
      <w:r w:rsidRPr="000F03C7">
        <w:t xml:space="preserve">How do 60-day </w:t>
      </w:r>
      <w:r w:rsidR="007F1602">
        <w:t>prescriptions</w:t>
      </w:r>
      <w:r w:rsidRPr="000F03C7">
        <w:t xml:space="preserve"> impact the co-payment that is made by patients?</w:t>
      </w:r>
    </w:p>
    <w:p w14:paraId="2B79B758" w14:textId="77777777" w:rsidR="0088373F" w:rsidRPr="005343B6" w:rsidRDefault="0088373F" w:rsidP="005343B6">
      <w:r w:rsidRPr="005343B6">
        <w:t xml:space="preserve">The PBS is funded by the Australian Government and subsidises the cost of most prescription medicines for all eligible Australians. Patients pay a PBS co-payment to the pharmacist for each prescription that is dispensed. </w:t>
      </w:r>
    </w:p>
    <w:p w14:paraId="777B6855" w14:textId="48CBEFFD" w:rsidR="0088373F" w:rsidRPr="005343B6" w:rsidRDefault="0088373F" w:rsidP="005343B6">
      <w:r w:rsidRPr="005343B6">
        <w:lastRenderedPageBreak/>
        <w:t xml:space="preserve">For patients who pay the full general co-payment of $31.60 and where the cost of their PBS medicine is over this amount, the full co-payment of $31.60 will be saved every second month for each medicine with a 60-day quantity. For medicines with a dispensed price lower than $31.60, the saving will vary. The amount a general patient saves will change once the PBS Safety Net threshold is reached. Pharmacies can compete on price for medicines priced below the general patient </w:t>
      </w:r>
      <w:r w:rsidR="002D7900" w:rsidRPr="005343B6">
        <w:br/>
      </w:r>
      <w:r w:rsidRPr="005343B6">
        <w:t>co-payment, and patients can shop around, including online, to find the best prices available.</w:t>
      </w:r>
    </w:p>
    <w:p w14:paraId="545E7C04" w14:textId="77777777" w:rsidR="0088373F" w:rsidRPr="005343B6" w:rsidRDefault="0088373F" w:rsidP="005343B6">
      <w:r w:rsidRPr="005343B6">
        <w:t>Patients who pay the concessional co-payment of $7.70 will save this amount every second month for each medicine with a 60-day quantity (prior to reaching the PBS Safety Net threshold). The amount that a concessional patient pays for PBS medicines will reduce once the PBS concessional Safety Net threshold is reached.</w:t>
      </w:r>
    </w:p>
    <w:p w14:paraId="47C87819" w14:textId="77777777" w:rsidR="0088373F" w:rsidRPr="005343B6" w:rsidRDefault="0088373F" w:rsidP="005343B6">
      <w:r w:rsidRPr="005343B6">
        <w:t>Eligible Aboriginal and Torres Strait Islander people will continue to have access to low cost or free PBS medicines through the Closing the Gap (CTG) PBS Co-payment Measure.</w:t>
      </w:r>
    </w:p>
    <w:p w14:paraId="793090D8" w14:textId="3A29AC3D" w:rsidR="00894184" w:rsidRPr="005343B6" w:rsidRDefault="0088373F" w:rsidP="005343B6">
      <w:r w:rsidRPr="005343B6">
        <w:t>In some cases, patients may also pay a brand premium that applies to certain brands of medicine. Patients will still be required to make these payments under the new arrangements. Brand premiums are only permitted where an alternative, premium-free, brand is available on the PBS for substitution by the pharmacist. Patients should speak to their pharmacist to discuss the option of dispensing a premium-free alternative to ensure greater savings.</w:t>
      </w:r>
    </w:p>
    <w:p w14:paraId="46BFB296" w14:textId="4F2696A4" w:rsidR="00792F4C" w:rsidRPr="000F03C7" w:rsidRDefault="003D3563" w:rsidP="00F64242">
      <w:pPr>
        <w:pStyle w:val="Heading2"/>
      </w:pPr>
      <w:r w:rsidRPr="000F03C7">
        <w:t>If a patient usually reach</w:t>
      </w:r>
      <w:r w:rsidR="00B56B68">
        <w:t>es</w:t>
      </w:r>
      <w:r w:rsidRPr="000F03C7">
        <w:t xml:space="preserve"> the PBS Safety Net threshold each year, w</w:t>
      </w:r>
      <w:r w:rsidR="00792F4C" w:rsidRPr="000F03C7">
        <w:t xml:space="preserve">ill </w:t>
      </w:r>
      <w:r w:rsidRPr="000F03C7">
        <w:t>they</w:t>
      </w:r>
      <w:r w:rsidR="00792F4C" w:rsidRPr="000F03C7">
        <w:t xml:space="preserve"> save any money on medicine costs</w:t>
      </w:r>
      <w:r w:rsidRPr="000F03C7">
        <w:t xml:space="preserve"> under 60-day </w:t>
      </w:r>
      <w:r w:rsidR="00022809">
        <w:t>presc</w:t>
      </w:r>
      <w:r w:rsidR="003C6D8F">
        <w:t>r</w:t>
      </w:r>
      <w:r w:rsidR="00022809">
        <w:t>iptions</w:t>
      </w:r>
      <w:r w:rsidR="00792F4C" w:rsidRPr="000F03C7">
        <w:t xml:space="preserve">?  </w:t>
      </w:r>
    </w:p>
    <w:p w14:paraId="5A7DB95D" w14:textId="3FCCC929" w:rsidR="003C6D8F" w:rsidRPr="005343B6" w:rsidRDefault="003C6D8F" w:rsidP="005343B6">
      <w:bookmarkStart w:id="4" w:name="_Hlk143858825"/>
      <w:r w:rsidRPr="005343B6">
        <w:t>If a patient has a stable ongoing health condition, their doctor</w:t>
      </w:r>
      <w:r w:rsidR="00964BEC">
        <w:t>,</w:t>
      </w:r>
      <w:r w:rsidRPr="005343B6">
        <w:t xml:space="preserve"> nurse practitioner</w:t>
      </w:r>
      <w:r w:rsidR="00964BEC">
        <w:t xml:space="preserve">, or optometrist </w:t>
      </w:r>
      <w:r w:rsidRPr="005343B6">
        <w:t xml:space="preserve">may consider it suitable to provide a prescription with a 60-day quantity for some or all their medicines. </w:t>
      </w:r>
    </w:p>
    <w:p w14:paraId="243D030C" w14:textId="50778645" w:rsidR="003C6D8F" w:rsidRPr="005343B6" w:rsidRDefault="003C6D8F" w:rsidP="005343B6">
      <w:r w:rsidRPr="005343B6">
        <w:t>This means they will potentially lower the</w:t>
      </w:r>
      <w:r w:rsidR="00964BEC">
        <w:t xml:space="preserve">ir </w:t>
      </w:r>
      <w:r w:rsidRPr="005343B6">
        <w:t xml:space="preserve">overall out-of-pocket costs for their medical expenses. If the dispensed price of these medicines is more than $31.60 and they do not have a concession card, they could save up to $189.60 per year for each medicine. Depending on other medicines that are taken by members of their household, they may also have fewer trips to the pharmacy or visits to the GP each year. </w:t>
      </w:r>
    </w:p>
    <w:p w14:paraId="6A540512" w14:textId="164DB174" w:rsidR="00792F4C" w:rsidRPr="005343B6" w:rsidRDefault="003C6D8F" w:rsidP="005343B6">
      <w:r w:rsidRPr="005343B6">
        <w:t xml:space="preserve">Because of the overall reduction in PBS co-payments for some or all the medicines used, patients may no longer reach the PBS Safety Net threshold, or they may reach the threshold later in the calendar year. This means the yearly out-of-pocket costs are lower (if they do not reach the PBS Safety Net) or may be spread more evenly across the calendar year, rather than being concentrated in the first half of the calendar year. </w:t>
      </w:r>
    </w:p>
    <w:bookmarkEnd w:id="4"/>
    <w:p w14:paraId="3C960087" w14:textId="614CA0F8" w:rsidR="00D54BA2" w:rsidRPr="000F03C7" w:rsidRDefault="00D54BA2" w:rsidP="00F64242">
      <w:pPr>
        <w:pStyle w:val="Heading2"/>
      </w:pPr>
      <w:r w:rsidRPr="000F03C7">
        <w:t xml:space="preserve">How has medication wastage been considered when implementing 60-day </w:t>
      </w:r>
      <w:r w:rsidR="00C90423">
        <w:t>prescriptions</w:t>
      </w:r>
      <w:r w:rsidRPr="000F03C7">
        <w:t xml:space="preserve">? </w:t>
      </w:r>
    </w:p>
    <w:p w14:paraId="12874FC6" w14:textId="6886633C" w:rsidR="00792F4C" w:rsidRPr="005343B6" w:rsidRDefault="00E07A2A" w:rsidP="005343B6">
      <w:r w:rsidRPr="005343B6">
        <w:t>T</w:t>
      </w:r>
      <w:r w:rsidR="00D54BA2" w:rsidRPr="005343B6">
        <w:t xml:space="preserve">he </w:t>
      </w:r>
      <w:hyperlink r:id="rId21" w:history="1">
        <w:r w:rsidRPr="00350D1D">
          <w:rPr>
            <w:rStyle w:val="Hyperlink"/>
            <w:rFonts w:cs="Arial"/>
          </w:rPr>
          <w:t>I</w:t>
        </w:r>
        <w:r w:rsidR="00D54BA2" w:rsidRPr="00350D1D">
          <w:rPr>
            <w:rStyle w:val="Hyperlink"/>
            <w:rFonts w:cs="Arial"/>
          </w:rPr>
          <w:t xml:space="preserve">mpact </w:t>
        </w:r>
        <w:r w:rsidRPr="00350D1D">
          <w:rPr>
            <w:rStyle w:val="Hyperlink"/>
            <w:rFonts w:cs="Arial"/>
          </w:rPr>
          <w:t>A</w:t>
        </w:r>
        <w:r w:rsidR="00D54BA2" w:rsidRPr="00350D1D">
          <w:rPr>
            <w:rStyle w:val="Hyperlink"/>
            <w:rFonts w:cs="Arial"/>
          </w:rPr>
          <w:t xml:space="preserve">nalysis </w:t>
        </w:r>
      </w:hyperlink>
      <w:r w:rsidRPr="005343B6">
        <w:t xml:space="preserve">considered </w:t>
      </w:r>
      <w:r w:rsidR="00D54BA2" w:rsidRPr="005343B6">
        <w:t>the potential for increased medicine wastage and cost to the PBS for medicines included in this p</w:t>
      </w:r>
      <w:r w:rsidRPr="005343B6">
        <w:t>olicy</w:t>
      </w:r>
      <w:r w:rsidR="00D54BA2" w:rsidRPr="005343B6">
        <w:t>.</w:t>
      </w:r>
      <w:r w:rsidR="00D54BA2" w:rsidRPr="005343B6">
        <w:rPr>
          <w:rStyle w:val="Strong"/>
        </w:rPr>
        <w:t xml:space="preserve"> </w:t>
      </w:r>
      <w:r w:rsidR="00D54BA2" w:rsidRPr="005343B6">
        <w:t xml:space="preserve">However, the risk of wastage is mitigated by prescribers choosing the PBS item for increased dispensed quantities only for patients with stable </w:t>
      </w:r>
      <w:r w:rsidR="00964BEC">
        <w:t xml:space="preserve">ongoing </w:t>
      </w:r>
      <w:r w:rsidR="00EF7C00" w:rsidRPr="005343B6">
        <w:t xml:space="preserve">health </w:t>
      </w:r>
      <w:r w:rsidR="00D54BA2" w:rsidRPr="005343B6">
        <w:t xml:space="preserve">conditions. The PBS restriction for all items with increased quantities will include the following clinical criterion: </w:t>
      </w:r>
    </w:p>
    <w:p w14:paraId="6D6AC5A6" w14:textId="4557C0A0" w:rsidR="00E07A2A" w:rsidRPr="005343B6" w:rsidRDefault="00E07A2A" w:rsidP="005343B6">
      <w:r w:rsidRPr="005343B6">
        <w:lastRenderedPageBreak/>
        <w:t>“</w:t>
      </w:r>
      <w:r w:rsidR="001A71CE" w:rsidRPr="005343B6">
        <w:t>The patient’s condition must be stable and suitable for the increased maximum quantity measure”</w:t>
      </w:r>
      <w:r w:rsidRPr="005343B6">
        <w:t>”.</w:t>
      </w:r>
    </w:p>
    <w:p w14:paraId="000AF07F" w14:textId="1BA07152" w:rsidR="00894184" w:rsidRPr="000F03C7" w:rsidRDefault="00894184" w:rsidP="00F64242">
      <w:pPr>
        <w:pStyle w:val="Heading2"/>
      </w:pPr>
      <w:r w:rsidRPr="000F03C7">
        <w:t xml:space="preserve">Where do we find the list of medicines </w:t>
      </w:r>
      <w:r w:rsidR="001D4368">
        <w:t xml:space="preserve">available </w:t>
      </w:r>
      <w:r w:rsidR="00C665D6">
        <w:t>for</w:t>
      </w:r>
      <w:r w:rsidRPr="000F03C7">
        <w:t xml:space="preserve"> 60-day </w:t>
      </w:r>
      <w:r w:rsidR="00C665D6">
        <w:t>prescriptions</w:t>
      </w:r>
      <w:r w:rsidRPr="000F03C7">
        <w:t>?</w:t>
      </w:r>
    </w:p>
    <w:p w14:paraId="65D7B0FA" w14:textId="52858B0C" w:rsidR="00851528" w:rsidRPr="005343B6" w:rsidRDefault="00F12E44" w:rsidP="00D719B6">
      <w:r w:rsidRPr="005343B6">
        <w:t xml:space="preserve">The medicines available for 60-day prescriptions can be found at: </w:t>
      </w:r>
      <w:r w:rsidR="00B76C2F" w:rsidRPr="005343B6">
        <w:t xml:space="preserve"> </w:t>
      </w:r>
      <w:hyperlink r:id="rId22" w:history="1">
        <w:r w:rsidR="00B76C2F" w:rsidRPr="00015D3A">
          <w:rPr>
            <w:rStyle w:val="Hyperlink"/>
            <w:rFonts w:cs="Arial"/>
          </w:rPr>
          <w:t>https://www.health.gov.au/our-work/60-day-dispensing/pbs-medicines-current-item-codes</w:t>
        </w:r>
      </w:hyperlink>
      <w:r w:rsidR="00B76C2F" w:rsidRPr="005343B6">
        <w:t xml:space="preserve">. </w:t>
      </w:r>
    </w:p>
    <w:p w14:paraId="453DE6FC" w14:textId="75281E91" w:rsidR="00792F4C" w:rsidRPr="00350D1D" w:rsidRDefault="006A3498" w:rsidP="001B5D47">
      <w:pPr>
        <w:pStyle w:val="Heading2"/>
      </w:pPr>
      <w:r w:rsidRPr="00350D1D">
        <w:t>W</w:t>
      </w:r>
      <w:r w:rsidR="00792F4C" w:rsidRPr="00350D1D">
        <w:t xml:space="preserve">hat information is available to </w:t>
      </w:r>
      <w:r w:rsidRPr="00350D1D">
        <w:t xml:space="preserve">make </w:t>
      </w:r>
      <w:r w:rsidR="00792F4C" w:rsidRPr="00350D1D">
        <w:t xml:space="preserve">patients aware </w:t>
      </w:r>
      <w:r w:rsidRPr="00350D1D">
        <w:t xml:space="preserve">that </w:t>
      </w:r>
      <w:r w:rsidR="00792F4C" w:rsidRPr="00350D1D">
        <w:t>they need a new prescription from their GP, and this is not automatically applied to their current prescription</w:t>
      </w:r>
      <w:r w:rsidRPr="00350D1D">
        <w:t>?</w:t>
      </w:r>
    </w:p>
    <w:p w14:paraId="608FFB87" w14:textId="1B1EE8B6" w:rsidR="00737B11" w:rsidRPr="005343B6" w:rsidRDefault="00737B11" w:rsidP="00737B11">
      <w:pPr>
        <w:pStyle w:val="ListBullet"/>
      </w:pPr>
      <w:r w:rsidRPr="00350D1D">
        <w:rPr>
          <w:rFonts w:cs="Arial"/>
          <w:lang w:val="en-US"/>
        </w:rPr>
        <w:t>For further information on 60</w:t>
      </w:r>
      <w:r w:rsidRPr="00350D1D">
        <w:rPr>
          <w:rFonts w:cs="Arial"/>
          <w:lang w:val="en-US"/>
        </w:rPr>
        <w:noBreakHyphen/>
        <w:t xml:space="preserve">day prescriptions visit </w:t>
      </w:r>
      <w:hyperlink r:id="rId23" w:history="1">
        <w:r w:rsidRPr="00350D1D">
          <w:rPr>
            <w:rStyle w:val="Hyperlink"/>
            <w:rFonts w:cs="Arial"/>
            <w:lang w:val="en-US"/>
          </w:rPr>
          <w:t>health.gov.au/</w:t>
        </w:r>
        <w:r w:rsidR="00FC7D5C" w:rsidRPr="00FC7D5C">
          <w:rPr>
            <w:rStyle w:val="Hyperlink"/>
            <w:rFonts w:cs="Arial"/>
            <w:lang w:val="en-US"/>
          </w:rPr>
          <w:t>cheaper-medicines</w:t>
        </w:r>
      </w:hyperlink>
    </w:p>
    <w:p w14:paraId="0EB15F02" w14:textId="68342BCA" w:rsidR="00737B11" w:rsidRPr="00350D1D" w:rsidRDefault="00737B11" w:rsidP="00737B11">
      <w:pPr>
        <w:pStyle w:val="ListBullet"/>
        <w:rPr>
          <w:rFonts w:cs="Arial"/>
          <w:lang w:val="en-US"/>
        </w:rPr>
      </w:pPr>
      <w:r w:rsidRPr="00350D1D">
        <w:rPr>
          <w:rFonts w:cs="Arial"/>
          <w:lang w:val="en-US"/>
        </w:rPr>
        <w:t xml:space="preserve">For a searchable list of </w:t>
      </w:r>
      <w:r w:rsidR="00E93C54">
        <w:rPr>
          <w:rFonts w:cs="Arial"/>
          <w:lang w:val="en-US"/>
        </w:rPr>
        <w:t>available</w:t>
      </w:r>
      <w:r w:rsidRPr="00350D1D">
        <w:rPr>
          <w:rFonts w:cs="Arial"/>
          <w:lang w:val="en-US"/>
        </w:rPr>
        <w:t xml:space="preserve"> medicines and current item codes visit </w:t>
      </w:r>
      <w:hyperlink r:id="rId24" w:history="1">
        <w:r w:rsidRPr="00350D1D">
          <w:rPr>
            <w:rStyle w:val="Hyperlink"/>
            <w:rFonts w:cs="Arial"/>
            <w:lang w:val="en-US"/>
          </w:rPr>
          <w:t>health.gov.au/our-work/60-day-dispensing/pbs-medicines-current-item-codes</w:t>
        </w:r>
      </w:hyperlink>
    </w:p>
    <w:p w14:paraId="459697F5" w14:textId="77777777" w:rsidR="00737B11" w:rsidRPr="00350D1D" w:rsidRDefault="00737B11" w:rsidP="00737B11">
      <w:pPr>
        <w:pStyle w:val="ListBullet"/>
        <w:rPr>
          <w:rFonts w:cs="Arial"/>
          <w:lang w:val="en-US"/>
        </w:rPr>
      </w:pPr>
      <w:r w:rsidRPr="00350D1D">
        <w:rPr>
          <w:rFonts w:cs="Arial"/>
          <w:lang w:val="en-US"/>
        </w:rPr>
        <w:t xml:space="preserve">For a list of medicines recommended by the Pharmaceutical Benefits Advisory Committee (PBAC) as suitable for increased dispensing quantities visit the PBS website: </w:t>
      </w:r>
      <w:hyperlink r:id="rId25" w:history="1">
        <w:r w:rsidRPr="00350D1D">
          <w:rPr>
            <w:rStyle w:val="Hyperlink"/>
            <w:rFonts w:cs="Arial"/>
            <w:lang w:val="en-US"/>
          </w:rPr>
          <w:t>Increased Dispensing Quantities – List of Medicines</w:t>
        </w:r>
      </w:hyperlink>
    </w:p>
    <w:p w14:paraId="273AD815" w14:textId="16128710" w:rsidR="005876B0" w:rsidRPr="005343B6" w:rsidRDefault="00737B11" w:rsidP="00D719B6">
      <w:pPr>
        <w:pStyle w:val="ListBullet"/>
      </w:pPr>
      <w:r w:rsidRPr="00350D1D">
        <w:rPr>
          <w:rFonts w:cs="Arial"/>
          <w:lang w:val="en-US"/>
        </w:rPr>
        <w:t xml:space="preserve">Resources for patients are available at: </w:t>
      </w:r>
      <w:hyperlink r:id="rId26" w:history="1">
        <w:r w:rsidRPr="00350D1D">
          <w:rPr>
            <w:rStyle w:val="Hyperlink"/>
            <w:rFonts w:cs="Arial"/>
            <w:lang w:val="en-US"/>
          </w:rPr>
          <w:t>60 Day Scripts – Brought to you by Consumers Health Forum</w:t>
        </w:r>
      </w:hyperlink>
      <w:r>
        <w:rPr>
          <w:lang w:val="en-US"/>
        </w:rPr>
        <w:t>.</w:t>
      </w:r>
    </w:p>
    <w:p w14:paraId="63BB4DDD" w14:textId="465AAC6C" w:rsidR="00EF5628" w:rsidRPr="005343B6" w:rsidRDefault="00EF5628" w:rsidP="001B5D47">
      <w:pPr>
        <w:pStyle w:val="Heading2"/>
      </w:pPr>
      <w:r w:rsidRPr="00350D1D">
        <w:t>Why hasn’t there been uptake of prescriptions with 11 repeats (such as statins)?</w:t>
      </w:r>
    </w:p>
    <w:p w14:paraId="148AB1D6" w14:textId="0BD255C1" w:rsidR="00670D19" w:rsidRPr="005343B6" w:rsidRDefault="00645601" w:rsidP="005343B6">
      <w:r w:rsidRPr="005343B6">
        <w:t xml:space="preserve">A </w:t>
      </w:r>
      <w:r w:rsidR="00670D19" w:rsidRPr="005343B6">
        <w:t>60-</w:t>
      </w:r>
      <w:r w:rsidR="00FE6249" w:rsidRPr="005343B6">
        <w:t>d</w:t>
      </w:r>
      <w:r w:rsidR="00670D19" w:rsidRPr="005343B6">
        <w:t xml:space="preserve">ay </w:t>
      </w:r>
      <w:r w:rsidRPr="005343B6">
        <w:t>prescription</w:t>
      </w:r>
      <w:r w:rsidR="00670D19" w:rsidRPr="005343B6">
        <w:t xml:space="preserve"> is different to a</w:t>
      </w:r>
      <w:r w:rsidR="00E07A2A" w:rsidRPr="005343B6">
        <w:t xml:space="preserve"> prescription with </w:t>
      </w:r>
      <w:r w:rsidR="00670D19" w:rsidRPr="005343B6">
        <w:t xml:space="preserve">11 </w:t>
      </w:r>
      <w:r w:rsidR="00E07A2A" w:rsidRPr="005343B6">
        <w:t>r</w:t>
      </w:r>
      <w:r w:rsidR="00670D19" w:rsidRPr="005343B6">
        <w:t>epeat</w:t>
      </w:r>
      <w:r w:rsidR="00E07A2A" w:rsidRPr="005343B6">
        <w:t>s.</w:t>
      </w:r>
      <w:r w:rsidR="00670D19" w:rsidRPr="005343B6">
        <w:t xml:space="preserve"> An </w:t>
      </w:r>
      <w:r w:rsidR="005343B6" w:rsidRPr="005343B6">
        <w:t>11-repeat</w:t>
      </w:r>
      <w:r w:rsidR="00670D19" w:rsidRPr="005343B6">
        <w:t xml:space="preserve"> prescription offers minimal financial advantage to the patient, they pay the same amount for each prescription each month as</w:t>
      </w:r>
      <w:r w:rsidR="00FE6249" w:rsidRPr="005343B6">
        <w:t xml:space="preserve"> they would for a 5</w:t>
      </w:r>
      <w:r w:rsidR="00FC7D5C">
        <w:t>-</w:t>
      </w:r>
      <w:r w:rsidR="00FE6249" w:rsidRPr="005343B6">
        <w:t xml:space="preserve">repeat prescription. </w:t>
      </w:r>
    </w:p>
    <w:p w14:paraId="24F348BC" w14:textId="44FB6B99" w:rsidR="00957B35" w:rsidRPr="005343B6" w:rsidRDefault="00BD0121" w:rsidP="005343B6">
      <w:r w:rsidRPr="005343B6">
        <w:t xml:space="preserve">A </w:t>
      </w:r>
      <w:r w:rsidR="00670D19" w:rsidRPr="005343B6">
        <w:t>60-</w:t>
      </w:r>
      <w:r w:rsidR="00FE6249" w:rsidRPr="005343B6">
        <w:t>d</w:t>
      </w:r>
      <w:r w:rsidR="00670D19" w:rsidRPr="005343B6">
        <w:t xml:space="preserve">ay </w:t>
      </w:r>
      <w:r w:rsidRPr="005343B6">
        <w:t>prescription allows</w:t>
      </w:r>
      <w:r w:rsidR="00670D19" w:rsidRPr="005343B6">
        <w:t xml:space="preserve"> patient</w:t>
      </w:r>
      <w:r w:rsidR="008D2CB7" w:rsidRPr="005343B6">
        <w:t>s to</w:t>
      </w:r>
      <w:r w:rsidR="00670D19" w:rsidRPr="005343B6">
        <w:t xml:space="preserve"> get</w:t>
      </w:r>
      <w:r w:rsidR="008D2CB7" w:rsidRPr="005343B6">
        <w:t xml:space="preserve"> twice the medication on a single prescription</w:t>
      </w:r>
      <w:r w:rsidR="00670D19" w:rsidRPr="005343B6">
        <w:t>.</w:t>
      </w:r>
    </w:p>
    <w:p w14:paraId="712D7307" w14:textId="2AB3D9AD" w:rsidR="00957B35" w:rsidRPr="00350D1D" w:rsidRDefault="00957B35" w:rsidP="001B5D47">
      <w:pPr>
        <w:pStyle w:val="Heading2"/>
      </w:pPr>
      <w:r w:rsidRPr="00350D1D">
        <w:t>How many patients are set to benefit</w:t>
      </w:r>
      <w:r w:rsidR="00E07A2A" w:rsidRPr="00350D1D">
        <w:t>?</w:t>
      </w:r>
    </w:p>
    <w:p w14:paraId="50E996C2" w14:textId="298CAEF7" w:rsidR="00912C6C" w:rsidRPr="005343B6" w:rsidRDefault="00E07A2A" w:rsidP="005343B6">
      <w:pPr>
        <w:rPr>
          <w:highlight w:val="cyan"/>
        </w:rPr>
      </w:pPr>
      <w:r w:rsidRPr="005343B6">
        <w:t xml:space="preserve">It is estimated that when fully </w:t>
      </w:r>
      <w:r w:rsidR="001806B2" w:rsidRPr="005343B6">
        <w:t>implemented</w:t>
      </w:r>
      <w:r w:rsidRPr="005343B6">
        <w:t>, more than 6 million Australians will lower their annual medicine cost and may need fewer visits to their prescriber and pharmacist. </w:t>
      </w:r>
    </w:p>
    <w:p w14:paraId="33A47A6C" w14:textId="142962C9" w:rsidR="00134B86" w:rsidRPr="00350D1D" w:rsidRDefault="00134B86" w:rsidP="001B5D47">
      <w:pPr>
        <w:pStyle w:val="Heading2"/>
      </w:pPr>
      <w:r w:rsidRPr="00350D1D">
        <w:t>How will 60</w:t>
      </w:r>
      <w:r w:rsidR="00E07A2A" w:rsidRPr="00350D1D">
        <w:t>-</w:t>
      </w:r>
      <w:r w:rsidRPr="00350D1D">
        <w:t xml:space="preserve">day </w:t>
      </w:r>
      <w:r w:rsidR="003A4B9A">
        <w:t>prescriptions</w:t>
      </w:r>
      <w:r w:rsidR="003A4B9A" w:rsidRPr="00350D1D">
        <w:t xml:space="preserve"> </w:t>
      </w:r>
      <w:r w:rsidRPr="00350D1D">
        <w:t>work for patients</w:t>
      </w:r>
      <w:r w:rsidR="00612124">
        <w:t xml:space="preserve"> managing multiple</w:t>
      </w:r>
      <w:r w:rsidR="00E35BF5" w:rsidRPr="00612124">
        <w:t xml:space="preserve"> health conditions and symptoms, some acute and some ongoing?</w:t>
      </w:r>
    </w:p>
    <w:p w14:paraId="47A089A2" w14:textId="1F30731B" w:rsidR="00F65474" w:rsidRPr="005343B6" w:rsidRDefault="00F65474" w:rsidP="005343B6">
      <w:r w:rsidRPr="005343B6">
        <w:t>Increased dispensing quantities are not suitable for all medicines</w:t>
      </w:r>
      <w:r w:rsidR="00FC7D5C">
        <w:t>.</w:t>
      </w:r>
      <w:r w:rsidRPr="005343B6">
        <w:t xml:space="preserve"> </w:t>
      </w:r>
    </w:p>
    <w:p w14:paraId="74CCD9B3" w14:textId="77777777" w:rsidR="00F65474" w:rsidRPr="005343B6" w:rsidRDefault="00F65474" w:rsidP="005343B6">
      <w:r w:rsidRPr="005343B6">
        <w:t>The PBAC selected only medications for chronic conditions considered sufficiently safe and suitable for dispensing in higher quantities. Medicines were excluded if they may require regular adjustment (titration), need close monitoring or have a potential risk to safety if stockpiled.</w:t>
      </w:r>
    </w:p>
    <w:p w14:paraId="71C89DA9" w14:textId="77777777" w:rsidR="00F65474" w:rsidRPr="005343B6" w:rsidRDefault="00F65474" w:rsidP="005343B6">
      <w:r w:rsidRPr="005343B6">
        <w:t>Prescribers will retain the choice to select a PBS item for a specific medicine with a smaller dispensed quantity where clinically appropriate. This will avoid medicine wastage and support closer clinical monitoring of patients if required.</w:t>
      </w:r>
    </w:p>
    <w:p w14:paraId="3855637E" w14:textId="587CC485" w:rsidR="00F65474" w:rsidRPr="005343B6" w:rsidRDefault="00F65474" w:rsidP="005343B6">
      <w:r w:rsidRPr="005343B6">
        <w:lastRenderedPageBreak/>
        <w:t xml:space="preserve">Existing PBS items allowing one month’s supply per dispensing and up to </w:t>
      </w:r>
      <w:r w:rsidR="003530FD" w:rsidRPr="005343B6">
        <w:t>6</w:t>
      </w:r>
      <w:r w:rsidRPr="005343B6">
        <w:t xml:space="preserve"> months’ supply (</w:t>
      </w:r>
      <w:r w:rsidR="003530FD" w:rsidRPr="005343B6">
        <w:t>5</w:t>
      </w:r>
      <w:r w:rsidRPr="005343B6">
        <w:t xml:space="preserve"> repeats) of a medicine will remain on the PBS. </w:t>
      </w:r>
    </w:p>
    <w:p w14:paraId="3ED69F6E" w14:textId="77777777" w:rsidR="00F65474" w:rsidRPr="005343B6" w:rsidRDefault="00F65474" w:rsidP="005343B6">
      <w:r w:rsidRPr="005343B6">
        <w:t xml:space="preserve">Prescribers may also select the PBS item with increased dispensing quantities and reduce or tailor the quantity and number of repeats to meet each patient’s needs. </w:t>
      </w:r>
    </w:p>
    <w:p w14:paraId="6EB5682F" w14:textId="13C288B7" w:rsidR="00AD455B" w:rsidRPr="00350D1D" w:rsidRDefault="00AD455B" w:rsidP="001B5D47">
      <w:pPr>
        <w:pStyle w:val="Heading2"/>
      </w:pPr>
      <w:r w:rsidRPr="00350D1D">
        <w:t>What actions should the pharmacist take if they believe a patient presenting a 60-day prescription is not suited to a 60-day supply?</w:t>
      </w:r>
    </w:p>
    <w:p w14:paraId="406AB47B" w14:textId="2259B285" w:rsidR="00AD455B" w:rsidRPr="005343B6" w:rsidRDefault="00AD455B" w:rsidP="005343B6">
      <w:r w:rsidRPr="005343B6">
        <w:t>According to the Pharmaceutical Society of Australia’s dispensing practice guidelines</w:t>
      </w:r>
      <w:r w:rsidRPr="005343B6">
        <w:footnoteReference w:id="1"/>
      </w:r>
      <w:r w:rsidRPr="005343B6">
        <w:t xml:space="preserve">, pharmacists should exercise professional autonomy, objectivity and independence in the dispensing process. They have the right to decline to supply medicines if they believe use is unsafe or inappropriate, even if the prescriber is not in agreement. While respecting the autonomy of the patient and the prescriber, the pharmacist must ensure that the patient is adequately informed about: </w:t>
      </w:r>
    </w:p>
    <w:p w14:paraId="589AB19E" w14:textId="77777777" w:rsidR="00AD455B" w:rsidRPr="00350D1D" w:rsidRDefault="00AD455B" w:rsidP="005343B6">
      <w:pPr>
        <w:pStyle w:val="ListBullet"/>
      </w:pPr>
      <w:r w:rsidRPr="00350D1D">
        <w:t xml:space="preserve">the reasons for declining to supply the medicine, including the benefits and risks associated with the medication-related problem (MRP) that has been identified </w:t>
      </w:r>
    </w:p>
    <w:p w14:paraId="419CD98F" w14:textId="77777777" w:rsidR="00AD455B" w:rsidRPr="00350D1D" w:rsidRDefault="00AD455B" w:rsidP="005343B6">
      <w:pPr>
        <w:pStyle w:val="ListBullet"/>
      </w:pPr>
      <w:r w:rsidRPr="00350D1D">
        <w:t>recommended action to be taken by the patient to pursue safe and appropriate treatment in a timely manner; the patient should be provided with information to support further discussion with the prescriber, if required. Information should be provided verbally and in writing to the patient. It should be provided in a manner that maintains the patient’s confidence in their prescriber and does not cause them unnecessary alarm.</w:t>
      </w:r>
    </w:p>
    <w:p w14:paraId="395310A7" w14:textId="56C43BC8" w:rsidR="00AD455B" w:rsidRPr="005343B6" w:rsidRDefault="00AD455B" w:rsidP="005343B6">
      <w:r w:rsidRPr="005343B6">
        <w:t>The justifications for declining to supply a medicine and recommended action to be taken by the patient should be recorded in the patient healthcare record in the dispensing software.</w:t>
      </w:r>
    </w:p>
    <w:p w14:paraId="2607F4EB" w14:textId="1913AF1B" w:rsidR="00051FC8" w:rsidRPr="00051FC8" w:rsidRDefault="00051FC8" w:rsidP="001B5D47">
      <w:pPr>
        <w:pStyle w:val="Heading2"/>
      </w:pPr>
      <w:r>
        <w:t xml:space="preserve">Why have some strengths of medicines not been included in </w:t>
      </w:r>
      <w:r w:rsidR="00E52B80">
        <w:t>the list of medicines available for 60-day prescriptions</w:t>
      </w:r>
      <w:r>
        <w:t xml:space="preserve">? </w:t>
      </w:r>
    </w:p>
    <w:p w14:paraId="4F201A30" w14:textId="153A7290" w:rsidR="00051FC8" w:rsidRPr="005343B6" w:rsidRDefault="00051FC8" w:rsidP="005343B6">
      <w:r w:rsidRPr="005343B6">
        <w:t xml:space="preserve">The full list of PBAC December 2022 recommended medicines is available at </w:t>
      </w:r>
      <w:hyperlink r:id="rId27" w:history="1">
        <w:r w:rsidR="003530FD" w:rsidRPr="00CF2E10">
          <w:rPr>
            <w:rStyle w:val="Hyperlink"/>
            <w:rFonts w:cs="Arial"/>
          </w:rPr>
          <w:t>www.pbs.gov.au/info/industry/listing/elements/pbac-meetings/pbac-outcomes/recommendations-made-by-the-pbac-december-2022-intracycle</w:t>
        </w:r>
      </w:hyperlink>
    </w:p>
    <w:p w14:paraId="1D998A17" w14:textId="77777777" w:rsidR="00051FC8" w:rsidRPr="005343B6" w:rsidRDefault="00051FC8" w:rsidP="005343B6">
      <w:r w:rsidRPr="005343B6">
        <w:t xml:space="preserve">If the medicine strength </w:t>
      </w:r>
      <w:r w:rsidRPr="005343B6">
        <w:rPr>
          <w:rStyle w:val="Strong"/>
        </w:rPr>
        <w:t>is not included</w:t>
      </w:r>
      <w:r w:rsidRPr="005343B6">
        <w:t xml:space="preserve"> in the PBAC December 2022 list, while other strengths of the same medicine are included, this may be because:</w:t>
      </w:r>
    </w:p>
    <w:p w14:paraId="2653685A" w14:textId="77777777" w:rsidR="00051FC8" w:rsidRPr="00051FC8" w:rsidRDefault="00051FC8" w:rsidP="005343B6">
      <w:pPr>
        <w:pStyle w:val="ListBullet"/>
      </w:pPr>
      <w:r w:rsidRPr="00051FC8">
        <w:t xml:space="preserve">the PBAC considered inclusion of this strength inappropriate for reasons such as safety or quality use of medicines; or </w:t>
      </w:r>
    </w:p>
    <w:p w14:paraId="68D70FEC" w14:textId="5F17E8CA" w:rsidR="00051FC8" w:rsidRPr="00051FC8" w:rsidRDefault="00051FC8" w:rsidP="005343B6">
      <w:pPr>
        <w:pStyle w:val="ListBullet"/>
      </w:pPr>
      <w:r w:rsidRPr="00051FC8">
        <w:t xml:space="preserve">the PBAC considered that the strength of medicine is usually used to treat a specific medical condition, and inclusion of the medical condition was not appropriate for reasons such </w:t>
      </w:r>
      <w:r w:rsidR="002B5540">
        <w:t xml:space="preserve">as </w:t>
      </w:r>
      <w:r w:rsidRPr="00051FC8">
        <w:t>requiring close monitoring</w:t>
      </w:r>
      <w:r w:rsidR="002B5540">
        <w:t>.</w:t>
      </w:r>
    </w:p>
    <w:p w14:paraId="26594EAB" w14:textId="202FE40C" w:rsidR="00051FC8" w:rsidRPr="00051FC8" w:rsidRDefault="00692044" w:rsidP="005343B6">
      <w:pPr>
        <w:rPr>
          <w:rFonts w:cs="Arial"/>
        </w:rPr>
      </w:pPr>
      <w:r w:rsidRPr="006842E0">
        <w:rPr>
          <w:rFonts w:cs="Arial"/>
        </w:rPr>
        <w:t>If a medicine strength is included in the PBAC December 2022 list but is not included in the list of medicines available for 60</w:t>
      </w:r>
      <w:r w:rsidR="006842E0">
        <w:rPr>
          <w:rFonts w:cs="Arial"/>
        </w:rPr>
        <w:t>-</w:t>
      </w:r>
      <w:r w:rsidRPr="006842E0">
        <w:rPr>
          <w:rFonts w:cs="Arial"/>
        </w:rPr>
        <w:t>day prescriptions, while other strengths of the medicine are available, then that strength of the medicine may have been deferred due to a medicine supply shortage.</w:t>
      </w:r>
    </w:p>
    <w:p w14:paraId="08872CA3" w14:textId="77777777" w:rsidR="00522CFC" w:rsidRPr="005343B6" w:rsidRDefault="00522CFC" w:rsidP="001B5D47">
      <w:pPr>
        <w:pStyle w:val="Heading2"/>
      </w:pPr>
      <w:r w:rsidRPr="005343B6">
        <w:lastRenderedPageBreak/>
        <w:t>What is the Remote Area Aboriginal Health Service Program (RAAHS) and how does it interact with 60-day prescriptions? </w:t>
      </w:r>
    </w:p>
    <w:p w14:paraId="44C81174" w14:textId="77777777" w:rsidR="00522CFC" w:rsidRPr="005343B6" w:rsidRDefault="00522CFC" w:rsidP="005343B6">
      <w:r w:rsidRPr="005343B6">
        <w:t>Under this program, Aboriginal health services (AHSs) in remote areas (RRMA6 – RRMA7) can provide free Pharmaceutical Benefits Scheme (PBS) medicines to their patients.​ They can give the medicines directly to their patients during a consultation without using a PBS prescription form. This means the patient does not need to go to a pharmacy for their medicines.​ This special arrangement began in 1999 under </w:t>
      </w:r>
      <w:hyperlink r:id="rId28" w:anchor="_Toc139903741" w:tgtFrame="_blank" w:history="1">
        <w:r w:rsidRPr="005343B6">
          <w:rPr>
            <w:rStyle w:val="Hyperlink"/>
          </w:rPr>
          <w:t>section 100 of </w:t>
        </w:r>
      </w:hyperlink>
      <w:hyperlink r:id="rId29" w:anchor="_Toc139903741" w:tgtFrame="_blank" w:history="1">
        <w:r w:rsidRPr="005343B6">
          <w:rPr>
            <w:rStyle w:val="Hyperlink"/>
          </w:rPr>
          <w:t>the </w:t>
        </w:r>
      </w:hyperlink>
      <w:hyperlink r:id="rId30" w:anchor="_Toc139903741" w:tgtFrame="_blank" w:history="1">
        <w:r w:rsidRPr="005343B6">
          <w:rPr>
            <w:rStyle w:val="Hyperlink"/>
          </w:rPr>
          <w:t>National Health Act 1953</w:t>
        </w:r>
      </w:hyperlink>
      <w:r w:rsidRPr="005343B6">
        <w:t>. </w:t>
      </w:r>
    </w:p>
    <w:p w14:paraId="4A52575F" w14:textId="77777777" w:rsidR="00522CFC" w:rsidRPr="005343B6" w:rsidRDefault="00522CFC" w:rsidP="005343B6">
      <w:r w:rsidRPr="005343B6">
        <w:t>This program makes it easier for people in remote areas to get PBS medicines for free. More than 160 AHSs and their patients benefit from this program. </w:t>
      </w:r>
    </w:p>
    <w:p w14:paraId="53EEB53F" w14:textId="27F4BAA5" w:rsidR="00522CFC" w:rsidRPr="005343B6" w:rsidRDefault="00522CFC" w:rsidP="005343B6">
      <w:r w:rsidRPr="005343B6">
        <w:t>Ready-prepared medicines that are in </w:t>
      </w:r>
      <w:hyperlink r:id="rId31" w:anchor="102" w:tgtFrame="_blank" w:history="1">
        <w:r w:rsidRPr="00C107A2">
          <w:rPr>
            <w:rStyle w:val="Hyperlink"/>
            <w:rFonts w:cs="Arial"/>
          </w:rPr>
          <w:t>section 2</w:t>
        </w:r>
      </w:hyperlink>
      <w:r w:rsidRPr="005343B6">
        <w:t> of the </w:t>
      </w:r>
      <w:hyperlink r:id="rId32" w:tgtFrame="_blank" w:history="1">
        <w:r w:rsidRPr="00C107A2">
          <w:rPr>
            <w:rStyle w:val="Hyperlink"/>
            <w:rFonts w:cs="Arial"/>
          </w:rPr>
          <w:t>PBS Schedule</w:t>
        </w:r>
      </w:hyperlink>
      <w:r w:rsidRPr="005343B6">
        <w:t> at the time of consultation are eligible, </w:t>
      </w:r>
      <w:r w:rsidRPr="005343B6">
        <w:rPr>
          <w:rStyle w:val="Strong"/>
        </w:rPr>
        <w:t>except for</w:t>
      </w:r>
      <w:r w:rsidRPr="005343B6">
        <w:t>:</w:t>
      </w:r>
    </w:p>
    <w:p w14:paraId="07AC14A5" w14:textId="77777777" w:rsidR="00522CFC" w:rsidRPr="005343B6" w:rsidRDefault="00522CFC" w:rsidP="006F3DEA">
      <w:pPr>
        <w:pStyle w:val="ListBullet"/>
      </w:pPr>
      <w:r w:rsidRPr="005343B6">
        <w:t>medicines on the </w:t>
      </w:r>
      <w:hyperlink r:id="rId33" w:tgtFrame="_blank" w:history="1">
        <w:r w:rsidRPr="00C107A2">
          <w:rPr>
            <w:rStyle w:val="Hyperlink"/>
            <w:rFonts w:eastAsia="Times New Roman" w:cs="Arial"/>
          </w:rPr>
          <w:t>section 100 item list</w:t>
        </w:r>
      </w:hyperlink>
      <w:r w:rsidRPr="005343B6">
        <w:t>, including highly specialised drugs. </w:t>
      </w:r>
    </w:p>
    <w:p w14:paraId="6FA0C0DA" w14:textId="77777777" w:rsidR="00522CFC" w:rsidRPr="005343B6" w:rsidRDefault="00522CFC" w:rsidP="005343B6">
      <w:pPr>
        <w:pStyle w:val="ListBullet"/>
      </w:pPr>
      <w:r w:rsidRPr="005343B6">
        <w:t>repatriation medicines </w:t>
      </w:r>
    </w:p>
    <w:p w14:paraId="05134CE8" w14:textId="77777777" w:rsidR="00522CFC" w:rsidRPr="005343B6" w:rsidRDefault="00522CFC" w:rsidP="005343B6">
      <w:pPr>
        <w:pStyle w:val="ListBullet"/>
      </w:pPr>
      <w:r w:rsidRPr="005343B6">
        <w:t>emergency drug (prescriber bag) supplies </w:t>
      </w:r>
    </w:p>
    <w:p w14:paraId="507A0E5D" w14:textId="72A9269A" w:rsidR="00522CFC" w:rsidRPr="005343B6" w:rsidRDefault="00F625B4" w:rsidP="006F3DEA">
      <w:pPr>
        <w:pStyle w:val="ListBullet"/>
      </w:pPr>
      <w:hyperlink r:id="rId34" w:anchor="classification" w:tgtFrame="_blank" w:history="1">
        <w:r w:rsidR="00522CFC" w:rsidRPr="00C107A2">
          <w:rPr>
            <w:rStyle w:val="Hyperlink"/>
            <w:rFonts w:eastAsia="Times New Roman" w:cs="Arial"/>
          </w:rPr>
          <w:t>Schedule 8 controlled drugs</w:t>
        </w:r>
      </w:hyperlink>
      <w:r w:rsidR="00522CFC" w:rsidRPr="005343B6">
        <w:t> as defined by the relevant state or territory legislation.</w:t>
      </w:r>
    </w:p>
    <w:p w14:paraId="7585D475" w14:textId="77777777" w:rsidR="00522CFC" w:rsidRPr="005343B6" w:rsidRDefault="00522CFC" w:rsidP="005343B6">
      <w:r w:rsidRPr="005343B6">
        <w:t>The RAAHS legislation does not prevent approved suppliers to use 60-day codes when claiming. It is recommended that when preparing a claim form that PBS 60-day codes are only used where needed. </w:t>
      </w:r>
    </w:p>
    <w:p w14:paraId="2A348211" w14:textId="77777777" w:rsidR="00522CFC" w:rsidRPr="005343B6" w:rsidRDefault="00522CFC" w:rsidP="006F3DEA">
      <w:pPr>
        <w:pStyle w:val="Heading2"/>
      </w:pPr>
      <w:r w:rsidRPr="005343B6">
        <w:t>How does funding work for the RAAHS Program if a 60-day code is selected? </w:t>
      </w:r>
    </w:p>
    <w:p w14:paraId="3B6E9FDE" w14:textId="77777777" w:rsidR="00522CFC" w:rsidRPr="005343B6" w:rsidRDefault="00522CFC" w:rsidP="005343B6">
      <w:r w:rsidRPr="005343B6">
        <w:t>For each PBS medicine supplied to an AHS, the payment to the supplier is the sum of: </w:t>
      </w:r>
    </w:p>
    <w:p w14:paraId="1DF7CB63" w14:textId="77777777" w:rsidR="00522CFC" w:rsidRPr="005343B6" w:rsidRDefault="00522CFC" w:rsidP="005343B6">
      <w:pPr>
        <w:pStyle w:val="ListBullet"/>
      </w:pPr>
      <w:r w:rsidRPr="005343B6">
        <w:t>the approved price to pharmacists </w:t>
      </w:r>
    </w:p>
    <w:p w14:paraId="4642503C" w14:textId="77777777" w:rsidR="00522CFC" w:rsidRPr="005343B6" w:rsidRDefault="00522CFC" w:rsidP="005343B6">
      <w:pPr>
        <w:pStyle w:val="ListBullet"/>
      </w:pPr>
      <w:r w:rsidRPr="005343B6">
        <w:t>an amount for administration, handling and infrastructure </w:t>
      </w:r>
    </w:p>
    <w:p w14:paraId="790CDB45" w14:textId="3BB28A2E" w:rsidR="00522CFC" w:rsidRPr="004013D3" w:rsidRDefault="00522CFC" w:rsidP="005343B6">
      <w:pPr>
        <w:pStyle w:val="ListBullet"/>
        <w:rPr>
          <w:rFonts w:eastAsia="Times New Roman" w:cs="Arial"/>
        </w:rPr>
      </w:pPr>
      <w:r w:rsidRPr="004013D3">
        <w:rPr>
          <w:rFonts w:eastAsia="Times New Roman" w:cs="Arial"/>
        </w:rPr>
        <w:t>a handling fee – this is indexed annually and is $3.</w:t>
      </w:r>
      <w:r w:rsidR="00677FB3">
        <w:rPr>
          <w:rFonts w:eastAsia="Times New Roman" w:cs="Arial"/>
        </w:rPr>
        <w:t>4</w:t>
      </w:r>
      <w:r w:rsidRPr="004013D3">
        <w:rPr>
          <w:rFonts w:eastAsia="Times New Roman" w:cs="Arial"/>
        </w:rPr>
        <w:t>0 as of 1 July 202</w:t>
      </w:r>
      <w:r w:rsidR="00865128">
        <w:rPr>
          <w:rFonts w:eastAsia="Times New Roman" w:cs="Arial"/>
        </w:rPr>
        <w:t>4</w:t>
      </w:r>
      <w:r w:rsidRPr="004013D3">
        <w:rPr>
          <w:rFonts w:eastAsia="Times New Roman" w:cs="Arial"/>
        </w:rPr>
        <w:t>. </w:t>
      </w:r>
    </w:p>
    <w:p w14:paraId="7D44DF39" w14:textId="4121A462" w:rsidR="00522CFC" w:rsidRPr="005343B6" w:rsidRDefault="00522CFC" w:rsidP="005343B6">
      <w:r w:rsidRPr="005343B6">
        <w:t>For medicines labelled for individual patients, the payment also includes a patient-specific medicine supply fee. This is indexed annually and is $5.</w:t>
      </w:r>
      <w:r w:rsidR="00677FB3">
        <w:t>37</w:t>
      </w:r>
      <w:r w:rsidRPr="005343B6">
        <w:t xml:space="preserve"> as of 1 July 202</w:t>
      </w:r>
      <w:r w:rsidR="00865128">
        <w:t>4</w:t>
      </w:r>
      <w:r w:rsidRPr="005343B6">
        <w:t>. </w:t>
      </w:r>
    </w:p>
    <w:p w14:paraId="563482F8" w14:textId="3AC6D4E8" w:rsidR="00522CFC" w:rsidRPr="005343B6" w:rsidRDefault="00522CFC" w:rsidP="005343B6">
      <w:r w:rsidRPr="005343B6">
        <w:t>For more detail, see the </w:t>
      </w:r>
      <w:hyperlink r:id="rId35" w:tgtFrame="_blank" w:history="1">
        <w:r w:rsidRPr="004013D3">
          <w:rPr>
            <w:rStyle w:val="Hyperlink"/>
            <w:rFonts w:cs="Arial"/>
          </w:rPr>
          <w:t>National Health (Remote Area Aboriginal Health Services Program) Special Arrangement 2017 (section 15)</w:t>
        </w:r>
      </w:hyperlink>
      <w:r w:rsidRPr="005343B6">
        <w:t>. </w:t>
      </w:r>
    </w:p>
    <w:p w14:paraId="5B8E79A6" w14:textId="23314BB1" w:rsidR="00522CFC" w:rsidRPr="005343B6" w:rsidRDefault="00522CFC" w:rsidP="005343B6">
      <w:r w:rsidRPr="005343B6">
        <w:t>Under 60</w:t>
      </w:r>
      <w:r w:rsidR="004F4BFF" w:rsidRPr="005343B6">
        <w:t>-</w:t>
      </w:r>
      <w:r w:rsidRPr="005343B6">
        <w:t>day</w:t>
      </w:r>
      <w:r w:rsidR="00C67619" w:rsidRPr="005343B6">
        <w:t xml:space="preserve"> </w:t>
      </w:r>
      <w:r w:rsidR="00A57099">
        <w:t>prescriptions</w:t>
      </w:r>
      <w:r w:rsidRPr="005343B6">
        <w:t xml:space="preserve"> this fee structure will operate the same, with a single handling fee applied to items under a 60-day code (i.e., </w:t>
      </w:r>
      <w:r w:rsidR="003530FD" w:rsidRPr="005343B6">
        <w:t>2</w:t>
      </w:r>
      <w:r w:rsidRPr="005343B6">
        <w:t xml:space="preserve"> packet amounts one fee). </w:t>
      </w:r>
    </w:p>
    <w:p w14:paraId="03DDB571" w14:textId="3A00D30F" w:rsidR="00522CFC" w:rsidRPr="005343B6" w:rsidRDefault="00522CFC" w:rsidP="006F3DEA">
      <w:pPr>
        <w:pStyle w:val="Heading2"/>
      </w:pPr>
      <w:r w:rsidRPr="005343B6">
        <w:t xml:space="preserve">What is the Closing the Gap </w:t>
      </w:r>
      <w:r w:rsidR="00204AD2">
        <w:t xml:space="preserve">(CTG) </w:t>
      </w:r>
      <w:r w:rsidRPr="005343B6">
        <w:t>PBS Co-payment Program and how does it interact with 60-day prescriptions? </w:t>
      </w:r>
    </w:p>
    <w:p w14:paraId="6B86653F" w14:textId="77777777" w:rsidR="00522CFC" w:rsidRPr="005343B6" w:rsidRDefault="00522CFC" w:rsidP="005343B6">
      <w:r w:rsidRPr="005343B6">
        <w:t xml:space="preserve">The CTG PBS Co-payment program was established in July 2010 to improve access to affordable PBS medicines for Aboriginal and Torres Strait Islander people living with, or at risk of, chronic disease, and who in their doctor’s opinion would experience setbacks in the prevention or ongoing </w:t>
      </w:r>
      <w:r w:rsidRPr="005343B6">
        <w:lastRenderedPageBreak/>
        <w:t>management of chronic disease if they did not take the prescribed medicine and would be unlikely to adhere to their medicines regimen without assistance through the program. </w:t>
      </w:r>
    </w:p>
    <w:p w14:paraId="1DE720BE" w14:textId="35319793" w:rsidR="00522CFC" w:rsidRPr="005343B6" w:rsidRDefault="00522CFC" w:rsidP="005343B6">
      <w:r w:rsidRPr="005343B6">
        <w:t>  </w:t>
      </w:r>
    </w:p>
    <w:p w14:paraId="49247C98" w14:textId="77777777" w:rsidR="00204AD2" w:rsidRPr="00204AD2" w:rsidRDefault="00204AD2" w:rsidP="00204AD2">
      <w:r w:rsidRPr="00204AD2">
        <w:t>The Closing the Gap PBS co-payment (CTG) program reduces or removes the PBS co-payment for eligible Aboriginal and Torres Strait Islander people. This applies to all PBS medicines, including medicines approved for 60-day prescriptions.</w:t>
      </w:r>
    </w:p>
    <w:p w14:paraId="17CC9DC6" w14:textId="77777777" w:rsidR="00204AD2" w:rsidRPr="00204AD2" w:rsidRDefault="00204AD2" w:rsidP="00204AD2"/>
    <w:p w14:paraId="1FCD8481" w14:textId="77777777" w:rsidR="00204AD2" w:rsidRPr="00204AD2" w:rsidRDefault="00204AD2" w:rsidP="00204AD2">
      <w:r w:rsidRPr="00204AD2">
        <w:t>If you currently pay a reduced price or get free PBS medicines under the CTG program, this will continue, even with a 60-day prescription. </w:t>
      </w:r>
    </w:p>
    <w:p w14:paraId="6AED6B87" w14:textId="77777777" w:rsidR="00204AD2" w:rsidRPr="00204AD2" w:rsidRDefault="00204AD2" w:rsidP="00204AD2">
      <w:r w:rsidRPr="00204AD2">
        <w:t xml:space="preserve">CTG prescriptions can only be dispensed at community pharmacies or private hospital pharmacies. </w:t>
      </w:r>
      <w:r w:rsidRPr="00204AD2">
        <w:rPr>
          <w:b/>
          <w:bCs/>
        </w:rPr>
        <w:t>From 1 January 2025, the CTG PBS Co-payment Program will expand to include all PBS medicines dispensed by public hospitals.</w:t>
      </w:r>
    </w:p>
    <w:p w14:paraId="77DA6DC8" w14:textId="249C0BFA" w:rsidR="00204AD2" w:rsidRPr="00350D1D" w:rsidRDefault="00A4531D" w:rsidP="00204AD2">
      <w:pPr>
        <w:pStyle w:val="Heading2"/>
      </w:pPr>
      <w:r w:rsidRPr="00A4531D">
        <w:t xml:space="preserve"> </w:t>
      </w:r>
      <w:r w:rsidR="00204AD2" w:rsidRPr="00EB6637">
        <w:t xml:space="preserve">How will the additional $52 million for </w:t>
      </w:r>
      <w:r w:rsidR="00204AD2">
        <w:t xml:space="preserve">the </w:t>
      </w:r>
      <w:r w:rsidR="00204AD2" w:rsidRPr="00EB6637">
        <w:t>R</w:t>
      </w:r>
      <w:r w:rsidR="00204AD2">
        <w:t xml:space="preserve">ural </w:t>
      </w:r>
      <w:r w:rsidR="00204AD2" w:rsidRPr="00EB6637">
        <w:t>P</w:t>
      </w:r>
      <w:r w:rsidR="00204AD2">
        <w:t xml:space="preserve">harmacy </w:t>
      </w:r>
      <w:r w:rsidR="00204AD2" w:rsidRPr="00EB6637">
        <w:t>M</w:t>
      </w:r>
      <w:r w:rsidR="00204AD2">
        <w:t xml:space="preserve">aintenance </w:t>
      </w:r>
      <w:r w:rsidR="00204AD2" w:rsidRPr="00EB6637">
        <w:t>A</w:t>
      </w:r>
      <w:r w:rsidR="00204AD2">
        <w:t>llowance</w:t>
      </w:r>
      <w:r w:rsidR="00204AD2" w:rsidRPr="00EB6637">
        <w:t xml:space="preserve"> be distributed to Pharmacies</w:t>
      </w:r>
      <w:r w:rsidR="00204AD2" w:rsidRPr="00350D1D">
        <w:t xml:space="preserve">? </w:t>
      </w:r>
    </w:p>
    <w:p w14:paraId="435781D3" w14:textId="77777777" w:rsidR="00204AD2" w:rsidRPr="00DB544C" w:rsidRDefault="00204AD2" w:rsidP="00204AD2">
      <w:pPr>
        <w:spacing w:after="0" w:line="240" w:lineRule="auto"/>
        <w:outlineLvl w:val="1"/>
        <w:rPr>
          <w:rFonts w:eastAsia="Times New Roman" w:cs="Arial"/>
          <w:color w:val="313131"/>
          <w:lang w:eastAsia="en-AU"/>
        </w:rPr>
      </w:pPr>
      <w:r w:rsidRPr="00DB544C">
        <w:rPr>
          <w:rFonts w:eastAsia="Times New Roman" w:cs="Arial"/>
          <w:color w:val="313131"/>
          <w:lang w:eastAsia="en-AU"/>
        </w:rPr>
        <w:t>From 1 July 2023, the Regional Pharmacy Maintenance Allowance (RPMA) budget doubled to $39.8 million per year. This represents $79.5 million over 4 years to make sure Australians in regional, rural, and remote locations have continued access to pharmacies and pharmacy services.</w:t>
      </w:r>
    </w:p>
    <w:p w14:paraId="0F1C66E1" w14:textId="77777777" w:rsidR="00204AD2" w:rsidRPr="00DB544C" w:rsidRDefault="00204AD2" w:rsidP="00204AD2">
      <w:pPr>
        <w:spacing w:after="0" w:line="240" w:lineRule="auto"/>
        <w:outlineLvl w:val="1"/>
        <w:rPr>
          <w:rFonts w:eastAsia="Times New Roman" w:cs="Arial"/>
          <w:color w:val="313131"/>
          <w:lang w:eastAsia="en-AU"/>
        </w:rPr>
      </w:pPr>
    </w:p>
    <w:p w14:paraId="4FA37671" w14:textId="77777777" w:rsidR="00204AD2" w:rsidRPr="00DB544C" w:rsidRDefault="00204AD2" w:rsidP="00204AD2">
      <w:pPr>
        <w:spacing w:after="0" w:line="240" w:lineRule="auto"/>
        <w:outlineLvl w:val="1"/>
        <w:rPr>
          <w:rFonts w:eastAsia="Times New Roman" w:cs="Arial"/>
          <w:color w:val="313131"/>
          <w:lang w:eastAsia="en-AU"/>
        </w:rPr>
      </w:pPr>
      <w:r w:rsidRPr="00DB544C">
        <w:rPr>
          <w:rFonts w:eastAsia="Times New Roman" w:cs="Arial"/>
          <w:color w:val="313131"/>
          <w:lang w:eastAsia="en-AU"/>
        </w:rPr>
        <w:t>Through the 8</w:t>
      </w:r>
      <w:r w:rsidRPr="00DB544C">
        <w:rPr>
          <w:rFonts w:eastAsia="Times New Roman" w:cs="Arial"/>
          <w:color w:val="313131"/>
          <w:vertAlign w:val="superscript"/>
          <w:lang w:eastAsia="en-AU"/>
        </w:rPr>
        <w:t>th</w:t>
      </w:r>
      <w:r w:rsidRPr="00DB544C">
        <w:rPr>
          <w:rFonts w:eastAsia="Times New Roman" w:cs="Arial"/>
          <w:color w:val="313131"/>
          <w:lang w:eastAsia="en-AU"/>
        </w:rPr>
        <w:t xml:space="preserve"> Community Pharmacy Agreement, a further $52 million over 5 years has been provided to the total budget for the Regional Pharmacy Maintenance Allowance (RPMA). The </w:t>
      </w:r>
      <w:hyperlink r:id="rId36" w:history="1">
        <w:r w:rsidRPr="00DB544C">
          <w:rPr>
            <w:rFonts w:eastAsia="Times New Roman" w:cs="Arial"/>
            <w:color w:val="0000FF"/>
            <w:u w:val="single"/>
            <w:lang w:eastAsia="en-AU"/>
          </w:rPr>
          <w:t>RPMA Payment Matrix for 2024–25</w:t>
        </w:r>
      </w:hyperlink>
      <w:r w:rsidRPr="00DB544C">
        <w:rPr>
          <w:rFonts w:eastAsia="Times New Roman" w:cs="Arial"/>
          <w:color w:val="313131"/>
          <w:lang w:eastAsia="en-AU"/>
        </w:rPr>
        <w:t xml:space="preserve"> outlines the budget breakdown by regions.</w:t>
      </w:r>
    </w:p>
    <w:p w14:paraId="0ADA535D" w14:textId="00105D6A" w:rsidR="00204AD2" w:rsidRPr="00350D1D" w:rsidRDefault="00204AD2" w:rsidP="00204AD2">
      <w:pPr>
        <w:pStyle w:val="Heading2"/>
      </w:pPr>
      <w:r w:rsidRPr="00EB6637">
        <w:t>How will the Additional Community Supply Support Payment function?</w:t>
      </w:r>
    </w:p>
    <w:p w14:paraId="4501618D" w14:textId="1FA5E8ED" w:rsidR="00204AD2" w:rsidRPr="00204AD2" w:rsidRDefault="00204AD2" w:rsidP="00204AD2">
      <w:pPr>
        <w:rPr>
          <w:rFonts w:eastAsia="Times New Roman"/>
        </w:rPr>
      </w:pPr>
      <w:r w:rsidRPr="00204AD2">
        <w:rPr>
          <w:rFonts w:eastAsia="Times New Roman"/>
        </w:rPr>
        <w:t xml:space="preserve">The new Additional Community Supply Support (ACSS) payment helps pharmacists provide services and cheaper medicines (through 60-day prescriptions) for their patients without increasing patient fees. The ACSS payment has 2 components for s90 Community Pharmacies: </w:t>
      </w:r>
    </w:p>
    <w:p w14:paraId="6108409A" w14:textId="3AA0DC8B" w:rsidR="00204AD2" w:rsidRPr="00204AD2" w:rsidRDefault="00204AD2" w:rsidP="00DB544C">
      <w:pPr>
        <w:pStyle w:val="ListBullet"/>
        <w:tabs>
          <w:tab w:val="clear" w:pos="360"/>
          <w:tab w:val="num" w:pos="720"/>
        </w:tabs>
        <w:ind w:left="720"/>
      </w:pPr>
      <w:r w:rsidRPr="00204AD2">
        <w:t>a base level payment associated with the dispensing of all subsidised prescriptions for general schedule items.</w:t>
      </w:r>
    </w:p>
    <w:p w14:paraId="14A340BF" w14:textId="7B95EDA3" w:rsidR="00204AD2" w:rsidRPr="00204AD2" w:rsidRDefault="00204AD2" w:rsidP="00DB544C">
      <w:pPr>
        <w:pStyle w:val="ListBullet"/>
        <w:tabs>
          <w:tab w:val="clear" w:pos="360"/>
          <w:tab w:val="num" w:pos="720"/>
        </w:tabs>
        <w:ind w:left="720"/>
      </w:pPr>
      <w:r w:rsidRPr="00204AD2">
        <w:t>an additional payment associated with the dispensing of any subsidised prescription for medicines with increased maximum dispensing quantity when dispensed in their maximum quantity.</w:t>
      </w:r>
    </w:p>
    <w:p w14:paraId="144E8B08" w14:textId="77777777" w:rsidR="00204AD2" w:rsidRPr="00204AD2" w:rsidRDefault="00204AD2" w:rsidP="00204AD2">
      <w:pPr>
        <w:rPr>
          <w:rFonts w:eastAsia="Times New Roman"/>
        </w:rPr>
      </w:pPr>
      <w:r w:rsidRPr="00204AD2">
        <w:rPr>
          <w:rFonts w:eastAsia="Times New Roman"/>
        </w:rPr>
        <w:t>The first ACSS payments will be made by the end of October 2024. Services Australia will manage this process alongside regular PBS payments.</w:t>
      </w:r>
    </w:p>
    <w:p w14:paraId="210EB21C" w14:textId="77777777" w:rsidR="00A4531D" w:rsidRPr="005343B6" w:rsidRDefault="00A4531D" w:rsidP="005343B6"/>
    <w:p w14:paraId="63EF64C2" w14:textId="758A0AA0" w:rsidR="004E6484" w:rsidRPr="00120ABA" w:rsidRDefault="002E61C0" w:rsidP="006F3DEA">
      <w:pPr>
        <w:pStyle w:val="Heading1"/>
      </w:pPr>
      <w:r w:rsidRPr="00120ABA">
        <w:lastRenderedPageBreak/>
        <w:t xml:space="preserve">Aged </w:t>
      </w:r>
      <w:r w:rsidR="00E244D7">
        <w:t>c</w:t>
      </w:r>
      <w:r w:rsidRPr="00120ABA">
        <w:t>are</w:t>
      </w:r>
    </w:p>
    <w:p w14:paraId="024E9783" w14:textId="6EAB79EC" w:rsidR="002A0333" w:rsidRPr="005343B6" w:rsidRDefault="002A0333" w:rsidP="006F3DEA">
      <w:pPr>
        <w:pStyle w:val="Heading2"/>
      </w:pPr>
      <w:r w:rsidRPr="00350D1D">
        <w:t>How does 60</w:t>
      </w:r>
      <w:r w:rsidR="00017C98">
        <w:t>-</w:t>
      </w:r>
      <w:r w:rsidRPr="00350D1D">
        <w:t xml:space="preserve">day </w:t>
      </w:r>
      <w:r w:rsidR="00D91AFC">
        <w:t>prescriptions</w:t>
      </w:r>
      <w:r w:rsidR="00D91AFC" w:rsidRPr="00350D1D">
        <w:t xml:space="preserve"> </w:t>
      </w:r>
      <w:r w:rsidRPr="00350D1D">
        <w:t>work with the electronic National Residential Medication Chart (eNRMC) used in aged care?</w:t>
      </w:r>
    </w:p>
    <w:p w14:paraId="3F42DD5F" w14:textId="77777777" w:rsidR="002A0333" w:rsidRPr="005343B6" w:rsidRDefault="002A0333" w:rsidP="005343B6">
      <w:r w:rsidRPr="005343B6">
        <w:t xml:space="preserve">The paper based NRMC and eNRMC (allowed for use under a Transitional Arrangement) are valid for 4 months and allows for ongoing supply of most medicines for the duration of the chart and removes the requirement for repeats. Pharmacists can dispense a single maximum PBS quantity as many times as necessary to ensure ongoing supply and administration of that medicine to the resident, for either the duration of the chart or a shorter duration as specified by the prescriber. </w:t>
      </w:r>
    </w:p>
    <w:p w14:paraId="03334B59" w14:textId="6B068FB2" w:rsidR="002A0333" w:rsidRPr="005343B6" w:rsidRDefault="002A0333" w:rsidP="005343B6">
      <w:r w:rsidRPr="005343B6">
        <w:t>The 60</w:t>
      </w:r>
      <w:r w:rsidR="00E07A2A" w:rsidRPr="005343B6">
        <w:t>-</w:t>
      </w:r>
      <w:r w:rsidRPr="005343B6">
        <w:t>day dispense rule does not affect the way medicines are prescribed using an NRMC/eNRMC, however, it may impact supply. For relevant medicines (where a prescriber has indicated eligibility), the pharmacist will dispense a 60</w:t>
      </w:r>
      <w:r w:rsidR="00E07A2A" w:rsidRPr="005343B6">
        <w:t>-</w:t>
      </w:r>
      <w:r w:rsidRPr="005343B6">
        <w:t>day supply, in the same way they previously dispensed medicines for the resident. Once the 60</w:t>
      </w:r>
      <w:r w:rsidR="00E07A2A" w:rsidRPr="005343B6">
        <w:t>-</w:t>
      </w:r>
      <w:r w:rsidRPr="005343B6">
        <w:t>day supply of medicine has been administered to the resident, the pharmacist can re-dispense a further 60</w:t>
      </w:r>
      <w:r w:rsidR="00E07A2A" w:rsidRPr="005343B6">
        <w:t>-</w:t>
      </w:r>
      <w:r w:rsidRPr="005343B6">
        <w:t xml:space="preserve">day supply, and so on for the medication chart’s duration. </w:t>
      </w:r>
    </w:p>
    <w:p w14:paraId="61DE53E5" w14:textId="1F349AC0" w:rsidR="002A0333" w:rsidRPr="005343B6" w:rsidRDefault="002A0333" w:rsidP="005343B6">
      <w:r w:rsidRPr="005343B6">
        <w:t>This means that if a prescriber determines a 60</w:t>
      </w:r>
      <w:r w:rsidR="00E07A2A" w:rsidRPr="005343B6">
        <w:t>-</w:t>
      </w:r>
      <w:r w:rsidRPr="005343B6">
        <w:t xml:space="preserve">day </w:t>
      </w:r>
      <w:r w:rsidR="00FD15E5" w:rsidRPr="005343B6">
        <w:t>prescription</w:t>
      </w:r>
      <w:r w:rsidRPr="005343B6">
        <w:t xml:space="preserve"> of an </w:t>
      </w:r>
      <w:r w:rsidR="006455D6" w:rsidRPr="005343B6">
        <w:t xml:space="preserve">available </w:t>
      </w:r>
      <w:r w:rsidRPr="005343B6">
        <w:t xml:space="preserve">medicine is </w:t>
      </w:r>
      <w:r w:rsidR="00FD15E5" w:rsidRPr="005343B6">
        <w:t xml:space="preserve">suitable </w:t>
      </w:r>
      <w:r w:rsidRPr="005343B6">
        <w:t xml:space="preserve">for their patient, the medicine could potentially only be dispensed twice during the NRMC/eNRMC validity period (rather than </w:t>
      </w:r>
      <w:r w:rsidR="003530FD" w:rsidRPr="005343B6">
        <w:t>4</w:t>
      </w:r>
      <w:r w:rsidRPr="005343B6">
        <w:t xml:space="preserve"> times), reducing the out-of-pocket costs for the resident.</w:t>
      </w:r>
    </w:p>
    <w:p w14:paraId="27301EED" w14:textId="22BBD06F" w:rsidR="000D1360" w:rsidRPr="005343B6" w:rsidRDefault="002A0333" w:rsidP="005343B6">
      <w:r w:rsidRPr="005343B6">
        <w:t>Like any other patients, this means that patients in an Aged Care Facility may have some medicines dispensed under a 60-</w:t>
      </w:r>
      <w:r w:rsidR="00983F5C" w:rsidRPr="005343B6">
        <w:t>d</w:t>
      </w:r>
      <w:r w:rsidRPr="005343B6">
        <w:t xml:space="preserve">ay </w:t>
      </w:r>
      <w:r w:rsidR="00983F5C" w:rsidRPr="005343B6">
        <w:t>quantity</w:t>
      </w:r>
      <w:r w:rsidRPr="005343B6">
        <w:t xml:space="preserve">, and some medicines dispensed under current arrangements. </w:t>
      </w:r>
    </w:p>
    <w:p w14:paraId="2B156BB5" w14:textId="6F9142F5" w:rsidR="000D1360" w:rsidRPr="00350D1D" w:rsidRDefault="000D1360" w:rsidP="006F3DEA">
      <w:pPr>
        <w:pStyle w:val="Heading2"/>
      </w:pPr>
      <w:r w:rsidRPr="00350D1D">
        <w:t>For pharm</w:t>
      </w:r>
      <w:r w:rsidR="00350D1D">
        <w:t>a</w:t>
      </w:r>
      <w:r w:rsidRPr="00350D1D">
        <w:t>cies that dispense to a nursing home using the electronic National Residential Medication Chart</w:t>
      </w:r>
      <w:r w:rsidR="00BE7ED2" w:rsidRPr="00350D1D">
        <w:t xml:space="preserve"> (eNRMC)</w:t>
      </w:r>
      <w:r w:rsidRPr="00350D1D">
        <w:t>, will prescriptions automatically transfer from 30</w:t>
      </w:r>
      <w:r w:rsidR="00983F5C">
        <w:t>-</w:t>
      </w:r>
      <w:r w:rsidRPr="00350D1D">
        <w:t>days to 60</w:t>
      </w:r>
      <w:r w:rsidR="00983F5C">
        <w:t>-</w:t>
      </w:r>
      <w:r w:rsidRPr="00350D1D">
        <w:t xml:space="preserve">days supply? </w:t>
      </w:r>
    </w:p>
    <w:p w14:paraId="3270C84C" w14:textId="6090B9E8" w:rsidR="00BE7ED2" w:rsidRPr="005343B6" w:rsidRDefault="000D1360" w:rsidP="005343B6">
      <w:r w:rsidRPr="005343B6">
        <w:t>No,</w:t>
      </w:r>
      <w:r w:rsidR="004E6484" w:rsidRPr="005343B6">
        <w:t xml:space="preserve"> there is no rollover,</w:t>
      </w:r>
      <w:r w:rsidRPr="005343B6">
        <w:t xml:space="preserve"> new prescriptions for </w:t>
      </w:r>
      <w:r w:rsidR="00A57099">
        <w:t xml:space="preserve">a </w:t>
      </w:r>
      <w:r w:rsidRPr="005343B6">
        <w:t>60</w:t>
      </w:r>
      <w:r w:rsidR="00983F5C" w:rsidRPr="005343B6">
        <w:t>-</w:t>
      </w:r>
      <w:r w:rsidRPr="005343B6">
        <w:t xml:space="preserve">day </w:t>
      </w:r>
      <w:r w:rsidR="00A57099">
        <w:t>supply</w:t>
      </w:r>
      <w:r w:rsidR="00A57099" w:rsidRPr="005343B6">
        <w:t xml:space="preserve"> </w:t>
      </w:r>
      <w:r w:rsidRPr="005343B6">
        <w:t xml:space="preserve">will be required. </w:t>
      </w:r>
    </w:p>
    <w:p w14:paraId="43718337" w14:textId="1BBD4310" w:rsidR="00BE7ED2" w:rsidRPr="005343B6" w:rsidRDefault="00BE7ED2" w:rsidP="005343B6">
      <w:r w:rsidRPr="005343B6">
        <w:t xml:space="preserve">Only patients who are taking an eligible medicine and </w:t>
      </w:r>
      <w:r w:rsidR="00AB720C">
        <w:t xml:space="preserve">has a </w:t>
      </w:r>
      <w:r w:rsidRPr="005343B6">
        <w:t>stable on</w:t>
      </w:r>
      <w:r w:rsidR="005343CE">
        <w:t>going health condition</w:t>
      </w:r>
      <w:r w:rsidRPr="005343B6">
        <w:t xml:space="preserve"> will be able to be prescribed the </w:t>
      </w:r>
      <w:r w:rsidR="00E95F98" w:rsidRPr="005343B6">
        <w:t xml:space="preserve">60-day items </w:t>
      </w:r>
      <w:r w:rsidRPr="005343B6">
        <w:t>by their doctor. eNRMC charts will default to the current supplies unless the prescriber makes a clinical decision to supply under the new quantities.</w:t>
      </w:r>
    </w:p>
    <w:p w14:paraId="701D4F30" w14:textId="2B38F5BD" w:rsidR="008533A8" w:rsidRPr="00D60DF5" w:rsidRDefault="00DB544C" w:rsidP="006F3DEA">
      <w:pPr>
        <w:pStyle w:val="Heading2"/>
      </w:pPr>
      <w:r>
        <w:t>Is</w:t>
      </w:r>
      <w:r w:rsidRPr="00350D1D">
        <w:t xml:space="preserve"> </w:t>
      </w:r>
      <w:r w:rsidR="004E6484" w:rsidRPr="00350D1D">
        <w:t xml:space="preserve">there be education materials available for prescribers, pharmacists, and </w:t>
      </w:r>
      <w:r w:rsidR="000D4C71">
        <w:t xml:space="preserve">patients </w:t>
      </w:r>
      <w:r w:rsidR="004E6484" w:rsidRPr="00350D1D">
        <w:t xml:space="preserve">about 60-day </w:t>
      </w:r>
      <w:r w:rsidR="005A2D65">
        <w:t>prescriptions</w:t>
      </w:r>
      <w:r w:rsidR="004E6484" w:rsidRPr="00350D1D">
        <w:t>?</w:t>
      </w:r>
    </w:p>
    <w:p w14:paraId="3FB107F7" w14:textId="77777777" w:rsidR="005343B6" w:rsidRPr="005343B6" w:rsidRDefault="008533A8" w:rsidP="005343B6">
      <w:r w:rsidRPr="005343B6">
        <w:t>The Department of Health and Aged Care have consulted with stakeholders to inform the implementation of 60-</w:t>
      </w:r>
      <w:r w:rsidR="005A2D65" w:rsidRPr="005343B6">
        <w:t>d</w:t>
      </w:r>
      <w:r w:rsidRPr="005343B6">
        <w:t xml:space="preserve">ay </w:t>
      </w:r>
      <w:r w:rsidR="00361536" w:rsidRPr="005343B6">
        <w:t>p</w:t>
      </w:r>
      <w:r w:rsidRPr="005343B6">
        <w:t>rescriptions, including with pharmacy groups, prescribers, medicines sponsors, wholesalers and software vendors.</w:t>
      </w:r>
    </w:p>
    <w:p w14:paraId="663498A8" w14:textId="51B8A961" w:rsidR="004E6484" w:rsidRPr="005343B6" w:rsidRDefault="008533A8" w:rsidP="005343B6">
      <w:r w:rsidRPr="005343B6">
        <w:t xml:space="preserve">The </w:t>
      </w:r>
      <w:r w:rsidR="003530FD" w:rsidRPr="005343B6">
        <w:t>d</w:t>
      </w:r>
      <w:r w:rsidRPr="005343B6">
        <w:t xml:space="preserve">epartment has undertaken extensive communication activities to inform prescribers and Pharmacists of these changes, including the publication of the </w:t>
      </w:r>
      <w:hyperlink r:id="rId37" w:history="1">
        <w:r w:rsidRPr="005343B6">
          <w:rPr>
            <w:rStyle w:val="Hyperlink"/>
          </w:rPr>
          <w:t>60-day Prescriptions Information Kit for Prescribers</w:t>
        </w:r>
      </w:hyperlink>
      <w:r w:rsidRPr="005343B6">
        <w:t xml:space="preserve"> and </w:t>
      </w:r>
      <w:hyperlink r:id="rId38" w:history="1">
        <w:r w:rsidRPr="005343B6">
          <w:rPr>
            <w:rStyle w:val="Hyperlink"/>
          </w:rPr>
          <w:t>60-day Prescriptions Information Kit for Pharmacists</w:t>
        </w:r>
      </w:hyperlink>
      <w:r w:rsidRPr="005343B6">
        <w:t xml:space="preserve"> which are available for download on </w:t>
      </w:r>
      <w:r w:rsidR="003530FD" w:rsidRPr="005343B6">
        <w:t>d</w:t>
      </w:r>
      <w:r w:rsidRPr="005343B6">
        <w:t>epartment's website.</w:t>
      </w:r>
    </w:p>
    <w:p w14:paraId="5320422D" w14:textId="77777777" w:rsidR="00BD6E88" w:rsidRPr="005343B6" w:rsidRDefault="00BD6E88" w:rsidP="006F3DEA">
      <w:pPr>
        <w:pStyle w:val="Heading2"/>
      </w:pPr>
      <w:r w:rsidRPr="005343B6">
        <w:lastRenderedPageBreak/>
        <w:t>Why are only some medical conditions eligible for 60-day prescriptions of the same medicine?</w:t>
      </w:r>
    </w:p>
    <w:p w14:paraId="1797896C" w14:textId="33CD179E" w:rsidR="00BD6E88" w:rsidRPr="005343B6" w:rsidRDefault="00BD6E88" w:rsidP="005343B6">
      <w:r w:rsidRPr="005343B6">
        <w:t>In December 2022, the independent, expert PBAC considered medicines listed on the PBS for chronic medical conditions and made recommendations about which medicines were clinically safe and suitable for listing with the option to prescribe in higher quantities (60</w:t>
      </w:r>
      <w:r w:rsidR="00C67619" w:rsidRPr="005343B6">
        <w:t>-</w:t>
      </w:r>
      <w:r w:rsidRPr="005343B6">
        <w:t xml:space="preserve">days’ supply). The decision to write a 60-day script will be made by the </w:t>
      </w:r>
      <w:r w:rsidR="006F1CC2" w:rsidRPr="005343B6">
        <w:t>prescriber</w:t>
      </w:r>
      <w:r w:rsidRPr="005343B6">
        <w:t xml:space="preserve"> based on their clinical judgement. The option to prescribe </w:t>
      </w:r>
      <w:r w:rsidR="00A3314E" w:rsidRPr="005343B6">
        <w:t>30-day</w:t>
      </w:r>
      <w:r w:rsidR="005231B0" w:rsidRPr="005343B6">
        <w:t>’s</w:t>
      </w:r>
      <w:r w:rsidRPr="005343B6">
        <w:t xml:space="preserve"> supply remains, if the </w:t>
      </w:r>
      <w:r w:rsidR="006F1CC2" w:rsidRPr="005343B6">
        <w:t xml:space="preserve">prescriber </w:t>
      </w:r>
      <w:r w:rsidR="005231B0" w:rsidRPr="005343B6">
        <w:t xml:space="preserve">considers </w:t>
      </w:r>
      <w:r w:rsidRPr="005343B6">
        <w:t xml:space="preserve">a </w:t>
      </w:r>
      <w:r w:rsidR="00A3314E" w:rsidRPr="005343B6">
        <w:t>60-day</w:t>
      </w:r>
      <w:r w:rsidRPr="005343B6">
        <w:t xml:space="preserve"> supply presents any risk for the patient.</w:t>
      </w:r>
    </w:p>
    <w:p w14:paraId="2B7FBC3E" w14:textId="4E905CCF" w:rsidR="00BD6E88" w:rsidRPr="005343B6" w:rsidRDefault="00BD6E88" w:rsidP="005343B6">
      <w:r w:rsidRPr="005343B6">
        <w:t xml:space="preserve">In making its recommendations, the PBAC excluded medicines that are prescribed for the short term management of symptoms in chronic diseases. The PBAC also excluded medicines requiring regular adjustment (dose titration), close monitoring or with a potential risk to safety if stockpiled. For some instances, only certain medical conditions (indications) or forms of a medicine (e.g. certain strengths) were considered suitable to be prescribed in higher quantities, to ensure patient safety and minimise medicine wastage. For example, pramipexole (Sifrol®, Simipex®) is currently listed on the PBS for </w:t>
      </w:r>
      <w:r w:rsidR="003530FD" w:rsidRPr="005343B6">
        <w:t>2</w:t>
      </w:r>
      <w:r w:rsidRPr="005343B6">
        <w:t xml:space="preserve"> indications: Parkinson disease and primary severe restless legs syndrome.</w:t>
      </w:r>
    </w:p>
    <w:p w14:paraId="6F0D08DF" w14:textId="5B844CB3" w:rsidR="00BD6E88" w:rsidRPr="005343B6" w:rsidRDefault="00BD6E88" w:rsidP="006F3DEA">
      <w:pPr>
        <w:pStyle w:val="Heading2"/>
      </w:pPr>
      <w:r w:rsidRPr="005343B6">
        <w:t xml:space="preserve">Will </w:t>
      </w:r>
      <w:r w:rsidR="00350D1D" w:rsidRPr="005343B6">
        <w:t>60</w:t>
      </w:r>
      <w:r w:rsidR="005C10D0" w:rsidRPr="005343B6">
        <w:t>-</w:t>
      </w:r>
      <w:r w:rsidR="00350D1D" w:rsidRPr="005343B6">
        <w:t>day</w:t>
      </w:r>
      <w:r w:rsidRPr="005343B6">
        <w:t xml:space="preserve"> </w:t>
      </w:r>
      <w:r w:rsidR="00A57099">
        <w:t>prescriptions</w:t>
      </w:r>
      <w:r w:rsidR="00A57099" w:rsidRPr="005343B6">
        <w:t xml:space="preserve"> </w:t>
      </w:r>
      <w:r w:rsidRPr="005343B6">
        <w:t>be updated on e-scripts?</w:t>
      </w:r>
    </w:p>
    <w:p w14:paraId="621A4CEB" w14:textId="6A897769" w:rsidR="00BD6E88" w:rsidRPr="005343B6" w:rsidRDefault="00BD6E88" w:rsidP="005343B6">
      <w:r w:rsidRPr="005343B6">
        <w:t>The policy change which enables 60</w:t>
      </w:r>
      <w:r w:rsidR="00A3314E" w:rsidRPr="005343B6">
        <w:t>-</w:t>
      </w:r>
      <w:r w:rsidRPr="005343B6">
        <w:t>day prescription dispensing will not impact electronic prescribing. The content of electronic prescriptions will not change.</w:t>
      </w:r>
    </w:p>
    <w:p w14:paraId="2605C198" w14:textId="0D382F15" w:rsidR="00BD6E88" w:rsidRPr="005343B6" w:rsidRDefault="00BD6E88" w:rsidP="006F3DEA">
      <w:pPr>
        <w:pStyle w:val="Heading2"/>
      </w:pPr>
      <w:r w:rsidRPr="005343B6">
        <w:t>Some chemist</w:t>
      </w:r>
      <w:r w:rsidR="00350D1D" w:rsidRPr="005343B6">
        <w:t>s</w:t>
      </w:r>
      <w:r w:rsidRPr="005343B6">
        <w:t xml:space="preserve"> have "forgotten" to provide repeat tokens to patients, will there be a way to </w:t>
      </w:r>
      <w:r w:rsidR="00E244D7" w:rsidRPr="005343B6">
        <w:t>avoid</w:t>
      </w:r>
      <w:r w:rsidRPr="005343B6">
        <w:t xml:space="preserve"> this?</w:t>
      </w:r>
    </w:p>
    <w:p w14:paraId="45E09F1D" w14:textId="5C0E546A" w:rsidR="00BD6E88" w:rsidRPr="005343B6" w:rsidRDefault="00BD6E88" w:rsidP="005343B6">
      <w:r w:rsidRPr="005343B6">
        <w:t xml:space="preserve">A key pillar of electronic prescribing is patient choice, where patients </w:t>
      </w:r>
      <w:r w:rsidR="00E244D7" w:rsidRPr="005343B6">
        <w:t>can</w:t>
      </w:r>
      <w:r w:rsidRPr="005343B6">
        <w:t xml:space="preserve"> take their prescriptions to any pharmacy of their choice for dispense including repeat prescriptions. There are online training modules available for pharmacists on the Australian Digital Health Agency website regarding how to send repeat tokens. </w:t>
      </w:r>
    </w:p>
    <w:p w14:paraId="5544EC88" w14:textId="77777777" w:rsidR="00BD6E88" w:rsidRPr="005343B6" w:rsidRDefault="00BD6E88" w:rsidP="005343B6">
      <w:r w:rsidRPr="005343B6">
        <w:t>Pharmacies are required to keep a copy of the dispense record of a prescription for audit purposes, but they are not able to withhold a prescription or repeat from a patient unless:</w:t>
      </w:r>
    </w:p>
    <w:p w14:paraId="503304CE" w14:textId="77777777" w:rsidR="00BD6E88" w:rsidRPr="00120ABA" w:rsidRDefault="00BD6E88" w:rsidP="005343B6">
      <w:pPr>
        <w:pStyle w:val="ListBullet"/>
      </w:pPr>
      <w:r w:rsidRPr="00120ABA">
        <w:t>the patient has requested the pharmacy to do so, and given their consent</w:t>
      </w:r>
    </w:p>
    <w:p w14:paraId="504C4626" w14:textId="77777777" w:rsidR="00BD6E88" w:rsidRPr="00120ABA" w:rsidRDefault="00BD6E88" w:rsidP="005343B6">
      <w:pPr>
        <w:pStyle w:val="ListBullet"/>
      </w:pPr>
      <w:r w:rsidRPr="00120ABA">
        <w:t>there is a safety risk or potential for harm to occur.</w:t>
      </w:r>
    </w:p>
    <w:p w14:paraId="192C0E8D" w14:textId="77777777" w:rsidR="00BD6E88" w:rsidRPr="005343B6" w:rsidRDefault="00BD6E88" w:rsidP="005343B6">
      <w:r w:rsidRPr="005343B6">
        <w:t>To assist in managing electronic prescription tokens patients can approach their chosen pharmacy to create an Active Script List (ASL) on their behalf. An ASL is a token management system that provides a list of a patient’s active prescriptions. It can display all current active electronic prescriptions any time a prescriber/pharmacist accesses the patient's ASL, removing the need to track of multiple tokens.</w:t>
      </w:r>
    </w:p>
    <w:p w14:paraId="3699F893" w14:textId="140681A2" w:rsidR="00BD6E88" w:rsidRPr="005343B6" w:rsidRDefault="00BD6E88" w:rsidP="005343B6">
      <w:r w:rsidRPr="005343B6">
        <w:t xml:space="preserve">Patients </w:t>
      </w:r>
      <w:r w:rsidR="00E244D7" w:rsidRPr="005343B6">
        <w:t>can</w:t>
      </w:r>
      <w:r w:rsidRPr="005343B6">
        <w:t xml:space="preserve"> elect which prescriptions are sent to their ASL and which prescribers and pharmacists can view their ASL. From this list, the pharmacist can dispense electronic prescriptions, including those that were issued before the ASL was registered, and issue repeats. If a patient registers for an ASL they can request for all their prescriptions to be listed on it. This allows patients to keep an </w:t>
      </w:r>
      <w:r w:rsidRPr="005343B6">
        <w:lastRenderedPageBreak/>
        <w:t>accurate record of their prescriptions and easily move between pharmacies for dispense of medicines if required. If patients would like to register a complaint about a pharmacist they can contact the </w:t>
      </w:r>
      <w:hyperlink r:id="rId39" w:history="1">
        <w:r w:rsidRPr="00120ABA">
          <w:rPr>
            <w:rStyle w:val="Hyperlink"/>
            <w:rFonts w:cs="Arial"/>
            <w:color w:val="006FB0"/>
          </w:rPr>
          <w:t>Australian Health Practitioner Regulation Agency</w:t>
        </w:r>
      </w:hyperlink>
      <w:r w:rsidRPr="005343B6">
        <w:t> (AHPRA) through their ‘Raise a concern’ portal. Alternatively, if a patient would like to complain about a pharmacy they can contact their local authority listed on the </w:t>
      </w:r>
      <w:hyperlink r:id="rId40" w:anchor="3" w:history="1">
        <w:r w:rsidRPr="00120ABA">
          <w:rPr>
            <w:rStyle w:val="Hyperlink"/>
            <w:rFonts w:cs="Arial"/>
            <w:color w:val="006FB0"/>
          </w:rPr>
          <w:t>Pharmacy Council Australia website</w:t>
        </w:r>
      </w:hyperlink>
      <w:r w:rsidRPr="005343B6">
        <w:t>.</w:t>
      </w:r>
    </w:p>
    <w:p w14:paraId="32F7C03E" w14:textId="77777777" w:rsidR="006C7780" w:rsidRDefault="006C7780" w:rsidP="003227B7">
      <w:pPr>
        <w:rPr>
          <w:rFonts w:eastAsia="Times New Roman"/>
        </w:rPr>
      </w:pPr>
    </w:p>
    <w:p w14:paraId="7612F26C" w14:textId="77777777" w:rsidR="004860F0" w:rsidRPr="005343B6" w:rsidRDefault="004860F0" w:rsidP="00D553F8"/>
    <w:sectPr w:rsidR="004860F0" w:rsidRPr="005343B6" w:rsidSect="00D719B6">
      <w:headerReference w:type="default" r:id="rId41"/>
      <w:footerReference w:type="default" r:id="rId42"/>
      <w:pgSz w:w="11906" w:h="16838"/>
      <w:pgMar w:top="2410" w:right="849"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ACA44E" w14:textId="77777777" w:rsidR="00986FC4" w:rsidRDefault="00986FC4" w:rsidP="00830B7B">
      <w:pPr>
        <w:spacing w:after="0" w:line="240" w:lineRule="auto"/>
      </w:pPr>
      <w:r>
        <w:separator/>
      </w:r>
    </w:p>
  </w:endnote>
  <w:endnote w:type="continuationSeparator" w:id="0">
    <w:p w14:paraId="3E8D70D9" w14:textId="77777777" w:rsidR="00986FC4" w:rsidRDefault="00986FC4" w:rsidP="00830B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82838719"/>
      <w:docPartObj>
        <w:docPartGallery w:val="Page Numbers (Bottom of Page)"/>
        <w:docPartUnique/>
      </w:docPartObj>
    </w:sdtPr>
    <w:sdtEndPr>
      <w:rPr>
        <w:color w:val="0D0D0D" w:themeColor="text1" w:themeTint="F2"/>
        <w:spacing w:val="60"/>
      </w:rPr>
    </w:sdtEndPr>
    <w:sdtContent>
      <w:p w14:paraId="68861B2A" w14:textId="58E3D9C6" w:rsidR="007F0FC3" w:rsidRDefault="007F0FC3">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sidRPr="00BB6943">
          <w:rPr>
            <w:color w:val="0D0D0D" w:themeColor="text1" w:themeTint="F2"/>
            <w:spacing w:val="60"/>
          </w:rPr>
          <w:t>Page</w:t>
        </w:r>
      </w:p>
    </w:sdtContent>
  </w:sdt>
  <w:p w14:paraId="0D0FD14F" w14:textId="77777777" w:rsidR="007F0FC3" w:rsidRDefault="007F0F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FB3099" w14:textId="77777777" w:rsidR="00986FC4" w:rsidRDefault="00986FC4" w:rsidP="00830B7B">
      <w:pPr>
        <w:spacing w:after="0" w:line="240" w:lineRule="auto"/>
      </w:pPr>
      <w:r>
        <w:separator/>
      </w:r>
    </w:p>
  </w:footnote>
  <w:footnote w:type="continuationSeparator" w:id="0">
    <w:p w14:paraId="5ABD3C0E" w14:textId="77777777" w:rsidR="00986FC4" w:rsidRDefault="00986FC4" w:rsidP="00830B7B">
      <w:pPr>
        <w:spacing w:after="0" w:line="240" w:lineRule="auto"/>
      </w:pPr>
      <w:r>
        <w:continuationSeparator/>
      </w:r>
    </w:p>
  </w:footnote>
  <w:footnote w:id="1">
    <w:p w14:paraId="662264BE" w14:textId="54EB024E" w:rsidR="00AD455B" w:rsidRDefault="00AD455B">
      <w:pPr>
        <w:pStyle w:val="FootnoteText"/>
      </w:pPr>
      <w:r>
        <w:rPr>
          <w:rStyle w:val="FootnoteReference"/>
        </w:rPr>
        <w:footnoteRef/>
      </w:r>
      <w:r>
        <w:t xml:space="preserve"> </w:t>
      </w:r>
      <w:hyperlink r:id="rId1" w:history="1">
        <w:r>
          <w:rPr>
            <w:color w:val="0000FF"/>
            <w:u w:val="single"/>
          </w:rPr>
          <w:t>https://www.psa.org.au/wp-content/uploads/2019/06/5574-PSA-Dispensing-Practice-guidelines_FINAL.pdf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B3F486" w14:textId="7693E9F1" w:rsidR="000322E7" w:rsidRDefault="007F0FC3">
    <w:pPr>
      <w:pStyle w:val="Header"/>
    </w:pPr>
    <w:r>
      <w:rPr>
        <w:noProof/>
        <w:lang w:eastAsia="en-AU"/>
      </w:rPr>
      <w:drawing>
        <wp:inline distT="0" distB="0" distL="0" distR="0" wp14:anchorId="7CFE89BA" wp14:editId="2675D068">
          <wp:extent cx="5765165" cy="958215"/>
          <wp:effectExtent l="0" t="0" r="6985" b="0"/>
          <wp:docPr id="3" name="Picture 3"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l="-1" t="-11207" r="-1" b="-2"/>
                  <a:stretch/>
                </pic:blipFill>
                <pic:spPr bwMode="auto">
                  <a:xfrm>
                    <a:off x="0" y="0"/>
                    <a:ext cx="5765165" cy="958215"/>
                  </a:xfrm>
                  <a:prstGeom prst="rect">
                    <a:avLst/>
                  </a:prstGeom>
                  <a:ln>
                    <a:noFill/>
                  </a:ln>
                  <a:extLst>
                    <a:ext uri="{53640926-AAD7-44D8-BBD7-CCE9431645EC}">
                      <a14:shadowObscured xmlns:a14="http://schemas.microsoft.com/office/drawing/2010/main"/>
                    </a:ext>
                  </a:extLst>
                </pic:spPr>
              </pic:pic>
            </a:graphicData>
          </a:graphic>
        </wp:inline>
      </w:drawing>
    </w:r>
  </w:p>
</w:hdr>
</file>

<file path=word/intelligence.xml><?xml version="1.0" encoding="utf-8"?>
<int:Intelligence xmlns:int="http://schemas.microsoft.com/office/intelligence/2019/intelligence">
  <int:IntelligenceSettings/>
  <int:Manifest>
    <int:ParagraphRange paragraphId="1872993960" textId="1626929989" start="0" length="22" invalidationStart="0" invalidationLength="22" id="Vg0THHBY"/>
  </int:Manifest>
  <int:Observations>
    <int:Content id="Vg0THHBY">
      <int:Reviewed type="WordDesignerSuggestedImageAnnotation"/>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36142724"/>
    <w:lvl w:ilvl="0">
      <w:start w:val="1"/>
      <w:numFmt w:val="bullet"/>
      <w:pStyle w:val="ListBullet2"/>
      <w:lvlText w:val="o"/>
      <w:lvlJc w:val="left"/>
      <w:pPr>
        <w:ind w:left="643" w:hanging="360"/>
      </w:pPr>
      <w:rPr>
        <w:rFonts w:ascii="Courier New" w:hAnsi="Courier New" w:cs="Courier New" w:hint="default"/>
      </w:rPr>
    </w:lvl>
  </w:abstractNum>
  <w:abstractNum w:abstractNumId="1" w15:restartNumberingAfterBreak="0">
    <w:nsid w:val="FFFFFF88"/>
    <w:multiLevelType w:val="singleLevel"/>
    <w:tmpl w:val="1132261A"/>
    <w:lvl w:ilvl="0">
      <w:start w:val="1"/>
      <w:numFmt w:val="decimal"/>
      <w:pStyle w:val="ListNumber"/>
      <w:lvlText w:val="%1."/>
      <w:lvlJc w:val="left"/>
      <w:pPr>
        <w:tabs>
          <w:tab w:val="num" w:pos="360"/>
        </w:tabs>
        <w:ind w:left="360" w:hanging="360"/>
      </w:pPr>
    </w:lvl>
  </w:abstractNum>
  <w:abstractNum w:abstractNumId="2" w15:restartNumberingAfterBreak="0">
    <w:nsid w:val="FFFFFF89"/>
    <w:multiLevelType w:val="singleLevel"/>
    <w:tmpl w:val="537891B0"/>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1530C57"/>
    <w:multiLevelType w:val="hybridMultilevel"/>
    <w:tmpl w:val="2CB6C1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73B1386"/>
    <w:multiLevelType w:val="multilevel"/>
    <w:tmpl w:val="68DAF7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744251"/>
    <w:multiLevelType w:val="hybridMultilevel"/>
    <w:tmpl w:val="D264D5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F128D0"/>
    <w:multiLevelType w:val="hybridMultilevel"/>
    <w:tmpl w:val="9F7CBE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44674B5"/>
    <w:multiLevelType w:val="hybridMultilevel"/>
    <w:tmpl w:val="2774DE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D1D168C"/>
    <w:multiLevelType w:val="multilevel"/>
    <w:tmpl w:val="6010B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E15515D"/>
    <w:multiLevelType w:val="hybridMultilevel"/>
    <w:tmpl w:val="3EDE1D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F067376"/>
    <w:multiLevelType w:val="hybridMultilevel"/>
    <w:tmpl w:val="FDF44434"/>
    <w:lvl w:ilvl="0" w:tplc="4138575C">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20FF0E8C"/>
    <w:multiLevelType w:val="multilevel"/>
    <w:tmpl w:val="A614F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1381A48"/>
    <w:multiLevelType w:val="hybridMultilevel"/>
    <w:tmpl w:val="F1A0311E"/>
    <w:lvl w:ilvl="0" w:tplc="0C090001">
      <w:start w:val="1"/>
      <w:numFmt w:val="bullet"/>
      <w:lvlText w:val=""/>
      <w:lvlJc w:val="left"/>
      <w:pPr>
        <w:ind w:left="360" w:hanging="360"/>
      </w:pPr>
      <w:rPr>
        <w:rFonts w:ascii="Symbol" w:hAnsi="Symbol" w:hint="default"/>
      </w:rPr>
    </w:lvl>
    <w:lvl w:ilvl="1" w:tplc="FFFFFFFF">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13" w15:restartNumberingAfterBreak="0">
    <w:nsid w:val="2C7A76E1"/>
    <w:multiLevelType w:val="hybridMultilevel"/>
    <w:tmpl w:val="114017E4"/>
    <w:lvl w:ilvl="0" w:tplc="6B1EB518">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1F3617D"/>
    <w:multiLevelType w:val="hybridMultilevel"/>
    <w:tmpl w:val="995497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32D54313"/>
    <w:multiLevelType w:val="hybridMultilevel"/>
    <w:tmpl w:val="B6F45906"/>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6" w15:restartNumberingAfterBreak="0">
    <w:nsid w:val="38EA2176"/>
    <w:multiLevelType w:val="hybridMultilevel"/>
    <w:tmpl w:val="CBC273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9A40093"/>
    <w:multiLevelType w:val="multilevel"/>
    <w:tmpl w:val="D010871A"/>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43F54198"/>
    <w:multiLevelType w:val="multilevel"/>
    <w:tmpl w:val="3F945F9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46434367"/>
    <w:multiLevelType w:val="multilevel"/>
    <w:tmpl w:val="02548E8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81B6CBD"/>
    <w:multiLevelType w:val="hybridMultilevel"/>
    <w:tmpl w:val="C4741D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EE1749"/>
    <w:multiLevelType w:val="hybridMultilevel"/>
    <w:tmpl w:val="01DA728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2" w15:restartNumberingAfterBreak="0">
    <w:nsid w:val="5F5C0A60"/>
    <w:multiLevelType w:val="hybridMultilevel"/>
    <w:tmpl w:val="56DA71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78C3194D"/>
    <w:multiLevelType w:val="multilevel"/>
    <w:tmpl w:val="CEFAFF5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169638520">
    <w:abstractNumId w:val="2"/>
  </w:num>
  <w:num w:numId="2" w16cid:durableId="888691616">
    <w:abstractNumId w:val="1"/>
  </w:num>
  <w:num w:numId="3" w16cid:durableId="751511100">
    <w:abstractNumId w:val="3"/>
  </w:num>
  <w:num w:numId="4" w16cid:durableId="1621104716">
    <w:abstractNumId w:val="20"/>
  </w:num>
  <w:num w:numId="5" w16cid:durableId="1691367924">
    <w:abstractNumId w:val="7"/>
  </w:num>
  <w:num w:numId="6" w16cid:durableId="84617105">
    <w:abstractNumId w:val="6"/>
  </w:num>
  <w:num w:numId="7" w16cid:durableId="1590382768">
    <w:abstractNumId w:val="12"/>
  </w:num>
  <w:num w:numId="8" w16cid:durableId="2054847933">
    <w:abstractNumId w:val="9"/>
  </w:num>
  <w:num w:numId="9" w16cid:durableId="1275862668">
    <w:abstractNumId w:val="8"/>
  </w:num>
  <w:num w:numId="10" w16cid:durableId="1879929044">
    <w:abstractNumId w:val="16"/>
  </w:num>
  <w:num w:numId="11" w16cid:durableId="863859155">
    <w:abstractNumId w:val="5"/>
  </w:num>
  <w:num w:numId="12" w16cid:durableId="183405621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618296732">
    <w:abstractNumId w:val="15"/>
  </w:num>
  <w:num w:numId="14" w16cid:durableId="1359158836">
    <w:abstractNumId w:val="14"/>
  </w:num>
  <w:num w:numId="15" w16cid:durableId="275455254">
    <w:abstractNumId w:val="22"/>
  </w:num>
  <w:num w:numId="16" w16cid:durableId="955260465">
    <w:abstractNumId w:val="17"/>
  </w:num>
  <w:num w:numId="17" w16cid:durableId="46803038">
    <w:abstractNumId w:val="19"/>
  </w:num>
  <w:num w:numId="18" w16cid:durableId="1731996618">
    <w:abstractNumId w:val="23"/>
  </w:num>
  <w:num w:numId="19" w16cid:durableId="827669153">
    <w:abstractNumId w:val="18"/>
  </w:num>
  <w:num w:numId="20" w16cid:durableId="1455320123">
    <w:abstractNumId w:val="0"/>
  </w:num>
  <w:num w:numId="21" w16cid:durableId="1656370399">
    <w:abstractNumId w:val="10"/>
  </w:num>
  <w:num w:numId="22" w16cid:durableId="2007633326">
    <w:abstractNumId w:val="4"/>
  </w:num>
  <w:num w:numId="23" w16cid:durableId="845095311">
    <w:abstractNumId w:val="11"/>
  </w:num>
  <w:num w:numId="24" w16cid:durableId="477386342">
    <w:abstractNumId w:val="21"/>
  </w:num>
  <w:num w:numId="25" w16cid:durableId="344476859">
    <w:abstractNumId w:val="2"/>
  </w:num>
  <w:num w:numId="26" w16cid:durableId="1307007576">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removePersonalInformation/>
  <w:removeDateAndTime/>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EC7"/>
    <w:rsid w:val="00003743"/>
    <w:rsid w:val="0000636D"/>
    <w:rsid w:val="00007189"/>
    <w:rsid w:val="0001126D"/>
    <w:rsid w:val="00011B70"/>
    <w:rsid w:val="00015D3A"/>
    <w:rsid w:val="00017C98"/>
    <w:rsid w:val="000216D3"/>
    <w:rsid w:val="00021A33"/>
    <w:rsid w:val="00022809"/>
    <w:rsid w:val="0002358D"/>
    <w:rsid w:val="00024D5A"/>
    <w:rsid w:val="0002613D"/>
    <w:rsid w:val="00027D9E"/>
    <w:rsid w:val="00027DBB"/>
    <w:rsid w:val="0003044D"/>
    <w:rsid w:val="00030B29"/>
    <w:rsid w:val="000311AB"/>
    <w:rsid w:val="000320B1"/>
    <w:rsid w:val="000322E7"/>
    <w:rsid w:val="0003419A"/>
    <w:rsid w:val="00036871"/>
    <w:rsid w:val="00036D60"/>
    <w:rsid w:val="00041164"/>
    <w:rsid w:val="00042A1B"/>
    <w:rsid w:val="00043446"/>
    <w:rsid w:val="00045A36"/>
    <w:rsid w:val="0005095A"/>
    <w:rsid w:val="000511DE"/>
    <w:rsid w:val="00051A93"/>
    <w:rsid w:val="00051FC8"/>
    <w:rsid w:val="00053F81"/>
    <w:rsid w:val="00054E27"/>
    <w:rsid w:val="000558CD"/>
    <w:rsid w:val="00056F4E"/>
    <w:rsid w:val="00062744"/>
    <w:rsid w:val="00064C57"/>
    <w:rsid w:val="00065E02"/>
    <w:rsid w:val="0006600E"/>
    <w:rsid w:val="00067456"/>
    <w:rsid w:val="00067BC5"/>
    <w:rsid w:val="000725B0"/>
    <w:rsid w:val="00072810"/>
    <w:rsid w:val="00073D49"/>
    <w:rsid w:val="00073E3E"/>
    <w:rsid w:val="000745A8"/>
    <w:rsid w:val="000746F9"/>
    <w:rsid w:val="000748BF"/>
    <w:rsid w:val="0007530A"/>
    <w:rsid w:val="00080D40"/>
    <w:rsid w:val="00082619"/>
    <w:rsid w:val="00082B27"/>
    <w:rsid w:val="00084B09"/>
    <w:rsid w:val="00085CD5"/>
    <w:rsid w:val="000862B8"/>
    <w:rsid w:val="0008676B"/>
    <w:rsid w:val="00086777"/>
    <w:rsid w:val="00087D8B"/>
    <w:rsid w:val="00090552"/>
    <w:rsid w:val="00090EBE"/>
    <w:rsid w:val="00094314"/>
    <w:rsid w:val="000973A9"/>
    <w:rsid w:val="000A0941"/>
    <w:rsid w:val="000A1EAE"/>
    <w:rsid w:val="000A7D19"/>
    <w:rsid w:val="000B21C2"/>
    <w:rsid w:val="000B255D"/>
    <w:rsid w:val="000B4AD8"/>
    <w:rsid w:val="000B76AB"/>
    <w:rsid w:val="000C537F"/>
    <w:rsid w:val="000C5960"/>
    <w:rsid w:val="000C6947"/>
    <w:rsid w:val="000C6DD9"/>
    <w:rsid w:val="000C75CE"/>
    <w:rsid w:val="000D0A74"/>
    <w:rsid w:val="000D1360"/>
    <w:rsid w:val="000D159C"/>
    <w:rsid w:val="000D32FA"/>
    <w:rsid w:val="000D4C71"/>
    <w:rsid w:val="000D5756"/>
    <w:rsid w:val="000D62BC"/>
    <w:rsid w:val="000E03B6"/>
    <w:rsid w:val="000E1206"/>
    <w:rsid w:val="000E1C0B"/>
    <w:rsid w:val="000E2E08"/>
    <w:rsid w:val="000E3190"/>
    <w:rsid w:val="000E441D"/>
    <w:rsid w:val="000F03C7"/>
    <w:rsid w:val="000F0958"/>
    <w:rsid w:val="000F2584"/>
    <w:rsid w:val="000F40FF"/>
    <w:rsid w:val="000F7166"/>
    <w:rsid w:val="000F7775"/>
    <w:rsid w:val="000F7F57"/>
    <w:rsid w:val="00100430"/>
    <w:rsid w:val="001026E2"/>
    <w:rsid w:val="00102F2C"/>
    <w:rsid w:val="00105CAB"/>
    <w:rsid w:val="00107FC2"/>
    <w:rsid w:val="001131EB"/>
    <w:rsid w:val="00113413"/>
    <w:rsid w:val="00113D76"/>
    <w:rsid w:val="00120ABA"/>
    <w:rsid w:val="001210D2"/>
    <w:rsid w:val="00121D2D"/>
    <w:rsid w:val="00122372"/>
    <w:rsid w:val="00122A97"/>
    <w:rsid w:val="00123222"/>
    <w:rsid w:val="001235D8"/>
    <w:rsid w:val="00123917"/>
    <w:rsid w:val="00124323"/>
    <w:rsid w:val="00124369"/>
    <w:rsid w:val="00124C59"/>
    <w:rsid w:val="0012613B"/>
    <w:rsid w:val="00126A6A"/>
    <w:rsid w:val="0013029A"/>
    <w:rsid w:val="0013444F"/>
    <w:rsid w:val="00134B86"/>
    <w:rsid w:val="001363E3"/>
    <w:rsid w:val="00136C00"/>
    <w:rsid w:val="00141729"/>
    <w:rsid w:val="00141F52"/>
    <w:rsid w:val="0014203F"/>
    <w:rsid w:val="001421A0"/>
    <w:rsid w:val="00143D49"/>
    <w:rsid w:val="001443CF"/>
    <w:rsid w:val="00145605"/>
    <w:rsid w:val="00147AC5"/>
    <w:rsid w:val="00150360"/>
    <w:rsid w:val="001510F6"/>
    <w:rsid w:val="00151C2A"/>
    <w:rsid w:val="001543A8"/>
    <w:rsid w:val="001552DF"/>
    <w:rsid w:val="0015603F"/>
    <w:rsid w:val="001577E7"/>
    <w:rsid w:val="00162149"/>
    <w:rsid w:val="001632F4"/>
    <w:rsid w:val="00165472"/>
    <w:rsid w:val="001656D4"/>
    <w:rsid w:val="00165A12"/>
    <w:rsid w:val="001718A7"/>
    <w:rsid w:val="001737BF"/>
    <w:rsid w:val="00173F2E"/>
    <w:rsid w:val="00174D41"/>
    <w:rsid w:val="00175D1D"/>
    <w:rsid w:val="0017608A"/>
    <w:rsid w:val="001773A1"/>
    <w:rsid w:val="00177A90"/>
    <w:rsid w:val="001806B2"/>
    <w:rsid w:val="0018083A"/>
    <w:rsid w:val="0018210B"/>
    <w:rsid w:val="00182E0F"/>
    <w:rsid w:val="00183D9A"/>
    <w:rsid w:val="00185C96"/>
    <w:rsid w:val="0018649D"/>
    <w:rsid w:val="00187EEA"/>
    <w:rsid w:val="00190587"/>
    <w:rsid w:val="00190CE9"/>
    <w:rsid w:val="001913DA"/>
    <w:rsid w:val="001916BB"/>
    <w:rsid w:val="001A1A3E"/>
    <w:rsid w:val="001A2260"/>
    <w:rsid w:val="001A2422"/>
    <w:rsid w:val="001A71CE"/>
    <w:rsid w:val="001A7856"/>
    <w:rsid w:val="001B3443"/>
    <w:rsid w:val="001B3BD9"/>
    <w:rsid w:val="001B4E1A"/>
    <w:rsid w:val="001B544C"/>
    <w:rsid w:val="001B5A0E"/>
    <w:rsid w:val="001B5D47"/>
    <w:rsid w:val="001C0302"/>
    <w:rsid w:val="001C1BF9"/>
    <w:rsid w:val="001C4B3C"/>
    <w:rsid w:val="001C55DF"/>
    <w:rsid w:val="001D06E0"/>
    <w:rsid w:val="001D0C1E"/>
    <w:rsid w:val="001D128F"/>
    <w:rsid w:val="001D15A7"/>
    <w:rsid w:val="001D1C57"/>
    <w:rsid w:val="001D2135"/>
    <w:rsid w:val="001D4368"/>
    <w:rsid w:val="001D6045"/>
    <w:rsid w:val="001E0592"/>
    <w:rsid w:val="001E1732"/>
    <w:rsid w:val="001E1F98"/>
    <w:rsid w:val="001E23ED"/>
    <w:rsid w:val="001E56BA"/>
    <w:rsid w:val="001E7362"/>
    <w:rsid w:val="001E7C03"/>
    <w:rsid w:val="001F0691"/>
    <w:rsid w:val="001F06AF"/>
    <w:rsid w:val="001F2AB0"/>
    <w:rsid w:val="001F30DC"/>
    <w:rsid w:val="001F43EE"/>
    <w:rsid w:val="001F523F"/>
    <w:rsid w:val="001F72BA"/>
    <w:rsid w:val="001F7780"/>
    <w:rsid w:val="0020179D"/>
    <w:rsid w:val="00203266"/>
    <w:rsid w:val="00203C6C"/>
    <w:rsid w:val="00204AD2"/>
    <w:rsid w:val="00204CAB"/>
    <w:rsid w:val="002051F6"/>
    <w:rsid w:val="00205201"/>
    <w:rsid w:val="00207A16"/>
    <w:rsid w:val="00207CF7"/>
    <w:rsid w:val="00210B3D"/>
    <w:rsid w:val="0021170B"/>
    <w:rsid w:val="00211CAE"/>
    <w:rsid w:val="00212601"/>
    <w:rsid w:val="0021501A"/>
    <w:rsid w:val="0021505A"/>
    <w:rsid w:val="00224BD0"/>
    <w:rsid w:val="00225DFB"/>
    <w:rsid w:val="00227F1C"/>
    <w:rsid w:val="00230450"/>
    <w:rsid w:val="00230C5F"/>
    <w:rsid w:val="00231949"/>
    <w:rsid w:val="00234102"/>
    <w:rsid w:val="00234603"/>
    <w:rsid w:val="002346BE"/>
    <w:rsid w:val="00234E11"/>
    <w:rsid w:val="002351CA"/>
    <w:rsid w:val="00244734"/>
    <w:rsid w:val="00244FCD"/>
    <w:rsid w:val="00245896"/>
    <w:rsid w:val="002465E4"/>
    <w:rsid w:val="00247565"/>
    <w:rsid w:val="002476E6"/>
    <w:rsid w:val="00251F16"/>
    <w:rsid w:val="00252A2B"/>
    <w:rsid w:val="00255CCF"/>
    <w:rsid w:val="00256D0B"/>
    <w:rsid w:val="00256F00"/>
    <w:rsid w:val="0026057B"/>
    <w:rsid w:val="00260BBE"/>
    <w:rsid w:val="00260E2E"/>
    <w:rsid w:val="00270752"/>
    <w:rsid w:val="002719FB"/>
    <w:rsid w:val="00272A82"/>
    <w:rsid w:val="00272D74"/>
    <w:rsid w:val="00275541"/>
    <w:rsid w:val="00275DCB"/>
    <w:rsid w:val="0027765F"/>
    <w:rsid w:val="002814A8"/>
    <w:rsid w:val="00281737"/>
    <w:rsid w:val="00282915"/>
    <w:rsid w:val="00283452"/>
    <w:rsid w:val="0028497F"/>
    <w:rsid w:val="0028742F"/>
    <w:rsid w:val="00290395"/>
    <w:rsid w:val="00293EA1"/>
    <w:rsid w:val="00294DA1"/>
    <w:rsid w:val="00295575"/>
    <w:rsid w:val="00295EDF"/>
    <w:rsid w:val="0029688A"/>
    <w:rsid w:val="002A0333"/>
    <w:rsid w:val="002A2825"/>
    <w:rsid w:val="002A422D"/>
    <w:rsid w:val="002A55EE"/>
    <w:rsid w:val="002A74DE"/>
    <w:rsid w:val="002A7BD7"/>
    <w:rsid w:val="002B16C5"/>
    <w:rsid w:val="002B1D32"/>
    <w:rsid w:val="002B4E75"/>
    <w:rsid w:val="002B5540"/>
    <w:rsid w:val="002B7B0C"/>
    <w:rsid w:val="002C08F3"/>
    <w:rsid w:val="002C311D"/>
    <w:rsid w:val="002C4478"/>
    <w:rsid w:val="002C5A12"/>
    <w:rsid w:val="002D17B3"/>
    <w:rsid w:val="002D434E"/>
    <w:rsid w:val="002D595C"/>
    <w:rsid w:val="002D6B1A"/>
    <w:rsid w:val="002D7900"/>
    <w:rsid w:val="002E61C0"/>
    <w:rsid w:val="002F3AE3"/>
    <w:rsid w:val="002F5411"/>
    <w:rsid w:val="002F7D8E"/>
    <w:rsid w:val="003008B9"/>
    <w:rsid w:val="00302AA7"/>
    <w:rsid w:val="003073AD"/>
    <w:rsid w:val="0030786C"/>
    <w:rsid w:val="003105BF"/>
    <w:rsid w:val="003110E8"/>
    <w:rsid w:val="00311AC0"/>
    <w:rsid w:val="003125A6"/>
    <w:rsid w:val="0031311B"/>
    <w:rsid w:val="003139BB"/>
    <w:rsid w:val="00317D7A"/>
    <w:rsid w:val="003227B7"/>
    <w:rsid w:val="00322B88"/>
    <w:rsid w:val="00323654"/>
    <w:rsid w:val="00324789"/>
    <w:rsid w:val="0032522B"/>
    <w:rsid w:val="003301C1"/>
    <w:rsid w:val="003355FF"/>
    <w:rsid w:val="00335EE9"/>
    <w:rsid w:val="003366A7"/>
    <w:rsid w:val="003371F6"/>
    <w:rsid w:val="003400AF"/>
    <w:rsid w:val="00342B32"/>
    <w:rsid w:val="00343042"/>
    <w:rsid w:val="00343567"/>
    <w:rsid w:val="00346459"/>
    <w:rsid w:val="00346BA0"/>
    <w:rsid w:val="00350D1D"/>
    <w:rsid w:val="0035151D"/>
    <w:rsid w:val="0035158F"/>
    <w:rsid w:val="0035266B"/>
    <w:rsid w:val="003530FD"/>
    <w:rsid w:val="003566C4"/>
    <w:rsid w:val="0035766D"/>
    <w:rsid w:val="00360B91"/>
    <w:rsid w:val="00361536"/>
    <w:rsid w:val="0036210A"/>
    <w:rsid w:val="00362130"/>
    <w:rsid w:val="00362352"/>
    <w:rsid w:val="00363C4C"/>
    <w:rsid w:val="003656C7"/>
    <w:rsid w:val="00365AB0"/>
    <w:rsid w:val="00366A7E"/>
    <w:rsid w:val="00370580"/>
    <w:rsid w:val="003716F7"/>
    <w:rsid w:val="0037247E"/>
    <w:rsid w:val="00374B01"/>
    <w:rsid w:val="00375E37"/>
    <w:rsid w:val="003772BE"/>
    <w:rsid w:val="003772EF"/>
    <w:rsid w:val="003774E9"/>
    <w:rsid w:val="00377861"/>
    <w:rsid w:val="00377C4B"/>
    <w:rsid w:val="00377F96"/>
    <w:rsid w:val="00381C6F"/>
    <w:rsid w:val="00382A1A"/>
    <w:rsid w:val="00385D8A"/>
    <w:rsid w:val="003866F8"/>
    <w:rsid w:val="00387D94"/>
    <w:rsid w:val="003922E0"/>
    <w:rsid w:val="003940FE"/>
    <w:rsid w:val="0039461B"/>
    <w:rsid w:val="003949A3"/>
    <w:rsid w:val="00394BFF"/>
    <w:rsid w:val="003A1875"/>
    <w:rsid w:val="003A3E54"/>
    <w:rsid w:val="003A4B9A"/>
    <w:rsid w:val="003A4D69"/>
    <w:rsid w:val="003A5A08"/>
    <w:rsid w:val="003A7697"/>
    <w:rsid w:val="003A793C"/>
    <w:rsid w:val="003B0454"/>
    <w:rsid w:val="003B28D3"/>
    <w:rsid w:val="003B3C38"/>
    <w:rsid w:val="003B478C"/>
    <w:rsid w:val="003B57A4"/>
    <w:rsid w:val="003C1178"/>
    <w:rsid w:val="003C5190"/>
    <w:rsid w:val="003C5453"/>
    <w:rsid w:val="003C6D8F"/>
    <w:rsid w:val="003C7214"/>
    <w:rsid w:val="003C7528"/>
    <w:rsid w:val="003D17F9"/>
    <w:rsid w:val="003D1A9C"/>
    <w:rsid w:val="003D3563"/>
    <w:rsid w:val="003D4173"/>
    <w:rsid w:val="003E7218"/>
    <w:rsid w:val="003F1C25"/>
    <w:rsid w:val="003F2E6E"/>
    <w:rsid w:val="003F37D9"/>
    <w:rsid w:val="003F3855"/>
    <w:rsid w:val="003F449C"/>
    <w:rsid w:val="00400ECD"/>
    <w:rsid w:val="00401131"/>
    <w:rsid w:val="004013D3"/>
    <w:rsid w:val="004018D1"/>
    <w:rsid w:val="004027F2"/>
    <w:rsid w:val="00406874"/>
    <w:rsid w:val="00406D5A"/>
    <w:rsid w:val="00412BBC"/>
    <w:rsid w:val="00412D32"/>
    <w:rsid w:val="00413CFD"/>
    <w:rsid w:val="00416890"/>
    <w:rsid w:val="00417705"/>
    <w:rsid w:val="00420579"/>
    <w:rsid w:val="00423FA4"/>
    <w:rsid w:val="0042724A"/>
    <w:rsid w:val="004300F6"/>
    <w:rsid w:val="00431339"/>
    <w:rsid w:val="00431874"/>
    <w:rsid w:val="00431BEA"/>
    <w:rsid w:val="004327BE"/>
    <w:rsid w:val="00434284"/>
    <w:rsid w:val="00437E21"/>
    <w:rsid w:val="00440365"/>
    <w:rsid w:val="00440CB7"/>
    <w:rsid w:val="00441631"/>
    <w:rsid w:val="004423D3"/>
    <w:rsid w:val="00442C7E"/>
    <w:rsid w:val="00443E09"/>
    <w:rsid w:val="00444DBD"/>
    <w:rsid w:val="00445880"/>
    <w:rsid w:val="00450C0B"/>
    <w:rsid w:val="00453998"/>
    <w:rsid w:val="0045462A"/>
    <w:rsid w:val="00460D95"/>
    <w:rsid w:val="0046153F"/>
    <w:rsid w:val="004617DC"/>
    <w:rsid w:val="004628FE"/>
    <w:rsid w:val="00463702"/>
    <w:rsid w:val="00465586"/>
    <w:rsid w:val="00465A31"/>
    <w:rsid w:val="00466059"/>
    <w:rsid w:val="00466F26"/>
    <w:rsid w:val="00467DAE"/>
    <w:rsid w:val="00471D6E"/>
    <w:rsid w:val="00472CCE"/>
    <w:rsid w:val="00474429"/>
    <w:rsid w:val="00477949"/>
    <w:rsid w:val="004803D5"/>
    <w:rsid w:val="00484D48"/>
    <w:rsid w:val="004860AC"/>
    <w:rsid w:val="004860F0"/>
    <w:rsid w:val="004867E2"/>
    <w:rsid w:val="00490A4E"/>
    <w:rsid w:val="00490AE5"/>
    <w:rsid w:val="00494825"/>
    <w:rsid w:val="00494F61"/>
    <w:rsid w:val="004A1156"/>
    <w:rsid w:val="004A20DC"/>
    <w:rsid w:val="004A41C8"/>
    <w:rsid w:val="004A53BC"/>
    <w:rsid w:val="004A560B"/>
    <w:rsid w:val="004A5DD0"/>
    <w:rsid w:val="004A6FD2"/>
    <w:rsid w:val="004B016B"/>
    <w:rsid w:val="004B09C1"/>
    <w:rsid w:val="004B5C96"/>
    <w:rsid w:val="004C22B4"/>
    <w:rsid w:val="004C29F1"/>
    <w:rsid w:val="004C2EC8"/>
    <w:rsid w:val="004C40ED"/>
    <w:rsid w:val="004C58C8"/>
    <w:rsid w:val="004C5BA7"/>
    <w:rsid w:val="004D0A8E"/>
    <w:rsid w:val="004D5C06"/>
    <w:rsid w:val="004E0269"/>
    <w:rsid w:val="004E02BF"/>
    <w:rsid w:val="004E0389"/>
    <w:rsid w:val="004E1A4C"/>
    <w:rsid w:val="004E59C8"/>
    <w:rsid w:val="004E6484"/>
    <w:rsid w:val="004E692A"/>
    <w:rsid w:val="004F14C2"/>
    <w:rsid w:val="004F1BF1"/>
    <w:rsid w:val="004F4BD9"/>
    <w:rsid w:val="004F4BFF"/>
    <w:rsid w:val="004F52E0"/>
    <w:rsid w:val="004F5793"/>
    <w:rsid w:val="004F7A3D"/>
    <w:rsid w:val="00500C78"/>
    <w:rsid w:val="00504FFF"/>
    <w:rsid w:val="00506673"/>
    <w:rsid w:val="00507E17"/>
    <w:rsid w:val="0051178E"/>
    <w:rsid w:val="00514CA8"/>
    <w:rsid w:val="00516076"/>
    <w:rsid w:val="00517ADD"/>
    <w:rsid w:val="00517D18"/>
    <w:rsid w:val="00520685"/>
    <w:rsid w:val="0052091C"/>
    <w:rsid w:val="00521BA7"/>
    <w:rsid w:val="005220A0"/>
    <w:rsid w:val="005227D9"/>
    <w:rsid w:val="00522CFC"/>
    <w:rsid w:val="005231B0"/>
    <w:rsid w:val="00523E6B"/>
    <w:rsid w:val="00523F9C"/>
    <w:rsid w:val="00525288"/>
    <w:rsid w:val="0053016E"/>
    <w:rsid w:val="00530C40"/>
    <w:rsid w:val="00531243"/>
    <w:rsid w:val="00531A2B"/>
    <w:rsid w:val="005340E0"/>
    <w:rsid w:val="005343B6"/>
    <w:rsid w:val="005343CE"/>
    <w:rsid w:val="005401F5"/>
    <w:rsid w:val="00544BE4"/>
    <w:rsid w:val="00547909"/>
    <w:rsid w:val="00550E5F"/>
    <w:rsid w:val="00551F30"/>
    <w:rsid w:val="005521E8"/>
    <w:rsid w:val="00555B61"/>
    <w:rsid w:val="00556DB0"/>
    <w:rsid w:val="00560E7B"/>
    <w:rsid w:val="005618BF"/>
    <w:rsid w:val="00564EE2"/>
    <w:rsid w:val="0056531E"/>
    <w:rsid w:val="00565D30"/>
    <w:rsid w:val="00574DC0"/>
    <w:rsid w:val="0057598C"/>
    <w:rsid w:val="005800EB"/>
    <w:rsid w:val="00580545"/>
    <w:rsid w:val="00582006"/>
    <w:rsid w:val="00584497"/>
    <w:rsid w:val="00585F00"/>
    <w:rsid w:val="005876B0"/>
    <w:rsid w:val="005906F6"/>
    <w:rsid w:val="00590EFF"/>
    <w:rsid w:val="00591997"/>
    <w:rsid w:val="00592A79"/>
    <w:rsid w:val="00592C56"/>
    <w:rsid w:val="00593421"/>
    <w:rsid w:val="00594CF0"/>
    <w:rsid w:val="00595638"/>
    <w:rsid w:val="00596AF5"/>
    <w:rsid w:val="00597FA9"/>
    <w:rsid w:val="005A1BAD"/>
    <w:rsid w:val="005A2D65"/>
    <w:rsid w:val="005A6255"/>
    <w:rsid w:val="005A62AE"/>
    <w:rsid w:val="005B14BA"/>
    <w:rsid w:val="005B3F78"/>
    <w:rsid w:val="005B44DA"/>
    <w:rsid w:val="005B488F"/>
    <w:rsid w:val="005B538E"/>
    <w:rsid w:val="005B5C39"/>
    <w:rsid w:val="005B6189"/>
    <w:rsid w:val="005B6871"/>
    <w:rsid w:val="005B6DC2"/>
    <w:rsid w:val="005C10D0"/>
    <w:rsid w:val="005C1592"/>
    <w:rsid w:val="005C2F49"/>
    <w:rsid w:val="005C6427"/>
    <w:rsid w:val="005C729A"/>
    <w:rsid w:val="005D1DFB"/>
    <w:rsid w:val="005D238E"/>
    <w:rsid w:val="005D2601"/>
    <w:rsid w:val="005D31A5"/>
    <w:rsid w:val="005D41EF"/>
    <w:rsid w:val="005D435E"/>
    <w:rsid w:val="005D447D"/>
    <w:rsid w:val="005D4624"/>
    <w:rsid w:val="005D5CC8"/>
    <w:rsid w:val="005D7E31"/>
    <w:rsid w:val="005E390F"/>
    <w:rsid w:val="005E4A5A"/>
    <w:rsid w:val="005E53FF"/>
    <w:rsid w:val="005E5F34"/>
    <w:rsid w:val="005E6225"/>
    <w:rsid w:val="005E6D4E"/>
    <w:rsid w:val="005E7355"/>
    <w:rsid w:val="005F1DAB"/>
    <w:rsid w:val="005F2D95"/>
    <w:rsid w:val="005F4C4D"/>
    <w:rsid w:val="00601654"/>
    <w:rsid w:val="00602698"/>
    <w:rsid w:val="0060359D"/>
    <w:rsid w:val="00610BB7"/>
    <w:rsid w:val="00612124"/>
    <w:rsid w:val="00614424"/>
    <w:rsid w:val="00616F08"/>
    <w:rsid w:val="00620B35"/>
    <w:rsid w:val="006218C4"/>
    <w:rsid w:val="00624146"/>
    <w:rsid w:val="0062654E"/>
    <w:rsid w:val="00631130"/>
    <w:rsid w:val="00631EDE"/>
    <w:rsid w:val="00632A2D"/>
    <w:rsid w:val="006332E0"/>
    <w:rsid w:val="00634C32"/>
    <w:rsid w:val="00634EA8"/>
    <w:rsid w:val="0063564D"/>
    <w:rsid w:val="00637A1E"/>
    <w:rsid w:val="006402E0"/>
    <w:rsid w:val="006455D6"/>
    <w:rsid w:val="00645601"/>
    <w:rsid w:val="006518F7"/>
    <w:rsid w:val="00652F71"/>
    <w:rsid w:val="006557E6"/>
    <w:rsid w:val="006633CE"/>
    <w:rsid w:val="006668BE"/>
    <w:rsid w:val="00670D19"/>
    <w:rsid w:val="006714E0"/>
    <w:rsid w:val="006715C7"/>
    <w:rsid w:val="0067195C"/>
    <w:rsid w:val="0067283A"/>
    <w:rsid w:val="006735AA"/>
    <w:rsid w:val="0067734A"/>
    <w:rsid w:val="00677FB3"/>
    <w:rsid w:val="00682ABF"/>
    <w:rsid w:val="00683B4C"/>
    <w:rsid w:val="006842E0"/>
    <w:rsid w:val="00685B8E"/>
    <w:rsid w:val="006876CA"/>
    <w:rsid w:val="00692044"/>
    <w:rsid w:val="00692869"/>
    <w:rsid w:val="00692D46"/>
    <w:rsid w:val="00695641"/>
    <w:rsid w:val="006968A0"/>
    <w:rsid w:val="006A0047"/>
    <w:rsid w:val="006A15C1"/>
    <w:rsid w:val="006A3498"/>
    <w:rsid w:val="006A5279"/>
    <w:rsid w:val="006A5472"/>
    <w:rsid w:val="006A6FAF"/>
    <w:rsid w:val="006B0442"/>
    <w:rsid w:val="006B2F34"/>
    <w:rsid w:val="006B3C0A"/>
    <w:rsid w:val="006B45FA"/>
    <w:rsid w:val="006B79BA"/>
    <w:rsid w:val="006C13A1"/>
    <w:rsid w:val="006C26DC"/>
    <w:rsid w:val="006C3974"/>
    <w:rsid w:val="006C3A30"/>
    <w:rsid w:val="006C3CE8"/>
    <w:rsid w:val="006C4E9C"/>
    <w:rsid w:val="006C76DC"/>
    <w:rsid w:val="006C7780"/>
    <w:rsid w:val="006C787B"/>
    <w:rsid w:val="006D08AD"/>
    <w:rsid w:val="006D1DAD"/>
    <w:rsid w:val="006D474D"/>
    <w:rsid w:val="006D476D"/>
    <w:rsid w:val="006D5F8B"/>
    <w:rsid w:val="006D5FE4"/>
    <w:rsid w:val="006D7648"/>
    <w:rsid w:val="006E0CF7"/>
    <w:rsid w:val="006E1C98"/>
    <w:rsid w:val="006E2849"/>
    <w:rsid w:val="006E3885"/>
    <w:rsid w:val="006E47CC"/>
    <w:rsid w:val="006E67BD"/>
    <w:rsid w:val="006F1CC2"/>
    <w:rsid w:val="006F3BE0"/>
    <w:rsid w:val="006F3DEA"/>
    <w:rsid w:val="006F40F6"/>
    <w:rsid w:val="006F4A5D"/>
    <w:rsid w:val="006F6593"/>
    <w:rsid w:val="006F7434"/>
    <w:rsid w:val="006F75C3"/>
    <w:rsid w:val="006F7E31"/>
    <w:rsid w:val="00701456"/>
    <w:rsid w:val="00701860"/>
    <w:rsid w:val="007036DE"/>
    <w:rsid w:val="00703DEF"/>
    <w:rsid w:val="00704F62"/>
    <w:rsid w:val="0071244C"/>
    <w:rsid w:val="0071563E"/>
    <w:rsid w:val="007159CC"/>
    <w:rsid w:val="00715C5A"/>
    <w:rsid w:val="007200F4"/>
    <w:rsid w:val="00720ED6"/>
    <w:rsid w:val="00721F14"/>
    <w:rsid w:val="00722B33"/>
    <w:rsid w:val="00722E9B"/>
    <w:rsid w:val="007235C5"/>
    <w:rsid w:val="00723B29"/>
    <w:rsid w:val="007256B2"/>
    <w:rsid w:val="007258EE"/>
    <w:rsid w:val="00731B05"/>
    <w:rsid w:val="007354B8"/>
    <w:rsid w:val="00737079"/>
    <w:rsid w:val="00737B11"/>
    <w:rsid w:val="00737ED0"/>
    <w:rsid w:val="0074008B"/>
    <w:rsid w:val="00740EEB"/>
    <w:rsid w:val="00742A71"/>
    <w:rsid w:val="00744F4E"/>
    <w:rsid w:val="00746D45"/>
    <w:rsid w:val="00746DA9"/>
    <w:rsid w:val="00747471"/>
    <w:rsid w:val="00747827"/>
    <w:rsid w:val="007502CC"/>
    <w:rsid w:val="007512F5"/>
    <w:rsid w:val="00752BCB"/>
    <w:rsid w:val="00756529"/>
    <w:rsid w:val="00756E06"/>
    <w:rsid w:val="00760A35"/>
    <w:rsid w:val="00761EFB"/>
    <w:rsid w:val="00763817"/>
    <w:rsid w:val="00764E73"/>
    <w:rsid w:val="00765FE1"/>
    <w:rsid w:val="007701E7"/>
    <w:rsid w:val="0077263B"/>
    <w:rsid w:val="007753AA"/>
    <w:rsid w:val="00775C6B"/>
    <w:rsid w:val="007767EB"/>
    <w:rsid w:val="00784D77"/>
    <w:rsid w:val="00785B73"/>
    <w:rsid w:val="00786CE3"/>
    <w:rsid w:val="0079181C"/>
    <w:rsid w:val="00792742"/>
    <w:rsid w:val="00792F4C"/>
    <w:rsid w:val="007933B3"/>
    <w:rsid w:val="007947C8"/>
    <w:rsid w:val="00794A58"/>
    <w:rsid w:val="00797BA9"/>
    <w:rsid w:val="007A0930"/>
    <w:rsid w:val="007A2AC3"/>
    <w:rsid w:val="007A2CC7"/>
    <w:rsid w:val="007A3020"/>
    <w:rsid w:val="007A44E0"/>
    <w:rsid w:val="007A4C00"/>
    <w:rsid w:val="007A5B7E"/>
    <w:rsid w:val="007B2A21"/>
    <w:rsid w:val="007B3D91"/>
    <w:rsid w:val="007B5862"/>
    <w:rsid w:val="007B7705"/>
    <w:rsid w:val="007B7E11"/>
    <w:rsid w:val="007C0633"/>
    <w:rsid w:val="007C1A52"/>
    <w:rsid w:val="007C3E9C"/>
    <w:rsid w:val="007C4EA5"/>
    <w:rsid w:val="007C5F63"/>
    <w:rsid w:val="007C60F2"/>
    <w:rsid w:val="007C6C64"/>
    <w:rsid w:val="007D0FA1"/>
    <w:rsid w:val="007D3909"/>
    <w:rsid w:val="007D3A94"/>
    <w:rsid w:val="007D4C9F"/>
    <w:rsid w:val="007D5B41"/>
    <w:rsid w:val="007D6397"/>
    <w:rsid w:val="007D7414"/>
    <w:rsid w:val="007E0B8E"/>
    <w:rsid w:val="007E2F4F"/>
    <w:rsid w:val="007E314E"/>
    <w:rsid w:val="007E4B78"/>
    <w:rsid w:val="007E5FEA"/>
    <w:rsid w:val="007F06C4"/>
    <w:rsid w:val="007F0FC3"/>
    <w:rsid w:val="007F103F"/>
    <w:rsid w:val="007F1602"/>
    <w:rsid w:val="007F1A72"/>
    <w:rsid w:val="007F387A"/>
    <w:rsid w:val="007F3C1F"/>
    <w:rsid w:val="007F465D"/>
    <w:rsid w:val="007F4FC8"/>
    <w:rsid w:val="00800043"/>
    <w:rsid w:val="00801D83"/>
    <w:rsid w:val="00803A2F"/>
    <w:rsid w:val="00812C12"/>
    <w:rsid w:val="00813CA3"/>
    <w:rsid w:val="00815035"/>
    <w:rsid w:val="00816929"/>
    <w:rsid w:val="00816E7D"/>
    <w:rsid w:val="00821DE8"/>
    <w:rsid w:val="00824D5A"/>
    <w:rsid w:val="008264EB"/>
    <w:rsid w:val="00826A83"/>
    <w:rsid w:val="00826D78"/>
    <w:rsid w:val="0083024E"/>
    <w:rsid w:val="00830B7B"/>
    <w:rsid w:val="00830DFF"/>
    <w:rsid w:val="00832F1A"/>
    <w:rsid w:val="008347EB"/>
    <w:rsid w:val="008363D3"/>
    <w:rsid w:val="0083679B"/>
    <w:rsid w:val="008401F9"/>
    <w:rsid w:val="0084037B"/>
    <w:rsid w:val="0084237A"/>
    <w:rsid w:val="00847CF9"/>
    <w:rsid w:val="00850538"/>
    <w:rsid w:val="008510AA"/>
    <w:rsid w:val="00851528"/>
    <w:rsid w:val="00851D53"/>
    <w:rsid w:val="008524C7"/>
    <w:rsid w:val="008533A8"/>
    <w:rsid w:val="008542B0"/>
    <w:rsid w:val="00856950"/>
    <w:rsid w:val="00860578"/>
    <w:rsid w:val="0086216B"/>
    <w:rsid w:val="00865128"/>
    <w:rsid w:val="00865879"/>
    <w:rsid w:val="008661AA"/>
    <w:rsid w:val="00867076"/>
    <w:rsid w:val="00870659"/>
    <w:rsid w:val="00871760"/>
    <w:rsid w:val="00873149"/>
    <w:rsid w:val="00876313"/>
    <w:rsid w:val="00876AC2"/>
    <w:rsid w:val="0087751C"/>
    <w:rsid w:val="0088373F"/>
    <w:rsid w:val="00883C16"/>
    <w:rsid w:val="00885DFD"/>
    <w:rsid w:val="00886574"/>
    <w:rsid w:val="00886661"/>
    <w:rsid w:val="00886B9F"/>
    <w:rsid w:val="0089105A"/>
    <w:rsid w:val="0089169F"/>
    <w:rsid w:val="008934EB"/>
    <w:rsid w:val="00893F62"/>
    <w:rsid w:val="00894184"/>
    <w:rsid w:val="00894C96"/>
    <w:rsid w:val="00897EF8"/>
    <w:rsid w:val="008A1070"/>
    <w:rsid w:val="008A1CCE"/>
    <w:rsid w:val="008A1F0C"/>
    <w:rsid w:val="008A31D8"/>
    <w:rsid w:val="008A3A90"/>
    <w:rsid w:val="008A7BC9"/>
    <w:rsid w:val="008B555F"/>
    <w:rsid w:val="008C1CD5"/>
    <w:rsid w:val="008C2135"/>
    <w:rsid w:val="008C4DBA"/>
    <w:rsid w:val="008C63B6"/>
    <w:rsid w:val="008C6E99"/>
    <w:rsid w:val="008D12A3"/>
    <w:rsid w:val="008D27F4"/>
    <w:rsid w:val="008D2CB7"/>
    <w:rsid w:val="008D7FB2"/>
    <w:rsid w:val="008E0A13"/>
    <w:rsid w:val="008E1252"/>
    <w:rsid w:val="008E388F"/>
    <w:rsid w:val="008E3FFD"/>
    <w:rsid w:val="008E435E"/>
    <w:rsid w:val="008E7504"/>
    <w:rsid w:val="008F2E2B"/>
    <w:rsid w:val="008F2F30"/>
    <w:rsid w:val="008F34DB"/>
    <w:rsid w:val="008F4139"/>
    <w:rsid w:val="008F4B74"/>
    <w:rsid w:val="008F4FC7"/>
    <w:rsid w:val="008F5446"/>
    <w:rsid w:val="008F78AF"/>
    <w:rsid w:val="0090127D"/>
    <w:rsid w:val="00904DB8"/>
    <w:rsid w:val="00905A01"/>
    <w:rsid w:val="00905BFF"/>
    <w:rsid w:val="00910CD4"/>
    <w:rsid w:val="00911802"/>
    <w:rsid w:val="00912C6C"/>
    <w:rsid w:val="00916AEF"/>
    <w:rsid w:val="00917D0B"/>
    <w:rsid w:val="00923DC1"/>
    <w:rsid w:val="00923EE7"/>
    <w:rsid w:val="00932D05"/>
    <w:rsid w:val="00932E0A"/>
    <w:rsid w:val="00933166"/>
    <w:rsid w:val="00933BA5"/>
    <w:rsid w:val="00934556"/>
    <w:rsid w:val="0093520F"/>
    <w:rsid w:val="00941BD1"/>
    <w:rsid w:val="00942E03"/>
    <w:rsid w:val="0094358D"/>
    <w:rsid w:val="00944392"/>
    <w:rsid w:val="009467E9"/>
    <w:rsid w:val="009504D4"/>
    <w:rsid w:val="009517C8"/>
    <w:rsid w:val="00955604"/>
    <w:rsid w:val="0095615F"/>
    <w:rsid w:val="009565F8"/>
    <w:rsid w:val="009570D0"/>
    <w:rsid w:val="00957A23"/>
    <w:rsid w:val="00957B35"/>
    <w:rsid w:val="00963F73"/>
    <w:rsid w:val="00964BEC"/>
    <w:rsid w:val="00965921"/>
    <w:rsid w:val="00970CD3"/>
    <w:rsid w:val="00972517"/>
    <w:rsid w:val="00973DC1"/>
    <w:rsid w:val="00980631"/>
    <w:rsid w:val="009807C6"/>
    <w:rsid w:val="00983EE9"/>
    <w:rsid w:val="00983F5C"/>
    <w:rsid w:val="00986FC4"/>
    <w:rsid w:val="00987740"/>
    <w:rsid w:val="00991FD6"/>
    <w:rsid w:val="0099271D"/>
    <w:rsid w:val="009929D5"/>
    <w:rsid w:val="00994803"/>
    <w:rsid w:val="00995AE8"/>
    <w:rsid w:val="009A36EE"/>
    <w:rsid w:val="009A62ED"/>
    <w:rsid w:val="009A6970"/>
    <w:rsid w:val="009A7319"/>
    <w:rsid w:val="009B0267"/>
    <w:rsid w:val="009B03F1"/>
    <w:rsid w:val="009B3A81"/>
    <w:rsid w:val="009B48CB"/>
    <w:rsid w:val="009B743C"/>
    <w:rsid w:val="009B767D"/>
    <w:rsid w:val="009C3BB9"/>
    <w:rsid w:val="009C3C0E"/>
    <w:rsid w:val="009C6489"/>
    <w:rsid w:val="009C693E"/>
    <w:rsid w:val="009D1D29"/>
    <w:rsid w:val="009D7B14"/>
    <w:rsid w:val="009E0128"/>
    <w:rsid w:val="009E07B6"/>
    <w:rsid w:val="009E0D08"/>
    <w:rsid w:val="009E1AD4"/>
    <w:rsid w:val="009E4140"/>
    <w:rsid w:val="009E4CFE"/>
    <w:rsid w:val="009F02A6"/>
    <w:rsid w:val="009F0ACF"/>
    <w:rsid w:val="009F1932"/>
    <w:rsid w:val="009F2DEC"/>
    <w:rsid w:val="009F5217"/>
    <w:rsid w:val="009F7725"/>
    <w:rsid w:val="00A062FC"/>
    <w:rsid w:val="00A06D4E"/>
    <w:rsid w:val="00A07120"/>
    <w:rsid w:val="00A079F8"/>
    <w:rsid w:val="00A07C50"/>
    <w:rsid w:val="00A100AC"/>
    <w:rsid w:val="00A109E3"/>
    <w:rsid w:val="00A11BB6"/>
    <w:rsid w:val="00A13F8F"/>
    <w:rsid w:val="00A14213"/>
    <w:rsid w:val="00A144F8"/>
    <w:rsid w:val="00A14518"/>
    <w:rsid w:val="00A15758"/>
    <w:rsid w:val="00A15B19"/>
    <w:rsid w:val="00A179E0"/>
    <w:rsid w:val="00A2453F"/>
    <w:rsid w:val="00A26531"/>
    <w:rsid w:val="00A30973"/>
    <w:rsid w:val="00A30CDD"/>
    <w:rsid w:val="00A31C50"/>
    <w:rsid w:val="00A32BF2"/>
    <w:rsid w:val="00A3314E"/>
    <w:rsid w:val="00A34DA4"/>
    <w:rsid w:val="00A35086"/>
    <w:rsid w:val="00A35A74"/>
    <w:rsid w:val="00A360C4"/>
    <w:rsid w:val="00A36DD1"/>
    <w:rsid w:val="00A40AF8"/>
    <w:rsid w:val="00A40B77"/>
    <w:rsid w:val="00A42E9C"/>
    <w:rsid w:val="00A4379B"/>
    <w:rsid w:val="00A43C6C"/>
    <w:rsid w:val="00A44790"/>
    <w:rsid w:val="00A4512D"/>
    <w:rsid w:val="00A4531D"/>
    <w:rsid w:val="00A45B3C"/>
    <w:rsid w:val="00A461B8"/>
    <w:rsid w:val="00A4793D"/>
    <w:rsid w:val="00A501FD"/>
    <w:rsid w:val="00A50D32"/>
    <w:rsid w:val="00A516EF"/>
    <w:rsid w:val="00A54150"/>
    <w:rsid w:val="00A54248"/>
    <w:rsid w:val="00A55674"/>
    <w:rsid w:val="00A55903"/>
    <w:rsid w:val="00A57099"/>
    <w:rsid w:val="00A62CE9"/>
    <w:rsid w:val="00A62D01"/>
    <w:rsid w:val="00A62FB8"/>
    <w:rsid w:val="00A65837"/>
    <w:rsid w:val="00A67A76"/>
    <w:rsid w:val="00A67FFD"/>
    <w:rsid w:val="00A705AF"/>
    <w:rsid w:val="00A70970"/>
    <w:rsid w:val="00A723FB"/>
    <w:rsid w:val="00A72FA0"/>
    <w:rsid w:val="00A7560E"/>
    <w:rsid w:val="00A768FC"/>
    <w:rsid w:val="00A808EA"/>
    <w:rsid w:val="00A80ABD"/>
    <w:rsid w:val="00A87651"/>
    <w:rsid w:val="00A91D3A"/>
    <w:rsid w:val="00AA17CD"/>
    <w:rsid w:val="00AA3858"/>
    <w:rsid w:val="00AA4A97"/>
    <w:rsid w:val="00AA7C37"/>
    <w:rsid w:val="00AB0CE1"/>
    <w:rsid w:val="00AB272B"/>
    <w:rsid w:val="00AB2AAC"/>
    <w:rsid w:val="00AB6EF5"/>
    <w:rsid w:val="00AB720C"/>
    <w:rsid w:val="00AB7561"/>
    <w:rsid w:val="00AC06FE"/>
    <w:rsid w:val="00AC456A"/>
    <w:rsid w:val="00AC4C19"/>
    <w:rsid w:val="00AC51F6"/>
    <w:rsid w:val="00AC57A2"/>
    <w:rsid w:val="00AC75F6"/>
    <w:rsid w:val="00AC7E20"/>
    <w:rsid w:val="00AD0A0D"/>
    <w:rsid w:val="00AD1EDD"/>
    <w:rsid w:val="00AD21BE"/>
    <w:rsid w:val="00AD2FC7"/>
    <w:rsid w:val="00AD44CC"/>
    <w:rsid w:val="00AD455B"/>
    <w:rsid w:val="00AD5BFA"/>
    <w:rsid w:val="00AE0B96"/>
    <w:rsid w:val="00AE6138"/>
    <w:rsid w:val="00AE6814"/>
    <w:rsid w:val="00AE7001"/>
    <w:rsid w:val="00AE79BC"/>
    <w:rsid w:val="00AF18D7"/>
    <w:rsid w:val="00AF2E58"/>
    <w:rsid w:val="00AF38BD"/>
    <w:rsid w:val="00AF45F4"/>
    <w:rsid w:val="00AF4CAF"/>
    <w:rsid w:val="00AF5508"/>
    <w:rsid w:val="00AF7CC5"/>
    <w:rsid w:val="00B01ECD"/>
    <w:rsid w:val="00B02FE9"/>
    <w:rsid w:val="00B05317"/>
    <w:rsid w:val="00B078A1"/>
    <w:rsid w:val="00B07EFB"/>
    <w:rsid w:val="00B10276"/>
    <w:rsid w:val="00B11070"/>
    <w:rsid w:val="00B11290"/>
    <w:rsid w:val="00B11B1C"/>
    <w:rsid w:val="00B127C8"/>
    <w:rsid w:val="00B15F35"/>
    <w:rsid w:val="00B217E7"/>
    <w:rsid w:val="00B21EC7"/>
    <w:rsid w:val="00B22673"/>
    <w:rsid w:val="00B243E8"/>
    <w:rsid w:val="00B26659"/>
    <w:rsid w:val="00B2699A"/>
    <w:rsid w:val="00B26BD8"/>
    <w:rsid w:val="00B31222"/>
    <w:rsid w:val="00B315BE"/>
    <w:rsid w:val="00B3245B"/>
    <w:rsid w:val="00B341C5"/>
    <w:rsid w:val="00B4016D"/>
    <w:rsid w:val="00B4070D"/>
    <w:rsid w:val="00B40EA6"/>
    <w:rsid w:val="00B42259"/>
    <w:rsid w:val="00B42851"/>
    <w:rsid w:val="00B43164"/>
    <w:rsid w:val="00B43FF9"/>
    <w:rsid w:val="00B46B84"/>
    <w:rsid w:val="00B4731F"/>
    <w:rsid w:val="00B47867"/>
    <w:rsid w:val="00B47A74"/>
    <w:rsid w:val="00B51C31"/>
    <w:rsid w:val="00B52138"/>
    <w:rsid w:val="00B548D2"/>
    <w:rsid w:val="00B55314"/>
    <w:rsid w:val="00B56B68"/>
    <w:rsid w:val="00B570FB"/>
    <w:rsid w:val="00B60662"/>
    <w:rsid w:val="00B6164F"/>
    <w:rsid w:val="00B61E97"/>
    <w:rsid w:val="00B6511C"/>
    <w:rsid w:val="00B66E80"/>
    <w:rsid w:val="00B701CB"/>
    <w:rsid w:val="00B72963"/>
    <w:rsid w:val="00B72B01"/>
    <w:rsid w:val="00B76C2F"/>
    <w:rsid w:val="00B77513"/>
    <w:rsid w:val="00B83BF3"/>
    <w:rsid w:val="00B83F0B"/>
    <w:rsid w:val="00B854F4"/>
    <w:rsid w:val="00B8561A"/>
    <w:rsid w:val="00B9087E"/>
    <w:rsid w:val="00B933A6"/>
    <w:rsid w:val="00B961E2"/>
    <w:rsid w:val="00B97C89"/>
    <w:rsid w:val="00BA1054"/>
    <w:rsid w:val="00BA165C"/>
    <w:rsid w:val="00BA37E3"/>
    <w:rsid w:val="00BA4839"/>
    <w:rsid w:val="00BA5C16"/>
    <w:rsid w:val="00BA71D1"/>
    <w:rsid w:val="00BA7A67"/>
    <w:rsid w:val="00BB09E0"/>
    <w:rsid w:val="00BB0A73"/>
    <w:rsid w:val="00BB0E6D"/>
    <w:rsid w:val="00BB26BB"/>
    <w:rsid w:val="00BB28CB"/>
    <w:rsid w:val="00BB3420"/>
    <w:rsid w:val="00BB581A"/>
    <w:rsid w:val="00BB6943"/>
    <w:rsid w:val="00BB6CD8"/>
    <w:rsid w:val="00BC1D95"/>
    <w:rsid w:val="00BC2507"/>
    <w:rsid w:val="00BC4A20"/>
    <w:rsid w:val="00BD0121"/>
    <w:rsid w:val="00BD0FEC"/>
    <w:rsid w:val="00BD39E4"/>
    <w:rsid w:val="00BD5C50"/>
    <w:rsid w:val="00BD6E88"/>
    <w:rsid w:val="00BE06D1"/>
    <w:rsid w:val="00BE312A"/>
    <w:rsid w:val="00BE4FF4"/>
    <w:rsid w:val="00BE7ED2"/>
    <w:rsid w:val="00BF08A3"/>
    <w:rsid w:val="00BF36D7"/>
    <w:rsid w:val="00BF7CCF"/>
    <w:rsid w:val="00C0161E"/>
    <w:rsid w:val="00C016C1"/>
    <w:rsid w:val="00C01771"/>
    <w:rsid w:val="00C02F58"/>
    <w:rsid w:val="00C0348E"/>
    <w:rsid w:val="00C036B6"/>
    <w:rsid w:val="00C05947"/>
    <w:rsid w:val="00C0607E"/>
    <w:rsid w:val="00C07CBC"/>
    <w:rsid w:val="00C07D57"/>
    <w:rsid w:val="00C107A2"/>
    <w:rsid w:val="00C11374"/>
    <w:rsid w:val="00C12B5F"/>
    <w:rsid w:val="00C13478"/>
    <w:rsid w:val="00C14A91"/>
    <w:rsid w:val="00C17832"/>
    <w:rsid w:val="00C2587E"/>
    <w:rsid w:val="00C27C09"/>
    <w:rsid w:val="00C310AB"/>
    <w:rsid w:val="00C344C4"/>
    <w:rsid w:val="00C347DC"/>
    <w:rsid w:val="00C34C80"/>
    <w:rsid w:val="00C4157F"/>
    <w:rsid w:val="00C42739"/>
    <w:rsid w:val="00C42989"/>
    <w:rsid w:val="00C42D01"/>
    <w:rsid w:val="00C44676"/>
    <w:rsid w:val="00C465A5"/>
    <w:rsid w:val="00C4764F"/>
    <w:rsid w:val="00C500A0"/>
    <w:rsid w:val="00C57EA9"/>
    <w:rsid w:val="00C665D6"/>
    <w:rsid w:val="00C66B97"/>
    <w:rsid w:val="00C67217"/>
    <w:rsid w:val="00C674DD"/>
    <w:rsid w:val="00C67619"/>
    <w:rsid w:val="00C67BA0"/>
    <w:rsid w:val="00C71EB7"/>
    <w:rsid w:val="00C729E1"/>
    <w:rsid w:val="00C7536D"/>
    <w:rsid w:val="00C76234"/>
    <w:rsid w:val="00C771D2"/>
    <w:rsid w:val="00C81514"/>
    <w:rsid w:val="00C819A9"/>
    <w:rsid w:val="00C82B03"/>
    <w:rsid w:val="00C82D9F"/>
    <w:rsid w:val="00C840BF"/>
    <w:rsid w:val="00C84D53"/>
    <w:rsid w:val="00C90423"/>
    <w:rsid w:val="00C90D79"/>
    <w:rsid w:val="00C927AB"/>
    <w:rsid w:val="00C92A92"/>
    <w:rsid w:val="00C94D08"/>
    <w:rsid w:val="00C957FB"/>
    <w:rsid w:val="00C95C04"/>
    <w:rsid w:val="00CA1209"/>
    <w:rsid w:val="00CA1FDC"/>
    <w:rsid w:val="00CA46EF"/>
    <w:rsid w:val="00CA58A2"/>
    <w:rsid w:val="00CA748E"/>
    <w:rsid w:val="00CA75E4"/>
    <w:rsid w:val="00CA7DF7"/>
    <w:rsid w:val="00CA7EE2"/>
    <w:rsid w:val="00CB0ECF"/>
    <w:rsid w:val="00CB3230"/>
    <w:rsid w:val="00CB3D61"/>
    <w:rsid w:val="00CB5B1A"/>
    <w:rsid w:val="00CC0575"/>
    <w:rsid w:val="00CC3235"/>
    <w:rsid w:val="00CC496B"/>
    <w:rsid w:val="00CD0A58"/>
    <w:rsid w:val="00CD1BA2"/>
    <w:rsid w:val="00CD4C43"/>
    <w:rsid w:val="00CD64E9"/>
    <w:rsid w:val="00CE1B33"/>
    <w:rsid w:val="00CE2629"/>
    <w:rsid w:val="00CE7E28"/>
    <w:rsid w:val="00CE7F31"/>
    <w:rsid w:val="00CF0F29"/>
    <w:rsid w:val="00CF17DB"/>
    <w:rsid w:val="00CF22B8"/>
    <w:rsid w:val="00CF324F"/>
    <w:rsid w:val="00CF78BF"/>
    <w:rsid w:val="00D00BA0"/>
    <w:rsid w:val="00D030D2"/>
    <w:rsid w:val="00D04A27"/>
    <w:rsid w:val="00D068FA"/>
    <w:rsid w:val="00D1075D"/>
    <w:rsid w:val="00D10768"/>
    <w:rsid w:val="00D11CE0"/>
    <w:rsid w:val="00D130EE"/>
    <w:rsid w:val="00D13A7C"/>
    <w:rsid w:val="00D14081"/>
    <w:rsid w:val="00D14A6A"/>
    <w:rsid w:val="00D206F8"/>
    <w:rsid w:val="00D215EB"/>
    <w:rsid w:val="00D227C0"/>
    <w:rsid w:val="00D23B96"/>
    <w:rsid w:val="00D23DF4"/>
    <w:rsid w:val="00D252EC"/>
    <w:rsid w:val="00D258CE"/>
    <w:rsid w:val="00D32ACB"/>
    <w:rsid w:val="00D33B1F"/>
    <w:rsid w:val="00D373A4"/>
    <w:rsid w:val="00D37816"/>
    <w:rsid w:val="00D37AAD"/>
    <w:rsid w:val="00D37B70"/>
    <w:rsid w:val="00D410CB"/>
    <w:rsid w:val="00D422E5"/>
    <w:rsid w:val="00D4261E"/>
    <w:rsid w:val="00D42637"/>
    <w:rsid w:val="00D448A2"/>
    <w:rsid w:val="00D45B3C"/>
    <w:rsid w:val="00D46085"/>
    <w:rsid w:val="00D4775B"/>
    <w:rsid w:val="00D500ED"/>
    <w:rsid w:val="00D511AB"/>
    <w:rsid w:val="00D52438"/>
    <w:rsid w:val="00D54B43"/>
    <w:rsid w:val="00D54BA2"/>
    <w:rsid w:val="00D553F8"/>
    <w:rsid w:val="00D565A4"/>
    <w:rsid w:val="00D56C9E"/>
    <w:rsid w:val="00D57D68"/>
    <w:rsid w:val="00D60DF5"/>
    <w:rsid w:val="00D64322"/>
    <w:rsid w:val="00D70FC3"/>
    <w:rsid w:val="00D719B6"/>
    <w:rsid w:val="00D71ECE"/>
    <w:rsid w:val="00D74377"/>
    <w:rsid w:val="00D75098"/>
    <w:rsid w:val="00D75A00"/>
    <w:rsid w:val="00D76F3E"/>
    <w:rsid w:val="00D80C10"/>
    <w:rsid w:val="00D811C1"/>
    <w:rsid w:val="00D8133E"/>
    <w:rsid w:val="00D851FC"/>
    <w:rsid w:val="00D85D06"/>
    <w:rsid w:val="00D87064"/>
    <w:rsid w:val="00D87642"/>
    <w:rsid w:val="00D914D9"/>
    <w:rsid w:val="00D91AFC"/>
    <w:rsid w:val="00D94384"/>
    <w:rsid w:val="00D9477E"/>
    <w:rsid w:val="00D955AF"/>
    <w:rsid w:val="00DA002C"/>
    <w:rsid w:val="00DA4628"/>
    <w:rsid w:val="00DA5554"/>
    <w:rsid w:val="00DA6B60"/>
    <w:rsid w:val="00DA7C26"/>
    <w:rsid w:val="00DB1486"/>
    <w:rsid w:val="00DB3D24"/>
    <w:rsid w:val="00DB4BD7"/>
    <w:rsid w:val="00DB544C"/>
    <w:rsid w:val="00DB59BF"/>
    <w:rsid w:val="00DB5C12"/>
    <w:rsid w:val="00DC0D62"/>
    <w:rsid w:val="00DC1F9F"/>
    <w:rsid w:val="00DC2D47"/>
    <w:rsid w:val="00DC4023"/>
    <w:rsid w:val="00DC617D"/>
    <w:rsid w:val="00DC61EE"/>
    <w:rsid w:val="00DC6D07"/>
    <w:rsid w:val="00DC7D39"/>
    <w:rsid w:val="00DD0E7E"/>
    <w:rsid w:val="00DD14F6"/>
    <w:rsid w:val="00DD505A"/>
    <w:rsid w:val="00DE197F"/>
    <w:rsid w:val="00DE2880"/>
    <w:rsid w:val="00DE3981"/>
    <w:rsid w:val="00DE4A1B"/>
    <w:rsid w:val="00DE7DBE"/>
    <w:rsid w:val="00DF0527"/>
    <w:rsid w:val="00DF098F"/>
    <w:rsid w:val="00DF5282"/>
    <w:rsid w:val="00DF5E00"/>
    <w:rsid w:val="00DF64CF"/>
    <w:rsid w:val="00DF7330"/>
    <w:rsid w:val="00E039A6"/>
    <w:rsid w:val="00E055E6"/>
    <w:rsid w:val="00E0578F"/>
    <w:rsid w:val="00E059F5"/>
    <w:rsid w:val="00E074D7"/>
    <w:rsid w:val="00E07753"/>
    <w:rsid w:val="00E07A2A"/>
    <w:rsid w:val="00E12392"/>
    <w:rsid w:val="00E13A90"/>
    <w:rsid w:val="00E13D41"/>
    <w:rsid w:val="00E16CAA"/>
    <w:rsid w:val="00E17319"/>
    <w:rsid w:val="00E17FE0"/>
    <w:rsid w:val="00E2089C"/>
    <w:rsid w:val="00E212AA"/>
    <w:rsid w:val="00E21CC2"/>
    <w:rsid w:val="00E22611"/>
    <w:rsid w:val="00E22C9F"/>
    <w:rsid w:val="00E23B9C"/>
    <w:rsid w:val="00E244D7"/>
    <w:rsid w:val="00E305E5"/>
    <w:rsid w:val="00E31829"/>
    <w:rsid w:val="00E31F07"/>
    <w:rsid w:val="00E33D2A"/>
    <w:rsid w:val="00E345C9"/>
    <w:rsid w:val="00E359D7"/>
    <w:rsid w:val="00E35BF5"/>
    <w:rsid w:val="00E37DCD"/>
    <w:rsid w:val="00E40457"/>
    <w:rsid w:val="00E41095"/>
    <w:rsid w:val="00E415F9"/>
    <w:rsid w:val="00E43D69"/>
    <w:rsid w:val="00E46807"/>
    <w:rsid w:val="00E521BF"/>
    <w:rsid w:val="00E52B80"/>
    <w:rsid w:val="00E54646"/>
    <w:rsid w:val="00E54829"/>
    <w:rsid w:val="00E5499C"/>
    <w:rsid w:val="00E552B1"/>
    <w:rsid w:val="00E55C2B"/>
    <w:rsid w:val="00E62177"/>
    <w:rsid w:val="00E62520"/>
    <w:rsid w:val="00E6289A"/>
    <w:rsid w:val="00E638E4"/>
    <w:rsid w:val="00E646F3"/>
    <w:rsid w:val="00E64742"/>
    <w:rsid w:val="00E64F2C"/>
    <w:rsid w:val="00E65481"/>
    <w:rsid w:val="00E660DE"/>
    <w:rsid w:val="00E66217"/>
    <w:rsid w:val="00E6730E"/>
    <w:rsid w:val="00E70088"/>
    <w:rsid w:val="00E71821"/>
    <w:rsid w:val="00E72D84"/>
    <w:rsid w:val="00E737E5"/>
    <w:rsid w:val="00E7498B"/>
    <w:rsid w:val="00E76F45"/>
    <w:rsid w:val="00E77A61"/>
    <w:rsid w:val="00E81E9A"/>
    <w:rsid w:val="00E829E7"/>
    <w:rsid w:val="00E831D1"/>
    <w:rsid w:val="00E8529F"/>
    <w:rsid w:val="00E85ED5"/>
    <w:rsid w:val="00E873B1"/>
    <w:rsid w:val="00E922B5"/>
    <w:rsid w:val="00E93069"/>
    <w:rsid w:val="00E931CE"/>
    <w:rsid w:val="00E933B5"/>
    <w:rsid w:val="00E93C54"/>
    <w:rsid w:val="00E951B4"/>
    <w:rsid w:val="00E95F98"/>
    <w:rsid w:val="00E96EB6"/>
    <w:rsid w:val="00E97337"/>
    <w:rsid w:val="00EA334C"/>
    <w:rsid w:val="00EA7005"/>
    <w:rsid w:val="00EB0AB8"/>
    <w:rsid w:val="00EB3A57"/>
    <w:rsid w:val="00EB4930"/>
    <w:rsid w:val="00EB6637"/>
    <w:rsid w:val="00EB6751"/>
    <w:rsid w:val="00EC1EDE"/>
    <w:rsid w:val="00EC6653"/>
    <w:rsid w:val="00EC70DB"/>
    <w:rsid w:val="00EC7B1F"/>
    <w:rsid w:val="00ED04D7"/>
    <w:rsid w:val="00ED074D"/>
    <w:rsid w:val="00ED08AC"/>
    <w:rsid w:val="00ED20FD"/>
    <w:rsid w:val="00ED216F"/>
    <w:rsid w:val="00ED5850"/>
    <w:rsid w:val="00EE1838"/>
    <w:rsid w:val="00EE23A9"/>
    <w:rsid w:val="00EE24CE"/>
    <w:rsid w:val="00EE3D37"/>
    <w:rsid w:val="00EE4D45"/>
    <w:rsid w:val="00EE6607"/>
    <w:rsid w:val="00EE7ECA"/>
    <w:rsid w:val="00EF20DD"/>
    <w:rsid w:val="00EF493C"/>
    <w:rsid w:val="00EF5628"/>
    <w:rsid w:val="00EF5E16"/>
    <w:rsid w:val="00EF7C00"/>
    <w:rsid w:val="00F0017F"/>
    <w:rsid w:val="00F03F5A"/>
    <w:rsid w:val="00F05EA6"/>
    <w:rsid w:val="00F10053"/>
    <w:rsid w:val="00F12082"/>
    <w:rsid w:val="00F12790"/>
    <w:rsid w:val="00F12E44"/>
    <w:rsid w:val="00F12E48"/>
    <w:rsid w:val="00F14652"/>
    <w:rsid w:val="00F15110"/>
    <w:rsid w:val="00F15628"/>
    <w:rsid w:val="00F15D27"/>
    <w:rsid w:val="00F15EEB"/>
    <w:rsid w:val="00F16E5B"/>
    <w:rsid w:val="00F1725F"/>
    <w:rsid w:val="00F21B01"/>
    <w:rsid w:val="00F228F9"/>
    <w:rsid w:val="00F22EF7"/>
    <w:rsid w:val="00F23925"/>
    <w:rsid w:val="00F25719"/>
    <w:rsid w:val="00F25DFD"/>
    <w:rsid w:val="00F27A85"/>
    <w:rsid w:val="00F32232"/>
    <w:rsid w:val="00F32340"/>
    <w:rsid w:val="00F32B73"/>
    <w:rsid w:val="00F33BB2"/>
    <w:rsid w:val="00F34171"/>
    <w:rsid w:val="00F34E18"/>
    <w:rsid w:val="00F35821"/>
    <w:rsid w:val="00F42156"/>
    <w:rsid w:val="00F43C4C"/>
    <w:rsid w:val="00F477D8"/>
    <w:rsid w:val="00F51DE6"/>
    <w:rsid w:val="00F5383C"/>
    <w:rsid w:val="00F60FB6"/>
    <w:rsid w:val="00F61AC5"/>
    <w:rsid w:val="00F625B4"/>
    <w:rsid w:val="00F63138"/>
    <w:rsid w:val="00F64242"/>
    <w:rsid w:val="00F65360"/>
    <w:rsid w:val="00F65474"/>
    <w:rsid w:val="00F66BCD"/>
    <w:rsid w:val="00F67DB4"/>
    <w:rsid w:val="00F67F50"/>
    <w:rsid w:val="00F72F39"/>
    <w:rsid w:val="00F7308C"/>
    <w:rsid w:val="00F7312A"/>
    <w:rsid w:val="00F747E8"/>
    <w:rsid w:val="00F74958"/>
    <w:rsid w:val="00F7595E"/>
    <w:rsid w:val="00F75AD4"/>
    <w:rsid w:val="00F77647"/>
    <w:rsid w:val="00F84864"/>
    <w:rsid w:val="00F85E4D"/>
    <w:rsid w:val="00F93259"/>
    <w:rsid w:val="00F93402"/>
    <w:rsid w:val="00F9531C"/>
    <w:rsid w:val="00F979CB"/>
    <w:rsid w:val="00FA042F"/>
    <w:rsid w:val="00FA0910"/>
    <w:rsid w:val="00FA0D28"/>
    <w:rsid w:val="00FA11BF"/>
    <w:rsid w:val="00FA304F"/>
    <w:rsid w:val="00FA46A9"/>
    <w:rsid w:val="00FA5570"/>
    <w:rsid w:val="00FA601F"/>
    <w:rsid w:val="00FA70B8"/>
    <w:rsid w:val="00FB033F"/>
    <w:rsid w:val="00FB500E"/>
    <w:rsid w:val="00FB5E52"/>
    <w:rsid w:val="00FB70EF"/>
    <w:rsid w:val="00FC0661"/>
    <w:rsid w:val="00FC0B2A"/>
    <w:rsid w:val="00FC0FCA"/>
    <w:rsid w:val="00FC2A3D"/>
    <w:rsid w:val="00FC30EB"/>
    <w:rsid w:val="00FC3CCF"/>
    <w:rsid w:val="00FC674C"/>
    <w:rsid w:val="00FC7D5C"/>
    <w:rsid w:val="00FD15E5"/>
    <w:rsid w:val="00FD2F05"/>
    <w:rsid w:val="00FD61E7"/>
    <w:rsid w:val="00FD66DB"/>
    <w:rsid w:val="00FD7A08"/>
    <w:rsid w:val="00FE38E6"/>
    <w:rsid w:val="00FE3FFE"/>
    <w:rsid w:val="00FE4B48"/>
    <w:rsid w:val="00FE6249"/>
    <w:rsid w:val="00FF1277"/>
    <w:rsid w:val="00FF3218"/>
    <w:rsid w:val="00FF336E"/>
    <w:rsid w:val="00FF3D0C"/>
    <w:rsid w:val="00FF3F3C"/>
    <w:rsid w:val="00FF5FD4"/>
    <w:rsid w:val="00FF65A2"/>
    <w:rsid w:val="00FF6ADE"/>
    <w:rsid w:val="00FF6C80"/>
    <w:rsid w:val="01727B55"/>
    <w:rsid w:val="089B5AA2"/>
    <w:rsid w:val="09A055DD"/>
    <w:rsid w:val="0C93A8DA"/>
    <w:rsid w:val="0E2F793B"/>
    <w:rsid w:val="114FD1CA"/>
    <w:rsid w:val="12A27D57"/>
    <w:rsid w:val="1C43252B"/>
    <w:rsid w:val="21B1D5A1"/>
    <w:rsid w:val="23DC95BA"/>
    <w:rsid w:val="2497BA79"/>
    <w:rsid w:val="28580DFF"/>
    <w:rsid w:val="293C0568"/>
    <w:rsid w:val="2948E809"/>
    <w:rsid w:val="40D8F4E3"/>
    <w:rsid w:val="411B627E"/>
    <w:rsid w:val="459372D8"/>
    <w:rsid w:val="48CADE6B"/>
    <w:rsid w:val="4E88A037"/>
    <w:rsid w:val="4F0F5F8A"/>
    <w:rsid w:val="5F7A84BD"/>
    <w:rsid w:val="638F30FB"/>
    <w:rsid w:val="64B949CE"/>
    <w:rsid w:val="720464F8"/>
    <w:rsid w:val="7441A569"/>
    <w:rsid w:val="7451C76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0C21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93402"/>
    <w:pPr>
      <w:spacing w:after="200" w:line="276" w:lineRule="auto"/>
    </w:pPr>
    <w:rPr>
      <w:rFonts w:ascii="Arial" w:eastAsiaTheme="minorHAnsi" w:hAnsi="Arial" w:cstheme="minorBidi"/>
      <w:sz w:val="22"/>
      <w:szCs w:val="22"/>
      <w:lang w:eastAsia="en-US"/>
    </w:rPr>
  </w:style>
  <w:style w:type="paragraph" w:styleId="Heading1">
    <w:name w:val="heading 1"/>
    <w:next w:val="Normal"/>
    <w:qFormat/>
    <w:rsid w:val="00082B27"/>
    <w:pPr>
      <w:keepNext/>
      <w:spacing w:before="120" w:after="120" w:line="276" w:lineRule="auto"/>
      <w:outlineLvl w:val="0"/>
    </w:pPr>
    <w:rPr>
      <w:rFonts w:ascii="Arial" w:eastAsiaTheme="minorHAnsi" w:hAnsi="Arial" w:cs="Arial"/>
      <w:b/>
      <w:bCs/>
      <w:color w:val="3F4A75"/>
      <w:kern w:val="28"/>
      <w:sz w:val="42"/>
      <w:szCs w:val="42"/>
      <w:lang w:eastAsia="en-US"/>
    </w:rPr>
  </w:style>
  <w:style w:type="paragraph" w:styleId="Heading2">
    <w:name w:val="heading 2"/>
    <w:basedOn w:val="Heading1"/>
    <w:next w:val="Normal"/>
    <w:qFormat/>
    <w:rsid w:val="00F64242"/>
    <w:pPr>
      <w:spacing w:before="240" w:after="60"/>
      <w:outlineLvl w:val="1"/>
    </w:pPr>
    <w:rPr>
      <w:bCs w:val="0"/>
      <w:iCs/>
      <w:color w:val="358189"/>
      <w:sz w:val="28"/>
      <w:szCs w:val="26"/>
    </w:rPr>
  </w:style>
  <w:style w:type="paragraph" w:styleId="Heading3">
    <w:name w:val="heading 3"/>
    <w:basedOn w:val="Heading2"/>
    <w:next w:val="Normal"/>
    <w:qFormat/>
    <w:rsid w:val="005343B6"/>
    <w:pPr>
      <w:outlineLvl w:val="2"/>
    </w:pPr>
    <w:rPr>
      <w:b w:val="0"/>
      <w:bCs/>
      <w:iCs w:val="0"/>
      <w:szCs w:val="28"/>
    </w:rPr>
  </w:style>
  <w:style w:type="paragraph" w:styleId="Heading4">
    <w:name w:val="heading 4"/>
    <w:basedOn w:val="Normal"/>
    <w:next w:val="Normal"/>
    <w:qFormat/>
    <w:rsid w:val="00A705AF"/>
    <w:pPr>
      <w:keepNext/>
      <w:spacing w:before="240" w:after="60"/>
      <w:outlineLvl w:val="3"/>
    </w:pPr>
    <w:rPr>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uiPriority w:val="22"/>
    <w:qFormat/>
    <w:rsid w:val="005343B6"/>
    <w:rPr>
      <w:rFonts w:ascii="Arial" w:hAnsi="Arial"/>
      <w:b/>
      <w:bCs/>
      <w:sz w:val="22"/>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Heading1"/>
    <w:next w:val="Normal"/>
    <w:link w:val="TitleChar"/>
    <w:qFormat/>
    <w:rsid w:val="00D914D9"/>
    <w:pPr>
      <w:outlineLvl w:val="9"/>
    </w:pPr>
    <w:rPr>
      <w:sz w:val="36"/>
    </w:rPr>
  </w:style>
  <w:style w:type="character" w:customStyle="1" w:styleId="TitleChar">
    <w:name w:val="Title Char"/>
    <w:basedOn w:val="DefaultParagraphFont"/>
    <w:link w:val="Title"/>
    <w:rsid w:val="00D914D9"/>
    <w:rPr>
      <w:rFonts w:ascii="Arial" w:eastAsiaTheme="minorHAnsi" w:hAnsi="Arial" w:cs="Arial"/>
      <w:b/>
      <w:bCs/>
      <w:kern w:val="28"/>
      <w:sz w:val="36"/>
      <w:szCs w:val="3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aliases w:val="BulletPoints,Bullet Point,Bullet point,Bulletr List Paragraph,CAB - List Bullet,Content descriptions,FooterText,L,List Bullet 1,List Bullet Cab,List Paragraph1,List Paragraph11,List Paragraph2,List Paragraph21,Listeafsnit1,リスト段落,列"/>
    <w:basedOn w:val="Normal"/>
    <w:link w:val="ListParagraphChar"/>
    <w:uiPriority w:val="34"/>
    <w:qFormat/>
    <w:rsid w:val="00A4512D"/>
    <w:pPr>
      <w:ind w:left="720"/>
      <w:contextualSpacing/>
    </w:pPr>
  </w:style>
  <w:style w:type="paragraph" w:styleId="Header">
    <w:name w:val="header"/>
    <w:basedOn w:val="Normal"/>
    <w:link w:val="HeaderChar"/>
    <w:rsid w:val="00830B7B"/>
    <w:pPr>
      <w:tabs>
        <w:tab w:val="center" w:pos="4513"/>
        <w:tab w:val="right" w:pos="9026"/>
      </w:tabs>
      <w:spacing w:after="0" w:line="240" w:lineRule="auto"/>
    </w:pPr>
  </w:style>
  <w:style w:type="character" w:customStyle="1" w:styleId="HeaderChar">
    <w:name w:val="Header Char"/>
    <w:basedOn w:val="DefaultParagraphFont"/>
    <w:link w:val="Header"/>
    <w:rsid w:val="00830B7B"/>
    <w:rPr>
      <w:rFonts w:asciiTheme="minorHAnsi" w:eastAsiaTheme="minorHAnsi" w:hAnsiTheme="minorHAnsi" w:cstheme="minorBidi"/>
      <w:sz w:val="22"/>
      <w:szCs w:val="22"/>
      <w:lang w:eastAsia="en-US"/>
    </w:rPr>
  </w:style>
  <w:style w:type="paragraph" w:styleId="Footer">
    <w:name w:val="footer"/>
    <w:basedOn w:val="Normal"/>
    <w:link w:val="FooterChar"/>
    <w:uiPriority w:val="99"/>
    <w:rsid w:val="00830B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0B7B"/>
    <w:rPr>
      <w:rFonts w:asciiTheme="minorHAnsi" w:eastAsiaTheme="minorHAnsi" w:hAnsiTheme="minorHAnsi" w:cstheme="minorBidi"/>
      <w:sz w:val="22"/>
      <w:szCs w:val="22"/>
      <w:lang w:eastAsia="en-US"/>
    </w:rPr>
  </w:style>
  <w:style w:type="paragraph" w:styleId="BalloonText">
    <w:name w:val="Balloon Text"/>
    <w:basedOn w:val="Normal"/>
    <w:link w:val="BalloonTextChar"/>
    <w:rsid w:val="00550E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550E5F"/>
    <w:rPr>
      <w:rFonts w:ascii="Tahoma" w:eastAsiaTheme="minorHAnsi" w:hAnsi="Tahoma" w:cs="Tahoma"/>
      <w:sz w:val="16"/>
      <w:szCs w:val="16"/>
      <w:lang w:eastAsia="en-US"/>
    </w:rPr>
  </w:style>
  <w:style w:type="table" w:styleId="TableGrid">
    <w:name w:val="Table Grid"/>
    <w:basedOn w:val="TableNormal"/>
    <w:uiPriority w:val="39"/>
    <w:rsid w:val="00DD50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rsid w:val="00682ABF"/>
    <w:rPr>
      <w:sz w:val="16"/>
      <w:szCs w:val="16"/>
    </w:rPr>
  </w:style>
  <w:style w:type="paragraph" w:styleId="CommentText">
    <w:name w:val="annotation text"/>
    <w:basedOn w:val="Normal"/>
    <w:link w:val="CommentTextChar"/>
    <w:uiPriority w:val="99"/>
    <w:rsid w:val="00682ABF"/>
    <w:pPr>
      <w:spacing w:line="240" w:lineRule="auto"/>
    </w:pPr>
    <w:rPr>
      <w:sz w:val="20"/>
      <w:szCs w:val="20"/>
    </w:rPr>
  </w:style>
  <w:style w:type="character" w:customStyle="1" w:styleId="CommentTextChar">
    <w:name w:val="Comment Text Char"/>
    <w:basedOn w:val="DefaultParagraphFont"/>
    <w:link w:val="CommentText"/>
    <w:uiPriority w:val="99"/>
    <w:rsid w:val="00682ABF"/>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rsid w:val="00682ABF"/>
    <w:rPr>
      <w:b/>
      <w:bCs/>
    </w:rPr>
  </w:style>
  <w:style w:type="character" w:customStyle="1" w:styleId="CommentSubjectChar">
    <w:name w:val="Comment Subject Char"/>
    <w:basedOn w:val="CommentTextChar"/>
    <w:link w:val="CommentSubject"/>
    <w:rsid w:val="00682ABF"/>
    <w:rPr>
      <w:rFonts w:asciiTheme="minorHAnsi" w:eastAsiaTheme="minorHAnsi" w:hAnsiTheme="minorHAnsi" w:cstheme="minorBidi"/>
      <w:b/>
      <w:bCs/>
      <w:lang w:eastAsia="en-US"/>
    </w:rPr>
  </w:style>
  <w:style w:type="character" w:customStyle="1" w:styleId="ListParagraphChar">
    <w:name w:val="List Paragraph Char"/>
    <w:aliases w:val="BulletPoints Char,Bullet Point Char,Bullet point Char,Bulletr List Paragraph Char,CAB - List Bullet Char,Content descriptions Char,FooterText Char,L Char,List Bullet 1 Char,List Bullet Cab Char,List Paragraph1 Char,Listeafsnit1 Char"/>
    <w:basedOn w:val="DefaultParagraphFont"/>
    <w:link w:val="ListParagraph"/>
    <w:uiPriority w:val="34"/>
    <w:qFormat/>
    <w:locked/>
    <w:rsid w:val="00FA601F"/>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qFormat/>
    <w:rsid w:val="00A15B19"/>
    <w:rPr>
      <w:color w:val="0000FF" w:themeColor="hyperlink"/>
      <w:u w:val="single"/>
    </w:rPr>
  </w:style>
  <w:style w:type="character" w:customStyle="1" w:styleId="normaltextrun">
    <w:name w:val="normaltextrun"/>
    <w:basedOn w:val="DefaultParagraphFont"/>
    <w:rsid w:val="0089105A"/>
  </w:style>
  <w:style w:type="table" w:styleId="GridTable6Colorful-Accent3">
    <w:name w:val="Grid Table 6 Colorful Accent 3"/>
    <w:basedOn w:val="TableNormal"/>
    <w:uiPriority w:val="51"/>
    <w:rsid w:val="00564EE2"/>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3">
    <w:name w:val="Grid Table 4 Accent 3"/>
    <w:basedOn w:val="TableNormal"/>
    <w:uiPriority w:val="49"/>
    <w:rsid w:val="00564EE2"/>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TableGrid1">
    <w:name w:val="Table Grid1"/>
    <w:basedOn w:val="TableNormal"/>
    <w:next w:val="TableGrid"/>
    <w:uiPriority w:val="39"/>
    <w:rsid w:val="00185C96"/>
    <w:pPr>
      <w:contextualSpacing/>
    </w:pPr>
    <w:rPr>
      <w:rFonts w:ascii="Calibri" w:eastAsiaTheme="minorHAns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Theme="minorHAnsi" w:hAnsiTheme="minorHAnsi"/>
        <w:b/>
        <w:sz w:val="22"/>
      </w:rPr>
      <w:tblPr/>
      <w:tcPr>
        <w:shd w:val="clear" w:color="auto" w:fill="D6E3BC" w:themeFill="accent3" w:themeFillTint="66"/>
      </w:tcPr>
    </w:tblStylePr>
  </w:style>
  <w:style w:type="paragraph" w:styleId="NormalWeb">
    <w:name w:val="Normal (Web)"/>
    <w:basedOn w:val="Normal"/>
    <w:uiPriority w:val="99"/>
    <w:unhideWhenUsed/>
    <w:rsid w:val="00342B32"/>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UnresolvedMention">
    <w:name w:val="Unresolved Mention"/>
    <w:basedOn w:val="DefaultParagraphFont"/>
    <w:uiPriority w:val="99"/>
    <w:semiHidden/>
    <w:unhideWhenUsed/>
    <w:rsid w:val="009517C8"/>
    <w:rPr>
      <w:color w:val="605E5C"/>
      <w:shd w:val="clear" w:color="auto" w:fill="E1DFDD"/>
    </w:rPr>
  </w:style>
  <w:style w:type="paragraph" w:styleId="ListBullet">
    <w:name w:val="List Bullet"/>
    <w:basedOn w:val="Normal"/>
    <w:unhideWhenUsed/>
    <w:rsid w:val="00D8133E"/>
    <w:pPr>
      <w:numPr>
        <w:numId w:val="1"/>
      </w:numPr>
      <w:spacing w:after="120"/>
      <w:contextualSpacing/>
    </w:pPr>
  </w:style>
  <w:style w:type="paragraph" w:styleId="ListNumber">
    <w:name w:val="List Number"/>
    <w:basedOn w:val="Normal"/>
    <w:rsid w:val="000322E7"/>
    <w:pPr>
      <w:numPr>
        <w:numId w:val="2"/>
      </w:numPr>
      <w:contextualSpacing/>
    </w:pPr>
  </w:style>
  <w:style w:type="paragraph" w:styleId="Revision">
    <w:name w:val="Revision"/>
    <w:hidden/>
    <w:uiPriority w:val="99"/>
    <w:semiHidden/>
    <w:rsid w:val="00D64322"/>
    <w:rPr>
      <w:rFonts w:asciiTheme="minorHAnsi" w:eastAsiaTheme="minorHAnsi" w:hAnsiTheme="minorHAnsi" w:cstheme="minorBidi"/>
      <w:sz w:val="22"/>
      <w:szCs w:val="22"/>
      <w:lang w:eastAsia="en-US"/>
    </w:rPr>
  </w:style>
  <w:style w:type="character" w:customStyle="1" w:styleId="eop">
    <w:name w:val="eop"/>
    <w:basedOn w:val="DefaultParagraphFont"/>
    <w:rsid w:val="009B03F1"/>
  </w:style>
  <w:style w:type="paragraph" w:customStyle="1" w:styleId="paragraph">
    <w:name w:val="paragraph"/>
    <w:basedOn w:val="Normal"/>
    <w:rsid w:val="0005095A"/>
    <w:pPr>
      <w:spacing w:before="100" w:beforeAutospacing="1" w:after="100" w:afterAutospacing="1" w:line="240" w:lineRule="auto"/>
    </w:pPr>
    <w:rPr>
      <w:rFonts w:ascii="Times New Roman" w:hAnsi="Times New Roman" w:cs="Times New Roman"/>
      <w:sz w:val="24"/>
      <w:szCs w:val="24"/>
      <w:lang w:eastAsia="en-AU"/>
    </w:rPr>
  </w:style>
  <w:style w:type="character" w:styleId="FollowedHyperlink">
    <w:name w:val="FollowedHyperlink"/>
    <w:basedOn w:val="DefaultParagraphFont"/>
    <w:semiHidden/>
    <w:unhideWhenUsed/>
    <w:rsid w:val="00602698"/>
    <w:rPr>
      <w:color w:val="800080" w:themeColor="followedHyperlink"/>
      <w:u w:val="single"/>
    </w:rPr>
  </w:style>
  <w:style w:type="paragraph" w:styleId="ListBullet2">
    <w:name w:val="List Bullet 2"/>
    <w:basedOn w:val="ListBullet"/>
    <w:unhideWhenUsed/>
    <w:rsid w:val="00B01ECD"/>
    <w:pPr>
      <w:numPr>
        <w:numId w:val="20"/>
      </w:numPr>
      <w:ind w:left="754" w:hanging="357"/>
    </w:pPr>
  </w:style>
  <w:style w:type="character" w:customStyle="1" w:styleId="findhit">
    <w:name w:val="findhit"/>
    <w:basedOn w:val="DefaultParagraphFont"/>
    <w:rsid w:val="00E07A2A"/>
  </w:style>
  <w:style w:type="paragraph" w:styleId="FootnoteText">
    <w:name w:val="footnote text"/>
    <w:basedOn w:val="Normal"/>
    <w:link w:val="FootnoteTextChar"/>
    <w:semiHidden/>
    <w:unhideWhenUsed/>
    <w:rsid w:val="00AD455B"/>
    <w:pPr>
      <w:spacing w:after="0" w:line="240" w:lineRule="auto"/>
    </w:pPr>
    <w:rPr>
      <w:sz w:val="20"/>
      <w:szCs w:val="20"/>
    </w:rPr>
  </w:style>
  <w:style w:type="character" w:customStyle="1" w:styleId="FootnoteTextChar">
    <w:name w:val="Footnote Text Char"/>
    <w:basedOn w:val="DefaultParagraphFont"/>
    <w:link w:val="FootnoteText"/>
    <w:semiHidden/>
    <w:rsid w:val="00AD455B"/>
    <w:rPr>
      <w:rFonts w:asciiTheme="minorHAnsi" w:eastAsiaTheme="minorHAnsi" w:hAnsiTheme="minorHAnsi" w:cstheme="minorBidi"/>
      <w:lang w:eastAsia="en-US"/>
    </w:rPr>
  </w:style>
  <w:style w:type="character" w:styleId="FootnoteReference">
    <w:name w:val="footnote reference"/>
    <w:basedOn w:val="DefaultParagraphFont"/>
    <w:semiHidden/>
    <w:unhideWhenUsed/>
    <w:rsid w:val="00AD455B"/>
    <w:rPr>
      <w:vertAlign w:val="superscript"/>
    </w:rPr>
  </w:style>
  <w:style w:type="character" w:customStyle="1" w:styleId="ui-provider">
    <w:name w:val="ui-provider"/>
    <w:basedOn w:val="DefaultParagraphFont"/>
    <w:rsid w:val="00B60662"/>
  </w:style>
  <w:style w:type="paragraph" w:customStyle="1" w:styleId="Default">
    <w:name w:val="Default"/>
    <w:rsid w:val="00A14213"/>
    <w:pPr>
      <w:autoSpaceDE w:val="0"/>
      <w:autoSpaceDN w:val="0"/>
      <w:adjustRightInd w:val="0"/>
    </w:pPr>
    <w:rPr>
      <w:rFonts w:ascii="Arial" w:hAnsi="Arial" w:cs="Arial"/>
      <w:color w:val="000000"/>
      <w:sz w:val="24"/>
      <w:szCs w:val="24"/>
    </w:rPr>
  </w:style>
  <w:style w:type="paragraph" w:customStyle="1" w:styleId="pf0">
    <w:name w:val="pf0"/>
    <w:basedOn w:val="Normal"/>
    <w:rsid w:val="0032478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cf01">
    <w:name w:val="cf01"/>
    <w:basedOn w:val="DefaultParagraphFont"/>
    <w:rsid w:val="00324789"/>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514163">
      <w:bodyDiv w:val="1"/>
      <w:marLeft w:val="0"/>
      <w:marRight w:val="0"/>
      <w:marTop w:val="0"/>
      <w:marBottom w:val="0"/>
      <w:divBdr>
        <w:top w:val="none" w:sz="0" w:space="0" w:color="auto"/>
        <w:left w:val="none" w:sz="0" w:space="0" w:color="auto"/>
        <w:bottom w:val="none" w:sz="0" w:space="0" w:color="auto"/>
        <w:right w:val="none" w:sz="0" w:space="0" w:color="auto"/>
      </w:divBdr>
    </w:div>
    <w:div w:id="94981370">
      <w:bodyDiv w:val="1"/>
      <w:marLeft w:val="0"/>
      <w:marRight w:val="0"/>
      <w:marTop w:val="0"/>
      <w:marBottom w:val="0"/>
      <w:divBdr>
        <w:top w:val="none" w:sz="0" w:space="0" w:color="auto"/>
        <w:left w:val="none" w:sz="0" w:space="0" w:color="auto"/>
        <w:bottom w:val="none" w:sz="0" w:space="0" w:color="auto"/>
        <w:right w:val="none" w:sz="0" w:space="0" w:color="auto"/>
      </w:divBdr>
    </w:div>
    <w:div w:id="112790279">
      <w:bodyDiv w:val="1"/>
      <w:marLeft w:val="0"/>
      <w:marRight w:val="0"/>
      <w:marTop w:val="0"/>
      <w:marBottom w:val="0"/>
      <w:divBdr>
        <w:top w:val="none" w:sz="0" w:space="0" w:color="auto"/>
        <w:left w:val="none" w:sz="0" w:space="0" w:color="auto"/>
        <w:bottom w:val="none" w:sz="0" w:space="0" w:color="auto"/>
        <w:right w:val="none" w:sz="0" w:space="0" w:color="auto"/>
      </w:divBdr>
    </w:div>
    <w:div w:id="170684697">
      <w:bodyDiv w:val="1"/>
      <w:marLeft w:val="0"/>
      <w:marRight w:val="0"/>
      <w:marTop w:val="0"/>
      <w:marBottom w:val="0"/>
      <w:divBdr>
        <w:top w:val="none" w:sz="0" w:space="0" w:color="auto"/>
        <w:left w:val="none" w:sz="0" w:space="0" w:color="auto"/>
        <w:bottom w:val="none" w:sz="0" w:space="0" w:color="auto"/>
        <w:right w:val="none" w:sz="0" w:space="0" w:color="auto"/>
      </w:divBdr>
    </w:div>
    <w:div w:id="184250752">
      <w:bodyDiv w:val="1"/>
      <w:marLeft w:val="0"/>
      <w:marRight w:val="0"/>
      <w:marTop w:val="0"/>
      <w:marBottom w:val="0"/>
      <w:divBdr>
        <w:top w:val="none" w:sz="0" w:space="0" w:color="auto"/>
        <w:left w:val="none" w:sz="0" w:space="0" w:color="auto"/>
        <w:bottom w:val="none" w:sz="0" w:space="0" w:color="auto"/>
        <w:right w:val="none" w:sz="0" w:space="0" w:color="auto"/>
      </w:divBdr>
    </w:div>
    <w:div w:id="185797964">
      <w:bodyDiv w:val="1"/>
      <w:marLeft w:val="0"/>
      <w:marRight w:val="0"/>
      <w:marTop w:val="0"/>
      <w:marBottom w:val="0"/>
      <w:divBdr>
        <w:top w:val="none" w:sz="0" w:space="0" w:color="auto"/>
        <w:left w:val="none" w:sz="0" w:space="0" w:color="auto"/>
        <w:bottom w:val="none" w:sz="0" w:space="0" w:color="auto"/>
        <w:right w:val="none" w:sz="0" w:space="0" w:color="auto"/>
      </w:divBdr>
    </w:div>
    <w:div w:id="238372670">
      <w:bodyDiv w:val="1"/>
      <w:marLeft w:val="0"/>
      <w:marRight w:val="0"/>
      <w:marTop w:val="0"/>
      <w:marBottom w:val="0"/>
      <w:divBdr>
        <w:top w:val="none" w:sz="0" w:space="0" w:color="auto"/>
        <w:left w:val="none" w:sz="0" w:space="0" w:color="auto"/>
        <w:bottom w:val="none" w:sz="0" w:space="0" w:color="auto"/>
        <w:right w:val="none" w:sz="0" w:space="0" w:color="auto"/>
      </w:divBdr>
    </w:div>
    <w:div w:id="240797015">
      <w:bodyDiv w:val="1"/>
      <w:marLeft w:val="0"/>
      <w:marRight w:val="0"/>
      <w:marTop w:val="0"/>
      <w:marBottom w:val="0"/>
      <w:divBdr>
        <w:top w:val="none" w:sz="0" w:space="0" w:color="auto"/>
        <w:left w:val="none" w:sz="0" w:space="0" w:color="auto"/>
        <w:bottom w:val="none" w:sz="0" w:space="0" w:color="auto"/>
        <w:right w:val="none" w:sz="0" w:space="0" w:color="auto"/>
      </w:divBdr>
    </w:div>
    <w:div w:id="258830591">
      <w:bodyDiv w:val="1"/>
      <w:marLeft w:val="0"/>
      <w:marRight w:val="0"/>
      <w:marTop w:val="0"/>
      <w:marBottom w:val="0"/>
      <w:divBdr>
        <w:top w:val="none" w:sz="0" w:space="0" w:color="auto"/>
        <w:left w:val="none" w:sz="0" w:space="0" w:color="auto"/>
        <w:bottom w:val="none" w:sz="0" w:space="0" w:color="auto"/>
        <w:right w:val="none" w:sz="0" w:space="0" w:color="auto"/>
      </w:divBdr>
    </w:div>
    <w:div w:id="275253271">
      <w:bodyDiv w:val="1"/>
      <w:marLeft w:val="0"/>
      <w:marRight w:val="0"/>
      <w:marTop w:val="0"/>
      <w:marBottom w:val="0"/>
      <w:divBdr>
        <w:top w:val="none" w:sz="0" w:space="0" w:color="auto"/>
        <w:left w:val="none" w:sz="0" w:space="0" w:color="auto"/>
        <w:bottom w:val="none" w:sz="0" w:space="0" w:color="auto"/>
        <w:right w:val="none" w:sz="0" w:space="0" w:color="auto"/>
      </w:divBdr>
    </w:div>
    <w:div w:id="282882068">
      <w:bodyDiv w:val="1"/>
      <w:marLeft w:val="0"/>
      <w:marRight w:val="0"/>
      <w:marTop w:val="0"/>
      <w:marBottom w:val="0"/>
      <w:divBdr>
        <w:top w:val="none" w:sz="0" w:space="0" w:color="auto"/>
        <w:left w:val="none" w:sz="0" w:space="0" w:color="auto"/>
        <w:bottom w:val="none" w:sz="0" w:space="0" w:color="auto"/>
        <w:right w:val="none" w:sz="0" w:space="0" w:color="auto"/>
      </w:divBdr>
    </w:div>
    <w:div w:id="310132978">
      <w:bodyDiv w:val="1"/>
      <w:marLeft w:val="0"/>
      <w:marRight w:val="0"/>
      <w:marTop w:val="0"/>
      <w:marBottom w:val="0"/>
      <w:divBdr>
        <w:top w:val="none" w:sz="0" w:space="0" w:color="auto"/>
        <w:left w:val="none" w:sz="0" w:space="0" w:color="auto"/>
        <w:bottom w:val="none" w:sz="0" w:space="0" w:color="auto"/>
        <w:right w:val="none" w:sz="0" w:space="0" w:color="auto"/>
      </w:divBdr>
    </w:div>
    <w:div w:id="323163539">
      <w:bodyDiv w:val="1"/>
      <w:marLeft w:val="0"/>
      <w:marRight w:val="0"/>
      <w:marTop w:val="0"/>
      <w:marBottom w:val="0"/>
      <w:divBdr>
        <w:top w:val="none" w:sz="0" w:space="0" w:color="auto"/>
        <w:left w:val="none" w:sz="0" w:space="0" w:color="auto"/>
        <w:bottom w:val="none" w:sz="0" w:space="0" w:color="auto"/>
        <w:right w:val="none" w:sz="0" w:space="0" w:color="auto"/>
      </w:divBdr>
    </w:div>
    <w:div w:id="342125501">
      <w:bodyDiv w:val="1"/>
      <w:marLeft w:val="0"/>
      <w:marRight w:val="0"/>
      <w:marTop w:val="0"/>
      <w:marBottom w:val="0"/>
      <w:divBdr>
        <w:top w:val="none" w:sz="0" w:space="0" w:color="auto"/>
        <w:left w:val="none" w:sz="0" w:space="0" w:color="auto"/>
        <w:bottom w:val="none" w:sz="0" w:space="0" w:color="auto"/>
        <w:right w:val="none" w:sz="0" w:space="0" w:color="auto"/>
      </w:divBdr>
    </w:div>
    <w:div w:id="363988720">
      <w:bodyDiv w:val="1"/>
      <w:marLeft w:val="0"/>
      <w:marRight w:val="0"/>
      <w:marTop w:val="0"/>
      <w:marBottom w:val="0"/>
      <w:divBdr>
        <w:top w:val="none" w:sz="0" w:space="0" w:color="auto"/>
        <w:left w:val="none" w:sz="0" w:space="0" w:color="auto"/>
        <w:bottom w:val="none" w:sz="0" w:space="0" w:color="auto"/>
        <w:right w:val="none" w:sz="0" w:space="0" w:color="auto"/>
      </w:divBdr>
    </w:div>
    <w:div w:id="506677230">
      <w:bodyDiv w:val="1"/>
      <w:marLeft w:val="0"/>
      <w:marRight w:val="0"/>
      <w:marTop w:val="0"/>
      <w:marBottom w:val="0"/>
      <w:divBdr>
        <w:top w:val="none" w:sz="0" w:space="0" w:color="auto"/>
        <w:left w:val="none" w:sz="0" w:space="0" w:color="auto"/>
        <w:bottom w:val="none" w:sz="0" w:space="0" w:color="auto"/>
        <w:right w:val="none" w:sz="0" w:space="0" w:color="auto"/>
      </w:divBdr>
    </w:div>
    <w:div w:id="520901582">
      <w:bodyDiv w:val="1"/>
      <w:marLeft w:val="0"/>
      <w:marRight w:val="0"/>
      <w:marTop w:val="0"/>
      <w:marBottom w:val="0"/>
      <w:divBdr>
        <w:top w:val="none" w:sz="0" w:space="0" w:color="auto"/>
        <w:left w:val="none" w:sz="0" w:space="0" w:color="auto"/>
        <w:bottom w:val="none" w:sz="0" w:space="0" w:color="auto"/>
        <w:right w:val="none" w:sz="0" w:space="0" w:color="auto"/>
      </w:divBdr>
    </w:div>
    <w:div w:id="547496656">
      <w:bodyDiv w:val="1"/>
      <w:marLeft w:val="0"/>
      <w:marRight w:val="0"/>
      <w:marTop w:val="0"/>
      <w:marBottom w:val="0"/>
      <w:divBdr>
        <w:top w:val="none" w:sz="0" w:space="0" w:color="auto"/>
        <w:left w:val="none" w:sz="0" w:space="0" w:color="auto"/>
        <w:bottom w:val="none" w:sz="0" w:space="0" w:color="auto"/>
        <w:right w:val="none" w:sz="0" w:space="0" w:color="auto"/>
      </w:divBdr>
    </w:div>
    <w:div w:id="622422947">
      <w:bodyDiv w:val="1"/>
      <w:marLeft w:val="0"/>
      <w:marRight w:val="0"/>
      <w:marTop w:val="0"/>
      <w:marBottom w:val="0"/>
      <w:divBdr>
        <w:top w:val="none" w:sz="0" w:space="0" w:color="auto"/>
        <w:left w:val="none" w:sz="0" w:space="0" w:color="auto"/>
        <w:bottom w:val="none" w:sz="0" w:space="0" w:color="auto"/>
        <w:right w:val="none" w:sz="0" w:space="0" w:color="auto"/>
      </w:divBdr>
    </w:div>
    <w:div w:id="646131452">
      <w:bodyDiv w:val="1"/>
      <w:marLeft w:val="0"/>
      <w:marRight w:val="0"/>
      <w:marTop w:val="0"/>
      <w:marBottom w:val="0"/>
      <w:divBdr>
        <w:top w:val="none" w:sz="0" w:space="0" w:color="auto"/>
        <w:left w:val="none" w:sz="0" w:space="0" w:color="auto"/>
        <w:bottom w:val="none" w:sz="0" w:space="0" w:color="auto"/>
        <w:right w:val="none" w:sz="0" w:space="0" w:color="auto"/>
      </w:divBdr>
    </w:div>
    <w:div w:id="672031047">
      <w:bodyDiv w:val="1"/>
      <w:marLeft w:val="0"/>
      <w:marRight w:val="0"/>
      <w:marTop w:val="0"/>
      <w:marBottom w:val="0"/>
      <w:divBdr>
        <w:top w:val="none" w:sz="0" w:space="0" w:color="auto"/>
        <w:left w:val="none" w:sz="0" w:space="0" w:color="auto"/>
        <w:bottom w:val="none" w:sz="0" w:space="0" w:color="auto"/>
        <w:right w:val="none" w:sz="0" w:space="0" w:color="auto"/>
      </w:divBdr>
    </w:div>
    <w:div w:id="700668545">
      <w:bodyDiv w:val="1"/>
      <w:marLeft w:val="0"/>
      <w:marRight w:val="0"/>
      <w:marTop w:val="0"/>
      <w:marBottom w:val="0"/>
      <w:divBdr>
        <w:top w:val="none" w:sz="0" w:space="0" w:color="auto"/>
        <w:left w:val="none" w:sz="0" w:space="0" w:color="auto"/>
        <w:bottom w:val="none" w:sz="0" w:space="0" w:color="auto"/>
        <w:right w:val="none" w:sz="0" w:space="0" w:color="auto"/>
      </w:divBdr>
    </w:div>
    <w:div w:id="731348358">
      <w:bodyDiv w:val="1"/>
      <w:marLeft w:val="0"/>
      <w:marRight w:val="0"/>
      <w:marTop w:val="0"/>
      <w:marBottom w:val="0"/>
      <w:divBdr>
        <w:top w:val="none" w:sz="0" w:space="0" w:color="auto"/>
        <w:left w:val="none" w:sz="0" w:space="0" w:color="auto"/>
        <w:bottom w:val="none" w:sz="0" w:space="0" w:color="auto"/>
        <w:right w:val="none" w:sz="0" w:space="0" w:color="auto"/>
      </w:divBdr>
    </w:div>
    <w:div w:id="775829619">
      <w:bodyDiv w:val="1"/>
      <w:marLeft w:val="0"/>
      <w:marRight w:val="0"/>
      <w:marTop w:val="0"/>
      <w:marBottom w:val="0"/>
      <w:divBdr>
        <w:top w:val="none" w:sz="0" w:space="0" w:color="auto"/>
        <w:left w:val="none" w:sz="0" w:space="0" w:color="auto"/>
        <w:bottom w:val="none" w:sz="0" w:space="0" w:color="auto"/>
        <w:right w:val="none" w:sz="0" w:space="0" w:color="auto"/>
      </w:divBdr>
      <w:divsChild>
        <w:div w:id="75133764">
          <w:marLeft w:val="0"/>
          <w:marRight w:val="0"/>
          <w:marTop w:val="0"/>
          <w:marBottom w:val="0"/>
          <w:divBdr>
            <w:top w:val="none" w:sz="0" w:space="0" w:color="auto"/>
            <w:left w:val="none" w:sz="0" w:space="0" w:color="auto"/>
            <w:bottom w:val="none" w:sz="0" w:space="0" w:color="auto"/>
            <w:right w:val="none" w:sz="0" w:space="0" w:color="auto"/>
          </w:divBdr>
          <w:divsChild>
            <w:div w:id="1292442759">
              <w:marLeft w:val="0"/>
              <w:marRight w:val="0"/>
              <w:marTop w:val="0"/>
              <w:marBottom w:val="0"/>
              <w:divBdr>
                <w:top w:val="none" w:sz="0" w:space="0" w:color="auto"/>
                <w:left w:val="none" w:sz="0" w:space="0" w:color="auto"/>
                <w:bottom w:val="none" w:sz="0" w:space="0" w:color="auto"/>
                <w:right w:val="none" w:sz="0" w:space="0" w:color="auto"/>
              </w:divBdr>
            </w:div>
          </w:divsChild>
        </w:div>
        <w:div w:id="1739093167">
          <w:marLeft w:val="0"/>
          <w:marRight w:val="0"/>
          <w:marTop w:val="0"/>
          <w:marBottom w:val="0"/>
          <w:divBdr>
            <w:top w:val="none" w:sz="0" w:space="0" w:color="auto"/>
            <w:left w:val="none" w:sz="0" w:space="0" w:color="auto"/>
            <w:bottom w:val="none" w:sz="0" w:space="0" w:color="auto"/>
            <w:right w:val="none" w:sz="0" w:space="0" w:color="auto"/>
          </w:divBdr>
          <w:divsChild>
            <w:div w:id="602688977">
              <w:marLeft w:val="0"/>
              <w:marRight w:val="0"/>
              <w:marTop w:val="0"/>
              <w:marBottom w:val="0"/>
              <w:divBdr>
                <w:top w:val="none" w:sz="0" w:space="0" w:color="auto"/>
                <w:left w:val="none" w:sz="0" w:space="0" w:color="auto"/>
                <w:bottom w:val="none" w:sz="0" w:space="0" w:color="auto"/>
                <w:right w:val="none" w:sz="0" w:space="0" w:color="auto"/>
              </w:divBdr>
            </w:div>
          </w:divsChild>
        </w:div>
        <w:div w:id="1772821623">
          <w:marLeft w:val="0"/>
          <w:marRight w:val="0"/>
          <w:marTop w:val="0"/>
          <w:marBottom w:val="0"/>
          <w:divBdr>
            <w:top w:val="none" w:sz="0" w:space="0" w:color="auto"/>
            <w:left w:val="none" w:sz="0" w:space="0" w:color="auto"/>
            <w:bottom w:val="none" w:sz="0" w:space="0" w:color="auto"/>
            <w:right w:val="none" w:sz="0" w:space="0" w:color="auto"/>
          </w:divBdr>
          <w:divsChild>
            <w:div w:id="636840703">
              <w:marLeft w:val="0"/>
              <w:marRight w:val="0"/>
              <w:marTop w:val="0"/>
              <w:marBottom w:val="0"/>
              <w:divBdr>
                <w:top w:val="none" w:sz="0" w:space="0" w:color="auto"/>
                <w:left w:val="none" w:sz="0" w:space="0" w:color="auto"/>
                <w:bottom w:val="none" w:sz="0" w:space="0" w:color="auto"/>
                <w:right w:val="none" w:sz="0" w:space="0" w:color="auto"/>
              </w:divBdr>
            </w:div>
          </w:divsChild>
        </w:div>
        <w:div w:id="1830243975">
          <w:marLeft w:val="0"/>
          <w:marRight w:val="0"/>
          <w:marTop w:val="0"/>
          <w:marBottom w:val="0"/>
          <w:divBdr>
            <w:top w:val="none" w:sz="0" w:space="0" w:color="auto"/>
            <w:left w:val="none" w:sz="0" w:space="0" w:color="auto"/>
            <w:bottom w:val="none" w:sz="0" w:space="0" w:color="auto"/>
            <w:right w:val="none" w:sz="0" w:space="0" w:color="auto"/>
          </w:divBdr>
          <w:divsChild>
            <w:div w:id="216820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494918">
      <w:bodyDiv w:val="1"/>
      <w:marLeft w:val="0"/>
      <w:marRight w:val="0"/>
      <w:marTop w:val="0"/>
      <w:marBottom w:val="0"/>
      <w:divBdr>
        <w:top w:val="none" w:sz="0" w:space="0" w:color="auto"/>
        <w:left w:val="none" w:sz="0" w:space="0" w:color="auto"/>
        <w:bottom w:val="none" w:sz="0" w:space="0" w:color="auto"/>
        <w:right w:val="none" w:sz="0" w:space="0" w:color="auto"/>
      </w:divBdr>
    </w:div>
    <w:div w:id="808280464">
      <w:bodyDiv w:val="1"/>
      <w:marLeft w:val="0"/>
      <w:marRight w:val="0"/>
      <w:marTop w:val="0"/>
      <w:marBottom w:val="0"/>
      <w:divBdr>
        <w:top w:val="none" w:sz="0" w:space="0" w:color="auto"/>
        <w:left w:val="none" w:sz="0" w:space="0" w:color="auto"/>
        <w:bottom w:val="none" w:sz="0" w:space="0" w:color="auto"/>
        <w:right w:val="none" w:sz="0" w:space="0" w:color="auto"/>
      </w:divBdr>
    </w:div>
    <w:div w:id="869993614">
      <w:bodyDiv w:val="1"/>
      <w:marLeft w:val="0"/>
      <w:marRight w:val="0"/>
      <w:marTop w:val="0"/>
      <w:marBottom w:val="0"/>
      <w:divBdr>
        <w:top w:val="none" w:sz="0" w:space="0" w:color="auto"/>
        <w:left w:val="none" w:sz="0" w:space="0" w:color="auto"/>
        <w:bottom w:val="none" w:sz="0" w:space="0" w:color="auto"/>
        <w:right w:val="none" w:sz="0" w:space="0" w:color="auto"/>
      </w:divBdr>
    </w:div>
    <w:div w:id="928389099">
      <w:bodyDiv w:val="1"/>
      <w:marLeft w:val="0"/>
      <w:marRight w:val="0"/>
      <w:marTop w:val="0"/>
      <w:marBottom w:val="0"/>
      <w:divBdr>
        <w:top w:val="none" w:sz="0" w:space="0" w:color="auto"/>
        <w:left w:val="none" w:sz="0" w:space="0" w:color="auto"/>
        <w:bottom w:val="none" w:sz="0" w:space="0" w:color="auto"/>
        <w:right w:val="none" w:sz="0" w:space="0" w:color="auto"/>
      </w:divBdr>
    </w:div>
    <w:div w:id="940263623">
      <w:bodyDiv w:val="1"/>
      <w:marLeft w:val="0"/>
      <w:marRight w:val="0"/>
      <w:marTop w:val="0"/>
      <w:marBottom w:val="0"/>
      <w:divBdr>
        <w:top w:val="none" w:sz="0" w:space="0" w:color="auto"/>
        <w:left w:val="none" w:sz="0" w:space="0" w:color="auto"/>
        <w:bottom w:val="none" w:sz="0" w:space="0" w:color="auto"/>
        <w:right w:val="none" w:sz="0" w:space="0" w:color="auto"/>
      </w:divBdr>
    </w:div>
    <w:div w:id="943729196">
      <w:bodyDiv w:val="1"/>
      <w:marLeft w:val="0"/>
      <w:marRight w:val="0"/>
      <w:marTop w:val="0"/>
      <w:marBottom w:val="0"/>
      <w:divBdr>
        <w:top w:val="none" w:sz="0" w:space="0" w:color="auto"/>
        <w:left w:val="none" w:sz="0" w:space="0" w:color="auto"/>
        <w:bottom w:val="none" w:sz="0" w:space="0" w:color="auto"/>
        <w:right w:val="none" w:sz="0" w:space="0" w:color="auto"/>
      </w:divBdr>
    </w:div>
    <w:div w:id="999965459">
      <w:bodyDiv w:val="1"/>
      <w:marLeft w:val="0"/>
      <w:marRight w:val="0"/>
      <w:marTop w:val="0"/>
      <w:marBottom w:val="0"/>
      <w:divBdr>
        <w:top w:val="none" w:sz="0" w:space="0" w:color="auto"/>
        <w:left w:val="none" w:sz="0" w:space="0" w:color="auto"/>
        <w:bottom w:val="none" w:sz="0" w:space="0" w:color="auto"/>
        <w:right w:val="none" w:sz="0" w:space="0" w:color="auto"/>
      </w:divBdr>
    </w:div>
    <w:div w:id="1054550246">
      <w:bodyDiv w:val="1"/>
      <w:marLeft w:val="0"/>
      <w:marRight w:val="0"/>
      <w:marTop w:val="0"/>
      <w:marBottom w:val="0"/>
      <w:divBdr>
        <w:top w:val="none" w:sz="0" w:space="0" w:color="auto"/>
        <w:left w:val="none" w:sz="0" w:space="0" w:color="auto"/>
        <w:bottom w:val="none" w:sz="0" w:space="0" w:color="auto"/>
        <w:right w:val="none" w:sz="0" w:space="0" w:color="auto"/>
      </w:divBdr>
    </w:div>
    <w:div w:id="1117214092">
      <w:bodyDiv w:val="1"/>
      <w:marLeft w:val="0"/>
      <w:marRight w:val="0"/>
      <w:marTop w:val="0"/>
      <w:marBottom w:val="0"/>
      <w:divBdr>
        <w:top w:val="none" w:sz="0" w:space="0" w:color="auto"/>
        <w:left w:val="none" w:sz="0" w:space="0" w:color="auto"/>
        <w:bottom w:val="none" w:sz="0" w:space="0" w:color="auto"/>
        <w:right w:val="none" w:sz="0" w:space="0" w:color="auto"/>
      </w:divBdr>
    </w:div>
    <w:div w:id="1212305465">
      <w:bodyDiv w:val="1"/>
      <w:marLeft w:val="0"/>
      <w:marRight w:val="0"/>
      <w:marTop w:val="0"/>
      <w:marBottom w:val="0"/>
      <w:divBdr>
        <w:top w:val="none" w:sz="0" w:space="0" w:color="auto"/>
        <w:left w:val="none" w:sz="0" w:space="0" w:color="auto"/>
        <w:bottom w:val="none" w:sz="0" w:space="0" w:color="auto"/>
        <w:right w:val="none" w:sz="0" w:space="0" w:color="auto"/>
      </w:divBdr>
    </w:div>
    <w:div w:id="1265920100">
      <w:bodyDiv w:val="1"/>
      <w:marLeft w:val="0"/>
      <w:marRight w:val="0"/>
      <w:marTop w:val="0"/>
      <w:marBottom w:val="0"/>
      <w:divBdr>
        <w:top w:val="none" w:sz="0" w:space="0" w:color="auto"/>
        <w:left w:val="none" w:sz="0" w:space="0" w:color="auto"/>
        <w:bottom w:val="none" w:sz="0" w:space="0" w:color="auto"/>
        <w:right w:val="none" w:sz="0" w:space="0" w:color="auto"/>
      </w:divBdr>
    </w:div>
    <w:div w:id="1275936922">
      <w:bodyDiv w:val="1"/>
      <w:marLeft w:val="0"/>
      <w:marRight w:val="0"/>
      <w:marTop w:val="0"/>
      <w:marBottom w:val="0"/>
      <w:divBdr>
        <w:top w:val="none" w:sz="0" w:space="0" w:color="auto"/>
        <w:left w:val="none" w:sz="0" w:space="0" w:color="auto"/>
        <w:bottom w:val="none" w:sz="0" w:space="0" w:color="auto"/>
        <w:right w:val="none" w:sz="0" w:space="0" w:color="auto"/>
      </w:divBdr>
    </w:div>
    <w:div w:id="1279414953">
      <w:bodyDiv w:val="1"/>
      <w:marLeft w:val="0"/>
      <w:marRight w:val="0"/>
      <w:marTop w:val="0"/>
      <w:marBottom w:val="0"/>
      <w:divBdr>
        <w:top w:val="none" w:sz="0" w:space="0" w:color="auto"/>
        <w:left w:val="none" w:sz="0" w:space="0" w:color="auto"/>
        <w:bottom w:val="none" w:sz="0" w:space="0" w:color="auto"/>
        <w:right w:val="none" w:sz="0" w:space="0" w:color="auto"/>
      </w:divBdr>
    </w:div>
    <w:div w:id="1300109968">
      <w:bodyDiv w:val="1"/>
      <w:marLeft w:val="0"/>
      <w:marRight w:val="0"/>
      <w:marTop w:val="0"/>
      <w:marBottom w:val="0"/>
      <w:divBdr>
        <w:top w:val="none" w:sz="0" w:space="0" w:color="auto"/>
        <w:left w:val="none" w:sz="0" w:space="0" w:color="auto"/>
        <w:bottom w:val="none" w:sz="0" w:space="0" w:color="auto"/>
        <w:right w:val="none" w:sz="0" w:space="0" w:color="auto"/>
      </w:divBdr>
    </w:div>
    <w:div w:id="1378120554">
      <w:bodyDiv w:val="1"/>
      <w:marLeft w:val="0"/>
      <w:marRight w:val="0"/>
      <w:marTop w:val="0"/>
      <w:marBottom w:val="0"/>
      <w:divBdr>
        <w:top w:val="none" w:sz="0" w:space="0" w:color="auto"/>
        <w:left w:val="none" w:sz="0" w:space="0" w:color="auto"/>
        <w:bottom w:val="none" w:sz="0" w:space="0" w:color="auto"/>
        <w:right w:val="none" w:sz="0" w:space="0" w:color="auto"/>
      </w:divBdr>
    </w:div>
    <w:div w:id="1450510243">
      <w:bodyDiv w:val="1"/>
      <w:marLeft w:val="0"/>
      <w:marRight w:val="0"/>
      <w:marTop w:val="0"/>
      <w:marBottom w:val="0"/>
      <w:divBdr>
        <w:top w:val="none" w:sz="0" w:space="0" w:color="auto"/>
        <w:left w:val="none" w:sz="0" w:space="0" w:color="auto"/>
        <w:bottom w:val="none" w:sz="0" w:space="0" w:color="auto"/>
        <w:right w:val="none" w:sz="0" w:space="0" w:color="auto"/>
      </w:divBdr>
    </w:div>
    <w:div w:id="1455103379">
      <w:bodyDiv w:val="1"/>
      <w:marLeft w:val="0"/>
      <w:marRight w:val="0"/>
      <w:marTop w:val="0"/>
      <w:marBottom w:val="0"/>
      <w:divBdr>
        <w:top w:val="none" w:sz="0" w:space="0" w:color="auto"/>
        <w:left w:val="none" w:sz="0" w:space="0" w:color="auto"/>
        <w:bottom w:val="none" w:sz="0" w:space="0" w:color="auto"/>
        <w:right w:val="none" w:sz="0" w:space="0" w:color="auto"/>
      </w:divBdr>
    </w:div>
    <w:div w:id="1554732346">
      <w:bodyDiv w:val="1"/>
      <w:marLeft w:val="0"/>
      <w:marRight w:val="0"/>
      <w:marTop w:val="0"/>
      <w:marBottom w:val="0"/>
      <w:divBdr>
        <w:top w:val="none" w:sz="0" w:space="0" w:color="auto"/>
        <w:left w:val="none" w:sz="0" w:space="0" w:color="auto"/>
        <w:bottom w:val="none" w:sz="0" w:space="0" w:color="auto"/>
        <w:right w:val="none" w:sz="0" w:space="0" w:color="auto"/>
      </w:divBdr>
    </w:div>
    <w:div w:id="1555116378">
      <w:bodyDiv w:val="1"/>
      <w:marLeft w:val="0"/>
      <w:marRight w:val="0"/>
      <w:marTop w:val="0"/>
      <w:marBottom w:val="0"/>
      <w:divBdr>
        <w:top w:val="none" w:sz="0" w:space="0" w:color="auto"/>
        <w:left w:val="none" w:sz="0" w:space="0" w:color="auto"/>
        <w:bottom w:val="none" w:sz="0" w:space="0" w:color="auto"/>
        <w:right w:val="none" w:sz="0" w:space="0" w:color="auto"/>
      </w:divBdr>
    </w:div>
    <w:div w:id="1563325620">
      <w:bodyDiv w:val="1"/>
      <w:marLeft w:val="0"/>
      <w:marRight w:val="0"/>
      <w:marTop w:val="0"/>
      <w:marBottom w:val="0"/>
      <w:divBdr>
        <w:top w:val="none" w:sz="0" w:space="0" w:color="auto"/>
        <w:left w:val="none" w:sz="0" w:space="0" w:color="auto"/>
        <w:bottom w:val="none" w:sz="0" w:space="0" w:color="auto"/>
        <w:right w:val="none" w:sz="0" w:space="0" w:color="auto"/>
      </w:divBdr>
    </w:div>
    <w:div w:id="1609308782">
      <w:bodyDiv w:val="1"/>
      <w:marLeft w:val="0"/>
      <w:marRight w:val="0"/>
      <w:marTop w:val="0"/>
      <w:marBottom w:val="0"/>
      <w:divBdr>
        <w:top w:val="none" w:sz="0" w:space="0" w:color="auto"/>
        <w:left w:val="none" w:sz="0" w:space="0" w:color="auto"/>
        <w:bottom w:val="none" w:sz="0" w:space="0" w:color="auto"/>
        <w:right w:val="none" w:sz="0" w:space="0" w:color="auto"/>
      </w:divBdr>
    </w:div>
    <w:div w:id="1636641715">
      <w:bodyDiv w:val="1"/>
      <w:marLeft w:val="0"/>
      <w:marRight w:val="0"/>
      <w:marTop w:val="0"/>
      <w:marBottom w:val="0"/>
      <w:divBdr>
        <w:top w:val="none" w:sz="0" w:space="0" w:color="auto"/>
        <w:left w:val="none" w:sz="0" w:space="0" w:color="auto"/>
        <w:bottom w:val="none" w:sz="0" w:space="0" w:color="auto"/>
        <w:right w:val="none" w:sz="0" w:space="0" w:color="auto"/>
      </w:divBdr>
    </w:div>
    <w:div w:id="1660843224">
      <w:bodyDiv w:val="1"/>
      <w:marLeft w:val="0"/>
      <w:marRight w:val="0"/>
      <w:marTop w:val="0"/>
      <w:marBottom w:val="0"/>
      <w:divBdr>
        <w:top w:val="none" w:sz="0" w:space="0" w:color="auto"/>
        <w:left w:val="none" w:sz="0" w:space="0" w:color="auto"/>
        <w:bottom w:val="none" w:sz="0" w:space="0" w:color="auto"/>
        <w:right w:val="none" w:sz="0" w:space="0" w:color="auto"/>
      </w:divBdr>
    </w:div>
    <w:div w:id="1664120594">
      <w:bodyDiv w:val="1"/>
      <w:marLeft w:val="0"/>
      <w:marRight w:val="0"/>
      <w:marTop w:val="0"/>
      <w:marBottom w:val="0"/>
      <w:divBdr>
        <w:top w:val="none" w:sz="0" w:space="0" w:color="auto"/>
        <w:left w:val="none" w:sz="0" w:space="0" w:color="auto"/>
        <w:bottom w:val="none" w:sz="0" w:space="0" w:color="auto"/>
        <w:right w:val="none" w:sz="0" w:space="0" w:color="auto"/>
      </w:divBdr>
    </w:div>
    <w:div w:id="1701397403">
      <w:bodyDiv w:val="1"/>
      <w:marLeft w:val="0"/>
      <w:marRight w:val="0"/>
      <w:marTop w:val="0"/>
      <w:marBottom w:val="0"/>
      <w:divBdr>
        <w:top w:val="none" w:sz="0" w:space="0" w:color="auto"/>
        <w:left w:val="none" w:sz="0" w:space="0" w:color="auto"/>
        <w:bottom w:val="none" w:sz="0" w:space="0" w:color="auto"/>
        <w:right w:val="none" w:sz="0" w:space="0" w:color="auto"/>
      </w:divBdr>
    </w:div>
    <w:div w:id="1725829886">
      <w:bodyDiv w:val="1"/>
      <w:marLeft w:val="0"/>
      <w:marRight w:val="0"/>
      <w:marTop w:val="0"/>
      <w:marBottom w:val="0"/>
      <w:divBdr>
        <w:top w:val="none" w:sz="0" w:space="0" w:color="auto"/>
        <w:left w:val="none" w:sz="0" w:space="0" w:color="auto"/>
        <w:bottom w:val="none" w:sz="0" w:space="0" w:color="auto"/>
        <w:right w:val="none" w:sz="0" w:space="0" w:color="auto"/>
      </w:divBdr>
    </w:div>
    <w:div w:id="1767995210">
      <w:bodyDiv w:val="1"/>
      <w:marLeft w:val="0"/>
      <w:marRight w:val="0"/>
      <w:marTop w:val="0"/>
      <w:marBottom w:val="0"/>
      <w:divBdr>
        <w:top w:val="none" w:sz="0" w:space="0" w:color="auto"/>
        <w:left w:val="none" w:sz="0" w:space="0" w:color="auto"/>
        <w:bottom w:val="none" w:sz="0" w:space="0" w:color="auto"/>
        <w:right w:val="none" w:sz="0" w:space="0" w:color="auto"/>
      </w:divBdr>
    </w:div>
    <w:div w:id="1768041202">
      <w:bodyDiv w:val="1"/>
      <w:marLeft w:val="0"/>
      <w:marRight w:val="0"/>
      <w:marTop w:val="0"/>
      <w:marBottom w:val="0"/>
      <w:divBdr>
        <w:top w:val="none" w:sz="0" w:space="0" w:color="auto"/>
        <w:left w:val="none" w:sz="0" w:space="0" w:color="auto"/>
        <w:bottom w:val="none" w:sz="0" w:space="0" w:color="auto"/>
        <w:right w:val="none" w:sz="0" w:space="0" w:color="auto"/>
      </w:divBdr>
    </w:div>
    <w:div w:id="1786727681">
      <w:bodyDiv w:val="1"/>
      <w:marLeft w:val="0"/>
      <w:marRight w:val="0"/>
      <w:marTop w:val="0"/>
      <w:marBottom w:val="0"/>
      <w:divBdr>
        <w:top w:val="none" w:sz="0" w:space="0" w:color="auto"/>
        <w:left w:val="none" w:sz="0" w:space="0" w:color="auto"/>
        <w:bottom w:val="none" w:sz="0" w:space="0" w:color="auto"/>
        <w:right w:val="none" w:sz="0" w:space="0" w:color="auto"/>
      </w:divBdr>
    </w:div>
    <w:div w:id="1788163672">
      <w:bodyDiv w:val="1"/>
      <w:marLeft w:val="0"/>
      <w:marRight w:val="0"/>
      <w:marTop w:val="0"/>
      <w:marBottom w:val="0"/>
      <w:divBdr>
        <w:top w:val="none" w:sz="0" w:space="0" w:color="auto"/>
        <w:left w:val="none" w:sz="0" w:space="0" w:color="auto"/>
        <w:bottom w:val="none" w:sz="0" w:space="0" w:color="auto"/>
        <w:right w:val="none" w:sz="0" w:space="0" w:color="auto"/>
      </w:divBdr>
    </w:div>
    <w:div w:id="1793479587">
      <w:bodyDiv w:val="1"/>
      <w:marLeft w:val="0"/>
      <w:marRight w:val="0"/>
      <w:marTop w:val="0"/>
      <w:marBottom w:val="0"/>
      <w:divBdr>
        <w:top w:val="none" w:sz="0" w:space="0" w:color="auto"/>
        <w:left w:val="none" w:sz="0" w:space="0" w:color="auto"/>
        <w:bottom w:val="none" w:sz="0" w:space="0" w:color="auto"/>
        <w:right w:val="none" w:sz="0" w:space="0" w:color="auto"/>
      </w:divBdr>
      <w:divsChild>
        <w:div w:id="1594775257">
          <w:marLeft w:val="0"/>
          <w:marRight w:val="0"/>
          <w:marTop w:val="0"/>
          <w:marBottom w:val="0"/>
          <w:divBdr>
            <w:top w:val="none" w:sz="0" w:space="0" w:color="auto"/>
            <w:left w:val="none" w:sz="0" w:space="0" w:color="auto"/>
            <w:bottom w:val="none" w:sz="0" w:space="0" w:color="auto"/>
            <w:right w:val="none" w:sz="0" w:space="0" w:color="auto"/>
          </w:divBdr>
          <w:divsChild>
            <w:div w:id="669336713">
              <w:marLeft w:val="0"/>
              <w:marRight w:val="0"/>
              <w:marTop w:val="0"/>
              <w:marBottom w:val="0"/>
              <w:divBdr>
                <w:top w:val="none" w:sz="0" w:space="0" w:color="auto"/>
                <w:left w:val="none" w:sz="0" w:space="0" w:color="auto"/>
                <w:bottom w:val="none" w:sz="0" w:space="0" w:color="auto"/>
                <w:right w:val="none" w:sz="0" w:space="0" w:color="auto"/>
              </w:divBdr>
            </w:div>
          </w:divsChild>
        </w:div>
        <w:div w:id="1686980141">
          <w:marLeft w:val="0"/>
          <w:marRight w:val="0"/>
          <w:marTop w:val="0"/>
          <w:marBottom w:val="0"/>
          <w:divBdr>
            <w:top w:val="none" w:sz="0" w:space="0" w:color="auto"/>
            <w:left w:val="none" w:sz="0" w:space="0" w:color="auto"/>
            <w:bottom w:val="none" w:sz="0" w:space="0" w:color="auto"/>
            <w:right w:val="none" w:sz="0" w:space="0" w:color="auto"/>
          </w:divBdr>
          <w:divsChild>
            <w:div w:id="800804405">
              <w:marLeft w:val="0"/>
              <w:marRight w:val="0"/>
              <w:marTop w:val="0"/>
              <w:marBottom w:val="0"/>
              <w:divBdr>
                <w:top w:val="none" w:sz="0" w:space="0" w:color="auto"/>
                <w:left w:val="none" w:sz="0" w:space="0" w:color="auto"/>
                <w:bottom w:val="none" w:sz="0" w:space="0" w:color="auto"/>
                <w:right w:val="none" w:sz="0" w:space="0" w:color="auto"/>
              </w:divBdr>
            </w:div>
          </w:divsChild>
        </w:div>
        <w:div w:id="1717198108">
          <w:marLeft w:val="0"/>
          <w:marRight w:val="0"/>
          <w:marTop w:val="0"/>
          <w:marBottom w:val="0"/>
          <w:divBdr>
            <w:top w:val="none" w:sz="0" w:space="0" w:color="auto"/>
            <w:left w:val="none" w:sz="0" w:space="0" w:color="auto"/>
            <w:bottom w:val="none" w:sz="0" w:space="0" w:color="auto"/>
            <w:right w:val="none" w:sz="0" w:space="0" w:color="auto"/>
          </w:divBdr>
          <w:divsChild>
            <w:div w:id="1519081114">
              <w:marLeft w:val="0"/>
              <w:marRight w:val="0"/>
              <w:marTop w:val="0"/>
              <w:marBottom w:val="0"/>
              <w:divBdr>
                <w:top w:val="none" w:sz="0" w:space="0" w:color="auto"/>
                <w:left w:val="none" w:sz="0" w:space="0" w:color="auto"/>
                <w:bottom w:val="none" w:sz="0" w:space="0" w:color="auto"/>
                <w:right w:val="none" w:sz="0" w:space="0" w:color="auto"/>
              </w:divBdr>
            </w:div>
          </w:divsChild>
        </w:div>
        <w:div w:id="2109810097">
          <w:marLeft w:val="0"/>
          <w:marRight w:val="0"/>
          <w:marTop w:val="0"/>
          <w:marBottom w:val="0"/>
          <w:divBdr>
            <w:top w:val="none" w:sz="0" w:space="0" w:color="auto"/>
            <w:left w:val="none" w:sz="0" w:space="0" w:color="auto"/>
            <w:bottom w:val="none" w:sz="0" w:space="0" w:color="auto"/>
            <w:right w:val="none" w:sz="0" w:space="0" w:color="auto"/>
          </w:divBdr>
          <w:divsChild>
            <w:div w:id="1111243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516229">
      <w:bodyDiv w:val="1"/>
      <w:marLeft w:val="0"/>
      <w:marRight w:val="0"/>
      <w:marTop w:val="0"/>
      <w:marBottom w:val="0"/>
      <w:divBdr>
        <w:top w:val="none" w:sz="0" w:space="0" w:color="auto"/>
        <w:left w:val="none" w:sz="0" w:space="0" w:color="auto"/>
        <w:bottom w:val="none" w:sz="0" w:space="0" w:color="auto"/>
        <w:right w:val="none" w:sz="0" w:space="0" w:color="auto"/>
      </w:divBdr>
    </w:div>
    <w:div w:id="1926375792">
      <w:bodyDiv w:val="1"/>
      <w:marLeft w:val="0"/>
      <w:marRight w:val="0"/>
      <w:marTop w:val="0"/>
      <w:marBottom w:val="0"/>
      <w:divBdr>
        <w:top w:val="none" w:sz="0" w:space="0" w:color="auto"/>
        <w:left w:val="none" w:sz="0" w:space="0" w:color="auto"/>
        <w:bottom w:val="none" w:sz="0" w:space="0" w:color="auto"/>
        <w:right w:val="none" w:sz="0" w:space="0" w:color="auto"/>
      </w:divBdr>
    </w:div>
    <w:div w:id="1956448044">
      <w:bodyDiv w:val="1"/>
      <w:marLeft w:val="0"/>
      <w:marRight w:val="0"/>
      <w:marTop w:val="0"/>
      <w:marBottom w:val="0"/>
      <w:divBdr>
        <w:top w:val="none" w:sz="0" w:space="0" w:color="auto"/>
        <w:left w:val="none" w:sz="0" w:space="0" w:color="auto"/>
        <w:bottom w:val="none" w:sz="0" w:space="0" w:color="auto"/>
        <w:right w:val="none" w:sz="0" w:space="0" w:color="auto"/>
      </w:divBdr>
    </w:div>
    <w:div w:id="1980527177">
      <w:bodyDiv w:val="1"/>
      <w:marLeft w:val="0"/>
      <w:marRight w:val="0"/>
      <w:marTop w:val="0"/>
      <w:marBottom w:val="0"/>
      <w:divBdr>
        <w:top w:val="none" w:sz="0" w:space="0" w:color="auto"/>
        <w:left w:val="none" w:sz="0" w:space="0" w:color="auto"/>
        <w:bottom w:val="none" w:sz="0" w:space="0" w:color="auto"/>
        <w:right w:val="none" w:sz="0" w:space="0" w:color="auto"/>
      </w:divBdr>
    </w:div>
    <w:div w:id="2028092862">
      <w:bodyDiv w:val="1"/>
      <w:marLeft w:val="0"/>
      <w:marRight w:val="0"/>
      <w:marTop w:val="0"/>
      <w:marBottom w:val="0"/>
      <w:divBdr>
        <w:top w:val="none" w:sz="0" w:space="0" w:color="auto"/>
        <w:left w:val="none" w:sz="0" w:space="0" w:color="auto"/>
        <w:bottom w:val="none" w:sz="0" w:space="0" w:color="auto"/>
        <w:right w:val="none" w:sz="0" w:space="0" w:color="auto"/>
      </w:divBdr>
    </w:div>
    <w:div w:id="2088502335">
      <w:bodyDiv w:val="1"/>
      <w:marLeft w:val="0"/>
      <w:marRight w:val="0"/>
      <w:marTop w:val="0"/>
      <w:marBottom w:val="0"/>
      <w:divBdr>
        <w:top w:val="none" w:sz="0" w:space="0" w:color="auto"/>
        <w:left w:val="none" w:sz="0" w:space="0" w:color="auto"/>
        <w:bottom w:val="none" w:sz="0" w:space="0" w:color="auto"/>
        <w:right w:val="none" w:sz="0" w:space="0" w:color="auto"/>
      </w:divBdr>
    </w:div>
    <w:div w:id="21252729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apps.tga.gov.au/prod/MSI/search/" TargetMode="External"/><Relationship Id="rId13" Type="http://schemas.openxmlformats.org/officeDocument/2006/relationships/hyperlink" Target="mailto:medicine.shortages@health.gov.au" TargetMode="External"/><Relationship Id="rId18" Type="http://schemas.openxmlformats.org/officeDocument/2006/relationships/hyperlink" Target="https://oia.pmc.gov.au/published-impact-analyses-and-reports/lowering-costs-medicines-through-changes-maximum-dispensing" TargetMode="External"/><Relationship Id="rId26" Type="http://schemas.openxmlformats.org/officeDocument/2006/relationships/hyperlink" Target="https://www.60dayscripts.com.au/" TargetMode="External"/><Relationship Id="rId39" Type="http://schemas.openxmlformats.org/officeDocument/2006/relationships/hyperlink" Target="https://www.ahpra.gov.au/Notifications/Concerned-about-a-health-practitioner.aspx" TargetMode="External"/><Relationship Id="R0bb3a797e51745a8" Type="http://schemas.microsoft.com/office/2019/09/relationships/intelligence" Target="intelligence.xml"/><Relationship Id="rId3" Type="http://schemas.openxmlformats.org/officeDocument/2006/relationships/styles" Target="styles.xml"/><Relationship Id="rId21" Type="http://schemas.openxmlformats.org/officeDocument/2006/relationships/hyperlink" Target="https://oia.pmc.gov.au/sites/default/files/posts/2023/05/Impact%20Analysis_3.pdf" TargetMode="External"/><Relationship Id="rId34" Type="http://schemas.openxmlformats.org/officeDocument/2006/relationships/hyperlink" Target="https://www.healthdirect.gov.au/scheduling-of-medicines-and-poisons" TargetMode="External"/><Relationship Id="rId42"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tga.gov.au/safety/shortages" TargetMode="External"/><Relationship Id="rId17" Type="http://schemas.openxmlformats.org/officeDocument/2006/relationships/hyperlink" Target="https://www.tga.gov.au/resources/publication/publications/australian-code-good-wholesaling-practice-medicines-schedules-2-3-4-8" TargetMode="External"/><Relationship Id="rId25" Type="http://schemas.openxmlformats.org/officeDocument/2006/relationships/hyperlink" Target="https://www.pbs.gov.au/industry/listing/elements/pbac-meetings/pbac-outcomes/2022-12/Increased-Dispensing-Quantities-List-of-Medicines.pdf" TargetMode="External"/><Relationship Id="rId33" Type="http://schemas.openxmlformats.org/officeDocument/2006/relationships/hyperlink" Target="https://www.pbs.gov.au/browse/section100" TargetMode="External"/><Relationship Id="rId38" Type="http://schemas.openxmlformats.org/officeDocument/2006/relationships/hyperlink" Target="http://www.health.gov.au/resources/publications/pharmacy-kit-60-day-prescriptions-for-pharmaceutical-benefits-scheme-pbs-medicines" TargetMode="External"/><Relationship Id="rId2" Type="http://schemas.openxmlformats.org/officeDocument/2006/relationships/numbering" Target="numbering.xml"/><Relationship Id="rId16" Type="http://schemas.openxmlformats.org/officeDocument/2006/relationships/hyperlink" Target="mailto:shortages.strategy@health.gov.au" TargetMode="External"/><Relationship Id="rId20" Type="http://schemas.openxmlformats.org/officeDocument/2006/relationships/hyperlink" Target="https://www.servicesaustralia.gov.au/organisations/health-professionals/services/medicare/pbs-prescribers/managing/pbs-authorities" TargetMode="External"/><Relationship Id="rId29" Type="http://schemas.openxmlformats.org/officeDocument/2006/relationships/hyperlink" Target="https://www.legislation.gov.au/Latest/C2023C00143/Text"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bs.gov.au/industry/listing/elements/pbac-meetings/pbac-outcomes/2022-12/Increased-Dispensing-Quantities-List-of-Medicines.pdf" TargetMode="External"/><Relationship Id="rId24" Type="http://schemas.openxmlformats.org/officeDocument/2006/relationships/hyperlink" Target="https://www.health.gov.au/our-work/60-day-dispensing/pbs-medicines-current-item-codes" TargetMode="External"/><Relationship Id="rId32" Type="http://schemas.openxmlformats.org/officeDocument/2006/relationships/hyperlink" Target="https://pbs.gov.au/" TargetMode="External"/><Relationship Id="rId37" Type="http://schemas.openxmlformats.org/officeDocument/2006/relationships/hyperlink" Target="https://www.health.gov.au/resources/publications/60-day-prescriptions-information-kit-for-prescribers" TargetMode="External"/><Relationship Id="rId40" Type="http://schemas.openxmlformats.org/officeDocument/2006/relationships/hyperlink" Target="https://www.pharmacycouncil.org.au/what-we-do/" TargetMode="External"/><Relationship Id="rId5" Type="http://schemas.openxmlformats.org/officeDocument/2006/relationships/webSettings" Target="webSettings.xml"/><Relationship Id="rId15" Type="http://schemas.openxmlformats.org/officeDocument/2006/relationships/hyperlink" Target="https://consultations.tga.gov.au/tga/medicine-shortages-australia/" TargetMode="External"/><Relationship Id="rId23" Type="http://schemas.openxmlformats.org/officeDocument/2006/relationships/hyperlink" Target="https://www.health.gov.au/cheaper-medicines" TargetMode="External"/><Relationship Id="rId28" Type="http://schemas.openxmlformats.org/officeDocument/2006/relationships/hyperlink" Target="https://www.legislation.gov.au/Latest/C2023C00143/Text" TargetMode="External"/><Relationship Id="rId36" Type="http://schemas.openxmlformats.org/officeDocument/2006/relationships/hyperlink" Target="https://www.ppaonline.com.au/wp-content/uploads/2024/07/RPMA-Payment-Matrix-2024-25.pdf" TargetMode="External"/><Relationship Id="rId10" Type="http://schemas.openxmlformats.org/officeDocument/2006/relationships/hyperlink" Target="https://www.pbs.gov.au/industry/listing/elements/pbac-meetings/pbac-outcomes/2022-12/Increased-Dispensing-Quantities-List-of-Medicines.pdf" TargetMode="External"/><Relationship Id="rId19" Type="http://schemas.openxmlformats.org/officeDocument/2006/relationships/hyperlink" Target="https://www.servicesaustralia.gov.au/organisations/health-professionals/services/medicare/pbs-prescribers/managing/pbs-authorities" TargetMode="External"/><Relationship Id="rId31" Type="http://schemas.openxmlformats.org/officeDocument/2006/relationships/hyperlink" Target="https://www.pbs.gov.au/info/healthpro/explanatory-notes/section1/section-1-1-explanatory-notes"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pbs.gov.au/info/industry/pricing/medicines-supply-security-guarantee" TargetMode="External"/><Relationship Id="rId14" Type="http://schemas.openxmlformats.org/officeDocument/2006/relationships/hyperlink" Target="http://www.tga.gov.au/news/subscribe-updates" TargetMode="External"/><Relationship Id="rId22" Type="http://schemas.openxmlformats.org/officeDocument/2006/relationships/hyperlink" Target="https://www.health.gov.au/our-work/60-day-dispensing/pbs-medicines-current-item-codes" TargetMode="External"/><Relationship Id="rId27" Type="http://schemas.openxmlformats.org/officeDocument/2006/relationships/hyperlink" Target="http://www.pbs.gov.au/info/industry/listing/elements/pbac-meetings/pbac-outcomes/recommendations-made-by-the-pbac-december-2022-intracycle" TargetMode="External"/><Relationship Id="rId30" Type="http://schemas.openxmlformats.org/officeDocument/2006/relationships/hyperlink" Target="https://www.legislation.gov.au/Latest/C2023C00143/Text" TargetMode="External"/><Relationship Id="rId35" Type="http://schemas.openxmlformats.org/officeDocument/2006/relationships/hyperlink" Target="https://www.legislation.gov.au/F2017L01653/latest/text" TargetMode="External"/><Relationship Id="rId43"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psa.org.au/wp-content/uploads/2019/06/5574-PSA-Dispensing-Practice-guidelines_FINAL.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518000-8C3C-474F-8553-970B6F6BE0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5941</Words>
  <Characters>33214</Characters>
  <Application>Microsoft Office Word</Application>
  <DocSecurity>0</DocSecurity>
  <Lines>510</Lines>
  <Paragraphs>227</Paragraphs>
  <ScaleCrop>false</ScaleCrop>
  <HeadingPairs>
    <vt:vector size="2" baseType="variant">
      <vt:variant>
        <vt:lpstr>Title</vt:lpstr>
      </vt:variant>
      <vt:variant>
        <vt:i4>1</vt:i4>
      </vt:variant>
    </vt:vector>
  </HeadingPairs>
  <TitlesOfParts>
    <vt:vector size="1" baseType="lpstr">
      <vt:lpstr>60-Day Prescriptions – Dispensing frequently asked questions</vt:lpstr>
    </vt:vector>
  </TitlesOfParts>
  <Company/>
  <LinksUpToDate>false</LinksUpToDate>
  <CharactersWithSpaces>38928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60-Day Prescriptions – Dispensing frequently asked questions</dc:title>
  <dc:subject>Medicines</dc:subject>
  <dc:creator>Australia Australian Government Department of Health and Aged Care</dc:creator>
  <cp:keywords>Health technologies and digital health; Health Technology Assessment Consumer Consultative Committee</cp:keywords>
  <dc:description/>
  <cp:lastModifiedBy/>
  <cp:revision>1</cp:revision>
  <dcterms:created xsi:type="dcterms:W3CDTF">2024-08-30T06:42:00Z</dcterms:created>
  <dcterms:modified xsi:type="dcterms:W3CDTF">2024-08-30T06:42:00Z</dcterms:modified>
</cp:coreProperties>
</file>