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9F04" w14:textId="03A8DC90" w:rsidR="00BA2732" w:rsidRDefault="00C53859" w:rsidP="003D033A">
      <w:pPr>
        <w:pStyle w:val="Title"/>
      </w:pPr>
      <w:r>
        <w:t xml:space="preserve">Frequently Asked Questions – </w:t>
      </w:r>
      <w:r w:rsidR="00E23448" w:rsidRPr="7361A5F5">
        <w:rPr>
          <w:rFonts w:eastAsia="Arial" w:cs="Arial"/>
          <w:bCs/>
          <w:szCs w:val="48"/>
        </w:rPr>
        <w:t>Amendments to the International Health Regulations (2005)</w:t>
      </w:r>
    </w:p>
    <w:p w14:paraId="23BD4E92" w14:textId="6F5850EB" w:rsidR="00B53987" w:rsidRPr="00B53987" w:rsidRDefault="00E23448" w:rsidP="004E047D">
      <w:r>
        <w:t>5</w:t>
      </w:r>
      <w:r w:rsidR="007428E1">
        <w:t xml:space="preserve"> </w:t>
      </w:r>
      <w:r>
        <w:t>July</w:t>
      </w:r>
      <w:r w:rsidR="007428E1">
        <w:t xml:space="preserve"> 202</w:t>
      </w:r>
      <w:r>
        <w:t>4</w:t>
      </w:r>
    </w:p>
    <w:p w14:paraId="061316AC" w14:textId="77777777" w:rsidR="00E23448" w:rsidRDefault="00E23448" w:rsidP="00E23448">
      <w:pPr>
        <w:spacing w:line="360" w:lineRule="auto"/>
        <w:rPr>
          <w:rFonts w:eastAsia="Arial" w:cs="Arial"/>
          <w:color w:val="358189"/>
          <w:sz w:val="28"/>
          <w:szCs w:val="28"/>
        </w:rPr>
      </w:pPr>
      <w:r w:rsidRPr="3BA3207E">
        <w:rPr>
          <w:rFonts w:eastAsia="Arial" w:cs="Arial"/>
          <w:color w:val="358189"/>
          <w:sz w:val="28"/>
          <w:szCs w:val="28"/>
        </w:rPr>
        <w:t xml:space="preserve">Frequently Asked Questions on global health reforms, including changes to the International Health Regulations (2005). </w:t>
      </w:r>
    </w:p>
    <w:p w14:paraId="0F143F2E" w14:textId="77777777" w:rsidR="00B4647E" w:rsidRPr="00B1271C" w:rsidRDefault="00B4647E" w:rsidP="00740806">
      <w:pPr>
        <w:pStyle w:val="Heading2"/>
      </w:pPr>
      <w:r w:rsidRPr="004D5FF3">
        <w:t>What</w:t>
      </w:r>
      <w:r>
        <w:t xml:space="preserve"> are the International Health Regulations?</w:t>
      </w:r>
    </w:p>
    <w:p w14:paraId="40FD354A" w14:textId="77777777" w:rsidR="00E23448" w:rsidRDefault="00E23448" w:rsidP="00E23448">
      <w:pPr>
        <w:rPr>
          <w:rFonts w:eastAsia="Arial" w:cs="Arial"/>
          <w:szCs w:val="22"/>
        </w:rPr>
      </w:pPr>
      <w:r w:rsidRPr="3BA3207E">
        <w:rPr>
          <w:rFonts w:eastAsia="Arial" w:cs="Arial"/>
          <w:szCs w:val="22"/>
        </w:rPr>
        <w:t>The</w:t>
      </w:r>
      <w:r w:rsidRPr="3BA3207E">
        <w:rPr>
          <w:rFonts w:eastAsia="Arial" w:cs="Arial"/>
          <w:i/>
          <w:iCs/>
          <w:szCs w:val="22"/>
        </w:rPr>
        <w:t xml:space="preserve"> International Health Regulations </w:t>
      </w:r>
      <w:r w:rsidRPr="3BA3207E">
        <w:rPr>
          <w:rFonts w:eastAsia="Arial" w:cs="Arial"/>
          <w:szCs w:val="22"/>
        </w:rPr>
        <w:t>(2005) (IHR) provides the overarching legal framework that defines countries’ rights and obligations in handling public health events and emergencies that have the potential to cross borders.  The IHR are an instrument of international law that is legally-binding on 196 countries, including the 194 World Health Organization (WHO) Member States. Australia has complied with the IHR since their development in 2005.</w:t>
      </w:r>
    </w:p>
    <w:p w14:paraId="13466BDD" w14:textId="02F2696C" w:rsidR="00E23448" w:rsidRPr="00E23448" w:rsidRDefault="00E23448" w:rsidP="004E047D">
      <w:pPr>
        <w:rPr>
          <w:rFonts w:eastAsia="Arial" w:cs="Arial"/>
          <w:szCs w:val="22"/>
        </w:rPr>
      </w:pPr>
      <w:r w:rsidRPr="3BA3207E">
        <w:rPr>
          <w:rFonts w:eastAsia="Arial" w:cs="Arial"/>
          <w:szCs w:val="22"/>
        </w:rPr>
        <w:t xml:space="preserve">Further information about the International Health Regulations can be found here: </w:t>
      </w:r>
      <w:hyperlink r:id="rId11" w:anchor="tab=tab_1" w:history="1">
        <w:r w:rsidRPr="3BA3207E">
          <w:rPr>
            <w:rStyle w:val="Hyperlink"/>
            <w:rFonts w:eastAsia="Arial" w:cs="Arial"/>
            <w:szCs w:val="22"/>
          </w:rPr>
          <w:t>International health regulations (who.int)</w:t>
        </w:r>
      </w:hyperlink>
      <w:r w:rsidRPr="3BA3207E">
        <w:rPr>
          <w:rFonts w:eastAsia="Arial" w:cs="Arial"/>
          <w:szCs w:val="22"/>
        </w:rPr>
        <w:t xml:space="preserve"> and </w:t>
      </w:r>
      <w:hyperlink r:id="rId12" w:history="1">
        <w:r w:rsidRPr="3BA3207E">
          <w:rPr>
            <w:rStyle w:val="Hyperlink"/>
            <w:rFonts w:eastAsia="Arial" w:cs="Arial"/>
            <w:szCs w:val="22"/>
          </w:rPr>
          <w:t>International biosecurity obligations.</w:t>
        </w:r>
      </w:hyperlink>
      <w:r w:rsidRPr="3BA3207E">
        <w:rPr>
          <w:rFonts w:eastAsia="Arial" w:cs="Arial"/>
          <w:szCs w:val="22"/>
        </w:rPr>
        <w:t xml:space="preserve"> </w:t>
      </w:r>
    </w:p>
    <w:p w14:paraId="39975644" w14:textId="77777777" w:rsidR="00E23448" w:rsidRDefault="00E23448" w:rsidP="00E23448">
      <w:pPr>
        <w:pStyle w:val="Heading2"/>
        <w:rPr>
          <w:rFonts w:eastAsia="Arial"/>
        </w:rPr>
      </w:pPr>
      <w:r w:rsidRPr="7361A5F5">
        <w:rPr>
          <w:rFonts w:eastAsia="Arial"/>
        </w:rPr>
        <w:t xml:space="preserve">What recent changes to the International Health Regulations have been agreed? </w:t>
      </w:r>
    </w:p>
    <w:p w14:paraId="4A990EBB" w14:textId="77777777" w:rsidR="00E23448" w:rsidRPr="000F3FE5" w:rsidRDefault="00E23448" w:rsidP="00E23448">
      <w:pPr>
        <w:spacing w:beforeAutospacing="1" w:afterAutospacing="1"/>
        <w:rPr>
          <w:rFonts w:eastAsia="Arial" w:cs="Arial"/>
          <w:szCs w:val="22"/>
        </w:rPr>
      </w:pPr>
      <w:r w:rsidRPr="000F3FE5">
        <w:rPr>
          <w:rFonts w:eastAsia="Arial" w:cs="Arial"/>
          <w:szCs w:val="22"/>
        </w:rPr>
        <w:t>At the 77th World Health Assembly held in Geneva</w:t>
      </w:r>
      <w:r>
        <w:rPr>
          <w:rFonts w:eastAsia="Arial" w:cs="Arial"/>
          <w:szCs w:val="22"/>
        </w:rPr>
        <w:t>, 27</w:t>
      </w:r>
      <w:r w:rsidRPr="000F3FE5">
        <w:rPr>
          <w:rFonts w:eastAsia="Arial" w:cs="Arial"/>
          <w:szCs w:val="22"/>
        </w:rPr>
        <w:t xml:space="preserve"> May</w:t>
      </w:r>
      <w:r>
        <w:rPr>
          <w:rFonts w:eastAsia="Arial" w:cs="Arial"/>
          <w:szCs w:val="22"/>
        </w:rPr>
        <w:t xml:space="preserve"> – 1 June</w:t>
      </w:r>
      <w:r w:rsidRPr="000F3FE5">
        <w:rPr>
          <w:rFonts w:eastAsia="Arial" w:cs="Arial"/>
          <w:szCs w:val="22"/>
        </w:rPr>
        <w:t xml:space="preserve"> 2024, Member States, including Australia agreed to a package of targeted changes to the International Health Regulations (2005). </w:t>
      </w:r>
    </w:p>
    <w:p w14:paraId="2957AFF5" w14:textId="77777777" w:rsidR="00E23448" w:rsidRDefault="00E23448" w:rsidP="00E23448">
      <w:pPr>
        <w:spacing w:after="0" w:line="257" w:lineRule="auto"/>
        <w:rPr>
          <w:rFonts w:eastAsia="Arial" w:cs="Arial"/>
          <w:szCs w:val="22"/>
        </w:rPr>
      </w:pPr>
      <w:r w:rsidRPr="7361A5F5">
        <w:rPr>
          <w:rFonts w:eastAsia="Arial" w:cs="Arial"/>
          <w:szCs w:val="22"/>
        </w:rPr>
        <w:t>Key changes include:</w:t>
      </w:r>
    </w:p>
    <w:p w14:paraId="2406110A" w14:textId="77777777" w:rsidR="00E23448" w:rsidRPr="00F95DAA" w:rsidRDefault="00E23448" w:rsidP="00E23448">
      <w:pPr>
        <w:pStyle w:val="ListParagraph"/>
        <w:numPr>
          <w:ilvl w:val="0"/>
          <w:numId w:val="36"/>
        </w:numPr>
        <w:shd w:val="clear" w:color="auto" w:fill="FFFFFF" w:themeFill="background1"/>
        <w:spacing w:beforeAutospacing="1" w:afterAutospacing="1" w:line="240" w:lineRule="auto"/>
        <w:rPr>
          <w:rFonts w:eastAsia="Arial" w:cs="Arial"/>
          <w:color w:val="313131"/>
          <w:szCs w:val="22"/>
          <w:lang w:eastAsia="en-AU"/>
        </w:rPr>
      </w:pPr>
      <w:r w:rsidRPr="7361A5F5">
        <w:rPr>
          <w:rFonts w:eastAsia="Arial" w:cs="Arial"/>
          <w:color w:val="313131"/>
          <w:szCs w:val="22"/>
          <w:lang w:eastAsia="en-AU"/>
        </w:rPr>
        <w:t xml:space="preserve">A new definition of a pandemic emergency to trigger more effective international collaboration in response to events that are at risk of becoming, or have become, a pandemic. </w:t>
      </w:r>
    </w:p>
    <w:p w14:paraId="17C8679B" w14:textId="77777777" w:rsidR="00E23448" w:rsidRPr="00615232" w:rsidRDefault="00E23448" w:rsidP="00E23448">
      <w:pPr>
        <w:pStyle w:val="ListParagraph"/>
        <w:numPr>
          <w:ilvl w:val="0"/>
          <w:numId w:val="36"/>
        </w:numPr>
        <w:shd w:val="clear" w:color="auto" w:fill="FFFFFF" w:themeFill="background1"/>
        <w:spacing w:beforeAutospacing="1" w:afterAutospacing="1" w:line="240" w:lineRule="auto"/>
        <w:rPr>
          <w:rFonts w:eastAsia="Arial" w:cs="Arial"/>
          <w:color w:val="313131"/>
          <w:szCs w:val="22"/>
          <w:lang w:eastAsia="en-AU"/>
        </w:rPr>
      </w:pPr>
      <w:r w:rsidRPr="7361A5F5">
        <w:rPr>
          <w:rFonts w:eastAsia="Arial" w:cs="Arial"/>
          <w:color w:val="313131"/>
          <w:szCs w:val="22"/>
          <w:lang w:eastAsia="en-AU"/>
        </w:rPr>
        <w:t xml:space="preserve">Strengthened access to health products needed to respond to public health emergencies and financing for capacity building to prepare and respond to public health emergencies. </w:t>
      </w:r>
    </w:p>
    <w:p w14:paraId="7E3B56E8" w14:textId="77777777" w:rsidR="00E23448" w:rsidRPr="00F95DAA" w:rsidRDefault="00E23448" w:rsidP="00E23448">
      <w:pPr>
        <w:pStyle w:val="ListParagraph"/>
        <w:numPr>
          <w:ilvl w:val="0"/>
          <w:numId w:val="36"/>
        </w:numPr>
        <w:shd w:val="clear" w:color="auto" w:fill="FFFFFF" w:themeFill="background1"/>
        <w:spacing w:beforeAutospacing="1" w:afterAutospacing="1" w:line="240" w:lineRule="auto"/>
        <w:rPr>
          <w:rFonts w:eastAsia="Arial" w:cs="Arial"/>
          <w:color w:val="313131"/>
          <w:szCs w:val="22"/>
          <w:lang w:eastAsia="en-AU"/>
        </w:rPr>
      </w:pPr>
      <w:r w:rsidRPr="7361A5F5">
        <w:rPr>
          <w:rFonts w:eastAsia="Arial" w:cs="Arial"/>
          <w:color w:val="313131"/>
          <w:szCs w:val="22"/>
          <w:lang w:eastAsia="en-AU"/>
        </w:rPr>
        <w:t>A new Committee to promote and support cooperation among States Parties for the effective implementation of the IHR; and</w:t>
      </w:r>
    </w:p>
    <w:p w14:paraId="45820BED" w14:textId="77777777" w:rsidR="00E23448" w:rsidRDefault="00E23448" w:rsidP="00E23448">
      <w:pPr>
        <w:pStyle w:val="ListParagraph"/>
        <w:numPr>
          <w:ilvl w:val="0"/>
          <w:numId w:val="36"/>
        </w:numPr>
        <w:shd w:val="clear" w:color="auto" w:fill="FFFFFF" w:themeFill="background1"/>
        <w:spacing w:beforeAutospacing="1" w:afterAutospacing="1" w:line="240" w:lineRule="auto"/>
        <w:rPr>
          <w:rFonts w:eastAsia="Arial" w:cs="Arial"/>
          <w:szCs w:val="22"/>
        </w:rPr>
      </w:pPr>
      <w:r w:rsidRPr="7361A5F5">
        <w:rPr>
          <w:rFonts w:eastAsia="Arial" w:cs="Arial"/>
          <w:color w:val="313131"/>
          <w:szCs w:val="22"/>
          <w:lang w:eastAsia="en-AU"/>
        </w:rPr>
        <w:t>Creation of National IHR Authorities to improve coordination of implementation of the</w:t>
      </w:r>
      <w:r w:rsidRPr="7361A5F5">
        <w:rPr>
          <w:rFonts w:eastAsia="Arial" w:cs="Arial"/>
          <w:szCs w:val="22"/>
        </w:rPr>
        <w:t xml:space="preserve"> IHR within and among countries.</w:t>
      </w:r>
    </w:p>
    <w:p w14:paraId="29105080" w14:textId="77777777" w:rsidR="00E23448" w:rsidRDefault="00E23448" w:rsidP="00E23448">
      <w:pPr>
        <w:rPr>
          <w:rFonts w:eastAsia="Arial" w:cs="Arial"/>
          <w:szCs w:val="22"/>
        </w:rPr>
      </w:pPr>
    </w:p>
    <w:p w14:paraId="71ED0A53" w14:textId="77777777" w:rsidR="00E23448" w:rsidRDefault="00E23448" w:rsidP="00E23448">
      <w:pPr>
        <w:rPr>
          <w:rFonts w:eastAsia="Arial" w:cs="Arial"/>
          <w:szCs w:val="22"/>
        </w:rPr>
      </w:pPr>
      <w:r>
        <w:rPr>
          <w:rFonts w:eastAsia="Arial" w:cs="Arial"/>
          <w:szCs w:val="22"/>
        </w:rPr>
        <w:lastRenderedPageBreak/>
        <w:t>The</w:t>
      </w:r>
      <w:r w:rsidRPr="7361A5F5">
        <w:rPr>
          <w:rFonts w:eastAsia="Arial" w:cs="Arial"/>
          <w:szCs w:val="22"/>
        </w:rPr>
        <w:t xml:space="preserve"> enhanced IHR will </w:t>
      </w:r>
      <w:r>
        <w:rPr>
          <w:rFonts w:eastAsia="Arial" w:cs="Arial"/>
          <w:szCs w:val="22"/>
        </w:rPr>
        <w:t>help</w:t>
      </w:r>
      <w:r w:rsidRPr="7361A5F5">
        <w:rPr>
          <w:rFonts w:eastAsia="Arial" w:cs="Arial"/>
          <w:szCs w:val="22"/>
        </w:rPr>
        <w:t xml:space="preserve"> to</w:t>
      </w:r>
      <w:r>
        <w:rPr>
          <w:rFonts w:eastAsia="Arial" w:cs="Arial"/>
          <w:szCs w:val="22"/>
        </w:rPr>
        <w:t>:</w:t>
      </w:r>
    </w:p>
    <w:p w14:paraId="2DB20B76" w14:textId="77777777" w:rsidR="00E23448" w:rsidRPr="00265A94" w:rsidRDefault="00E23448" w:rsidP="00E23448">
      <w:pPr>
        <w:pStyle w:val="ListParagraph"/>
        <w:numPr>
          <w:ilvl w:val="0"/>
          <w:numId w:val="36"/>
        </w:numPr>
        <w:shd w:val="clear" w:color="auto" w:fill="FFFFFF" w:themeFill="background1"/>
        <w:spacing w:beforeAutospacing="1" w:afterAutospacing="1" w:line="240" w:lineRule="auto"/>
        <w:rPr>
          <w:rFonts w:eastAsia="Arial" w:cs="Arial"/>
          <w:color w:val="313131"/>
          <w:szCs w:val="22"/>
          <w:lang w:eastAsia="en-AU"/>
        </w:rPr>
      </w:pPr>
      <w:r w:rsidRPr="7361A5F5">
        <w:rPr>
          <w:rFonts w:eastAsia="Arial" w:cs="Arial"/>
          <w:color w:val="313131"/>
          <w:szCs w:val="22"/>
          <w:lang w:eastAsia="en-AU"/>
        </w:rPr>
        <w:t xml:space="preserve">Build country capacities to prepare for, and respond to health </w:t>
      </w:r>
      <w:proofErr w:type="gramStart"/>
      <w:r w:rsidRPr="7361A5F5">
        <w:rPr>
          <w:rFonts w:eastAsia="Arial" w:cs="Arial"/>
          <w:color w:val="313131"/>
          <w:szCs w:val="22"/>
          <w:lang w:eastAsia="en-AU"/>
        </w:rPr>
        <w:t>emergencies;</w:t>
      </w:r>
      <w:proofErr w:type="gramEnd"/>
    </w:p>
    <w:p w14:paraId="226E8AB5" w14:textId="77777777" w:rsidR="00E23448" w:rsidRPr="00265A94" w:rsidRDefault="00E23448" w:rsidP="00E23448">
      <w:pPr>
        <w:pStyle w:val="ListParagraph"/>
        <w:numPr>
          <w:ilvl w:val="0"/>
          <w:numId w:val="36"/>
        </w:numPr>
        <w:shd w:val="clear" w:color="auto" w:fill="FFFFFF" w:themeFill="background1"/>
        <w:spacing w:beforeAutospacing="1" w:afterAutospacing="1" w:line="240" w:lineRule="auto"/>
        <w:rPr>
          <w:rFonts w:eastAsia="Arial" w:cs="Arial"/>
          <w:color w:val="313131"/>
          <w:szCs w:val="22"/>
          <w:lang w:eastAsia="en-AU"/>
        </w:rPr>
      </w:pPr>
      <w:r w:rsidRPr="7361A5F5">
        <w:rPr>
          <w:rFonts w:eastAsia="Arial" w:cs="Arial"/>
          <w:color w:val="313131"/>
          <w:szCs w:val="22"/>
          <w:lang w:eastAsia="en-AU"/>
        </w:rPr>
        <w:t xml:space="preserve">Strengthen public health response measures, including equitable access to health products needed to respond to public health </w:t>
      </w:r>
      <w:proofErr w:type="gramStart"/>
      <w:r w:rsidRPr="7361A5F5">
        <w:rPr>
          <w:rFonts w:eastAsia="Arial" w:cs="Arial"/>
          <w:color w:val="313131"/>
          <w:szCs w:val="22"/>
          <w:lang w:eastAsia="en-AU"/>
        </w:rPr>
        <w:t>emergencies;</w:t>
      </w:r>
      <w:proofErr w:type="gramEnd"/>
    </w:p>
    <w:p w14:paraId="05CBF742" w14:textId="77777777" w:rsidR="00E23448" w:rsidRPr="001E7AEE" w:rsidRDefault="00E23448" w:rsidP="00E23448">
      <w:pPr>
        <w:pStyle w:val="ListParagraph"/>
        <w:numPr>
          <w:ilvl w:val="0"/>
          <w:numId w:val="36"/>
        </w:numPr>
        <w:shd w:val="clear" w:color="auto" w:fill="FFFFFF" w:themeFill="background1"/>
        <w:spacing w:beforeAutospacing="1" w:afterAutospacing="1" w:line="240" w:lineRule="auto"/>
        <w:rPr>
          <w:rFonts w:eastAsia="Arial" w:cs="Arial"/>
          <w:szCs w:val="22"/>
        </w:rPr>
      </w:pPr>
      <w:r w:rsidRPr="7361A5F5">
        <w:rPr>
          <w:rFonts w:eastAsia="Arial" w:cs="Arial"/>
          <w:color w:val="313131"/>
          <w:szCs w:val="22"/>
          <w:lang w:eastAsia="en-AU"/>
        </w:rPr>
        <w:t>Strengthen information sharing and early responses to disease outbreaks; and</w:t>
      </w:r>
    </w:p>
    <w:p w14:paraId="7CD9469C" w14:textId="77777777" w:rsidR="00E23448" w:rsidRPr="001E7AEE" w:rsidRDefault="00E23448" w:rsidP="00E23448">
      <w:pPr>
        <w:pStyle w:val="ListParagraph"/>
        <w:numPr>
          <w:ilvl w:val="0"/>
          <w:numId w:val="36"/>
        </w:numPr>
        <w:shd w:val="clear" w:color="auto" w:fill="FFFFFF" w:themeFill="background1"/>
        <w:spacing w:beforeAutospacing="1" w:afterAutospacing="1" w:line="240" w:lineRule="auto"/>
        <w:rPr>
          <w:rFonts w:eastAsia="Arial" w:cs="Arial"/>
          <w:szCs w:val="22"/>
        </w:rPr>
      </w:pPr>
      <w:r w:rsidRPr="7361A5F5">
        <w:rPr>
          <w:rFonts w:eastAsia="Arial" w:cs="Arial"/>
          <w:color w:val="313131"/>
          <w:szCs w:val="22"/>
          <w:lang w:eastAsia="en-AU"/>
        </w:rPr>
        <w:t>Strengthen countries’ implementation of the IHR.</w:t>
      </w:r>
      <w:r w:rsidRPr="7361A5F5">
        <w:rPr>
          <w:rFonts w:eastAsia="Arial" w:cs="Arial"/>
          <w:szCs w:val="22"/>
        </w:rPr>
        <w:t xml:space="preserve"> </w:t>
      </w:r>
    </w:p>
    <w:p w14:paraId="3676D23F" w14:textId="77777777" w:rsidR="00E23448" w:rsidRDefault="00E23448" w:rsidP="00E23448">
      <w:pPr>
        <w:rPr>
          <w:rFonts w:cs="Arial"/>
          <w:color w:val="313131"/>
          <w:szCs w:val="22"/>
          <w:lang w:eastAsia="en-AU"/>
        </w:rPr>
      </w:pPr>
      <w:r w:rsidRPr="7361A5F5">
        <w:rPr>
          <w:rFonts w:eastAsia="Arial" w:cs="Arial"/>
          <w:szCs w:val="22"/>
        </w:rPr>
        <w:t xml:space="preserve">The IHR amendments will be subject to Australian Parliament scrutiny including by the Joint Standing Committee on Treaties (JSCOT). </w:t>
      </w:r>
      <w:r w:rsidRPr="7361A5F5">
        <w:rPr>
          <w:rFonts w:cs="Arial"/>
          <w:color w:val="313131"/>
          <w:szCs w:val="22"/>
          <w:lang w:eastAsia="en-AU"/>
        </w:rPr>
        <w:t>For more information, see</w:t>
      </w:r>
      <w:r>
        <w:rPr>
          <w:rFonts w:cs="Arial"/>
          <w:color w:val="313131"/>
          <w:szCs w:val="22"/>
          <w:lang w:eastAsia="en-AU"/>
        </w:rPr>
        <w:t xml:space="preserve"> </w:t>
      </w:r>
      <w:hyperlink r:id="rId13" w:anchor="impacts-on-domestic-australian-law" w:history="1">
        <w:r w:rsidRPr="00901FAF">
          <w:rPr>
            <w:rStyle w:val="Hyperlink"/>
            <w:rFonts w:cs="Arial"/>
            <w:szCs w:val="22"/>
            <w:lang w:eastAsia="en-AU"/>
          </w:rPr>
          <w:t>impacts on domestic Australian law</w:t>
        </w:r>
      </w:hyperlink>
      <w:r>
        <w:rPr>
          <w:rFonts w:cs="Arial"/>
          <w:color w:val="313131"/>
          <w:szCs w:val="22"/>
          <w:lang w:eastAsia="en-AU"/>
        </w:rPr>
        <w:t xml:space="preserve">. </w:t>
      </w:r>
    </w:p>
    <w:p w14:paraId="076C933B" w14:textId="77777777" w:rsidR="00E23448" w:rsidRPr="001E7AEE" w:rsidRDefault="00E23448" w:rsidP="00E23448">
      <w:pPr>
        <w:rPr>
          <w:rFonts w:eastAsia="Arial" w:cs="Arial"/>
          <w:szCs w:val="22"/>
        </w:rPr>
      </w:pPr>
      <w:r w:rsidRPr="7361A5F5">
        <w:rPr>
          <w:rFonts w:eastAsia="Arial" w:cs="Arial"/>
          <w:szCs w:val="22"/>
        </w:rPr>
        <w:t>A separate set of changes were also made to the IHR at the 75</w:t>
      </w:r>
      <w:r w:rsidRPr="7361A5F5">
        <w:rPr>
          <w:rFonts w:eastAsia="Arial" w:cs="Arial"/>
          <w:szCs w:val="22"/>
          <w:vertAlign w:val="superscript"/>
        </w:rPr>
        <w:t>th</w:t>
      </w:r>
      <w:r w:rsidRPr="7361A5F5">
        <w:rPr>
          <w:rFonts w:eastAsia="Arial" w:cs="Arial"/>
          <w:szCs w:val="22"/>
        </w:rPr>
        <w:t xml:space="preserve"> World Health Assembly in Geneva in May 2022. </w:t>
      </w:r>
    </w:p>
    <w:p w14:paraId="6B58F7D4" w14:textId="77777777" w:rsidR="00E23448" w:rsidRPr="001E7AEE" w:rsidRDefault="00E23448" w:rsidP="00E23448">
      <w:pPr>
        <w:spacing w:after="0"/>
        <w:rPr>
          <w:rFonts w:eastAsia="Arial" w:cs="Arial"/>
          <w:szCs w:val="22"/>
        </w:rPr>
      </w:pPr>
      <w:r w:rsidRPr="7361A5F5">
        <w:rPr>
          <w:rFonts w:eastAsia="Arial" w:cs="Arial"/>
          <w:szCs w:val="22"/>
        </w:rPr>
        <w:t>This included a change to Article 59, which will reduce the timeframe for future changes to the IHR to take effect from 24 to 12 months, and to reduce the timeframe for rejection of, or reservation to, future changes to the IHR from 18 to 10 months. This change was referred to the Joint Standing Committee on Treaties (JSCOT) for consideration. JSCOT assessed the changes were expected to have negligible legal, financial, or practical impact on Australia and concluded that binding treaty action may be taken. These changes came into force in May 2024.</w:t>
      </w:r>
    </w:p>
    <w:p w14:paraId="35AF8291" w14:textId="77777777" w:rsidR="00E23448" w:rsidRDefault="00E23448" w:rsidP="00E23448">
      <w:pPr>
        <w:pStyle w:val="Heading2"/>
        <w:rPr>
          <w:rFonts w:eastAsia="Arial"/>
        </w:rPr>
      </w:pPr>
      <w:r w:rsidRPr="3BA3207E">
        <w:rPr>
          <w:rFonts w:eastAsia="Arial"/>
        </w:rPr>
        <w:t>Will changes to the International Health Regulations change Australia’s domestic law and health policies?</w:t>
      </w:r>
    </w:p>
    <w:p w14:paraId="14173047" w14:textId="77777777" w:rsidR="00E23448" w:rsidRDefault="00E23448" w:rsidP="00E23448">
      <w:pPr>
        <w:rPr>
          <w:rFonts w:eastAsia="Arial" w:cs="Arial"/>
          <w:szCs w:val="22"/>
        </w:rPr>
      </w:pPr>
      <w:r w:rsidRPr="7361A5F5">
        <w:rPr>
          <w:rFonts w:eastAsia="Arial" w:cs="Arial"/>
          <w:szCs w:val="22"/>
        </w:rPr>
        <w:t xml:space="preserve">Changes to the IHR may create new international legal obligations for Australia. However, this doesn’t automatically change Australian law – only Parliament can do this. The IHR amendments will be subject to appropriate parliamentary processes before Australia can take binding action.  This includes consideration by the Joint Standing Committee on Treaties (JSCOT). </w:t>
      </w:r>
    </w:p>
    <w:p w14:paraId="58A3BE0D" w14:textId="77777777" w:rsidR="00E23448" w:rsidRDefault="00E23448" w:rsidP="00E23448">
      <w:pPr>
        <w:rPr>
          <w:rFonts w:eastAsia="Arial" w:cs="Arial"/>
          <w:szCs w:val="22"/>
        </w:rPr>
      </w:pPr>
      <w:r w:rsidRPr="7361A5F5">
        <w:rPr>
          <w:rFonts w:eastAsia="Arial" w:cs="Arial"/>
          <w:szCs w:val="22"/>
        </w:rPr>
        <w:t xml:space="preserve">Following consideration by JSCOT, any proposed changes to Australian law to implement the agreed changes to the IHR would have to be considered and passed by Australia’s Parliament </w:t>
      </w:r>
      <w:proofErr w:type="gramStart"/>
      <w:r w:rsidRPr="7361A5F5">
        <w:rPr>
          <w:rFonts w:eastAsia="Arial" w:cs="Arial"/>
          <w:szCs w:val="22"/>
        </w:rPr>
        <w:t>in order to</w:t>
      </w:r>
      <w:proofErr w:type="gramEnd"/>
      <w:r w:rsidRPr="7361A5F5">
        <w:rPr>
          <w:rFonts w:eastAsia="Arial" w:cs="Arial"/>
          <w:szCs w:val="22"/>
        </w:rPr>
        <w:t xml:space="preserve"> become legally binding in Australia.</w:t>
      </w:r>
    </w:p>
    <w:p w14:paraId="1CBEE3A6" w14:textId="77777777" w:rsidR="00E23448" w:rsidRDefault="00E23448" w:rsidP="00E23448">
      <w:pPr>
        <w:rPr>
          <w:rFonts w:eastAsia="Arial" w:cs="Arial"/>
          <w:szCs w:val="22"/>
        </w:rPr>
      </w:pPr>
      <w:r>
        <w:rPr>
          <w:rFonts w:eastAsia="Arial" w:cs="Arial"/>
          <w:szCs w:val="22"/>
        </w:rPr>
        <w:t xml:space="preserve">The changes to the IHR will not affect Australia’s sovereignty to determine domestic health policies, in the best interests of Australians. </w:t>
      </w:r>
    </w:p>
    <w:p w14:paraId="6230127F" w14:textId="77777777" w:rsidR="00E23448" w:rsidRDefault="00E23448" w:rsidP="00E23448">
      <w:pPr>
        <w:rPr>
          <w:rFonts w:eastAsia="Arial" w:cs="Arial"/>
          <w:szCs w:val="22"/>
        </w:rPr>
      </w:pPr>
      <w:r w:rsidRPr="7361A5F5">
        <w:rPr>
          <w:rFonts w:eastAsia="Arial" w:cs="Arial"/>
          <w:szCs w:val="22"/>
        </w:rPr>
        <w:t>Further information on JSCOT and Australia’s treaty making process is available on:</w:t>
      </w:r>
    </w:p>
    <w:p w14:paraId="69427F01" w14:textId="77777777" w:rsidR="00E23448" w:rsidRDefault="00000000" w:rsidP="00E23448">
      <w:pPr>
        <w:rPr>
          <w:rFonts w:eastAsia="Arial" w:cs="Arial"/>
          <w:szCs w:val="22"/>
        </w:rPr>
      </w:pPr>
      <w:hyperlink w:history="1">
        <w:hyperlink r:id="rId14" w:history="1">
          <w:r w:rsidR="00E23448" w:rsidRPr="7361A5F5">
            <w:rPr>
              <w:rStyle w:val="Hyperlink"/>
              <w:rFonts w:eastAsia="Arial" w:cs="Arial"/>
              <w:szCs w:val="22"/>
            </w:rPr>
            <w:t>JSCOT Committee Statement on WHO Related Treaty Actions – Parliament of Australia (aph.gov.au)</w:t>
          </w:r>
        </w:hyperlink>
      </w:hyperlink>
    </w:p>
    <w:p w14:paraId="370F46A5" w14:textId="77777777" w:rsidR="00E23448" w:rsidRDefault="00000000" w:rsidP="00E23448">
      <w:pPr>
        <w:rPr>
          <w:rFonts w:eastAsia="Arial" w:cs="Arial"/>
          <w:szCs w:val="22"/>
        </w:rPr>
      </w:pPr>
      <w:hyperlink w:history="1">
        <w:hyperlink r:id="rId15" w:history="1">
          <w:r w:rsidR="00E23448" w:rsidRPr="7361A5F5">
            <w:rPr>
              <w:rStyle w:val="Hyperlink"/>
              <w:rFonts w:eastAsia="Arial" w:cs="Arial"/>
              <w:szCs w:val="22"/>
            </w:rPr>
            <w:t>Australia’s treaty-making process | Australian Government Department of Foreign Affairs and Trade (dfat.gov.au)</w:t>
          </w:r>
        </w:hyperlink>
      </w:hyperlink>
    </w:p>
    <w:p w14:paraId="0CEB8363" w14:textId="77777777" w:rsidR="00E23448" w:rsidRDefault="00E23448" w:rsidP="00E23448">
      <w:pPr>
        <w:pStyle w:val="Heading2"/>
        <w:spacing w:line="300" w:lineRule="auto"/>
        <w:rPr>
          <w:rFonts w:eastAsia="Arial"/>
        </w:rPr>
      </w:pPr>
      <w:r w:rsidRPr="7361A5F5">
        <w:rPr>
          <w:rFonts w:eastAsia="Arial"/>
        </w:rPr>
        <w:lastRenderedPageBreak/>
        <w:t xml:space="preserve">What </w:t>
      </w:r>
      <w:r>
        <w:rPr>
          <w:rFonts w:eastAsia="Arial"/>
        </w:rPr>
        <w:t>wa</w:t>
      </w:r>
      <w:r w:rsidRPr="7361A5F5">
        <w:rPr>
          <w:rFonts w:eastAsia="Arial"/>
        </w:rPr>
        <w:t>s the Working Group on Amendments to the International Health Regulations?</w:t>
      </w:r>
    </w:p>
    <w:p w14:paraId="421C14E7" w14:textId="77777777" w:rsidR="00E23448" w:rsidRDefault="00E23448" w:rsidP="00E23448">
      <w:pPr>
        <w:rPr>
          <w:rFonts w:eastAsia="Arial" w:cs="Arial"/>
          <w:szCs w:val="22"/>
        </w:rPr>
      </w:pPr>
      <w:r w:rsidRPr="7361A5F5">
        <w:rPr>
          <w:rFonts w:eastAsia="Arial" w:cs="Arial"/>
          <w:szCs w:val="22"/>
        </w:rPr>
        <w:t xml:space="preserve">The WGIHR </w:t>
      </w:r>
      <w:r>
        <w:rPr>
          <w:rFonts w:eastAsia="Arial" w:cs="Arial"/>
          <w:szCs w:val="22"/>
        </w:rPr>
        <w:t>wa</w:t>
      </w:r>
      <w:r w:rsidRPr="7361A5F5">
        <w:rPr>
          <w:rFonts w:eastAsia="Arial" w:cs="Arial"/>
          <w:szCs w:val="22"/>
        </w:rPr>
        <w:t>s the WHO-established working group of Member States and invited non-state actors, that negotiated targeted changes to the IHR. Australia was actively involved in the WGIHR.</w:t>
      </w:r>
    </w:p>
    <w:p w14:paraId="1692B951" w14:textId="77777777" w:rsidR="00E23448" w:rsidRDefault="00E23448" w:rsidP="00E23448">
      <w:pPr>
        <w:pStyle w:val="Heading2"/>
        <w:rPr>
          <w:rFonts w:eastAsia="Arial"/>
          <w:lang w:val="en-GB"/>
        </w:rPr>
      </w:pPr>
      <w:r w:rsidRPr="3BA3207E">
        <w:rPr>
          <w:rFonts w:eastAsia="Arial"/>
          <w:lang w:val="en-GB"/>
        </w:rPr>
        <w:t xml:space="preserve">Where can I find further information </w:t>
      </w:r>
      <w:r w:rsidRPr="3BA3207E">
        <w:rPr>
          <w:rFonts w:eastAsia="Arial"/>
        </w:rPr>
        <w:t>on</w:t>
      </w:r>
      <w:r w:rsidRPr="3BA3207E">
        <w:rPr>
          <w:rFonts w:eastAsia="Arial"/>
          <w:lang w:val="en-GB"/>
        </w:rPr>
        <w:t xml:space="preserve"> the process to change the International Health Regulations?</w:t>
      </w:r>
    </w:p>
    <w:p w14:paraId="15DC1D4A" w14:textId="77777777" w:rsidR="00E23448" w:rsidRDefault="00E23448" w:rsidP="00E23448">
      <w:pPr>
        <w:rPr>
          <w:rFonts w:eastAsia="Arial" w:cs="Arial"/>
          <w:szCs w:val="22"/>
          <w:lang w:val="en-GB"/>
        </w:rPr>
      </w:pPr>
      <w:r w:rsidRPr="7361A5F5">
        <w:rPr>
          <w:rFonts w:eastAsia="Arial" w:cs="Arial"/>
          <w:szCs w:val="22"/>
          <w:lang w:val="en-GB"/>
        </w:rPr>
        <w:t xml:space="preserve">The agreed changes to the International Health Regulations are available on the WHO website: </w:t>
      </w:r>
    </w:p>
    <w:p w14:paraId="385C5096" w14:textId="77777777" w:rsidR="00E23448" w:rsidRDefault="00000000" w:rsidP="00E23448">
      <w:pPr>
        <w:rPr>
          <w:rFonts w:eastAsia="Arial" w:cs="Arial"/>
          <w:szCs w:val="22"/>
          <w:lang w:val="en-GB"/>
        </w:rPr>
      </w:pPr>
      <w:hyperlink r:id="rId16" w:history="1">
        <w:r w:rsidR="00E23448" w:rsidRPr="00F83E0B">
          <w:rPr>
            <w:rStyle w:val="Hyperlink"/>
            <w:rFonts w:eastAsia="Arial" w:cs="Arial"/>
            <w:szCs w:val="22"/>
          </w:rPr>
          <w:t>Working Group on Amendments to the International Health Regulations (2005) (who.int)</w:t>
        </w:r>
      </w:hyperlink>
      <w:r w:rsidR="00E23448" w:rsidRPr="00F83E0B">
        <w:rPr>
          <w:rStyle w:val="Hyperlink"/>
          <w:rFonts w:eastAsia="Arial"/>
        </w:rPr>
        <w:t xml:space="preserve">   </w:t>
      </w:r>
    </w:p>
    <w:p w14:paraId="488C66E1" w14:textId="77777777" w:rsidR="00E23448" w:rsidRDefault="00E23448" w:rsidP="00E23448">
      <w:pPr>
        <w:rPr>
          <w:rFonts w:eastAsia="Arial" w:cs="Arial"/>
          <w:szCs w:val="22"/>
          <w:lang w:val="en-GB"/>
        </w:rPr>
      </w:pPr>
      <w:r w:rsidRPr="7361A5F5">
        <w:rPr>
          <w:rFonts w:eastAsia="Arial" w:cs="Arial"/>
          <w:szCs w:val="22"/>
          <w:lang w:val="en-GB"/>
        </w:rPr>
        <w:t xml:space="preserve">Further information on the International Health Regulations is available on the WHO website: </w:t>
      </w:r>
    </w:p>
    <w:p w14:paraId="4D539E27" w14:textId="77777777" w:rsidR="00E23448" w:rsidDel="00375955" w:rsidRDefault="00000000" w:rsidP="00E23448">
      <w:pPr>
        <w:rPr>
          <w:rFonts w:eastAsia="Arial" w:cs="Arial"/>
          <w:szCs w:val="22"/>
        </w:rPr>
      </w:pPr>
      <w:hyperlink r:id="rId17" w:history="1">
        <w:r w:rsidR="00E23448" w:rsidRPr="7361A5F5">
          <w:rPr>
            <w:rStyle w:val="Hyperlink"/>
            <w:rFonts w:eastAsia="Arial" w:cs="Arial"/>
            <w:szCs w:val="22"/>
            <w:lang w:val="en-GB"/>
          </w:rPr>
          <w:t>Working Group on Amendments to the International Health Regulations (2005) (who.int)</w:t>
        </w:r>
      </w:hyperlink>
    </w:p>
    <w:p w14:paraId="1BE724E6" w14:textId="77777777" w:rsidR="00E23448" w:rsidRDefault="00000000" w:rsidP="00E23448">
      <w:pPr>
        <w:rPr>
          <w:rFonts w:eastAsia="Arial" w:cs="Arial"/>
          <w:szCs w:val="22"/>
        </w:rPr>
      </w:pPr>
      <w:hyperlink r:id="rId18" w:history="1">
        <w:r w:rsidR="00E23448" w:rsidRPr="7361A5F5">
          <w:rPr>
            <w:rStyle w:val="Hyperlink"/>
            <w:rFonts w:eastAsia="Arial" w:cs="Arial"/>
            <w:szCs w:val="22"/>
          </w:rPr>
          <w:t>Q&amp;A: International Health Regulations: amendments (who.int)</w:t>
        </w:r>
      </w:hyperlink>
    </w:p>
    <w:p w14:paraId="487B1084" w14:textId="0B76C970" w:rsidR="009040E9" w:rsidRPr="009040E9" w:rsidRDefault="009040E9" w:rsidP="004E047D"/>
    <w:sectPr w:rsidR="009040E9" w:rsidRPr="009040E9" w:rsidSect="00B53987">
      <w:headerReference w:type="default" r:id="rId19"/>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DB72" w14:textId="77777777" w:rsidR="00BF3A8A" w:rsidRDefault="00BF3A8A" w:rsidP="006B56BB">
      <w:r>
        <w:separator/>
      </w:r>
    </w:p>
    <w:p w14:paraId="645B84EB" w14:textId="77777777" w:rsidR="00BF3A8A" w:rsidRDefault="00BF3A8A"/>
  </w:endnote>
  <w:endnote w:type="continuationSeparator" w:id="0">
    <w:p w14:paraId="7BDA7B2D" w14:textId="77777777" w:rsidR="00BF3A8A" w:rsidRDefault="00BF3A8A" w:rsidP="006B56BB">
      <w:r>
        <w:continuationSeparator/>
      </w:r>
    </w:p>
    <w:p w14:paraId="07B45CEB" w14:textId="77777777" w:rsidR="00BF3A8A" w:rsidRDefault="00BF3A8A"/>
  </w:endnote>
  <w:endnote w:type="continuationNotice" w:id="1">
    <w:p w14:paraId="7385B5B9" w14:textId="77777777" w:rsidR="00BF3A8A" w:rsidRDefault="00BF3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F800" w14:textId="274FD42B" w:rsidR="00B53987" w:rsidRDefault="00AA262B" w:rsidP="00B53987">
    <w:pPr>
      <w:pStyle w:val="Footer"/>
    </w:pPr>
    <w:r>
      <w:t xml:space="preserve">Department of Health and Aged Care </w:t>
    </w:r>
    <w:r w:rsidR="00B53987">
      <w:t xml:space="preserve">– </w:t>
    </w:r>
    <w:r w:rsidR="00C6467D">
      <w:t>International Health Regulations</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6F6B" w14:textId="7FBF7BFA" w:rsidR="00B53987" w:rsidRDefault="00AA262B" w:rsidP="00B53987">
    <w:pPr>
      <w:pStyle w:val="Footer"/>
    </w:pPr>
    <w:r>
      <w:t xml:space="preserve">Department of Health and Aged Care </w:t>
    </w:r>
    <w:r w:rsidR="00B53987">
      <w:t xml:space="preserve">– </w:t>
    </w:r>
    <w:r w:rsidR="00C6467D">
      <w:t>International Health Regulations</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7041" w14:textId="77777777" w:rsidR="00BF3A8A" w:rsidRDefault="00BF3A8A" w:rsidP="006B56BB">
      <w:r>
        <w:separator/>
      </w:r>
    </w:p>
    <w:p w14:paraId="07E31FF8" w14:textId="77777777" w:rsidR="00BF3A8A" w:rsidRDefault="00BF3A8A"/>
  </w:footnote>
  <w:footnote w:type="continuationSeparator" w:id="0">
    <w:p w14:paraId="63A04E92" w14:textId="77777777" w:rsidR="00BF3A8A" w:rsidRDefault="00BF3A8A" w:rsidP="006B56BB">
      <w:r>
        <w:continuationSeparator/>
      </w:r>
    </w:p>
    <w:p w14:paraId="17F32603" w14:textId="77777777" w:rsidR="00BF3A8A" w:rsidRDefault="00BF3A8A"/>
  </w:footnote>
  <w:footnote w:type="continuationNotice" w:id="1">
    <w:p w14:paraId="0D928FB4" w14:textId="77777777" w:rsidR="00BF3A8A" w:rsidRDefault="00BF3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3FBF"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E50C" w14:textId="31EEE9B5" w:rsidR="002306CF" w:rsidRDefault="002306CF">
    <w:pPr>
      <w:pStyle w:val="Header"/>
    </w:pPr>
    <w:r>
      <w:rPr>
        <w:noProof/>
      </w:rPr>
      <w:drawing>
        <wp:inline distT="0" distB="0" distL="0" distR="0" wp14:anchorId="35889168" wp14:editId="076933F3">
          <wp:extent cx="4572000" cy="7429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572000" cy="74295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7CD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16A3E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5D86E3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A32B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7D4991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C78393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4ED54F"/>
    <w:multiLevelType w:val="hybridMultilevel"/>
    <w:tmpl w:val="E9DAE2C6"/>
    <w:lvl w:ilvl="0" w:tplc="69A65B46">
      <w:start w:val="1"/>
      <w:numFmt w:val="bullet"/>
      <w:lvlText w:val=""/>
      <w:lvlJc w:val="left"/>
      <w:pPr>
        <w:ind w:left="720" w:hanging="360"/>
      </w:pPr>
      <w:rPr>
        <w:rFonts w:ascii="Symbol" w:hAnsi="Symbol" w:hint="default"/>
      </w:rPr>
    </w:lvl>
    <w:lvl w:ilvl="1" w:tplc="E5822E5C">
      <w:start w:val="1"/>
      <w:numFmt w:val="bullet"/>
      <w:lvlText w:val="o"/>
      <w:lvlJc w:val="left"/>
      <w:pPr>
        <w:ind w:left="1440" w:hanging="360"/>
      </w:pPr>
      <w:rPr>
        <w:rFonts w:ascii="Courier New" w:hAnsi="Courier New" w:hint="default"/>
      </w:rPr>
    </w:lvl>
    <w:lvl w:ilvl="2" w:tplc="EEC8FFF0">
      <w:start w:val="1"/>
      <w:numFmt w:val="bullet"/>
      <w:lvlText w:val=""/>
      <w:lvlJc w:val="left"/>
      <w:pPr>
        <w:ind w:left="2160" w:hanging="360"/>
      </w:pPr>
      <w:rPr>
        <w:rFonts w:ascii="Wingdings" w:hAnsi="Wingdings" w:hint="default"/>
      </w:rPr>
    </w:lvl>
    <w:lvl w:ilvl="3" w:tplc="42C00E86">
      <w:start w:val="1"/>
      <w:numFmt w:val="bullet"/>
      <w:lvlText w:val=""/>
      <w:lvlJc w:val="left"/>
      <w:pPr>
        <w:ind w:left="2880" w:hanging="360"/>
      </w:pPr>
      <w:rPr>
        <w:rFonts w:ascii="Symbol" w:hAnsi="Symbol" w:hint="default"/>
      </w:rPr>
    </w:lvl>
    <w:lvl w:ilvl="4" w:tplc="AD8C6576">
      <w:start w:val="1"/>
      <w:numFmt w:val="bullet"/>
      <w:lvlText w:val="o"/>
      <w:lvlJc w:val="left"/>
      <w:pPr>
        <w:ind w:left="3600" w:hanging="360"/>
      </w:pPr>
      <w:rPr>
        <w:rFonts w:ascii="Courier New" w:hAnsi="Courier New" w:hint="default"/>
      </w:rPr>
    </w:lvl>
    <w:lvl w:ilvl="5" w:tplc="C01EEC7A">
      <w:start w:val="1"/>
      <w:numFmt w:val="bullet"/>
      <w:lvlText w:val=""/>
      <w:lvlJc w:val="left"/>
      <w:pPr>
        <w:ind w:left="4320" w:hanging="360"/>
      </w:pPr>
      <w:rPr>
        <w:rFonts w:ascii="Wingdings" w:hAnsi="Wingdings" w:hint="default"/>
      </w:rPr>
    </w:lvl>
    <w:lvl w:ilvl="6" w:tplc="B1BE3824">
      <w:start w:val="1"/>
      <w:numFmt w:val="bullet"/>
      <w:lvlText w:val=""/>
      <w:lvlJc w:val="left"/>
      <w:pPr>
        <w:ind w:left="5040" w:hanging="360"/>
      </w:pPr>
      <w:rPr>
        <w:rFonts w:ascii="Symbol" w:hAnsi="Symbol" w:hint="default"/>
      </w:rPr>
    </w:lvl>
    <w:lvl w:ilvl="7" w:tplc="07464380">
      <w:start w:val="1"/>
      <w:numFmt w:val="bullet"/>
      <w:lvlText w:val="o"/>
      <w:lvlJc w:val="left"/>
      <w:pPr>
        <w:ind w:left="5760" w:hanging="360"/>
      </w:pPr>
      <w:rPr>
        <w:rFonts w:ascii="Courier New" w:hAnsi="Courier New" w:hint="default"/>
      </w:rPr>
    </w:lvl>
    <w:lvl w:ilvl="8" w:tplc="FE0A52D2">
      <w:start w:val="1"/>
      <w:numFmt w:val="bullet"/>
      <w:lvlText w:val=""/>
      <w:lvlJc w:val="left"/>
      <w:pPr>
        <w:ind w:left="6480" w:hanging="360"/>
      </w:pPr>
      <w:rPr>
        <w:rFonts w:ascii="Wingdings" w:hAnsi="Wingdings" w:hint="default"/>
      </w:rPr>
    </w:lvl>
  </w:abstractNum>
  <w:abstractNum w:abstractNumId="10" w15:restartNumberingAfterBreak="0">
    <w:nsid w:val="07EC1369"/>
    <w:multiLevelType w:val="hybridMultilevel"/>
    <w:tmpl w:val="8738E6E0"/>
    <w:lvl w:ilvl="0" w:tplc="AE86F5AE">
      <w:start w:val="1"/>
      <w:numFmt w:val="bullet"/>
      <w:lvlText w:val=""/>
      <w:lvlJc w:val="left"/>
      <w:pPr>
        <w:ind w:left="720" w:hanging="360"/>
      </w:pPr>
      <w:rPr>
        <w:rFonts w:ascii="Symbol" w:hAnsi="Symbol" w:hint="default"/>
      </w:rPr>
    </w:lvl>
    <w:lvl w:ilvl="1" w:tplc="B1046814">
      <w:start w:val="1"/>
      <w:numFmt w:val="bullet"/>
      <w:lvlText w:val="o"/>
      <w:lvlJc w:val="left"/>
      <w:pPr>
        <w:ind w:left="1440" w:hanging="360"/>
      </w:pPr>
      <w:rPr>
        <w:rFonts w:ascii="Courier New" w:hAnsi="Courier New" w:hint="default"/>
      </w:rPr>
    </w:lvl>
    <w:lvl w:ilvl="2" w:tplc="654690EC">
      <w:start w:val="1"/>
      <w:numFmt w:val="bullet"/>
      <w:lvlText w:val=""/>
      <w:lvlJc w:val="left"/>
      <w:pPr>
        <w:ind w:left="2160" w:hanging="360"/>
      </w:pPr>
      <w:rPr>
        <w:rFonts w:ascii="Wingdings" w:hAnsi="Wingdings" w:hint="default"/>
      </w:rPr>
    </w:lvl>
    <w:lvl w:ilvl="3" w:tplc="30AA6ECE">
      <w:start w:val="1"/>
      <w:numFmt w:val="bullet"/>
      <w:lvlText w:val=""/>
      <w:lvlJc w:val="left"/>
      <w:pPr>
        <w:ind w:left="2880" w:hanging="360"/>
      </w:pPr>
      <w:rPr>
        <w:rFonts w:ascii="Symbol" w:hAnsi="Symbol" w:hint="default"/>
      </w:rPr>
    </w:lvl>
    <w:lvl w:ilvl="4" w:tplc="6CAA4A5A">
      <w:start w:val="1"/>
      <w:numFmt w:val="bullet"/>
      <w:lvlText w:val="o"/>
      <w:lvlJc w:val="left"/>
      <w:pPr>
        <w:ind w:left="3600" w:hanging="360"/>
      </w:pPr>
      <w:rPr>
        <w:rFonts w:ascii="Courier New" w:hAnsi="Courier New" w:hint="default"/>
      </w:rPr>
    </w:lvl>
    <w:lvl w:ilvl="5" w:tplc="C5A4C24A">
      <w:start w:val="1"/>
      <w:numFmt w:val="bullet"/>
      <w:lvlText w:val=""/>
      <w:lvlJc w:val="left"/>
      <w:pPr>
        <w:ind w:left="4320" w:hanging="360"/>
      </w:pPr>
      <w:rPr>
        <w:rFonts w:ascii="Wingdings" w:hAnsi="Wingdings" w:hint="default"/>
      </w:rPr>
    </w:lvl>
    <w:lvl w:ilvl="6" w:tplc="4C084F6C">
      <w:start w:val="1"/>
      <w:numFmt w:val="bullet"/>
      <w:lvlText w:val=""/>
      <w:lvlJc w:val="left"/>
      <w:pPr>
        <w:ind w:left="5040" w:hanging="360"/>
      </w:pPr>
      <w:rPr>
        <w:rFonts w:ascii="Symbol" w:hAnsi="Symbol" w:hint="default"/>
      </w:rPr>
    </w:lvl>
    <w:lvl w:ilvl="7" w:tplc="343A21DC">
      <w:start w:val="1"/>
      <w:numFmt w:val="bullet"/>
      <w:lvlText w:val="o"/>
      <w:lvlJc w:val="left"/>
      <w:pPr>
        <w:ind w:left="5760" w:hanging="360"/>
      </w:pPr>
      <w:rPr>
        <w:rFonts w:ascii="Courier New" w:hAnsi="Courier New" w:hint="default"/>
      </w:rPr>
    </w:lvl>
    <w:lvl w:ilvl="8" w:tplc="635E790C">
      <w:start w:val="1"/>
      <w:numFmt w:val="bullet"/>
      <w:lvlText w:val=""/>
      <w:lvlJc w:val="left"/>
      <w:pPr>
        <w:ind w:left="6480" w:hanging="360"/>
      </w:pPr>
      <w:rPr>
        <w:rFonts w:ascii="Wingdings" w:hAnsi="Wingdings" w:hint="default"/>
      </w:rPr>
    </w:lvl>
  </w:abstractNum>
  <w:abstractNum w:abstractNumId="11" w15:restartNumberingAfterBreak="0">
    <w:nsid w:val="083887BE"/>
    <w:multiLevelType w:val="hybridMultilevel"/>
    <w:tmpl w:val="793C7C70"/>
    <w:lvl w:ilvl="0" w:tplc="515E02AE">
      <w:start w:val="1"/>
      <w:numFmt w:val="bullet"/>
      <w:lvlText w:val=""/>
      <w:lvlJc w:val="left"/>
      <w:pPr>
        <w:ind w:left="720" w:hanging="360"/>
      </w:pPr>
      <w:rPr>
        <w:rFonts w:ascii="Symbol" w:hAnsi="Symbol" w:hint="default"/>
      </w:rPr>
    </w:lvl>
    <w:lvl w:ilvl="1" w:tplc="4BC08F7E">
      <w:start w:val="1"/>
      <w:numFmt w:val="bullet"/>
      <w:lvlText w:val="o"/>
      <w:lvlJc w:val="left"/>
      <w:pPr>
        <w:ind w:left="1440" w:hanging="360"/>
      </w:pPr>
      <w:rPr>
        <w:rFonts w:ascii="Courier New" w:hAnsi="Courier New" w:hint="default"/>
      </w:rPr>
    </w:lvl>
    <w:lvl w:ilvl="2" w:tplc="3D24F1BA">
      <w:start w:val="1"/>
      <w:numFmt w:val="bullet"/>
      <w:lvlText w:val=""/>
      <w:lvlJc w:val="left"/>
      <w:pPr>
        <w:ind w:left="2160" w:hanging="360"/>
      </w:pPr>
      <w:rPr>
        <w:rFonts w:ascii="Wingdings" w:hAnsi="Wingdings" w:hint="default"/>
      </w:rPr>
    </w:lvl>
    <w:lvl w:ilvl="3" w:tplc="ED36C73E">
      <w:start w:val="1"/>
      <w:numFmt w:val="bullet"/>
      <w:lvlText w:val=""/>
      <w:lvlJc w:val="left"/>
      <w:pPr>
        <w:ind w:left="2880" w:hanging="360"/>
      </w:pPr>
      <w:rPr>
        <w:rFonts w:ascii="Symbol" w:hAnsi="Symbol" w:hint="default"/>
      </w:rPr>
    </w:lvl>
    <w:lvl w:ilvl="4" w:tplc="4F9C6DFA">
      <w:start w:val="1"/>
      <w:numFmt w:val="bullet"/>
      <w:lvlText w:val="o"/>
      <w:lvlJc w:val="left"/>
      <w:pPr>
        <w:ind w:left="3600" w:hanging="360"/>
      </w:pPr>
      <w:rPr>
        <w:rFonts w:ascii="Courier New" w:hAnsi="Courier New" w:hint="default"/>
      </w:rPr>
    </w:lvl>
    <w:lvl w:ilvl="5" w:tplc="85DEF4F2">
      <w:start w:val="1"/>
      <w:numFmt w:val="bullet"/>
      <w:lvlText w:val=""/>
      <w:lvlJc w:val="left"/>
      <w:pPr>
        <w:ind w:left="4320" w:hanging="360"/>
      </w:pPr>
      <w:rPr>
        <w:rFonts w:ascii="Wingdings" w:hAnsi="Wingdings" w:hint="default"/>
      </w:rPr>
    </w:lvl>
    <w:lvl w:ilvl="6" w:tplc="7758DED2">
      <w:start w:val="1"/>
      <w:numFmt w:val="bullet"/>
      <w:lvlText w:val=""/>
      <w:lvlJc w:val="left"/>
      <w:pPr>
        <w:ind w:left="5040" w:hanging="360"/>
      </w:pPr>
      <w:rPr>
        <w:rFonts w:ascii="Symbol" w:hAnsi="Symbol" w:hint="default"/>
      </w:rPr>
    </w:lvl>
    <w:lvl w:ilvl="7" w:tplc="D64E11A2">
      <w:start w:val="1"/>
      <w:numFmt w:val="bullet"/>
      <w:lvlText w:val="o"/>
      <w:lvlJc w:val="left"/>
      <w:pPr>
        <w:ind w:left="5760" w:hanging="360"/>
      </w:pPr>
      <w:rPr>
        <w:rFonts w:ascii="Courier New" w:hAnsi="Courier New" w:hint="default"/>
      </w:rPr>
    </w:lvl>
    <w:lvl w:ilvl="8" w:tplc="B9BE58D6">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8A0F43"/>
    <w:multiLevelType w:val="hybridMultilevel"/>
    <w:tmpl w:val="BAE6B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CC113B"/>
    <w:multiLevelType w:val="hybridMultilevel"/>
    <w:tmpl w:val="64B052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A17482"/>
    <w:multiLevelType w:val="hybridMultilevel"/>
    <w:tmpl w:val="BFC6B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DCEB00F"/>
    <w:multiLevelType w:val="hybridMultilevel"/>
    <w:tmpl w:val="30745632"/>
    <w:lvl w:ilvl="0" w:tplc="3B0EDA80">
      <w:start w:val="1"/>
      <w:numFmt w:val="decimal"/>
      <w:lvlText w:val="%1."/>
      <w:lvlJc w:val="left"/>
      <w:pPr>
        <w:ind w:left="720" w:hanging="360"/>
      </w:pPr>
    </w:lvl>
    <w:lvl w:ilvl="1" w:tplc="00481B60">
      <w:start w:val="1"/>
      <w:numFmt w:val="lowerLetter"/>
      <w:lvlText w:val="%2."/>
      <w:lvlJc w:val="left"/>
      <w:pPr>
        <w:ind w:left="1440" w:hanging="360"/>
      </w:pPr>
    </w:lvl>
    <w:lvl w:ilvl="2" w:tplc="9EC8F0D4">
      <w:start w:val="1"/>
      <w:numFmt w:val="lowerRoman"/>
      <w:lvlText w:val="%3."/>
      <w:lvlJc w:val="right"/>
      <w:pPr>
        <w:ind w:left="2160" w:hanging="180"/>
      </w:pPr>
    </w:lvl>
    <w:lvl w:ilvl="3" w:tplc="80B4DE98">
      <w:start w:val="1"/>
      <w:numFmt w:val="decimal"/>
      <w:lvlText w:val="%4."/>
      <w:lvlJc w:val="left"/>
      <w:pPr>
        <w:ind w:left="2880" w:hanging="360"/>
      </w:pPr>
    </w:lvl>
    <w:lvl w:ilvl="4" w:tplc="051ECA0C">
      <w:start w:val="1"/>
      <w:numFmt w:val="lowerLetter"/>
      <w:lvlText w:val="%5."/>
      <w:lvlJc w:val="left"/>
      <w:pPr>
        <w:ind w:left="3600" w:hanging="360"/>
      </w:pPr>
    </w:lvl>
    <w:lvl w:ilvl="5" w:tplc="C062FC10">
      <w:start w:val="1"/>
      <w:numFmt w:val="lowerRoman"/>
      <w:lvlText w:val="%6."/>
      <w:lvlJc w:val="right"/>
      <w:pPr>
        <w:ind w:left="4320" w:hanging="180"/>
      </w:pPr>
    </w:lvl>
    <w:lvl w:ilvl="6" w:tplc="8D7C7B1C">
      <w:start w:val="1"/>
      <w:numFmt w:val="decimal"/>
      <w:lvlText w:val="%7."/>
      <w:lvlJc w:val="left"/>
      <w:pPr>
        <w:ind w:left="5040" w:hanging="360"/>
      </w:pPr>
    </w:lvl>
    <w:lvl w:ilvl="7" w:tplc="527E0C12">
      <w:start w:val="1"/>
      <w:numFmt w:val="lowerLetter"/>
      <w:lvlText w:val="%8."/>
      <w:lvlJc w:val="left"/>
      <w:pPr>
        <w:ind w:left="5760" w:hanging="360"/>
      </w:pPr>
    </w:lvl>
    <w:lvl w:ilvl="8" w:tplc="575E27C2">
      <w:start w:val="1"/>
      <w:numFmt w:val="lowerRoman"/>
      <w:lvlText w:val="%9."/>
      <w:lvlJc w:val="right"/>
      <w:pPr>
        <w:ind w:left="6480" w:hanging="180"/>
      </w:p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B07760E"/>
    <w:multiLevelType w:val="hybridMultilevel"/>
    <w:tmpl w:val="BD7A66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ED3894"/>
    <w:multiLevelType w:val="hybridMultilevel"/>
    <w:tmpl w:val="7B1EC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61E0AE"/>
    <w:multiLevelType w:val="hybridMultilevel"/>
    <w:tmpl w:val="DF6EFE0C"/>
    <w:lvl w:ilvl="0" w:tplc="9E9A0A58">
      <w:start w:val="1"/>
      <w:numFmt w:val="bullet"/>
      <w:lvlText w:val="·"/>
      <w:lvlJc w:val="left"/>
      <w:pPr>
        <w:ind w:left="720" w:hanging="360"/>
      </w:pPr>
      <w:rPr>
        <w:rFonts w:ascii="Symbol" w:hAnsi="Symbol" w:hint="default"/>
      </w:rPr>
    </w:lvl>
    <w:lvl w:ilvl="1" w:tplc="555C0C46">
      <w:start w:val="1"/>
      <w:numFmt w:val="bullet"/>
      <w:lvlText w:val="o"/>
      <w:lvlJc w:val="left"/>
      <w:pPr>
        <w:ind w:left="1440" w:hanging="360"/>
      </w:pPr>
      <w:rPr>
        <w:rFonts w:ascii="Courier New" w:hAnsi="Courier New" w:hint="default"/>
      </w:rPr>
    </w:lvl>
    <w:lvl w:ilvl="2" w:tplc="47AE7632">
      <w:start w:val="1"/>
      <w:numFmt w:val="bullet"/>
      <w:lvlText w:val=""/>
      <w:lvlJc w:val="left"/>
      <w:pPr>
        <w:ind w:left="2160" w:hanging="360"/>
      </w:pPr>
      <w:rPr>
        <w:rFonts w:ascii="Wingdings" w:hAnsi="Wingdings" w:hint="default"/>
      </w:rPr>
    </w:lvl>
    <w:lvl w:ilvl="3" w:tplc="D0364ECC">
      <w:start w:val="1"/>
      <w:numFmt w:val="bullet"/>
      <w:lvlText w:val=""/>
      <w:lvlJc w:val="left"/>
      <w:pPr>
        <w:ind w:left="2880" w:hanging="360"/>
      </w:pPr>
      <w:rPr>
        <w:rFonts w:ascii="Symbol" w:hAnsi="Symbol" w:hint="default"/>
      </w:rPr>
    </w:lvl>
    <w:lvl w:ilvl="4" w:tplc="46A802C0">
      <w:start w:val="1"/>
      <w:numFmt w:val="bullet"/>
      <w:lvlText w:val="o"/>
      <w:lvlJc w:val="left"/>
      <w:pPr>
        <w:ind w:left="3600" w:hanging="360"/>
      </w:pPr>
      <w:rPr>
        <w:rFonts w:ascii="Courier New" w:hAnsi="Courier New" w:hint="default"/>
      </w:rPr>
    </w:lvl>
    <w:lvl w:ilvl="5" w:tplc="E73EDB46">
      <w:start w:val="1"/>
      <w:numFmt w:val="bullet"/>
      <w:lvlText w:val=""/>
      <w:lvlJc w:val="left"/>
      <w:pPr>
        <w:ind w:left="4320" w:hanging="360"/>
      </w:pPr>
      <w:rPr>
        <w:rFonts w:ascii="Wingdings" w:hAnsi="Wingdings" w:hint="default"/>
      </w:rPr>
    </w:lvl>
    <w:lvl w:ilvl="6" w:tplc="C78A796C">
      <w:start w:val="1"/>
      <w:numFmt w:val="bullet"/>
      <w:lvlText w:val=""/>
      <w:lvlJc w:val="left"/>
      <w:pPr>
        <w:ind w:left="5040" w:hanging="360"/>
      </w:pPr>
      <w:rPr>
        <w:rFonts w:ascii="Symbol" w:hAnsi="Symbol" w:hint="default"/>
      </w:rPr>
    </w:lvl>
    <w:lvl w:ilvl="7" w:tplc="8A345B56">
      <w:start w:val="1"/>
      <w:numFmt w:val="bullet"/>
      <w:lvlText w:val="o"/>
      <w:lvlJc w:val="left"/>
      <w:pPr>
        <w:ind w:left="5760" w:hanging="360"/>
      </w:pPr>
      <w:rPr>
        <w:rFonts w:ascii="Courier New" w:hAnsi="Courier New" w:hint="default"/>
      </w:rPr>
    </w:lvl>
    <w:lvl w:ilvl="8" w:tplc="78AA8F08">
      <w:start w:val="1"/>
      <w:numFmt w:val="bullet"/>
      <w:lvlText w:val=""/>
      <w:lvlJc w:val="left"/>
      <w:pPr>
        <w:ind w:left="648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54283201">
    <w:abstractNumId w:val="9"/>
  </w:num>
  <w:num w:numId="2" w16cid:durableId="1933928333">
    <w:abstractNumId w:val="20"/>
  </w:num>
  <w:num w:numId="3" w16cid:durableId="2034068175">
    <w:abstractNumId w:val="11"/>
  </w:num>
  <w:num w:numId="4" w16cid:durableId="1681271567">
    <w:abstractNumId w:val="10"/>
  </w:num>
  <w:num w:numId="5" w16cid:durableId="689919113">
    <w:abstractNumId w:val="7"/>
  </w:num>
  <w:num w:numId="6" w16cid:durableId="682633048">
    <w:abstractNumId w:val="22"/>
  </w:num>
  <w:num w:numId="7" w16cid:durableId="1504738485">
    <w:abstractNumId w:val="27"/>
  </w:num>
  <w:num w:numId="8" w16cid:durableId="598177540">
    <w:abstractNumId w:val="8"/>
  </w:num>
  <w:num w:numId="9" w16cid:durableId="570819923">
    <w:abstractNumId w:val="8"/>
    <w:lvlOverride w:ilvl="0">
      <w:startOverride w:val="1"/>
    </w:lvlOverride>
  </w:num>
  <w:num w:numId="10" w16cid:durableId="1218397614">
    <w:abstractNumId w:val="12"/>
  </w:num>
  <w:num w:numId="11" w16cid:durableId="268586289">
    <w:abstractNumId w:val="19"/>
  </w:num>
  <w:num w:numId="12" w16cid:durableId="1476800832">
    <w:abstractNumId w:val="26"/>
  </w:num>
  <w:num w:numId="13" w16cid:durableId="197474298">
    <w:abstractNumId w:val="5"/>
  </w:num>
  <w:num w:numId="14" w16cid:durableId="383800987">
    <w:abstractNumId w:val="4"/>
  </w:num>
  <w:num w:numId="15" w16cid:durableId="480930304">
    <w:abstractNumId w:val="3"/>
  </w:num>
  <w:num w:numId="16" w16cid:durableId="1931548145">
    <w:abstractNumId w:val="2"/>
  </w:num>
  <w:num w:numId="17" w16cid:durableId="1053847809">
    <w:abstractNumId w:val="6"/>
  </w:num>
  <w:num w:numId="18" w16cid:durableId="603542086">
    <w:abstractNumId w:val="1"/>
  </w:num>
  <w:num w:numId="19" w16cid:durableId="2027096427">
    <w:abstractNumId w:val="0"/>
  </w:num>
  <w:num w:numId="20" w16cid:durableId="742603654">
    <w:abstractNumId w:val="28"/>
  </w:num>
  <w:num w:numId="21" w16cid:durableId="1345403386">
    <w:abstractNumId w:val="14"/>
  </w:num>
  <w:num w:numId="22" w16cid:durableId="191725408">
    <w:abstractNumId w:val="16"/>
  </w:num>
  <w:num w:numId="23" w16cid:durableId="1726105171">
    <w:abstractNumId w:val="18"/>
  </w:num>
  <w:num w:numId="24" w16cid:durableId="204097985">
    <w:abstractNumId w:val="14"/>
  </w:num>
  <w:num w:numId="25" w16cid:durableId="189994486">
    <w:abstractNumId w:val="18"/>
  </w:num>
  <w:num w:numId="26" w16cid:durableId="1311206369">
    <w:abstractNumId w:val="28"/>
  </w:num>
  <w:num w:numId="27" w16cid:durableId="1605377397">
    <w:abstractNumId w:val="22"/>
  </w:num>
  <w:num w:numId="28" w16cid:durableId="122622849">
    <w:abstractNumId w:val="27"/>
  </w:num>
  <w:num w:numId="29" w16cid:durableId="1120998587">
    <w:abstractNumId w:val="8"/>
  </w:num>
  <w:num w:numId="30" w16cid:durableId="1327899384">
    <w:abstractNumId w:val="21"/>
  </w:num>
  <w:num w:numId="31" w16cid:durableId="288439751">
    <w:abstractNumId w:val="25"/>
  </w:num>
  <w:num w:numId="32" w16cid:durableId="2140567958">
    <w:abstractNumId w:val="15"/>
  </w:num>
  <w:num w:numId="33" w16cid:durableId="938366196">
    <w:abstractNumId w:val="23"/>
  </w:num>
  <w:num w:numId="34" w16cid:durableId="772626030">
    <w:abstractNumId w:val="13"/>
  </w:num>
  <w:num w:numId="35" w16cid:durableId="614406251">
    <w:abstractNumId w:val="24"/>
  </w:num>
  <w:num w:numId="36" w16cid:durableId="12283039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7E"/>
    <w:rsid w:val="00003743"/>
    <w:rsid w:val="000047B4"/>
    <w:rsid w:val="00005712"/>
    <w:rsid w:val="00006492"/>
    <w:rsid w:val="00007FD8"/>
    <w:rsid w:val="000117F8"/>
    <w:rsid w:val="0001460F"/>
    <w:rsid w:val="00022629"/>
    <w:rsid w:val="00026139"/>
    <w:rsid w:val="00027601"/>
    <w:rsid w:val="00032881"/>
    <w:rsid w:val="00033321"/>
    <w:rsid w:val="000338E5"/>
    <w:rsid w:val="00033ECC"/>
    <w:rsid w:val="0003422F"/>
    <w:rsid w:val="00043DC0"/>
    <w:rsid w:val="00046FF0"/>
    <w:rsid w:val="00050176"/>
    <w:rsid w:val="00050342"/>
    <w:rsid w:val="00067456"/>
    <w:rsid w:val="00070071"/>
    <w:rsid w:val="00071506"/>
    <w:rsid w:val="0007154F"/>
    <w:rsid w:val="000726CC"/>
    <w:rsid w:val="00077BE7"/>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0A06"/>
    <w:rsid w:val="000E2C66"/>
    <w:rsid w:val="000F123C"/>
    <w:rsid w:val="000F12CB"/>
    <w:rsid w:val="000F2FED"/>
    <w:rsid w:val="000F3898"/>
    <w:rsid w:val="000F3F9C"/>
    <w:rsid w:val="0010616D"/>
    <w:rsid w:val="00110478"/>
    <w:rsid w:val="0011711B"/>
    <w:rsid w:val="00117F8A"/>
    <w:rsid w:val="00121B9B"/>
    <w:rsid w:val="0012297B"/>
    <w:rsid w:val="00122ADC"/>
    <w:rsid w:val="00130F59"/>
    <w:rsid w:val="00133EC0"/>
    <w:rsid w:val="00141530"/>
    <w:rsid w:val="00141CE5"/>
    <w:rsid w:val="00144908"/>
    <w:rsid w:val="00156D96"/>
    <w:rsid w:val="001571C7"/>
    <w:rsid w:val="00161094"/>
    <w:rsid w:val="0017665C"/>
    <w:rsid w:val="00177AD2"/>
    <w:rsid w:val="001815A8"/>
    <w:rsid w:val="001840FA"/>
    <w:rsid w:val="00190079"/>
    <w:rsid w:val="00193F75"/>
    <w:rsid w:val="0019622E"/>
    <w:rsid w:val="001966A7"/>
    <w:rsid w:val="001A4627"/>
    <w:rsid w:val="001A4979"/>
    <w:rsid w:val="001B15D3"/>
    <w:rsid w:val="001B3443"/>
    <w:rsid w:val="001C0326"/>
    <w:rsid w:val="001C192F"/>
    <w:rsid w:val="001C3C42"/>
    <w:rsid w:val="001D7869"/>
    <w:rsid w:val="001F797D"/>
    <w:rsid w:val="002026CD"/>
    <w:rsid w:val="002033FC"/>
    <w:rsid w:val="002044BB"/>
    <w:rsid w:val="00210B09"/>
    <w:rsid w:val="00210C9E"/>
    <w:rsid w:val="00211840"/>
    <w:rsid w:val="0021327D"/>
    <w:rsid w:val="00220E5F"/>
    <w:rsid w:val="002212B5"/>
    <w:rsid w:val="00226668"/>
    <w:rsid w:val="002306CF"/>
    <w:rsid w:val="002316B7"/>
    <w:rsid w:val="00233809"/>
    <w:rsid w:val="00240046"/>
    <w:rsid w:val="0024797F"/>
    <w:rsid w:val="0025119E"/>
    <w:rsid w:val="00251269"/>
    <w:rsid w:val="002535C0"/>
    <w:rsid w:val="00255DCA"/>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5162"/>
    <w:rsid w:val="002B20E6"/>
    <w:rsid w:val="002B42A3"/>
    <w:rsid w:val="002C0CDD"/>
    <w:rsid w:val="002C38C4"/>
    <w:rsid w:val="002E1A1D"/>
    <w:rsid w:val="002E4081"/>
    <w:rsid w:val="002E5B78"/>
    <w:rsid w:val="002E7CD0"/>
    <w:rsid w:val="002F0EEC"/>
    <w:rsid w:val="002F3AE3"/>
    <w:rsid w:val="0030464B"/>
    <w:rsid w:val="0030786C"/>
    <w:rsid w:val="003233DE"/>
    <w:rsid w:val="0032466B"/>
    <w:rsid w:val="003330EB"/>
    <w:rsid w:val="003415FD"/>
    <w:rsid w:val="003429F0"/>
    <w:rsid w:val="00345A82"/>
    <w:rsid w:val="0035097A"/>
    <w:rsid w:val="00351370"/>
    <w:rsid w:val="003540A4"/>
    <w:rsid w:val="00355B5B"/>
    <w:rsid w:val="00357BCC"/>
    <w:rsid w:val="00360E4E"/>
    <w:rsid w:val="00370AAA"/>
    <w:rsid w:val="00375F77"/>
    <w:rsid w:val="00381BBE"/>
    <w:rsid w:val="00382903"/>
    <w:rsid w:val="003846FF"/>
    <w:rsid w:val="003857D4"/>
    <w:rsid w:val="00385AD4"/>
    <w:rsid w:val="00387924"/>
    <w:rsid w:val="00390D30"/>
    <w:rsid w:val="0039384D"/>
    <w:rsid w:val="00395C23"/>
    <w:rsid w:val="003978F3"/>
    <w:rsid w:val="003A2E4F"/>
    <w:rsid w:val="003A2F3C"/>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3F7C1E"/>
    <w:rsid w:val="00400F00"/>
    <w:rsid w:val="00404F8B"/>
    <w:rsid w:val="00405256"/>
    <w:rsid w:val="00410031"/>
    <w:rsid w:val="00415C81"/>
    <w:rsid w:val="00430474"/>
    <w:rsid w:val="004320D5"/>
    <w:rsid w:val="00432378"/>
    <w:rsid w:val="00440D65"/>
    <w:rsid w:val="004435E6"/>
    <w:rsid w:val="00447E31"/>
    <w:rsid w:val="00453923"/>
    <w:rsid w:val="00454B9B"/>
    <w:rsid w:val="00457858"/>
    <w:rsid w:val="00460B0B"/>
    <w:rsid w:val="00461023"/>
    <w:rsid w:val="00462FAC"/>
    <w:rsid w:val="00464631"/>
    <w:rsid w:val="00464B79"/>
    <w:rsid w:val="00467A64"/>
    <w:rsid w:val="00467BBF"/>
    <w:rsid w:val="0048593C"/>
    <w:rsid w:val="004867E2"/>
    <w:rsid w:val="00492670"/>
    <w:rsid w:val="004929A9"/>
    <w:rsid w:val="004977E1"/>
    <w:rsid w:val="004A1324"/>
    <w:rsid w:val="004A78D9"/>
    <w:rsid w:val="004C1DEA"/>
    <w:rsid w:val="004C6BCF"/>
    <w:rsid w:val="004D51D7"/>
    <w:rsid w:val="004D58BF"/>
    <w:rsid w:val="004D5FF3"/>
    <w:rsid w:val="004E047D"/>
    <w:rsid w:val="004E3460"/>
    <w:rsid w:val="004E4335"/>
    <w:rsid w:val="004F13EE"/>
    <w:rsid w:val="004F2022"/>
    <w:rsid w:val="004F7C05"/>
    <w:rsid w:val="00501C94"/>
    <w:rsid w:val="00502B12"/>
    <w:rsid w:val="005035F3"/>
    <w:rsid w:val="00506432"/>
    <w:rsid w:val="00506E82"/>
    <w:rsid w:val="00507C3A"/>
    <w:rsid w:val="0052051D"/>
    <w:rsid w:val="00522E83"/>
    <w:rsid w:val="00545EE6"/>
    <w:rsid w:val="005550E7"/>
    <w:rsid w:val="005564FB"/>
    <w:rsid w:val="005572C7"/>
    <w:rsid w:val="005650ED"/>
    <w:rsid w:val="00570DB9"/>
    <w:rsid w:val="00575754"/>
    <w:rsid w:val="00581FBA"/>
    <w:rsid w:val="00591E20"/>
    <w:rsid w:val="00595408"/>
    <w:rsid w:val="00595E84"/>
    <w:rsid w:val="005A0C59"/>
    <w:rsid w:val="005A48EB"/>
    <w:rsid w:val="005A6CFB"/>
    <w:rsid w:val="005C5AEB"/>
    <w:rsid w:val="005C6B68"/>
    <w:rsid w:val="005E0A3F"/>
    <w:rsid w:val="005E6883"/>
    <w:rsid w:val="005E772F"/>
    <w:rsid w:val="005F4ECA"/>
    <w:rsid w:val="006041BE"/>
    <w:rsid w:val="006043C7"/>
    <w:rsid w:val="00612014"/>
    <w:rsid w:val="00612637"/>
    <w:rsid w:val="00624B52"/>
    <w:rsid w:val="00630794"/>
    <w:rsid w:val="00631DF4"/>
    <w:rsid w:val="00632DAE"/>
    <w:rsid w:val="00634175"/>
    <w:rsid w:val="006408AC"/>
    <w:rsid w:val="006511B6"/>
    <w:rsid w:val="00657FF8"/>
    <w:rsid w:val="0066013F"/>
    <w:rsid w:val="00670D99"/>
    <w:rsid w:val="00670E2B"/>
    <w:rsid w:val="006734BB"/>
    <w:rsid w:val="0067697A"/>
    <w:rsid w:val="006821EB"/>
    <w:rsid w:val="00693360"/>
    <w:rsid w:val="00694A45"/>
    <w:rsid w:val="006A17E6"/>
    <w:rsid w:val="006B2286"/>
    <w:rsid w:val="006B56BB"/>
    <w:rsid w:val="006B6248"/>
    <w:rsid w:val="006C77A8"/>
    <w:rsid w:val="006D4098"/>
    <w:rsid w:val="006D7681"/>
    <w:rsid w:val="006D7B2E"/>
    <w:rsid w:val="006E02EA"/>
    <w:rsid w:val="006E0968"/>
    <w:rsid w:val="006E122B"/>
    <w:rsid w:val="006E2AF6"/>
    <w:rsid w:val="00701275"/>
    <w:rsid w:val="00707F56"/>
    <w:rsid w:val="00713558"/>
    <w:rsid w:val="00720D08"/>
    <w:rsid w:val="007263B9"/>
    <w:rsid w:val="007334F8"/>
    <w:rsid w:val="007339CD"/>
    <w:rsid w:val="007359D8"/>
    <w:rsid w:val="007362D4"/>
    <w:rsid w:val="00736BAB"/>
    <w:rsid w:val="00740806"/>
    <w:rsid w:val="007428E1"/>
    <w:rsid w:val="007473B2"/>
    <w:rsid w:val="00756B94"/>
    <w:rsid w:val="0076672A"/>
    <w:rsid w:val="00767967"/>
    <w:rsid w:val="00775E45"/>
    <w:rsid w:val="00776E74"/>
    <w:rsid w:val="0078100D"/>
    <w:rsid w:val="00785169"/>
    <w:rsid w:val="007954AB"/>
    <w:rsid w:val="007A14C5"/>
    <w:rsid w:val="007A4A10"/>
    <w:rsid w:val="007B1760"/>
    <w:rsid w:val="007C1FDC"/>
    <w:rsid w:val="007C2C59"/>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052C"/>
    <w:rsid w:val="0085209B"/>
    <w:rsid w:val="00856B66"/>
    <w:rsid w:val="008601AC"/>
    <w:rsid w:val="00861A5F"/>
    <w:rsid w:val="00864155"/>
    <w:rsid w:val="008644AD"/>
    <w:rsid w:val="00865735"/>
    <w:rsid w:val="00865DDB"/>
    <w:rsid w:val="00867538"/>
    <w:rsid w:val="00873D90"/>
    <w:rsid w:val="00873FC8"/>
    <w:rsid w:val="0087632D"/>
    <w:rsid w:val="00881845"/>
    <w:rsid w:val="00882921"/>
    <w:rsid w:val="00884C63"/>
    <w:rsid w:val="00885908"/>
    <w:rsid w:val="008864B7"/>
    <w:rsid w:val="0089373B"/>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07BCC"/>
    <w:rsid w:val="009112F7"/>
    <w:rsid w:val="009122AF"/>
    <w:rsid w:val="00912D54"/>
    <w:rsid w:val="0091389F"/>
    <w:rsid w:val="00915AC4"/>
    <w:rsid w:val="009208F7"/>
    <w:rsid w:val="00921649"/>
    <w:rsid w:val="00922517"/>
    <w:rsid w:val="00922722"/>
    <w:rsid w:val="009261E6"/>
    <w:rsid w:val="009268E1"/>
    <w:rsid w:val="009271EE"/>
    <w:rsid w:val="009306DC"/>
    <w:rsid w:val="009344AE"/>
    <w:rsid w:val="009344DE"/>
    <w:rsid w:val="00945E7F"/>
    <w:rsid w:val="00954840"/>
    <w:rsid w:val="009557C1"/>
    <w:rsid w:val="00960D6E"/>
    <w:rsid w:val="00973F57"/>
    <w:rsid w:val="00974B59"/>
    <w:rsid w:val="0098340B"/>
    <w:rsid w:val="00986830"/>
    <w:rsid w:val="009924C3"/>
    <w:rsid w:val="00993102"/>
    <w:rsid w:val="009B1570"/>
    <w:rsid w:val="009C6F10"/>
    <w:rsid w:val="009D148F"/>
    <w:rsid w:val="009D3D70"/>
    <w:rsid w:val="009D6E31"/>
    <w:rsid w:val="009E4248"/>
    <w:rsid w:val="009E6F7E"/>
    <w:rsid w:val="009E7A57"/>
    <w:rsid w:val="009F4803"/>
    <w:rsid w:val="009F4F6A"/>
    <w:rsid w:val="009F71F2"/>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02B"/>
    <w:rsid w:val="00AE3F64"/>
    <w:rsid w:val="00AF7386"/>
    <w:rsid w:val="00AF7934"/>
    <w:rsid w:val="00B00B81"/>
    <w:rsid w:val="00B04580"/>
    <w:rsid w:val="00B04B09"/>
    <w:rsid w:val="00B1271C"/>
    <w:rsid w:val="00B14B06"/>
    <w:rsid w:val="00B16A51"/>
    <w:rsid w:val="00B32222"/>
    <w:rsid w:val="00B3618D"/>
    <w:rsid w:val="00B36233"/>
    <w:rsid w:val="00B42851"/>
    <w:rsid w:val="00B434FB"/>
    <w:rsid w:val="00B45AC7"/>
    <w:rsid w:val="00B4647E"/>
    <w:rsid w:val="00B5372F"/>
    <w:rsid w:val="00B53987"/>
    <w:rsid w:val="00B61129"/>
    <w:rsid w:val="00B65F89"/>
    <w:rsid w:val="00B67E7F"/>
    <w:rsid w:val="00B839B2"/>
    <w:rsid w:val="00B845C0"/>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E670D"/>
    <w:rsid w:val="00BF3A8A"/>
    <w:rsid w:val="00BF8426"/>
    <w:rsid w:val="00C00930"/>
    <w:rsid w:val="00C04243"/>
    <w:rsid w:val="00C04921"/>
    <w:rsid w:val="00C060AD"/>
    <w:rsid w:val="00C079ED"/>
    <w:rsid w:val="00C113BF"/>
    <w:rsid w:val="00C2176E"/>
    <w:rsid w:val="00C23430"/>
    <w:rsid w:val="00C27D67"/>
    <w:rsid w:val="00C426C7"/>
    <w:rsid w:val="00C4631F"/>
    <w:rsid w:val="00C47CDE"/>
    <w:rsid w:val="00C50E16"/>
    <w:rsid w:val="00C53859"/>
    <w:rsid w:val="00C55258"/>
    <w:rsid w:val="00C6467D"/>
    <w:rsid w:val="00C768D1"/>
    <w:rsid w:val="00C82EEB"/>
    <w:rsid w:val="00C9599C"/>
    <w:rsid w:val="00C971DC"/>
    <w:rsid w:val="00CA16B7"/>
    <w:rsid w:val="00CA62AE"/>
    <w:rsid w:val="00CB5B1A"/>
    <w:rsid w:val="00CB5C32"/>
    <w:rsid w:val="00CC220B"/>
    <w:rsid w:val="00CC5C43"/>
    <w:rsid w:val="00CD02AE"/>
    <w:rsid w:val="00CD2A4F"/>
    <w:rsid w:val="00CE03CA"/>
    <w:rsid w:val="00CE22F1"/>
    <w:rsid w:val="00CE50F2"/>
    <w:rsid w:val="00CE6502"/>
    <w:rsid w:val="00CF7D3C"/>
    <w:rsid w:val="00D01F09"/>
    <w:rsid w:val="00D147EB"/>
    <w:rsid w:val="00D15F0D"/>
    <w:rsid w:val="00D236EA"/>
    <w:rsid w:val="00D30179"/>
    <w:rsid w:val="00D34667"/>
    <w:rsid w:val="00D401E1"/>
    <w:rsid w:val="00D408B4"/>
    <w:rsid w:val="00D41B25"/>
    <w:rsid w:val="00D43BB2"/>
    <w:rsid w:val="00D524C8"/>
    <w:rsid w:val="00D55BBB"/>
    <w:rsid w:val="00D65099"/>
    <w:rsid w:val="00D70E24"/>
    <w:rsid w:val="00D72741"/>
    <w:rsid w:val="00D72B61"/>
    <w:rsid w:val="00D768AB"/>
    <w:rsid w:val="00DA1546"/>
    <w:rsid w:val="00DA3D1D"/>
    <w:rsid w:val="00DA5BB1"/>
    <w:rsid w:val="00DB4163"/>
    <w:rsid w:val="00DB6286"/>
    <w:rsid w:val="00DB645F"/>
    <w:rsid w:val="00DB76E9"/>
    <w:rsid w:val="00DC0A67"/>
    <w:rsid w:val="00DC1D5E"/>
    <w:rsid w:val="00DC5220"/>
    <w:rsid w:val="00DC7CA4"/>
    <w:rsid w:val="00DD2061"/>
    <w:rsid w:val="00DD7DAB"/>
    <w:rsid w:val="00DE3355"/>
    <w:rsid w:val="00DF0C60"/>
    <w:rsid w:val="00DF21A8"/>
    <w:rsid w:val="00DF25CF"/>
    <w:rsid w:val="00DF486F"/>
    <w:rsid w:val="00DF5B5B"/>
    <w:rsid w:val="00DF7619"/>
    <w:rsid w:val="00E042D8"/>
    <w:rsid w:val="00E07EE7"/>
    <w:rsid w:val="00E1103B"/>
    <w:rsid w:val="00E11635"/>
    <w:rsid w:val="00E12632"/>
    <w:rsid w:val="00E17B44"/>
    <w:rsid w:val="00E20F27"/>
    <w:rsid w:val="00E22443"/>
    <w:rsid w:val="00E23448"/>
    <w:rsid w:val="00E23A66"/>
    <w:rsid w:val="00E25B1F"/>
    <w:rsid w:val="00E27FEA"/>
    <w:rsid w:val="00E4086F"/>
    <w:rsid w:val="00E42BCE"/>
    <w:rsid w:val="00E43B3C"/>
    <w:rsid w:val="00E50188"/>
    <w:rsid w:val="00E50BB3"/>
    <w:rsid w:val="00E515CB"/>
    <w:rsid w:val="00E52260"/>
    <w:rsid w:val="00E617C8"/>
    <w:rsid w:val="00E639B6"/>
    <w:rsid w:val="00E6434B"/>
    <w:rsid w:val="00E6463D"/>
    <w:rsid w:val="00E72E9B"/>
    <w:rsid w:val="00E74358"/>
    <w:rsid w:val="00E80716"/>
    <w:rsid w:val="00E850C3"/>
    <w:rsid w:val="00E87DF2"/>
    <w:rsid w:val="00E9462E"/>
    <w:rsid w:val="00EA470E"/>
    <w:rsid w:val="00EA47A7"/>
    <w:rsid w:val="00EA57EB"/>
    <w:rsid w:val="00EB3226"/>
    <w:rsid w:val="00EC053E"/>
    <w:rsid w:val="00EC213A"/>
    <w:rsid w:val="00EC7744"/>
    <w:rsid w:val="00ED0DAD"/>
    <w:rsid w:val="00ED0F46"/>
    <w:rsid w:val="00ED2373"/>
    <w:rsid w:val="00EE3A95"/>
    <w:rsid w:val="00EE3E8A"/>
    <w:rsid w:val="00EF58B8"/>
    <w:rsid w:val="00EF6ECA"/>
    <w:rsid w:val="00F024E1"/>
    <w:rsid w:val="00F06C10"/>
    <w:rsid w:val="00F1096F"/>
    <w:rsid w:val="00F10A06"/>
    <w:rsid w:val="00F12589"/>
    <w:rsid w:val="00F12595"/>
    <w:rsid w:val="00F134D9"/>
    <w:rsid w:val="00F1403D"/>
    <w:rsid w:val="00F1463F"/>
    <w:rsid w:val="00F17E45"/>
    <w:rsid w:val="00F21217"/>
    <w:rsid w:val="00F21302"/>
    <w:rsid w:val="00F2430D"/>
    <w:rsid w:val="00F321DE"/>
    <w:rsid w:val="00F33777"/>
    <w:rsid w:val="00F40648"/>
    <w:rsid w:val="00F47DA2"/>
    <w:rsid w:val="00F519FC"/>
    <w:rsid w:val="00F6239D"/>
    <w:rsid w:val="00F715D2"/>
    <w:rsid w:val="00F7274F"/>
    <w:rsid w:val="00F74E84"/>
    <w:rsid w:val="00F76FA8"/>
    <w:rsid w:val="00F80CE9"/>
    <w:rsid w:val="00F93F08"/>
    <w:rsid w:val="00F94CED"/>
    <w:rsid w:val="00FA02BB"/>
    <w:rsid w:val="00FA2CEE"/>
    <w:rsid w:val="00FA318C"/>
    <w:rsid w:val="00FB3929"/>
    <w:rsid w:val="00FB6F92"/>
    <w:rsid w:val="00FC026E"/>
    <w:rsid w:val="00FC5124"/>
    <w:rsid w:val="00FD4731"/>
    <w:rsid w:val="00FD6768"/>
    <w:rsid w:val="00FE3BA5"/>
    <w:rsid w:val="00FE6A93"/>
    <w:rsid w:val="00FF0AB0"/>
    <w:rsid w:val="00FF28AC"/>
    <w:rsid w:val="00FF777D"/>
    <w:rsid w:val="00FF7F62"/>
    <w:rsid w:val="01F14B0A"/>
    <w:rsid w:val="02CACAC3"/>
    <w:rsid w:val="03479CCB"/>
    <w:rsid w:val="06F01840"/>
    <w:rsid w:val="0753353F"/>
    <w:rsid w:val="08E9EA80"/>
    <w:rsid w:val="0BA01AD6"/>
    <w:rsid w:val="0F12E8E3"/>
    <w:rsid w:val="10DC1E03"/>
    <w:rsid w:val="10EE0F3E"/>
    <w:rsid w:val="115F6166"/>
    <w:rsid w:val="124F585E"/>
    <w:rsid w:val="12F7E71E"/>
    <w:rsid w:val="13AD0B2C"/>
    <w:rsid w:val="1546FD1C"/>
    <w:rsid w:val="165C9E45"/>
    <w:rsid w:val="18875051"/>
    <w:rsid w:val="19CDE719"/>
    <w:rsid w:val="1AAFE224"/>
    <w:rsid w:val="1ACFBE65"/>
    <w:rsid w:val="1BEE9997"/>
    <w:rsid w:val="1C6B8EC6"/>
    <w:rsid w:val="1E075F27"/>
    <w:rsid w:val="1EE5203B"/>
    <w:rsid w:val="202E4C56"/>
    <w:rsid w:val="207F6558"/>
    <w:rsid w:val="20A5BD81"/>
    <w:rsid w:val="21D8CE80"/>
    <w:rsid w:val="23B4504E"/>
    <w:rsid w:val="25D86A14"/>
    <w:rsid w:val="26CD948E"/>
    <w:rsid w:val="2728BC87"/>
    <w:rsid w:val="284E55D1"/>
    <w:rsid w:val="28FD2BCB"/>
    <w:rsid w:val="290A125D"/>
    <w:rsid w:val="2951FF54"/>
    <w:rsid w:val="296EB092"/>
    <w:rsid w:val="296F5C3E"/>
    <w:rsid w:val="2AEDCFB5"/>
    <w:rsid w:val="2B3DCC92"/>
    <w:rsid w:val="2CA6FD00"/>
    <w:rsid w:val="2CB1E128"/>
    <w:rsid w:val="2CEF5033"/>
    <w:rsid w:val="2D9CF6BB"/>
    <w:rsid w:val="31124DEE"/>
    <w:rsid w:val="314EAAA6"/>
    <w:rsid w:val="31A462F6"/>
    <w:rsid w:val="32CE4754"/>
    <w:rsid w:val="34DA8958"/>
    <w:rsid w:val="365FBCCC"/>
    <w:rsid w:val="36BCB2FC"/>
    <w:rsid w:val="38662154"/>
    <w:rsid w:val="38B248E9"/>
    <w:rsid w:val="38EDDC80"/>
    <w:rsid w:val="39B4C1C9"/>
    <w:rsid w:val="3AA120B5"/>
    <w:rsid w:val="3C023868"/>
    <w:rsid w:val="3C24F014"/>
    <w:rsid w:val="3D34EED8"/>
    <w:rsid w:val="3D692B7A"/>
    <w:rsid w:val="3F338BC1"/>
    <w:rsid w:val="3F9AF265"/>
    <w:rsid w:val="404C87C5"/>
    <w:rsid w:val="4059348A"/>
    <w:rsid w:val="407E2BAB"/>
    <w:rsid w:val="40F856ED"/>
    <w:rsid w:val="414E530B"/>
    <w:rsid w:val="416B1C4F"/>
    <w:rsid w:val="422CD122"/>
    <w:rsid w:val="45FB767C"/>
    <w:rsid w:val="462AC8ED"/>
    <w:rsid w:val="47FC2DE0"/>
    <w:rsid w:val="48BC4234"/>
    <w:rsid w:val="4A1913E3"/>
    <w:rsid w:val="4B596A4A"/>
    <w:rsid w:val="4BD86161"/>
    <w:rsid w:val="50088871"/>
    <w:rsid w:val="506EE037"/>
    <w:rsid w:val="5092A2B6"/>
    <w:rsid w:val="524ACB06"/>
    <w:rsid w:val="53857D26"/>
    <w:rsid w:val="550825FA"/>
    <w:rsid w:val="562E41C4"/>
    <w:rsid w:val="56492F6B"/>
    <w:rsid w:val="583F6645"/>
    <w:rsid w:val="58FFF10C"/>
    <w:rsid w:val="59B39049"/>
    <w:rsid w:val="59C6D553"/>
    <w:rsid w:val="5B727461"/>
    <w:rsid w:val="5D323017"/>
    <w:rsid w:val="5D56D304"/>
    <w:rsid w:val="5EFD6807"/>
    <w:rsid w:val="6375388B"/>
    <w:rsid w:val="63A38E76"/>
    <w:rsid w:val="652AD0A9"/>
    <w:rsid w:val="653F5ED7"/>
    <w:rsid w:val="65C96CC3"/>
    <w:rsid w:val="65CCB7F4"/>
    <w:rsid w:val="681B2954"/>
    <w:rsid w:val="6826C075"/>
    <w:rsid w:val="6921A6A5"/>
    <w:rsid w:val="6E29A581"/>
    <w:rsid w:val="6F001477"/>
    <w:rsid w:val="7113902D"/>
    <w:rsid w:val="71AE4726"/>
    <w:rsid w:val="7376F7A0"/>
    <w:rsid w:val="74AD7E20"/>
    <w:rsid w:val="75DBEB52"/>
    <w:rsid w:val="75FA1BD5"/>
    <w:rsid w:val="7624A3DC"/>
    <w:rsid w:val="7631047D"/>
    <w:rsid w:val="7737CB0A"/>
    <w:rsid w:val="77E51EE2"/>
    <w:rsid w:val="78A8ECB6"/>
    <w:rsid w:val="7C734B90"/>
    <w:rsid w:val="7CB89005"/>
    <w:rsid w:val="7D1DD9E6"/>
    <w:rsid w:val="7E425901"/>
    <w:rsid w:val="7E9C4D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16E73"/>
  <w15:docId w15:val="{FD3C608D-8452-485C-9341-8AEDA2AA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047D"/>
    <w:pPr>
      <w:spacing w:after="160" w:line="300"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4A1324"/>
    <w:pPr>
      <w:keepNext/>
      <w:spacing w:before="240" w:after="12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736BAB"/>
    <w:pPr>
      <w:numPr>
        <w:ilvl w:val="1"/>
      </w:numPr>
      <w:spacing w:before="120" w:after="60" w:line="360" w:lineRule="auto"/>
    </w:pPr>
    <w:rPr>
      <w:rFonts w:ascii="Arial" w:eastAsiaTheme="majorEastAsia" w:hAnsi="Arial" w:cstheme="majorBidi"/>
      <w:iCs/>
      <w:color w:val="358189"/>
      <w:spacing w:val="15"/>
      <w:sz w:val="32"/>
      <w:szCs w:val="24"/>
      <w:lang w:eastAsia="en-US"/>
    </w:rPr>
  </w:style>
  <w:style w:type="character" w:customStyle="1" w:styleId="SubtitleChar">
    <w:name w:val="Subtitle Char"/>
    <w:basedOn w:val="DefaultParagraphFont"/>
    <w:link w:val="Subtitle"/>
    <w:rsid w:val="00736BAB"/>
    <w:rPr>
      <w:rFonts w:ascii="Arial" w:eastAsiaTheme="majorEastAsia" w:hAnsi="Arial" w:cstheme="majorBidi"/>
      <w:iCs/>
      <w:color w:val="358189"/>
      <w:spacing w:val="15"/>
      <w:sz w:val="32"/>
      <w:szCs w:val="24"/>
      <w:lang w:eastAsia="en-US"/>
    </w:rPr>
  </w:style>
  <w:style w:type="paragraph" w:styleId="Title">
    <w:name w:val="Title"/>
    <w:next w:val="Normal"/>
    <w:link w:val="TitleChar"/>
    <w:qFormat/>
    <w:rsid w:val="00D72741"/>
    <w:pPr>
      <w:spacing w:before="240" w:after="24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D72741"/>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6"/>
      </w:numPr>
    </w:pPr>
  </w:style>
  <w:style w:type="paragraph" w:styleId="ListNumber2">
    <w:name w:val="List Number 2"/>
    <w:basedOn w:val="ListBullet"/>
    <w:qFormat/>
    <w:rsid w:val="00A719F6"/>
    <w:pPr>
      <w:numPr>
        <w:numId w:val="25"/>
      </w:numPr>
    </w:pPr>
  </w:style>
  <w:style w:type="paragraph" w:styleId="ListBullet">
    <w:name w:val="List Bullet"/>
    <w:basedOn w:val="Normal"/>
    <w:qFormat/>
    <w:rsid w:val="00694A45"/>
    <w:pPr>
      <w:numPr>
        <w:numId w:val="24"/>
      </w:numPr>
      <w:spacing w:before="60" w:after="60"/>
      <w:ind w:left="714" w:hanging="357"/>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7"/>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864155"/>
    <w:rPr>
      <w:color w:val="1390CF"/>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8"/>
      </w:numPr>
    </w:pPr>
    <w:rPr>
      <w:szCs w:val="20"/>
    </w:rPr>
  </w:style>
  <w:style w:type="paragraph" w:customStyle="1" w:styleId="Tablelistnumber">
    <w:name w:val="Table list number"/>
    <w:basedOn w:val="Tabletextleft"/>
    <w:qFormat/>
    <w:rsid w:val="00A719F6"/>
    <w:pPr>
      <w:numPr>
        <w:numId w:val="29"/>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styleId="Revision">
    <w:name w:val="Revision"/>
    <w:hidden/>
    <w:uiPriority w:val="99"/>
    <w:semiHidden/>
    <w:rsid w:val="00EE3A95"/>
    <w:rPr>
      <w:rFonts w:ascii="Arial" w:hAnsi="Arial"/>
      <w:color w:val="000000" w:themeColor="text1"/>
      <w:sz w:val="22"/>
      <w:szCs w:val="24"/>
      <w:lang w:eastAsia="en-US"/>
    </w:rPr>
  </w:style>
  <w:style w:type="paragraph" w:styleId="CommentText">
    <w:name w:val="annotation text"/>
    <w:basedOn w:val="Normal"/>
    <w:link w:val="CommentTextChar"/>
    <w:unhideWhenUsed/>
    <w:rsid w:val="00C04243"/>
    <w:pPr>
      <w:spacing w:line="240" w:lineRule="auto"/>
    </w:pPr>
    <w:rPr>
      <w:sz w:val="20"/>
      <w:szCs w:val="20"/>
    </w:rPr>
  </w:style>
  <w:style w:type="character" w:customStyle="1" w:styleId="CommentTextChar">
    <w:name w:val="Comment Text Char"/>
    <w:basedOn w:val="DefaultParagraphFont"/>
    <w:link w:val="CommentText"/>
    <w:rsid w:val="00C04243"/>
    <w:rPr>
      <w:rFonts w:ascii="Arial" w:hAnsi="Arial"/>
      <w:color w:val="000000" w:themeColor="text1"/>
      <w:lang w:eastAsia="en-US"/>
    </w:rPr>
  </w:style>
  <w:style w:type="character" w:styleId="CommentReference">
    <w:name w:val="annotation reference"/>
    <w:basedOn w:val="DefaultParagraphFont"/>
    <w:semiHidden/>
    <w:unhideWhenUsed/>
    <w:rsid w:val="00C04243"/>
    <w:rPr>
      <w:sz w:val="16"/>
      <w:szCs w:val="16"/>
    </w:rPr>
  </w:style>
  <w:style w:type="paragraph" w:styleId="CommentSubject">
    <w:name w:val="annotation subject"/>
    <w:basedOn w:val="CommentText"/>
    <w:next w:val="CommentText"/>
    <w:link w:val="CommentSubjectChar"/>
    <w:semiHidden/>
    <w:unhideWhenUsed/>
    <w:rsid w:val="002316B7"/>
    <w:rPr>
      <w:b/>
      <w:bCs/>
    </w:rPr>
  </w:style>
  <w:style w:type="character" w:customStyle="1" w:styleId="CommentSubjectChar">
    <w:name w:val="Comment Subject Char"/>
    <w:basedOn w:val="CommentTextChar"/>
    <w:link w:val="CommentSubject"/>
    <w:semiHidden/>
    <w:rsid w:val="002316B7"/>
    <w:rPr>
      <w:rFonts w:ascii="Arial" w:hAnsi="Arial"/>
      <w:b/>
      <w:bCs/>
      <w:color w:val="000000" w:themeColor="text1"/>
      <w:lang w:eastAsia="en-US"/>
    </w:rPr>
  </w:style>
  <w:style w:type="paragraph" w:customStyle="1" w:styleId="Docstyle">
    <w:name w:val="Doc style"/>
    <w:basedOn w:val="Normal"/>
    <w:qFormat/>
    <w:rsid w:val="00740806"/>
    <w:rPr>
      <w:szCs w:val="20"/>
    </w:rPr>
  </w:style>
  <w:style w:type="paragraph" w:styleId="ListBullet3">
    <w:name w:val="List Bullet 3"/>
    <w:basedOn w:val="Normal"/>
    <w:unhideWhenUsed/>
    <w:rsid w:val="004D51D7"/>
    <w:pPr>
      <w:numPr>
        <w:numId w:val="14"/>
      </w:numPr>
      <w:contextualSpacing/>
    </w:pPr>
  </w:style>
  <w:style w:type="character" w:styleId="FollowedHyperlink">
    <w:name w:val="FollowedHyperlink"/>
    <w:basedOn w:val="DefaultParagraphFont"/>
    <w:semiHidden/>
    <w:unhideWhenUsed/>
    <w:rsid w:val="00864155"/>
    <w:rPr>
      <w:color w:val="AA176D"/>
      <w:u w:val="single"/>
    </w:rPr>
  </w:style>
  <w:style w:type="character" w:styleId="UnresolvedMention">
    <w:name w:val="Unresolved Mention"/>
    <w:basedOn w:val="DefaultParagraphFont"/>
    <w:uiPriority w:val="99"/>
    <w:unhideWhenUsed/>
    <w:rsid w:val="004E047D"/>
    <w:rPr>
      <w:color w:val="605E5C"/>
      <w:shd w:val="clear" w:color="auto" w:fill="E1DFDD"/>
    </w:rPr>
  </w:style>
  <w:style w:type="character" w:styleId="Mention">
    <w:name w:val="Mention"/>
    <w:basedOn w:val="DefaultParagraphFont"/>
    <w:uiPriority w:val="99"/>
    <w:unhideWhenUsed/>
    <w:rsid w:val="00C079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strengthening-global-health-and-international-pandemic-response" TargetMode="External"/><Relationship Id="rId18" Type="http://schemas.openxmlformats.org/officeDocument/2006/relationships/hyperlink" Target="https://www.who.int/news-room/questions-and-answers/item/international-health-regulations-amendment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health.gov.au/topics/communicable-diseases/biosecurity/international-obligations" TargetMode="External"/><Relationship Id="rId17" Type="http://schemas.openxmlformats.org/officeDocument/2006/relationships/hyperlink" Target="https://apps.who.int/gb/wgihr/index.html"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apps.who.int/gb/ebwha/pdf_files/WHA77/A77_ACONF14-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health-topics/international-health-regula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fat.gov.au/international-relations/treaties/treaty-making-proces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h.gov.au/Parliamentary_Business/Committees/Joint/Treaties/JSCOT_Committee_Statement_on_WHO_Related_Treaty_Action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4e70c9c-ac62-48bb-aa24-f0b40c8e6cd9">
      <UserInfo>
        <DisplayName>WHITTY, Cam</DisplayName>
        <AccountId>756</AccountId>
        <AccountType/>
      </UserInfo>
    </SharedWithUsers>
    <lcf76f155ced4ddcb4097134ff3c332f xmlns="06dccb30-cd79-45ad-82e7-85e77da07be2">
      <Terms xmlns="http://schemas.microsoft.com/office/infopath/2007/PartnerControls"/>
    </lcf76f155ced4ddcb4097134ff3c332f>
    <TaxCatchAll xmlns="64e70c9c-ac62-48bb-aa24-f0b40c8e6c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D201B4052AE242BCE86FEE4137B74E" ma:contentTypeVersion="17" ma:contentTypeDescription="Create a new document." ma:contentTypeScope="" ma:versionID="f0c1dca0b373f3cf01849a3bd7840de6">
  <xsd:schema xmlns:xsd="http://www.w3.org/2001/XMLSchema" xmlns:xs="http://www.w3.org/2001/XMLSchema" xmlns:p="http://schemas.microsoft.com/office/2006/metadata/properties" xmlns:ns2="64e70c9c-ac62-48bb-aa24-f0b40c8e6cd9" xmlns:ns3="06dccb30-cd79-45ad-82e7-85e77da07be2" targetNamespace="http://schemas.microsoft.com/office/2006/metadata/properties" ma:root="true" ma:fieldsID="9d215d841136479b6ed54ad0461ad7f9" ns2:_="" ns3:_="">
    <xsd:import namespace="64e70c9c-ac62-48bb-aa24-f0b40c8e6cd9"/>
    <xsd:import namespace="06dccb30-cd79-45ad-82e7-85e77da07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lcf76f155ced4ddcb4097134ff3c332f" minOccurs="0"/>
                <xsd:element ref="ns2:TaxCatchAll"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70c9c-ac62-48bb-aa24-f0b40c8e6c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81915c-826e-42cb-a305-e9e00d4075eb}" ma:internalName="TaxCatchAll" ma:showField="CatchAllData" ma:web="64e70c9c-ac62-48bb-aa24-f0b40c8e6c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dccb30-cd79-45ad-82e7-85e77da07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64e70c9c-ac62-48bb-aa24-f0b40c8e6cd9"/>
    <ds:schemaRef ds:uri="06dccb30-cd79-45ad-82e7-85e77da07be2"/>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816168D-9763-4593-B965-71EC0236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70c9c-ac62-48bb-aa24-f0b40c8e6cd9"/>
    <ds:schemaRef ds:uri="06dccb30-cd79-45ad-82e7-85e77da0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850</Words>
  <Characters>4959</Characters>
  <Application>Microsoft Office Word</Application>
  <DocSecurity>0</DocSecurity>
  <Lines>101</Lines>
  <Paragraphs>50</Paragraphs>
  <ScaleCrop>false</ScaleCrop>
  <HeadingPairs>
    <vt:vector size="2" baseType="variant">
      <vt:variant>
        <vt:lpstr>Title</vt:lpstr>
      </vt:variant>
      <vt:variant>
        <vt:i4>1</vt:i4>
      </vt:variant>
    </vt:vector>
  </HeadingPairs>
  <TitlesOfParts>
    <vt:vector size="1" baseType="lpstr">
      <vt:lpstr>Working Group on Amendments to the International Health Regulations (2005) – Frequently asked questions – December 2023</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Group on Amendments to the International Health Regulations (2005) – Frequently asked questions – July 2024</dc:title>
  <dc:subject>Emergency health management</dc:subject>
  <dc:creator>Australian Government Department of Health and Aged Care</dc:creator>
  <cp:keywords>Emergency health management; Strengthening global health and international pandemic response</cp:keywords>
  <cp:lastModifiedBy>ARNOLD, Max</cp:lastModifiedBy>
  <cp:revision>3</cp:revision>
  <dcterms:created xsi:type="dcterms:W3CDTF">2024-07-05T03:06:00Z</dcterms:created>
  <dcterms:modified xsi:type="dcterms:W3CDTF">2024-07-08T04:08:00Z</dcterms:modified>
  <cp:category/>
</cp:coreProperties>
</file>